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6C7B" w14:textId="360D884F" w:rsidR="00197403" w:rsidRPr="00197403" w:rsidRDefault="00197403" w:rsidP="00197403">
      <w:pPr>
        <w:spacing w:after="100" w:line="300" w:lineRule="auto"/>
        <w:rPr>
          <w:b/>
          <w:bCs/>
          <w:sz w:val="26"/>
          <w:szCs w:val="26"/>
          <w:u w:val="single"/>
        </w:rPr>
      </w:pPr>
      <w:r w:rsidRPr="00197403">
        <w:rPr>
          <w:b/>
          <w:bCs/>
          <w:sz w:val="26"/>
          <w:szCs w:val="26"/>
          <w:u w:val="single"/>
        </w:rPr>
        <w:t>Original Research Article</w:t>
      </w:r>
    </w:p>
    <w:p w14:paraId="3D4223FC" w14:textId="77777777" w:rsidR="007657D9" w:rsidRDefault="007657D9" w:rsidP="007657D9">
      <w:pPr>
        <w:spacing w:before="120" w:after="80" w:line="259" w:lineRule="auto"/>
        <w:jc w:val="center"/>
      </w:pPr>
      <w:r>
        <w:rPr>
          <w:rFonts w:ascii="Times New Roman" w:hAnsi="Times New Roman"/>
          <w:b/>
          <w:sz w:val="26"/>
        </w:rPr>
        <w:t>Teachers’ Perceptions and Systemic Challenges in ECARP Implementation: A Qualitative Study in Baguio City and La Trinidad, Philippines</w:t>
      </w:r>
    </w:p>
    <w:p w14:paraId="76CAEDF4" w14:textId="77777777" w:rsidR="00197403" w:rsidRDefault="00197403" w:rsidP="00197403">
      <w:pPr>
        <w:spacing w:after="100" w:line="300" w:lineRule="auto"/>
        <w:jc w:val="center"/>
      </w:pPr>
    </w:p>
    <w:p w14:paraId="48D64438" w14:textId="77777777" w:rsidR="00B5787D" w:rsidRDefault="004544BE">
      <w:pPr>
        <w:spacing w:after="80" w:line="100" w:lineRule="auto"/>
        <w:jc w:val="both"/>
      </w:pPr>
      <w:r>
        <w:t>.</w:t>
      </w:r>
    </w:p>
    <w:p w14:paraId="5F03E871" w14:textId="77777777" w:rsidR="00B5787D" w:rsidRDefault="004544BE">
      <w:pPr>
        <w:spacing w:before="60" w:after="80"/>
      </w:pPr>
      <w:r>
        <w:rPr>
          <w:b/>
          <w:bCs/>
          <w:sz w:val="22"/>
          <w:szCs w:val="22"/>
        </w:rP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5787D" w14:paraId="64225CAA" w14:textId="77777777">
        <w:tc>
          <w:tcPr>
            <w:tcW w:w="9360" w:type="dxa"/>
            <w:tcBorders>
              <w:top w:val="single" w:sz="4" w:space="0" w:color="000000"/>
              <w:left w:val="single" w:sz="4" w:space="0" w:color="000000"/>
              <w:bottom w:val="single" w:sz="4" w:space="0" w:color="000000"/>
              <w:right w:val="single" w:sz="4" w:space="0" w:color="000000"/>
            </w:tcBorders>
            <w:tcMar>
              <w:top w:w="120" w:type="dxa"/>
              <w:left w:w="160" w:type="dxa"/>
              <w:bottom w:w="120" w:type="dxa"/>
              <w:right w:w="160" w:type="dxa"/>
            </w:tcMar>
          </w:tcPr>
          <w:p w14:paraId="54A73719" w14:textId="77777777" w:rsidR="007657D9" w:rsidRPr="007657D9" w:rsidRDefault="007657D9" w:rsidP="007657D9">
            <w:pPr>
              <w:jc w:val="both"/>
            </w:pPr>
            <w:r w:rsidRPr="007657D9">
              <w:rPr>
                <w:b/>
                <w:bCs/>
              </w:rPr>
              <w:t>Aims</w:t>
            </w:r>
            <w:r w:rsidRPr="007657D9">
              <w:t>: This study examined how public school teachers perceive the implementation of the Every Child a Reader Program (ECARP) and related reading initiatives, what challenges they encounter, and what measures they consider necessary to strengthen reading-policy implementation.</w:t>
            </w:r>
          </w:p>
          <w:p w14:paraId="2DF98F80" w14:textId="77777777" w:rsidR="007657D9" w:rsidRPr="007657D9" w:rsidRDefault="007657D9" w:rsidP="007657D9">
            <w:pPr>
              <w:jc w:val="both"/>
            </w:pPr>
            <w:r w:rsidRPr="007657D9">
              <w:rPr>
                <w:b/>
                <w:bCs/>
              </w:rPr>
              <w:t>Study Design</w:t>
            </w:r>
            <w:r w:rsidRPr="007657D9">
              <w:t>: The study used a basic qualitative research design.</w:t>
            </w:r>
          </w:p>
          <w:p w14:paraId="5A02FE09" w14:textId="77777777" w:rsidR="007657D9" w:rsidRPr="007657D9" w:rsidRDefault="007657D9" w:rsidP="007657D9">
            <w:pPr>
              <w:jc w:val="both"/>
            </w:pPr>
            <w:r w:rsidRPr="007657D9">
              <w:rPr>
                <w:b/>
                <w:bCs/>
              </w:rPr>
              <w:t>Place and Duration of Study:</w:t>
            </w:r>
            <w:r w:rsidRPr="007657D9">
              <w:t xml:space="preserve"> The study was conducted in selected public elementary and secondary schools in Baguio City and La Trinidad, Philippines. Data collection spanned three weeks.</w:t>
            </w:r>
          </w:p>
          <w:p w14:paraId="3FD8859F" w14:textId="77777777" w:rsidR="007657D9" w:rsidRPr="007657D9" w:rsidRDefault="007657D9" w:rsidP="007657D9">
            <w:pPr>
              <w:jc w:val="both"/>
            </w:pPr>
            <w:r w:rsidRPr="007657D9">
              <w:rPr>
                <w:b/>
                <w:bCs/>
              </w:rPr>
              <w:t>Methodology</w:t>
            </w:r>
            <w:r w:rsidRPr="007657D9">
              <w:t>: Thirty-four Grades 4 to 6 and Grade 7 teachers were selected through purposive sampling as information-rich participants with direct experience in ECARP, related reading programs, Phil-IRI assessment, classroom reading support, or remediation activities. Semi-structured key informant interviews lasting 45 to 70 minutes were conducted, audio-recorded with consent, transcribed verbatim, and analyzed thematically using Braun and Clarke’s six-phase framework. Frequencies were used only as descriptive indicators of recurrence across the interview set, while the analysis remained centered on teacher accounts and thematic interpretation.</w:t>
            </w:r>
          </w:p>
          <w:p w14:paraId="708B033E" w14:textId="77777777" w:rsidR="007657D9" w:rsidRPr="007657D9" w:rsidRDefault="007657D9" w:rsidP="007657D9">
            <w:pPr>
              <w:jc w:val="both"/>
            </w:pPr>
            <w:r w:rsidRPr="007657D9">
              <w:rPr>
                <w:b/>
                <w:bCs/>
              </w:rPr>
              <w:t>Results:</w:t>
            </w:r>
            <w:r w:rsidRPr="007657D9">
              <w:t xml:space="preserve"> Teacher awareness of ECARP was largely nominal rather than functional. Although 25 teachers (73.5%) recognized ECARP or related reading policies by name, only 11 teachers (32.4%) demonstrated clear understanding of its objectives, assessment expectations, and procedures. Major constraints included the need for ready, validated, level-appropriate reading materials (29 teachers, 85.3%), lack of formal ECARP-specific training (28 teachers, 82.4%), heavy workload and time constraints (27 teachers, 79.4%), unclear policy standards (26 teachers, 76.5%), and difficulty engaging parents in remediation (24 teachers, 70.6%). Teachers also described reportorial pressure that could discourage honest diagnosis of learner reading levels.</w:t>
            </w:r>
          </w:p>
          <w:p w14:paraId="4A6A1E89" w14:textId="2008639A" w:rsidR="00B5787D" w:rsidRDefault="007657D9" w:rsidP="007657D9">
            <w:pPr>
              <w:jc w:val="both"/>
            </w:pPr>
            <w:r w:rsidRPr="007657D9">
              <w:rPr>
                <w:b/>
                <w:bCs/>
              </w:rPr>
              <w:t>Conclusion:</w:t>
            </w:r>
            <w:r w:rsidRPr="007657D9">
              <w:t xml:space="preserve"> ECARP’s main difficulty is an implementation-system problem rather than a lack of policy intent. Stronger implementation requires clear standards, validated materials, sustained teacher training, protected remediation time, honest reporting systems, leadership continuity, and institutionalized teacher participation in policy review.</w:t>
            </w:r>
          </w:p>
        </w:tc>
      </w:tr>
    </w:tbl>
    <w:p w14:paraId="1549C478" w14:textId="77777777" w:rsidR="00B5787D" w:rsidRDefault="004544BE">
      <w:pPr>
        <w:spacing w:before="100" w:after="80"/>
        <w:jc w:val="both"/>
      </w:pPr>
      <w:r>
        <w:rPr>
          <w:b/>
          <w:bCs/>
          <w:i/>
          <w:iCs/>
        </w:rPr>
        <w:t xml:space="preserve">Keywords: </w:t>
      </w:r>
      <w:r>
        <w:rPr>
          <w:i/>
          <w:iCs/>
        </w:rPr>
        <w:t>Reading policy implementation; ECARP; teacher perspectives; literacy policy; Philippine basic education</w:t>
      </w:r>
    </w:p>
    <w:p w14:paraId="4A02F9D9" w14:textId="77777777" w:rsidR="00B5787D" w:rsidRDefault="004544BE">
      <w:pPr>
        <w:spacing w:before="280" w:after="100"/>
      </w:pPr>
      <w:r>
        <w:rPr>
          <w:b/>
          <w:bCs/>
          <w:caps/>
          <w:sz w:val="22"/>
          <w:szCs w:val="22"/>
        </w:rPr>
        <w:t>ABBREVIATIONS</w:t>
      </w:r>
    </w:p>
    <w:p w14:paraId="6F37D3E5" w14:textId="77777777" w:rsidR="00B5787D" w:rsidRDefault="004544BE">
      <w:pPr>
        <w:spacing w:after="100" w:line="252" w:lineRule="auto"/>
        <w:jc w:val="both"/>
      </w:pPr>
      <w:r>
        <w:t xml:space="preserve">ECARP: Every Child a Reader Program; DepEd: Department of Education; Phil-IRI: Philippine Informal Reading Inventory; 3Bs: Hamon: </w:t>
      </w:r>
      <w:proofErr w:type="spellStart"/>
      <w:r>
        <w:t>Bawat</w:t>
      </w:r>
      <w:proofErr w:type="spellEnd"/>
      <w:r>
        <w:t xml:space="preserve"> Bata </w:t>
      </w:r>
      <w:proofErr w:type="spellStart"/>
      <w:r>
        <w:t>Bumabasa</w:t>
      </w:r>
      <w:proofErr w:type="spellEnd"/>
      <w:r>
        <w:t xml:space="preserve">; DEAR: Drop Everything and Read; PISA: </w:t>
      </w:r>
      <w:proofErr w:type="spellStart"/>
      <w:r>
        <w:t>Programme</w:t>
      </w:r>
      <w:proofErr w:type="spellEnd"/>
      <w:r>
        <w:t xml:space="preserve"> for International Student Assessment; SEA-PLM: Southeast Asia Primary Learning Metrics.</w:t>
      </w:r>
    </w:p>
    <w:p w14:paraId="4BC8DEC5" w14:textId="77777777" w:rsidR="00B5787D" w:rsidRDefault="004544BE">
      <w:pPr>
        <w:spacing w:before="280" w:after="100"/>
      </w:pPr>
      <w:r>
        <w:rPr>
          <w:b/>
          <w:bCs/>
          <w:caps/>
          <w:sz w:val="22"/>
          <w:szCs w:val="22"/>
        </w:rPr>
        <w:t>1. INTRODUCTION</w:t>
      </w:r>
    </w:p>
    <w:p w14:paraId="1B8B424F" w14:textId="77777777" w:rsidR="007657D9" w:rsidRDefault="007657D9" w:rsidP="007657D9">
      <w:pPr>
        <w:spacing w:after="100" w:line="252" w:lineRule="auto"/>
        <w:jc w:val="both"/>
      </w:pPr>
      <w:r>
        <w:t>Reading proficiency, particularly in English, has long been treated as a central goal of Philippine basic education. ECARP is linked to the policy direction established under Executive Order No. 210, s. 2003, which strengthened the use of English in the educational system and explicitly recognized the importance of teacher training and learning materials in improving English-language competence (Office of the President of the Philippines, 2003). It has also been reinforced by DepEd directives on book reading, promotion criteria, Phil-IRI, Early Language, Literacy and Numeracy, the 3Bs Initiative, Catch-up Fridays, and related reading programs (Department of Education, 2001, 2002, 2004, 2015, 2018, 2019, 2024). These initiatives share a common policy premise: learners cannot meaningfully access the curriculum if they do not possess the foundational literacy needed for grade-level learning and later social participation.</w:t>
      </w:r>
    </w:p>
    <w:p w14:paraId="487B921D" w14:textId="77777777" w:rsidR="007657D9" w:rsidRDefault="007657D9" w:rsidP="007657D9">
      <w:pPr>
        <w:spacing w:after="100" w:line="252" w:lineRule="auto"/>
        <w:jc w:val="both"/>
      </w:pPr>
      <w:r>
        <w:lastRenderedPageBreak/>
        <w:t>Despite these policy layers, national and international indicators continue to show serious literacy difficulty. Filipino learners ranked last among 79 participating systems in PISA 2018 reading literacy, with roughly 80% failing to reach minimum proficiency (OECD, 2019). In PISA 2022, the Philippines again performed below the OECD average, and only 24% of Filipino students attained Level 2 or higher in reading, while average results in reading were about the same as in 2018 (OECD, 2023). SEA-PLM 2019 reported that 27% of Filipino Grade 5 pupils could not read by the metric’s definition (UNICEF &amp; SEAMEO, 2020), while the 2022 learning-poverty update estimated the Philippine rate at 90.9% (World Bank et al., 2022). DepEd’s 2024 Catch-up Fridays memorandum similarly acknowledges low reading proficiency based on national and international large-scale assessments and calls for prompt attention to learning gaps (Department of Education, 2024). These indicators suggest that the policy problem is not simply the absence of literacy initiatives but the uneven translation of those initiatives into classroom practice.</w:t>
      </w:r>
    </w:p>
    <w:p w14:paraId="47A12BF7" w14:textId="77777777" w:rsidR="007657D9" w:rsidRDefault="007657D9" w:rsidP="007657D9">
      <w:pPr>
        <w:spacing w:after="100" w:line="252" w:lineRule="auto"/>
        <w:jc w:val="both"/>
      </w:pPr>
      <w:r>
        <w:t>The specific research problem addressed in this study is the gap between ECARP as a visible reading-policy label and ECARP as a functional implementation system. In practice, teachers may recognize ECARP or related reading initiatives by name while remaining uncertain about their operational expectations, assessment procedures, remediation routines, reporting standards, and support mechanisms. This problem becomes more serious when schools are required to report reading outcomes but teachers lack sustained training, validated materials, protected remediation time, and clear feedback channels through which classroom realities can inform policy refinement.</w:t>
      </w:r>
    </w:p>
    <w:p w14:paraId="0D207CDF" w14:textId="77777777" w:rsidR="007657D9" w:rsidRDefault="007657D9" w:rsidP="007657D9">
      <w:pPr>
        <w:spacing w:after="100" w:line="252" w:lineRule="auto"/>
        <w:jc w:val="both"/>
      </w:pPr>
      <w:r>
        <w:t>This study therefore frames ECARP as an implementation problem within the wider literacy crisis. It does not claim that ECARP alone explains learners’ reading difficulties. Rather, it examines how teachers understand ECARP, how they enact reading policies under actual school conditions, and what constraints prevent the policy from producing intended classroom effects. Teachers are positioned where national directives, school leadership, learner needs, materials, parental support, and reporting systems converge; their accounts are therefore critical for understanding implementation fidelity.</w:t>
      </w:r>
    </w:p>
    <w:p w14:paraId="32633E32" w14:textId="77777777" w:rsidR="007657D9" w:rsidRDefault="007657D9" w:rsidP="007657D9">
      <w:pPr>
        <w:spacing w:after="100" w:line="252" w:lineRule="auto"/>
        <w:jc w:val="both"/>
      </w:pPr>
      <w:r>
        <w:t xml:space="preserve">Previous studies have shown that Philippine education reforms often fail to transform classroom practice when institutional and cultural conditions remain unaddressed (Bautista et al., 2008; </w:t>
      </w:r>
      <w:proofErr w:type="spellStart"/>
      <w:r>
        <w:t>Lorente</w:t>
      </w:r>
      <w:proofErr w:type="spellEnd"/>
      <w:r>
        <w:t>, 2013). Studies of reading and education policy similarly report persistent gaps in learner proficiency, teacher preparation, implementation support, and governance (</w:t>
      </w:r>
      <w:proofErr w:type="spellStart"/>
      <w:r>
        <w:t>Idulog</w:t>
      </w:r>
      <w:proofErr w:type="spellEnd"/>
      <w:r>
        <w:t xml:space="preserve"> et al., 2023; Lucas et al., 2021; </w:t>
      </w:r>
      <w:proofErr w:type="spellStart"/>
      <w:r>
        <w:t>Orbeta</w:t>
      </w:r>
      <w:proofErr w:type="spellEnd"/>
      <w:r>
        <w:t xml:space="preserve"> &amp; </w:t>
      </w:r>
      <w:proofErr w:type="spellStart"/>
      <w:r>
        <w:t>Paqueo</w:t>
      </w:r>
      <w:proofErr w:type="spellEnd"/>
      <w:r>
        <w:t>, 2022; UNESCO, 2022). EDCOM II (2024) also frames the country’s learning crisis as a system-level problem requiring diagnosis beyond isolated classroom performance. Research on teacher workload shows that documentation demands compete with instructional time (David et al., 2019). However, existing studies have not sufficiently explained how ECARP is understood by teacher-implementers or why implementation problems continue despite repeated literacy initiatives.</w:t>
      </w:r>
    </w:p>
    <w:p w14:paraId="2455CD12" w14:textId="77777777" w:rsidR="007657D9" w:rsidRDefault="007657D9" w:rsidP="007657D9">
      <w:pPr>
        <w:spacing w:after="100" w:line="252" w:lineRule="auto"/>
        <w:jc w:val="both"/>
      </w:pPr>
      <w:r>
        <w:t xml:space="preserve">The literature on literacy intervention further emphasizes that programs succeed when teachers are prepared to diagnose reading levels, select suitable materials, and provide sustained remediation rather than episodic activities (Gallagher et al., 2023; </w:t>
      </w:r>
      <w:proofErr w:type="spellStart"/>
      <w:r>
        <w:t>Mangila</w:t>
      </w:r>
      <w:proofErr w:type="spellEnd"/>
      <w:r>
        <w:t xml:space="preserve"> &amp; </w:t>
      </w:r>
      <w:proofErr w:type="spellStart"/>
      <w:r>
        <w:t>Adapon</w:t>
      </w:r>
      <w:proofErr w:type="spellEnd"/>
      <w:r>
        <w:t>, 2020). This point is important in the Philippine context because school-level reading work is often conducted alongside large classes, varied learner profiles, multiple reports, and shifting national priorities. Implementation quality therefore depends on whether teachers receive concrete tools and stable routines, not merely whether a program title appears in school documents.</w:t>
      </w:r>
    </w:p>
    <w:p w14:paraId="0AA8FB44" w14:textId="77777777" w:rsidR="007657D9" w:rsidRDefault="007657D9" w:rsidP="007657D9">
      <w:pPr>
        <w:spacing w:after="100" w:line="252" w:lineRule="auto"/>
        <w:jc w:val="both"/>
      </w:pPr>
      <w:r>
        <w:t>Four established theoretical frameworks were applied as analytic lenses in this study. Top-down/bottom-up implementation theory explains how centrally issued policy is interpreted and adapted locally (Sabatier, 1986). Change management theory highlights communication, leadership continuity, readiness, and stakeholder participation as conditions for sustained reform (Phillips &amp; Klein, 2023). Social cognitive theory emphasizes teacher self-efficacy, modelling, and environmental support in instructional practice (Bandura, 1986). Diffusion of innovations theory explains how policy labels and practices spread through communication channels and why awareness does not necessarily mean functional adoption (Rogers, 2003).</w:t>
      </w:r>
    </w:p>
    <w:p w14:paraId="29B77525" w14:textId="0FBC1D5F" w:rsidR="00B5787D" w:rsidRDefault="007657D9" w:rsidP="007657D9">
      <w:pPr>
        <w:spacing w:after="100" w:line="252" w:lineRule="auto"/>
        <w:jc w:val="both"/>
      </w:pPr>
      <w:r>
        <w:t xml:space="preserve">These lenses were used as sensitizing concepts rather than rigid coding categories. They directed attention to the routes by which policy messages travel, the institutional conditions that support or weaken implementation, the role of teacher confidence and capability, and the difference between symbolic </w:t>
      </w:r>
      <w:r>
        <w:lastRenderedPageBreak/>
        <w:t>awareness and operational adoption. The study therefore examines ECARP not only as a literacy policy but also as a system of communication, support, enactment, accountability, and feedback.</w:t>
      </w:r>
      <w:r w:rsidR="0080257C">
        <w:rPr>
          <w:noProof/>
        </w:rPr>
        <w:drawing>
          <wp:inline distT="0" distB="0" distL="0" distR="0" wp14:anchorId="44B3CD4A" wp14:editId="67A3DB8E">
            <wp:extent cx="5934075" cy="3505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3505200"/>
                    </a:xfrm>
                    <a:prstGeom prst="rect">
                      <a:avLst/>
                    </a:prstGeom>
                    <a:noFill/>
                    <a:ln>
                      <a:noFill/>
                    </a:ln>
                  </pic:spPr>
                </pic:pic>
              </a:graphicData>
            </a:graphic>
          </wp:inline>
        </w:drawing>
      </w:r>
    </w:p>
    <w:p w14:paraId="7E15E202" w14:textId="77777777" w:rsidR="00B5787D" w:rsidRDefault="004544BE">
      <w:pPr>
        <w:spacing w:after="100" w:line="252" w:lineRule="auto"/>
      </w:pPr>
      <w:r>
        <w:rPr>
          <w:b/>
          <w:bCs/>
        </w:rPr>
        <w:t>Fig. 1. Conceptual framework of ECARP implementation.</w:t>
      </w:r>
    </w:p>
    <w:p w14:paraId="288C5134" w14:textId="20BA8FE8" w:rsidR="00B5787D" w:rsidRDefault="007657D9">
      <w:pPr>
        <w:spacing w:after="100" w:line="252" w:lineRule="auto"/>
        <w:jc w:val="both"/>
      </w:pPr>
      <w:r w:rsidRPr="007657D9">
        <w:t>The framework treats ECARP implementation as the interaction of policy inputs, implementation supports, school and classroom enactment, accountability incentives, and feedback loops. The study was guided by three related questions that correspond to one implementation problem: (1) How do teachers perceive ECARP implementation, including their awareness and understanding of its goals and strategies? (2) What challenges do teachers face while implementing ECARP and related reading initiatives? (3) Based on teacher experiences, what measures can improve implementation and support literacy outcomes? These three questions correspond to three linked dimensions of policy enactment—perception, constraint, and improvement—and the discussion in Section 4 revisits each in turn.</w:t>
      </w:r>
    </w:p>
    <w:p w14:paraId="2A13EFB7" w14:textId="77777777" w:rsidR="00B5787D" w:rsidRDefault="004544BE">
      <w:pPr>
        <w:spacing w:before="280" w:after="100"/>
      </w:pPr>
      <w:r>
        <w:rPr>
          <w:b/>
          <w:bCs/>
          <w:caps/>
          <w:sz w:val="22"/>
          <w:szCs w:val="22"/>
        </w:rPr>
        <w:t>2. METHODOLOGY</w:t>
      </w:r>
    </w:p>
    <w:p w14:paraId="59DFFF51" w14:textId="77777777" w:rsidR="00B5787D" w:rsidRDefault="004544BE">
      <w:pPr>
        <w:spacing w:before="200" w:after="80"/>
      </w:pPr>
      <w:r>
        <w:rPr>
          <w:b/>
          <w:bCs/>
          <w:sz w:val="22"/>
          <w:szCs w:val="22"/>
        </w:rPr>
        <w:t>2.1 Research Design</w:t>
      </w:r>
    </w:p>
    <w:p w14:paraId="0152BD57" w14:textId="1EF91BF8" w:rsidR="00B5787D" w:rsidRDefault="007657D9">
      <w:pPr>
        <w:spacing w:after="100" w:line="252" w:lineRule="auto"/>
        <w:jc w:val="both"/>
      </w:pPr>
      <w:r w:rsidRPr="007657D9">
        <w:t xml:space="preserve">The study employed a basic qualitative research design (Merriam &amp; </w:t>
      </w:r>
      <w:proofErr w:type="spellStart"/>
      <w:r w:rsidRPr="007657D9">
        <w:t>Tisdell</w:t>
      </w:r>
      <w:proofErr w:type="spellEnd"/>
      <w:r w:rsidRPr="007657D9">
        <w:t>, 2016) to explore teachers’ experiences and perceptions of ECARP implementation. This design was appropriate because the inquiry focused on meanings, practices, and institutional conditions that cannot be captured adequately by numerical indicators alone. Teacher perceptions were explored through semi-structured interviews that allowed participants to describe their familiarity with ECARP, their actual reading-support practices, the constraints they encountered, and the support mechanisms they considered necessary. The design therefore generated interpretive accounts of implementation rather than measurement of program impact.</w:t>
      </w:r>
    </w:p>
    <w:p w14:paraId="5E367032" w14:textId="77777777" w:rsidR="00B5787D" w:rsidRDefault="004544BE">
      <w:pPr>
        <w:spacing w:before="200" w:after="80"/>
      </w:pPr>
      <w:r>
        <w:rPr>
          <w:b/>
          <w:bCs/>
          <w:sz w:val="22"/>
          <w:szCs w:val="22"/>
        </w:rPr>
        <w:t>2.2 Locale, Participants, and Sampling</w:t>
      </w:r>
    </w:p>
    <w:p w14:paraId="697B13D7" w14:textId="77777777" w:rsidR="00B5787D" w:rsidRDefault="004544BE">
      <w:pPr>
        <w:spacing w:after="100" w:line="252" w:lineRule="auto"/>
        <w:jc w:val="both"/>
      </w:pPr>
      <w:r>
        <w:t xml:space="preserve">The study was conducted in Baguio City and La Trinidad, Benguet. These adjacent localities were selected because their public schools have sustained experience with national reading initiatives, school-based reading programs, and Phil-IRI assessment. Their comparatively accessible and historically stronger performance contexts are treated as a limitation: implementation difficulties may be more severe in rural, remote, or low-performing schools. Participants were 34 public school teachers from selected elementary </w:t>
      </w:r>
      <w:r>
        <w:lastRenderedPageBreak/>
        <w:t>and secondary schools, drawn through purposive sampling. The sample focused on teachers in Grades 4 to 6 and Grade 7 because these levels reveal both the cumulative effects of early reading instruction and the continuing presence of struggling readers entering higher grades.</w:t>
      </w:r>
    </w:p>
    <w:p w14:paraId="31B51711" w14:textId="77777777" w:rsidR="00B5787D" w:rsidRDefault="004544BE">
      <w:pPr>
        <w:spacing w:after="100" w:line="252" w:lineRule="auto"/>
        <w:jc w:val="both"/>
      </w:pPr>
      <w:r>
        <w:t>Six elementary and four secondary schools were selected from Baguio City Schools Division, while four elementary and two secondary schools were selected from La Trinidad. Participants were required to be currently involved in ECARP, related reading programs, Phil-IRI assessment, classroom reading support, or remediation activities. Their years of teaching experience varied, allowing the study to capture perceptions of both newer policy cascades and longer-term program continuity. Because the locale is comparatively accessible, the findings are offered for analytical transfer rather than statistical generalization.</w:t>
      </w:r>
    </w:p>
    <w:p w14:paraId="71D6FE2C" w14:textId="77777777" w:rsidR="007657D9" w:rsidRPr="00C43413" w:rsidRDefault="007657D9" w:rsidP="007657D9">
      <w:pPr>
        <w:spacing w:after="120" w:line="259" w:lineRule="auto"/>
        <w:ind w:firstLine="360"/>
      </w:pPr>
      <w:r w:rsidRPr="00C43413">
        <w:t>Table 1 summarizes the participant-selection logic and interview data without disclosing personal or school-identifying information.</w:t>
      </w:r>
    </w:p>
    <w:p w14:paraId="5FE1E0BC" w14:textId="77777777" w:rsidR="007657D9" w:rsidRDefault="007657D9" w:rsidP="007657D9">
      <w:pPr>
        <w:spacing w:after="120" w:line="259" w:lineRule="auto"/>
      </w:pPr>
      <w:r>
        <w:rPr>
          <w:b/>
          <w:bCs/>
        </w:rPr>
        <w:t>Table 1. Profile of Research Participants and Interview Data</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3"/>
        <w:gridCol w:w="6787"/>
      </w:tblGrid>
      <w:tr w:rsidR="007657D9" w14:paraId="6B252352" w14:textId="77777777" w:rsidTr="00AF4A44">
        <w:trPr>
          <w:tblHeader/>
          <w:jc w:val="center"/>
        </w:trPr>
        <w:tc>
          <w:tcPr>
            <w:tcW w:w="2592" w:type="dxa"/>
            <w:shd w:val="clear" w:color="auto" w:fill="EAF2F8"/>
            <w:vAlign w:val="center"/>
          </w:tcPr>
          <w:p w14:paraId="777764C9" w14:textId="77777777" w:rsidR="007657D9" w:rsidRPr="00C43413" w:rsidRDefault="007657D9" w:rsidP="00AF4A44">
            <w:pPr>
              <w:rPr>
                <w:rFonts w:ascii="Arial" w:hAnsi="Arial" w:cs="Arial"/>
              </w:rPr>
            </w:pPr>
            <w:r w:rsidRPr="00C43413">
              <w:rPr>
                <w:rFonts w:ascii="Arial" w:hAnsi="Arial" w:cs="Arial"/>
                <w:b/>
                <w:sz w:val="18"/>
              </w:rPr>
              <w:t>Element</w:t>
            </w:r>
          </w:p>
        </w:tc>
        <w:tc>
          <w:tcPr>
            <w:tcW w:w="6912" w:type="dxa"/>
            <w:shd w:val="clear" w:color="auto" w:fill="EAF2F8"/>
            <w:vAlign w:val="center"/>
          </w:tcPr>
          <w:p w14:paraId="3A6260B7" w14:textId="77777777" w:rsidR="007657D9" w:rsidRPr="00C43413" w:rsidRDefault="007657D9" w:rsidP="00AF4A44">
            <w:pPr>
              <w:rPr>
                <w:rFonts w:ascii="Arial" w:hAnsi="Arial" w:cs="Arial"/>
              </w:rPr>
            </w:pPr>
            <w:r w:rsidRPr="00C43413">
              <w:rPr>
                <w:rFonts w:ascii="Arial" w:hAnsi="Arial" w:cs="Arial"/>
                <w:b/>
                <w:sz w:val="18"/>
              </w:rPr>
              <w:t>Description</w:t>
            </w:r>
          </w:p>
        </w:tc>
      </w:tr>
      <w:tr w:rsidR="007657D9" w14:paraId="5D8642D5" w14:textId="77777777" w:rsidTr="00AF4A44">
        <w:trPr>
          <w:jc w:val="center"/>
        </w:trPr>
        <w:tc>
          <w:tcPr>
            <w:tcW w:w="2592" w:type="dxa"/>
            <w:vAlign w:val="center"/>
          </w:tcPr>
          <w:p w14:paraId="0AC8EEA3" w14:textId="77777777" w:rsidR="007657D9" w:rsidRPr="00C43413" w:rsidRDefault="007657D9" w:rsidP="00AF4A44">
            <w:pPr>
              <w:rPr>
                <w:rFonts w:ascii="Arial" w:hAnsi="Arial" w:cs="Arial"/>
              </w:rPr>
            </w:pPr>
            <w:r w:rsidRPr="00C43413">
              <w:rPr>
                <w:rFonts w:ascii="Arial" w:hAnsi="Arial" w:cs="Arial"/>
                <w:sz w:val="18"/>
              </w:rPr>
              <w:t>Research locale</w:t>
            </w:r>
          </w:p>
        </w:tc>
        <w:tc>
          <w:tcPr>
            <w:tcW w:w="6912" w:type="dxa"/>
            <w:vAlign w:val="center"/>
          </w:tcPr>
          <w:p w14:paraId="5977A1C7" w14:textId="77777777" w:rsidR="007657D9" w:rsidRPr="00C43413" w:rsidRDefault="007657D9" w:rsidP="00AF4A44">
            <w:pPr>
              <w:rPr>
                <w:rFonts w:ascii="Arial" w:hAnsi="Arial" w:cs="Arial"/>
              </w:rPr>
            </w:pPr>
            <w:r w:rsidRPr="00C43413">
              <w:rPr>
                <w:rFonts w:ascii="Arial" w:hAnsi="Arial" w:cs="Arial"/>
                <w:sz w:val="18"/>
              </w:rPr>
              <w:t>Selected public elementary and secondary schools in Baguio City and La Trinidad, Philippines</w:t>
            </w:r>
          </w:p>
        </w:tc>
      </w:tr>
      <w:tr w:rsidR="007657D9" w14:paraId="64340ED0" w14:textId="77777777" w:rsidTr="00AF4A44">
        <w:trPr>
          <w:jc w:val="center"/>
        </w:trPr>
        <w:tc>
          <w:tcPr>
            <w:tcW w:w="2592" w:type="dxa"/>
            <w:vAlign w:val="center"/>
          </w:tcPr>
          <w:p w14:paraId="02BEC2AB" w14:textId="77777777" w:rsidR="007657D9" w:rsidRPr="00C43413" w:rsidRDefault="007657D9" w:rsidP="00AF4A44">
            <w:pPr>
              <w:rPr>
                <w:rFonts w:ascii="Arial" w:hAnsi="Arial" w:cs="Arial"/>
              </w:rPr>
            </w:pPr>
            <w:r w:rsidRPr="00C43413">
              <w:rPr>
                <w:rFonts w:ascii="Arial" w:hAnsi="Arial" w:cs="Arial"/>
                <w:sz w:val="18"/>
              </w:rPr>
              <w:t>School coverage</w:t>
            </w:r>
          </w:p>
        </w:tc>
        <w:tc>
          <w:tcPr>
            <w:tcW w:w="6912" w:type="dxa"/>
            <w:vAlign w:val="center"/>
          </w:tcPr>
          <w:p w14:paraId="6B3ED310" w14:textId="77777777" w:rsidR="007657D9" w:rsidRPr="00C43413" w:rsidRDefault="007657D9" w:rsidP="00AF4A44">
            <w:pPr>
              <w:rPr>
                <w:rFonts w:ascii="Arial" w:hAnsi="Arial" w:cs="Arial"/>
              </w:rPr>
            </w:pPr>
            <w:r w:rsidRPr="00C43413">
              <w:rPr>
                <w:rFonts w:ascii="Arial" w:hAnsi="Arial" w:cs="Arial"/>
                <w:sz w:val="18"/>
              </w:rPr>
              <w:t>Baguio City: six elementary and four secondary schools; La Trinidad: four elementary and two secondary schools</w:t>
            </w:r>
          </w:p>
        </w:tc>
      </w:tr>
      <w:tr w:rsidR="007657D9" w14:paraId="6D411DFA" w14:textId="77777777" w:rsidTr="00AF4A44">
        <w:trPr>
          <w:jc w:val="center"/>
        </w:trPr>
        <w:tc>
          <w:tcPr>
            <w:tcW w:w="2592" w:type="dxa"/>
            <w:vAlign w:val="center"/>
          </w:tcPr>
          <w:p w14:paraId="3C293806" w14:textId="77777777" w:rsidR="007657D9" w:rsidRPr="00C43413" w:rsidRDefault="007657D9" w:rsidP="00AF4A44">
            <w:pPr>
              <w:rPr>
                <w:rFonts w:ascii="Arial" w:hAnsi="Arial" w:cs="Arial"/>
              </w:rPr>
            </w:pPr>
            <w:r w:rsidRPr="00C43413">
              <w:rPr>
                <w:rFonts w:ascii="Arial" w:hAnsi="Arial" w:cs="Arial"/>
                <w:sz w:val="18"/>
              </w:rPr>
              <w:t>Participants</w:t>
            </w:r>
          </w:p>
        </w:tc>
        <w:tc>
          <w:tcPr>
            <w:tcW w:w="6912" w:type="dxa"/>
            <w:vAlign w:val="center"/>
          </w:tcPr>
          <w:p w14:paraId="14571EB1" w14:textId="77777777" w:rsidR="007657D9" w:rsidRPr="00C43413" w:rsidRDefault="007657D9" w:rsidP="00AF4A44">
            <w:pPr>
              <w:rPr>
                <w:rFonts w:ascii="Arial" w:hAnsi="Arial" w:cs="Arial"/>
              </w:rPr>
            </w:pPr>
            <w:r w:rsidRPr="00C43413">
              <w:rPr>
                <w:rFonts w:ascii="Arial" w:hAnsi="Arial" w:cs="Arial"/>
                <w:sz w:val="18"/>
              </w:rPr>
              <w:t>Thirty-four public school teachers assigned to Grades 4 to 6 and Grade 7</w:t>
            </w:r>
          </w:p>
        </w:tc>
      </w:tr>
      <w:tr w:rsidR="007657D9" w14:paraId="0F298D71" w14:textId="77777777" w:rsidTr="00AF4A44">
        <w:trPr>
          <w:jc w:val="center"/>
        </w:trPr>
        <w:tc>
          <w:tcPr>
            <w:tcW w:w="2592" w:type="dxa"/>
            <w:vAlign w:val="center"/>
          </w:tcPr>
          <w:p w14:paraId="7627EA11" w14:textId="77777777" w:rsidR="007657D9" w:rsidRPr="00C43413" w:rsidRDefault="007657D9" w:rsidP="00AF4A44">
            <w:pPr>
              <w:rPr>
                <w:rFonts w:ascii="Arial" w:hAnsi="Arial" w:cs="Arial"/>
              </w:rPr>
            </w:pPr>
            <w:r w:rsidRPr="00C43413">
              <w:rPr>
                <w:rFonts w:ascii="Arial" w:hAnsi="Arial" w:cs="Arial"/>
                <w:sz w:val="18"/>
              </w:rPr>
              <w:t>Inclusion criteria</w:t>
            </w:r>
          </w:p>
        </w:tc>
        <w:tc>
          <w:tcPr>
            <w:tcW w:w="6912" w:type="dxa"/>
            <w:vAlign w:val="center"/>
          </w:tcPr>
          <w:p w14:paraId="744B7DE4" w14:textId="77777777" w:rsidR="007657D9" w:rsidRPr="00C43413" w:rsidRDefault="007657D9" w:rsidP="00AF4A44">
            <w:pPr>
              <w:rPr>
                <w:rFonts w:ascii="Arial" w:hAnsi="Arial" w:cs="Arial"/>
              </w:rPr>
            </w:pPr>
            <w:r w:rsidRPr="00C43413">
              <w:rPr>
                <w:rFonts w:ascii="Arial" w:hAnsi="Arial" w:cs="Arial"/>
                <w:sz w:val="18"/>
              </w:rPr>
              <w:t>Current or prior involvement in ECARP, related reading programs, Phil-IRI assessment, classroom reading support, or remediation activities</w:t>
            </w:r>
          </w:p>
        </w:tc>
      </w:tr>
      <w:tr w:rsidR="007657D9" w14:paraId="4C4637CE" w14:textId="77777777" w:rsidTr="00AF4A44">
        <w:trPr>
          <w:jc w:val="center"/>
        </w:trPr>
        <w:tc>
          <w:tcPr>
            <w:tcW w:w="2592" w:type="dxa"/>
            <w:vAlign w:val="center"/>
          </w:tcPr>
          <w:p w14:paraId="4823D409" w14:textId="77777777" w:rsidR="007657D9" w:rsidRPr="00C43413" w:rsidRDefault="007657D9" w:rsidP="00AF4A44">
            <w:pPr>
              <w:rPr>
                <w:rFonts w:ascii="Arial" w:hAnsi="Arial" w:cs="Arial"/>
              </w:rPr>
            </w:pPr>
            <w:r w:rsidRPr="00C43413">
              <w:rPr>
                <w:rFonts w:ascii="Arial" w:hAnsi="Arial" w:cs="Arial"/>
                <w:sz w:val="18"/>
              </w:rPr>
              <w:t>Sampling logic</w:t>
            </w:r>
          </w:p>
        </w:tc>
        <w:tc>
          <w:tcPr>
            <w:tcW w:w="6912" w:type="dxa"/>
            <w:vAlign w:val="center"/>
          </w:tcPr>
          <w:p w14:paraId="218A28A6" w14:textId="77777777" w:rsidR="007657D9" w:rsidRPr="00C43413" w:rsidRDefault="007657D9" w:rsidP="00AF4A44">
            <w:pPr>
              <w:rPr>
                <w:rFonts w:ascii="Arial" w:hAnsi="Arial" w:cs="Arial"/>
              </w:rPr>
            </w:pPr>
            <w:r w:rsidRPr="00C43413">
              <w:rPr>
                <w:rFonts w:ascii="Arial" w:hAnsi="Arial" w:cs="Arial"/>
                <w:sz w:val="18"/>
              </w:rPr>
              <w:t>Purposive selection of information-rich teachers positioned to describe the policy-to-classroom implementation gap</w:t>
            </w:r>
          </w:p>
        </w:tc>
      </w:tr>
      <w:tr w:rsidR="007657D9" w14:paraId="30953258" w14:textId="77777777" w:rsidTr="00AF4A44">
        <w:trPr>
          <w:jc w:val="center"/>
        </w:trPr>
        <w:tc>
          <w:tcPr>
            <w:tcW w:w="2592" w:type="dxa"/>
            <w:vAlign w:val="center"/>
          </w:tcPr>
          <w:p w14:paraId="3CD7A8F6" w14:textId="77777777" w:rsidR="007657D9" w:rsidRPr="00C43413" w:rsidRDefault="007657D9" w:rsidP="00AF4A44">
            <w:pPr>
              <w:rPr>
                <w:rFonts w:ascii="Arial" w:hAnsi="Arial" w:cs="Arial"/>
              </w:rPr>
            </w:pPr>
            <w:r w:rsidRPr="00C43413">
              <w:rPr>
                <w:rFonts w:ascii="Arial" w:hAnsi="Arial" w:cs="Arial"/>
                <w:sz w:val="18"/>
              </w:rPr>
              <w:t>Data source and duration</w:t>
            </w:r>
          </w:p>
        </w:tc>
        <w:tc>
          <w:tcPr>
            <w:tcW w:w="6912" w:type="dxa"/>
            <w:vAlign w:val="center"/>
          </w:tcPr>
          <w:p w14:paraId="3879B804" w14:textId="77777777" w:rsidR="007657D9" w:rsidRPr="00C43413" w:rsidRDefault="007657D9" w:rsidP="00AF4A44">
            <w:pPr>
              <w:rPr>
                <w:rFonts w:ascii="Arial" w:hAnsi="Arial" w:cs="Arial"/>
              </w:rPr>
            </w:pPr>
            <w:r w:rsidRPr="00C43413">
              <w:rPr>
                <w:rFonts w:ascii="Arial" w:hAnsi="Arial" w:cs="Arial"/>
                <w:sz w:val="18"/>
              </w:rPr>
              <w:t>Semi-structured key informant interviews lasting approximately 45 to 70 minutes</w:t>
            </w:r>
          </w:p>
        </w:tc>
      </w:tr>
      <w:tr w:rsidR="007657D9" w14:paraId="3476F88B" w14:textId="77777777" w:rsidTr="00AF4A44">
        <w:trPr>
          <w:jc w:val="center"/>
        </w:trPr>
        <w:tc>
          <w:tcPr>
            <w:tcW w:w="2592" w:type="dxa"/>
            <w:vAlign w:val="center"/>
          </w:tcPr>
          <w:p w14:paraId="66B918FB" w14:textId="77777777" w:rsidR="007657D9" w:rsidRPr="00C43413" w:rsidRDefault="007657D9" w:rsidP="00AF4A44">
            <w:pPr>
              <w:rPr>
                <w:rFonts w:ascii="Arial" w:hAnsi="Arial" w:cs="Arial"/>
              </w:rPr>
            </w:pPr>
            <w:r w:rsidRPr="00C43413">
              <w:rPr>
                <w:rFonts w:ascii="Arial" w:hAnsi="Arial" w:cs="Arial"/>
                <w:sz w:val="18"/>
              </w:rPr>
              <w:t>Confidentiality measure</w:t>
            </w:r>
          </w:p>
        </w:tc>
        <w:tc>
          <w:tcPr>
            <w:tcW w:w="6912" w:type="dxa"/>
            <w:vAlign w:val="center"/>
          </w:tcPr>
          <w:p w14:paraId="66004C2B" w14:textId="77777777" w:rsidR="007657D9" w:rsidRPr="00C43413" w:rsidRDefault="007657D9" w:rsidP="00AF4A44">
            <w:pPr>
              <w:rPr>
                <w:rFonts w:ascii="Arial" w:hAnsi="Arial" w:cs="Arial"/>
              </w:rPr>
            </w:pPr>
            <w:r w:rsidRPr="00C43413">
              <w:rPr>
                <w:rFonts w:ascii="Arial" w:hAnsi="Arial" w:cs="Arial"/>
                <w:sz w:val="18"/>
              </w:rPr>
              <w:t>Participants and schools were anonymized; teacher codes such as T2, T9, and T19 are used in reporting</w:t>
            </w:r>
          </w:p>
        </w:tc>
      </w:tr>
    </w:tbl>
    <w:p w14:paraId="06D699CD" w14:textId="77777777" w:rsidR="007657D9" w:rsidRDefault="007657D9">
      <w:pPr>
        <w:spacing w:after="100" w:line="252" w:lineRule="auto"/>
        <w:jc w:val="both"/>
      </w:pPr>
    </w:p>
    <w:p w14:paraId="0B42B99A" w14:textId="77777777" w:rsidR="00B5787D" w:rsidRDefault="004544BE">
      <w:pPr>
        <w:spacing w:before="200" w:after="80"/>
      </w:pPr>
      <w:r>
        <w:rPr>
          <w:b/>
          <w:bCs/>
          <w:sz w:val="22"/>
          <w:szCs w:val="22"/>
        </w:rPr>
        <w:t>2.3 Data Collection Procedure</w:t>
      </w:r>
    </w:p>
    <w:p w14:paraId="6530C8AB" w14:textId="77777777" w:rsidR="00C43413" w:rsidRDefault="00C43413">
      <w:pPr>
        <w:spacing w:before="200" w:after="80"/>
      </w:pPr>
      <w:r w:rsidRPr="00C43413">
        <w:t>Semi-structured key informant interviews were conducted using open-ended questions on ECARP familiarity, reading-policy importance, school-level implementation, classroom strategies, training, materials, barriers, learner needs, parental support, administrative support, and improvement recommendations. Formal permission was obtained from the Schools Division Superintendents of Baguio City and La Trinidad. Interviews were conducted in person after class hours, lasted approximately 45 to 70 minutes, were audio-recorded with consent, and were transcribed verbatim. The semi-structured format made it possible to ask comparable questions across participants while also probing concrete experiences, such as how reading programs were scheduled, how struggling readers were identified, how teachers obtained materials, and how reports were prepared and submitted.</w:t>
      </w:r>
    </w:p>
    <w:p w14:paraId="667F19D6" w14:textId="7634DDE0" w:rsidR="00B5787D" w:rsidRDefault="004544BE">
      <w:pPr>
        <w:spacing w:before="200" w:after="80"/>
      </w:pPr>
      <w:r>
        <w:rPr>
          <w:b/>
          <w:bCs/>
          <w:sz w:val="22"/>
          <w:szCs w:val="22"/>
        </w:rPr>
        <w:t>2.4 Researcher Positionality and Reflexivity</w:t>
      </w:r>
    </w:p>
    <w:p w14:paraId="05F14222" w14:textId="77777777" w:rsidR="00C43413" w:rsidRDefault="00C43413" w:rsidP="00C43413">
      <w:pPr>
        <w:spacing w:before="200" w:after="80"/>
      </w:pPr>
      <w:r>
        <w:t>Because the study addresses a public literacy problem and is advocacy-oriented, reflexivity was deliberately incorporated. The researcher approached the study as an education advocate who recognizes the urgency of the reading crisis and the value of teacher voice in policy improvement. This stance provided motivation for the inquiry, but it also created the risk of interpreting teacher narratives primarily as evidence for a pre-existing critique of the system. To reduce this risk, participant statements were treated as empirical accounts rather than as automatic confirmation of the researcher’s assumptions.</w:t>
      </w:r>
    </w:p>
    <w:p w14:paraId="5CFBCD0C" w14:textId="77777777" w:rsidR="00C43413" w:rsidRDefault="00C43413" w:rsidP="00C43413">
      <w:pPr>
        <w:spacing w:before="200" w:after="80"/>
      </w:pPr>
      <w:r>
        <w:t xml:space="preserve">Reflexivity was practiced through analytic </w:t>
      </w:r>
      <w:proofErr w:type="spellStart"/>
      <w:r>
        <w:t>memoing</w:t>
      </w:r>
      <w:proofErr w:type="spellEnd"/>
      <w:r>
        <w:t xml:space="preserve"> during transcript review and coding, following established guidance on researcher positionality in qualitative inquiry (Berger, 2015; Finlay, 2002). Reflective field notes were written within twenty-four hours of each interview to capture the researcher’s initial impressions, points of resonance with prior interviews, and provisional interpretive hunches. Analytic memos were maintained as a separate column in the coding matrix and documented the </w:t>
      </w:r>
      <w:r>
        <w:lastRenderedPageBreak/>
        <w:t>rationale for code creation, code merging, and theme refinement. Reflexive memos flagged passages where the researcher’s advocacy stance might have shaped interpretation, prompting return to the raw transcript before any analytic claim was finalized. All memos were dated and retained as part of the audit trail. Memos distinguished participant descriptions from researcher inferences, flagged points where data confirmed or complicated prior assumptions, and preserved positive, ambivalent, and critical accounts. Quotations were selected for thematic relevance and recurrence rather than rhetorical force. This procedure strengthened credibility by making the researcher’s interpretive role visible while keeping the analysis grounded in participant accounts.</w:t>
      </w:r>
    </w:p>
    <w:p w14:paraId="1FC9356F" w14:textId="1B4263CF" w:rsidR="00B5787D" w:rsidRDefault="004544BE" w:rsidP="00C43413">
      <w:pPr>
        <w:spacing w:before="200" w:after="80"/>
      </w:pPr>
      <w:r>
        <w:rPr>
          <w:b/>
          <w:bCs/>
          <w:sz w:val="22"/>
          <w:szCs w:val="22"/>
        </w:rPr>
        <w:t>2.5 Data Analysis and Trustworthiness</w:t>
      </w:r>
    </w:p>
    <w:p w14:paraId="4625C0DB" w14:textId="77777777" w:rsidR="00C43413" w:rsidRDefault="00C43413" w:rsidP="00C43413">
      <w:pPr>
        <w:spacing w:before="200" w:after="80"/>
      </w:pPr>
      <w:r>
        <w:t>Interview transcripts were analyzed thematically following Braun and Clarke’s (2006) six-phase framework. The process began with repeated reading of the transcripts to gain familiarity with the data. Initial codes were then generated across the data set, including codes on policy awareness, confusion between ECARP and newer reading initiatives, training gaps, material shortages, workload, leadership support, parental involvement, reporting pressure, and teacher recommendations. Related codes were grouped into broader themes and reviewed against the research questions. Themes were refined by checking whether they formed coherent patterns across participants while also preserving important differences among teacher accounts.</w:t>
      </w:r>
    </w:p>
    <w:p w14:paraId="31645E36" w14:textId="77777777" w:rsidR="00C43413" w:rsidRDefault="00C43413" w:rsidP="00C43413">
      <w:pPr>
        <w:spacing w:before="200" w:after="80"/>
      </w:pPr>
      <w:r>
        <w:t xml:space="preserve">Frequencies and percentages are presented only as descriptive indicators of recurrence across the 34 interviews, in line with the use of “quasi-statistics” in qualitative inquiry to enhance transparency and prevent selective quotation (Maxwell, 2010; </w:t>
      </w:r>
      <w:proofErr w:type="spellStart"/>
      <w:r>
        <w:t>Sandelowski</w:t>
      </w:r>
      <w:proofErr w:type="spellEnd"/>
      <w:r>
        <w:t>, 2001). They are not used for hypothesis testing, prediction, or statistical generalization. The analytic emphasis remains qualitative: participant accounts, thematic interpretation, and vignette-like descriptions are used to explain how teachers experienced ECARP implementation in concrete school conditions. The tables function as transparent summary displays, while the findings are interpreted through the teachers’ narratives and the conceptual framework.</w:t>
      </w:r>
    </w:p>
    <w:p w14:paraId="49A5E0FB" w14:textId="77777777" w:rsidR="00C43413" w:rsidRDefault="00C43413" w:rsidP="00C43413">
      <w:pPr>
        <w:spacing w:before="200" w:after="80"/>
      </w:pPr>
      <w:r>
        <w:t>The study does not claim universal data saturation across all ECARP implementation contexts in the Philippines. Instead, it claims thematic sufficiency within the 34-interview data set. A saturation/thematic sufficiency matrix was maintained across awareness, implementation, training, materials, leadership, parental engagement, and reporting. Across these seven interview domains, no new sub-themes emerged after approximately interviews 26 to 28, and the final interviews mainly added illustrative variation (</w:t>
      </w:r>
      <w:proofErr w:type="spellStart"/>
      <w:r>
        <w:t>Hennink</w:t>
      </w:r>
      <w:proofErr w:type="spellEnd"/>
      <w:r>
        <w:t xml:space="preserve"> et al., 2017). Credibility was supported by transcription review, direct quotations, cross-school comparison, and alignment with the conceptual framework. Dependability, confirmability, and transferability were supported through documented coding decisions, reflexive </w:t>
      </w:r>
      <w:proofErr w:type="spellStart"/>
      <w:r>
        <w:t>memoing</w:t>
      </w:r>
      <w:proofErr w:type="spellEnd"/>
      <w:r>
        <w:t>, and thick contextual description.</w:t>
      </w:r>
    </w:p>
    <w:p w14:paraId="7EEA5F58" w14:textId="0FA86135" w:rsidR="00B5787D" w:rsidRDefault="004544BE" w:rsidP="00C43413">
      <w:pPr>
        <w:spacing w:before="200" w:after="80"/>
      </w:pPr>
      <w:r>
        <w:rPr>
          <w:b/>
          <w:bCs/>
          <w:sz w:val="22"/>
          <w:szCs w:val="22"/>
        </w:rPr>
        <w:t>2.6 Ethical Considerations</w:t>
      </w:r>
    </w:p>
    <w:p w14:paraId="1C44FDA5" w14:textId="77777777" w:rsidR="00C43413" w:rsidRDefault="00C43413">
      <w:pPr>
        <w:spacing w:before="280" w:after="100"/>
      </w:pPr>
      <w:r w:rsidRPr="00C43413">
        <w:t>Participants were informed of the study purpose, voluntary participation, and use of interview data for research. Their identities and schools were anonymized, and participants are identified only through teacher codes such as T2, T9, and T19. Audio recording was conducted only with explicit consent. Sensitive comments about administrative pressure and reporting practices were reported without identifying contextual details. The presentation of such comments is limited to teacher-reported perceptions and experiences, not to allegations against identifiable offices or individuals.</w:t>
      </w:r>
    </w:p>
    <w:p w14:paraId="647CE090" w14:textId="277DB2E7" w:rsidR="00B5787D" w:rsidRDefault="004544BE">
      <w:pPr>
        <w:spacing w:before="280" w:after="100"/>
      </w:pPr>
      <w:r>
        <w:rPr>
          <w:b/>
          <w:bCs/>
          <w:caps/>
          <w:sz w:val="22"/>
          <w:szCs w:val="22"/>
        </w:rPr>
        <w:t>3. RESULTS</w:t>
      </w:r>
    </w:p>
    <w:p w14:paraId="7F388A33" w14:textId="77777777" w:rsidR="00C43413" w:rsidRDefault="00C43413">
      <w:pPr>
        <w:spacing w:before="200" w:after="80"/>
      </w:pPr>
      <w:r w:rsidRPr="00C43413">
        <w:t>The interviews suggest that teachers strongly support the goal of reading programs but encounter gaps in policy communication, training, instructional materials, time, leadership continuity, parental engagement, and accountability practices. The results are presented thematically, with tables used as descriptive summaries of recurrence rather than as substitutes for qualitative interpretation.</w:t>
      </w:r>
    </w:p>
    <w:p w14:paraId="4B7CA0E8" w14:textId="20267A8F" w:rsidR="00B5787D" w:rsidRDefault="004544BE">
      <w:pPr>
        <w:spacing w:before="200" w:after="80"/>
      </w:pPr>
      <w:r>
        <w:rPr>
          <w:b/>
          <w:bCs/>
          <w:sz w:val="22"/>
          <w:szCs w:val="22"/>
        </w:rPr>
        <w:t>3.1 Nominal and Functional Awareness of ECARP</w:t>
      </w:r>
    </w:p>
    <w:p w14:paraId="604C5FFD" w14:textId="77777777" w:rsidR="00C43413" w:rsidRPr="00C43413" w:rsidRDefault="00C43413" w:rsidP="00C43413">
      <w:pPr>
        <w:spacing w:after="120" w:line="259" w:lineRule="auto"/>
        <w:ind w:firstLine="360"/>
      </w:pPr>
      <w:r w:rsidRPr="00C43413">
        <w:lastRenderedPageBreak/>
        <w:t xml:space="preserve">Teacher awareness of ECARP was largely nominal rather than functional. As summarized in Table 2, 25 teachers (73.5%) reported some awareness of ECARP or related reading initiatives, but only 11 teachers (32.4%) demonstrated clear understanding of ECARP objectives, assessment expectations, and operational procedures. Fourteen had heard of ECARP but lacked deep understanding, while nine had limited or no awareness. T2 explained, “I’m aware that we have several reading policies and subsequent activities that embody reading but I didn’t know that it all came originally from the ECARP.” T9 similarly stated, “I’ve been hearing about the ECARP before, yet I was not fully aware that it had something to do with reading or making a child a reader.” Teachers frequently conflated ECARP with DEAR, Catch-up Fridays, the 3Bs Initiative, and school-coined programs such as DREAM, </w:t>
      </w:r>
      <w:proofErr w:type="spellStart"/>
      <w:r w:rsidRPr="00C43413">
        <w:t>Binnadang</w:t>
      </w:r>
      <w:proofErr w:type="spellEnd"/>
      <w:r w:rsidRPr="00C43413">
        <w:t>, and DARNA.</w:t>
      </w:r>
    </w:p>
    <w:p w14:paraId="6D0B5E80" w14:textId="77777777" w:rsidR="00C43413" w:rsidRPr="00C43413" w:rsidRDefault="00C43413" w:rsidP="00C43413">
      <w:pPr>
        <w:spacing w:after="120" w:line="259" w:lineRule="auto"/>
        <w:ind w:firstLine="360"/>
      </w:pPr>
      <w:r w:rsidRPr="00C43413">
        <w:t>Viewed qualitatively, this theme shows that policy visibility did not necessarily produce operational clarity. Several participants could name a reading initiative or identify reading as the general purpose of ECARP, but they could not consistently explain how the program should guide assessment, remediation, reporting, or follow-up. The distinction between nominal and functional awareness is therefore central to the study. Nominal awareness means that teachers recognize the policy name or associate it with a general reading mandate. Functional awareness means that teachers can describe the program’s objectives, assessment expectations, remediation procedures, and reporting standards. The data suggest that ECARP’s name and related reading slogans circulated more successfully than its operational details. This difference is consequential because implementation fidelity cannot be inferred from name recognition alone.</w:t>
      </w:r>
    </w:p>
    <w:p w14:paraId="68353C6C" w14:textId="77777777" w:rsidR="00C43413" w:rsidRPr="00C43413" w:rsidRDefault="00C43413" w:rsidP="00C43413">
      <w:pPr>
        <w:spacing w:after="120"/>
        <w:ind w:firstLine="360"/>
        <w:jc w:val="both"/>
      </w:pPr>
      <w:r w:rsidRPr="00C43413">
        <w:t>To illustrate how nominal awareness manifests in practice, the following composite vignette integrates accounts from five teachers (T2, T9, T15, T22, and T28) who articulated similar patterns. The vignette is presented as an analytic synthesis, not as a single participant’s verbatim account.</w:t>
      </w:r>
    </w:p>
    <w:p w14:paraId="5D5BF90A" w14:textId="77777777" w:rsidR="00C43413" w:rsidRPr="00C43413" w:rsidRDefault="00C43413" w:rsidP="00C43413">
      <w:pPr>
        <w:spacing w:after="120"/>
        <w:ind w:firstLine="360"/>
        <w:jc w:val="both"/>
      </w:pPr>
      <w:r w:rsidRPr="00C43413">
        <w:rPr>
          <w:i/>
        </w:rPr>
        <w:t xml:space="preserve">Composite Vignette 1. A Teacher Recognizing the Label but Not the System. </w:t>
      </w:r>
      <w:r w:rsidRPr="00C43413">
        <w:t xml:space="preserve">A Grade 5 teacher in her seventh year of service receives a memorandum referring to ECARP-related reading activities for the new school year. She has heard ECARP mentioned in previous staff meetings and has implemented school-coined reading projects such as DREAM and </w:t>
      </w:r>
      <w:proofErr w:type="spellStart"/>
      <w:r w:rsidRPr="00C43413">
        <w:t>Binnadang</w:t>
      </w:r>
      <w:proofErr w:type="spellEnd"/>
      <w:r w:rsidRPr="00C43413">
        <w:t>. When asked how ECARP differs from these later projects, however, she is uncertain; she explains that the school “just receives memos and implements,” that the specific steps change every time a new memo arrives, and that she has not received a sustained orientation to ECARP’s original objectives, assessment expectations, or remediation procedures. She continues to do reading work, but she does so by improvising from prior practice and online searches rather than from a clearly understood program guide. Her account exemplifies how policy visibility can outrun operational clarity.</w:t>
      </w:r>
    </w:p>
    <w:p w14:paraId="2C6DCD80" w14:textId="77777777" w:rsidR="00C43413" w:rsidRDefault="00C43413" w:rsidP="00C43413">
      <w:pPr>
        <w:spacing w:after="120" w:line="259" w:lineRule="auto"/>
      </w:pPr>
      <w:r>
        <w:rPr>
          <w:b/>
          <w:bCs/>
        </w:rPr>
        <w:t>Table 2. Teacher Awareness and Understanding of ECARP</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2"/>
        <w:gridCol w:w="2304"/>
        <w:gridCol w:w="1728"/>
      </w:tblGrid>
      <w:tr w:rsidR="00C43413" w14:paraId="21819EB0" w14:textId="77777777" w:rsidTr="00AF4A44">
        <w:trPr>
          <w:tblHeader/>
          <w:jc w:val="center"/>
        </w:trPr>
        <w:tc>
          <w:tcPr>
            <w:tcW w:w="4752" w:type="dxa"/>
            <w:shd w:val="clear" w:color="auto" w:fill="EAF2F8"/>
            <w:vAlign w:val="center"/>
          </w:tcPr>
          <w:p w14:paraId="0B716B50" w14:textId="77777777" w:rsidR="00C43413" w:rsidRPr="00C43413" w:rsidRDefault="00C43413" w:rsidP="00AF4A44">
            <w:pPr>
              <w:rPr>
                <w:rFonts w:ascii="Arial" w:hAnsi="Arial" w:cs="Arial"/>
              </w:rPr>
            </w:pPr>
            <w:r w:rsidRPr="00C43413">
              <w:rPr>
                <w:rFonts w:ascii="Arial" w:hAnsi="Arial" w:cs="Arial"/>
                <w:b/>
                <w:sz w:val="20"/>
              </w:rPr>
              <w:t>Awareness Level</w:t>
            </w:r>
          </w:p>
        </w:tc>
        <w:tc>
          <w:tcPr>
            <w:tcW w:w="2304" w:type="dxa"/>
            <w:shd w:val="clear" w:color="auto" w:fill="EAF2F8"/>
            <w:vAlign w:val="center"/>
          </w:tcPr>
          <w:p w14:paraId="192E9E4D" w14:textId="77777777" w:rsidR="00C43413" w:rsidRPr="00C43413" w:rsidRDefault="00C43413" w:rsidP="00AF4A44">
            <w:pPr>
              <w:rPr>
                <w:rFonts w:ascii="Arial" w:hAnsi="Arial" w:cs="Arial"/>
              </w:rPr>
            </w:pPr>
            <w:r w:rsidRPr="00C43413">
              <w:rPr>
                <w:rFonts w:ascii="Arial" w:hAnsi="Arial" w:cs="Arial"/>
                <w:b/>
                <w:sz w:val="20"/>
              </w:rPr>
              <w:t>Frequency (n = 34)</w:t>
            </w:r>
          </w:p>
        </w:tc>
        <w:tc>
          <w:tcPr>
            <w:tcW w:w="1728" w:type="dxa"/>
            <w:shd w:val="clear" w:color="auto" w:fill="EAF2F8"/>
            <w:vAlign w:val="center"/>
          </w:tcPr>
          <w:p w14:paraId="2C7BB954" w14:textId="77777777" w:rsidR="00C43413" w:rsidRPr="00C43413" w:rsidRDefault="00C43413" w:rsidP="00AF4A44">
            <w:pPr>
              <w:rPr>
                <w:rFonts w:ascii="Arial" w:hAnsi="Arial" w:cs="Arial"/>
              </w:rPr>
            </w:pPr>
            <w:r w:rsidRPr="00C43413">
              <w:rPr>
                <w:rFonts w:ascii="Arial" w:hAnsi="Arial" w:cs="Arial"/>
                <w:b/>
                <w:sz w:val="20"/>
              </w:rPr>
              <w:t>Percentage</w:t>
            </w:r>
          </w:p>
        </w:tc>
      </w:tr>
      <w:tr w:rsidR="00C43413" w14:paraId="37A90B27" w14:textId="77777777" w:rsidTr="00AF4A44">
        <w:trPr>
          <w:jc w:val="center"/>
        </w:trPr>
        <w:tc>
          <w:tcPr>
            <w:tcW w:w="4752" w:type="dxa"/>
            <w:vAlign w:val="center"/>
          </w:tcPr>
          <w:p w14:paraId="04B1913F" w14:textId="77777777" w:rsidR="00C43413" w:rsidRPr="00C43413" w:rsidRDefault="00C43413" w:rsidP="00AF4A44">
            <w:pPr>
              <w:rPr>
                <w:rFonts w:ascii="Arial" w:hAnsi="Arial" w:cs="Arial"/>
              </w:rPr>
            </w:pPr>
            <w:r w:rsidRPr="00C43413">
              <w:rPr>
                <w:rFonts w:ascii="Arial" w:hAnsi="Arial" w:cs="Arial"/>
                <w:sz w:val="20"/>
              </w:rPr>
              <w:t>Aware and functionally understands objectives</w:t>
            </w:r>
          </w:p>
        </w:tc>
        <w:tc>
          <w:tcPr>
            <w:tcW w:w="2304" w:type="dxa"/>
            <w:vAlign w:val="center"/>
          </w:tcPr>
          <w:p w14:paraId="2B1DC00E" w14:textId="77777777" w:rsidR="00C43413" w:rsidRPr="00C43413" w:rsidRDefault="00C43413" w:rsidP="00AF4A44">
            <w:pPr>
              <w:rPr>
                <w:rFonts w:ascii="Arial" w:hAnsi="Arial" w:cs="Arial"/>
              </w:rPr>
            </w:pPr>
            <w:r w:rsidRPr="00C43413">
              <w:rPr>
                <w:rFonts w:ascii="Arial" w:hAnsi="Arial" w:cs="Arial"/>
                <w:sz w:val="20"/>
              </w:rPr>
              <w:t>11</w:t>
            </w:r>
          </w:p>
        </w:tc>
        <w:tc>
          <w:tcPr>
            <w:tcW w:w="1728" w:type="dxa"/>
            <w:vAlign w:val="center"/>
          </w:tcPr>
          <w:p w14:paraId="2F5DAC55" w14:textId="77777777" w:rsidR="00C43413" w:rsidRPr="00C43413" w:rsidRDefault="00C43413" w:rsidP="00AF4A44">
            <w:pPr>
              <w:rPr>
                <w:rFonts w:ascii="Arial" w:hAnsi="Arial" w:cs="Arial"/>
              </w:rPr>
            </w:pPr>
            <w:r w:rsidRPr="00C43413">
              <w:rPr>
                <w:rFonts w:ascii="Arial" w:hAnsi="Arial" w:cs="Arial"/>
                <w:sz w:val="20"/>
              </w:rPr>
              <w:t>32.4%</w:t>
            </w:r>
          </w:p>
        </w:tc>
      </w:tr>
      <w:tr w:rsidR="00C43413" w14:paraId="6D6FA6A5" w14:textId="77777777" w:rsidTr="00AF4A44">
        <w:trPr>
          <w:jc w:val="center"/>
        </w:trPr>
        <w:tc>
          <w:tcPr>
            <w:tcW w:w="4752" w:type="dxa"/>
            <w:vAlign w:val="center"/>
          </w:tcPr>
          <w:p w14:paraId="6B1D9B93" w14:textId="77777777" w:rsidR="00C43413" w:rsidRPr="00C43413" w:rsidRDefault="00C43413" w:rsidP="00AF4A44">
            <w:pPr>
              <w:rPr>
                <w:rFonts w:ascii="Arial" w:hAnsi="Arial" w:cs="Arial"/>
              </w:rPr>
            </w:pPr>
            <w:r w:rsidRPr="00C43413">
              <w:rPr>
                <w:rFonts w:ascii="Arial" w:hAnsi="Arial" w:cs="Arial"/>
                <w:sz w:val="20"/>
              </w:rPr>
              <w:t>Aware by name or association but lacks deep understanding</w:t>
            </w:r>
          </w:p>
        </w:tc>
        <w:tc>
          <w:tcPr>
            <w:tcW w:w="2304" w:type="dxa"/>
            <w:vAlign w:val="center"/>
          </w:tcPr>
          <w:p w14:paraId="69E65062" w14:textId="77777777" w:rsidR="00C43413" w:rsidRPr="00C43413" w:rsidRDefault="00C43413" w:rsidP="00AF4A44">
            <w:pPr>
              <w:rPr>
                <w:rFonts w:ascii="Arial" w:hAnsi="Arial" w:cs="Arial"/>
              </w:rPr>
            </w:pPr>
            <w:r w:rsidRPr="00C43413">
              <w:rPr>
                <w:rFonts w:ascii="Arial" w:hAnsi="Arial" w:cs="Arial"/>
                <w:sz w:val="20"/>
              </w:rPr>
              <w:t>14</w:t>
            </w:r>
          </w:p>
        </w:tc>
        <w:tc>
          <w:tcPr>
            <w:tcW w:w="1728" w:type="dxa"/>
            <w:vAlign w:val="center"/>
          </w:tcPr>
          <w:p w14:paraId="43A6B4B7" w14:textId="77777777" w:rsidR="00C43413" w:rsidRPr="00C43413" w:rsidRDefault="00C43413" w:rsidP="00AF4A44">
            <w:pPr>
              <w:rPr>
                <w:rFonts w:ascii="Arial" w:hAnsi="Arial" w:cs="Arial"/>
              </w:rPr>
            </w:pPr>
            <w:r w:rsidRPr="00C43413">
              <w:rPr>
                <w:rFonts w:ascii="Arial" w:hAnsi="Arial" w:cs="Arial"/>
                <w:sz w:val="20"/>
              </w:rPr>
              <w:t>41.1%</w:t>
            </w:r>
          </w:p>
        </w:tc>
      </w:tr>
      <w:tr w:rsidR="00C43413" w14:paraId="32C56A53" w14:textId="77777777" w:rsidTr="00AF4A44">
        <w:trPr>
          <w:jc w:val="center"/>
        </w:trPr>
        <w:tc>
          <w:tcPr>
            <w:tcW w:w="4752" w:type="dxa"/>
            <w:vAlign w:val="center"/>
          </w:tcPr>
          <w:p w14:paraId="6F5903CC" w14:textId="77777777" w:rsidR="00C43413" w:rsidRPr="00C43413" w:rsidRDefault="00C43413" w:rsidP="00AF4A44">
            <w:pPr>
              <w:rPr>
                <w:rFonts w:ascii="Arial" w:hAnsi="Arial" w:cs="Arial"/>
              </w:rPr>
            </w:pPr>
            <w:r w:rsidRPr="00C43413">
              <w:rPr>
                <w:rFonts w:ascii="Arial" w:hAnsi="Arial" w:cs="Arial"/>
                <w:sz w:val="20"/>
              </w:rPr>
              <w:t>Limited or no awareness</w:t>
            </w:r>
          </w:p>
        </w:tc>
        <w:tc>
          <w:tcPr>
            <w:tcW w:w="2304" w:type="dxa"/>
            <w:vAlign w:val="center"/>
          </w:tcPr>
          <w:p w14:paraId="44F38CB0" w14:textId="77777777" w:rsidR="00C43413" w:rsidRPr="00C43413" w:rsidRDefault="00C43413" w:rsidP="00AF4A44">
            <w:pPr>
              <w:rPr>
                <w:rFonts w:ascii="Arial" w:hAnsi="Arial" w:cs="Arial"/>
              </w:rPr>
            </w:pPr>
            <w:r w:rsidRPr="00C43413">
              <w:rPr>
                <w:rFonts w:ascii="Arial" w:hAnsi="Arial" w:cs="Arial"/>
                <w:sz w:val="20"/>
              </w:rPr>
              <w:t>9</w:t>
            </w:r>
          </w:p>
        </w:tc>
        <w:tc>
          <w:tcPr>
            <w:tcW w:w="1728" w:type="dxa"/>
            <w:vAlign w:val="center"/>
          </w:tcPr>
          <w:p w14:paraId="4E692536" w14:textId="77777777" w:rsidR="00C43413" w:rsidRPr="00C43413" w:rsidRDefault="00C43413" w:rsidP="00AF4A44">
            <w:pPr>
              <w:rPr>
                <w:rFonts w:ascii="Arial" w:hAnsi="Arial" w:cs="Arial"/>
              </w:rPr>
            </w:pPr>
            <w:r w:rsidRPr="00C43413">
              <w:rPr>
                <w:rFonts w:ascii="Arial" w:hAnsi="Arial" w:cs="Arial"/>
                <w:sz w:val="20"/>
              </w:rPr>
              <w:t>26.5%</w:t>
            </w:r>
          </w:p>
        </w:tc>
      </w:tr>
    </w:tbl>
    <w:p w14:paraId="142AEF9C" w14:textId="77777777" w:rsidR="00B5787D" w:rsidRDefault="00B5787D">
      <w:pPr>
        <w:spacing w:line="120" w:lineRule="auto"/>
        <w:jc w:val="both"/>
      </w:pPr>
    </w:p>
    <w:p w14:paraId="4E36E9EB" w14:textId="77777777" w:rsidR="00B5787D" w:rsidRDefault="004544BE">
      <w:pPr>
        <w:spacing w:before="200" w:after="80"/>
      </w:pPr>
      <w:r>
        <w:rPr>
          <w:b/>
          <w:bCs/>
          <w:sz w:val="22"/>
          <w:szCs w:val="22"/>
        </w:rPr>
        <w:t>3.2 Program Continuity, Local Adaptation, and Communication Channels</w:t>
      </w:r>
    </w:p>
    <w:p w14:paraId="2AA78209" w14:textId="77777777" w:rsidR="00C43413" w:rsidRPr="00C43413" w:rsidRDefault="00C43413" w:rsidP="00C43413">
      <w:pPr>
        <w:spacing w:before="200" w:after="80"/>
      </w:pPr>
      <w:r w:rsidRPr="00C43413">
        <w:t xml:space="preserve">ECARP was rarely implemented as one clearly identified program. Schools enacted reading policy through localized activities, renamed projects, or later DepEd initiatives, including DREAM, </w:t>
      </w:r>
      <w:proofErr w:type="spellStart"/>
      <w:r w:rsidRPr="00C43413">
        <w:t>Binnadang</w:t>
      </w:r>
      <w:proofErr w:type="spellEnd"/>
      <w:r w:rsidRPr="00C43413">
        <w:t>, DARNA, Project U-READ, peer teaching, buddy-up arrangements, pull-out remediation, reading camps, and tutorials. These adaptations show that schools were not passive recipients of policy. Teachers described adapting reading work to immediate learner needs through small-group reading, peer support, after-class remediation, and school-based campaigns. However, local adaptation also produced fragmentation. T21 stated, “We just receive memos and implement. There is no real venue where teachers’ actual experiences feed back into how the policy is improved.”</w:t>
      </w:r>
    </w:p>
    <w:p w14:paraId="18D33C81" w14:textId="77777777" w:rsidR="00C43413" w:rsidRPr="00C43413" w:rsidRDefault="00C43413" w:rsidP="00C43413">
      <w:pPr>
        <w:spacing w:before="200" w:after="80"/>
      </w:pPr>
      <w:r w:rsidRPr="00C43413">
        <w:lastRenderedPageBreak/>
        <w:t>A vignette-like pattern emerged across several accounts: teachers created practical reading arrangements when they saw learners struggling, but these classroom or school-level responses were not always anchored to a stable ECARP implementation guide. Peer reading and buddy-up arrangements were used to support learners who needed assistance from more capable classmates. Pull-out remediation and tutorial sessions were used when teachers could identify learners needing focused attention. Reading camps and school-coined projects attempted to mobilize wider participation. These practices appeared meaningful to teachers because they responded to visible learner needs, yet teachers also indicated that their effectiveness was constrained when schedules, materials, leadership support, and reporting expectations were inconsistent. Innovation therefore existed, but it was unevenly systematized.</w:t>
      </w:r>
    </w:p>
    <w:p w14:paraId="082F06D9" w14:textId="2EC6B9D0" w:rsidR="00B5787D" w:rsidRDefault="004544BE" w:rsidP="00C43413">
      <w:pPr>
        <w:spacing w:before="200" w:after="80"/>
      </w:pPr>
      <w:r>
        <w:rPr>
          <w:b/>
          <w:bCs/>
          <w:sz w:val="22"/>
          <w:szCs w:val="22"/>
        </w:rPr>
        <w:t>3.3 Training, Materials, and Teacher Self-Efficacy</w:t>
      </w:r>
    </w:p>
    <w:p w14:paraId="41C5C934" w14:textId="77777777" w:rsidR="00C43413" w:rsidRDefault="00C43413" w:rsidP="00C43413">
      <w:pPr>
        <w:spacing w:before="200" w:after="80"/>
      </w:pPr>
      <w:r>
        <w:t>Training and materials were the most frequently cited implementation supports. Twenty-eight teachers (82.4%) reported lacking formal ECARP-specific training and relied on self-study, online searches, brief re-echo sessions, or informal peer sharing. T19 said, “I only heard about those whose names are included in the memo to attend a seminar-training for this program, but I never had the chance to be chosen. So I do self-study and research online.” The shortage of validated, ready-to-use, age-appropriate materials was reported by 29 teachers (85.3%). Teachers emphasized that materials should match learners’ reading levels, ages, and contexts, and should be paired with training.</w:t>
      </w:r>
    </w:p>
    <w:p w14:paraId="7DF57E00" w14:textId="77777777" w:rsidR="00C43413" w:rsidRDefault="00C43413" w:rsidP="00C43413">
      <w:pPr>
        <w:spacing w:before="200" w:after="80"/>
      </w:pPr>
      <w:r>
        <w:t>The qualitative significance of this theme is that teachers did not merely ask for “more materials” in a generic sense. They emphasized validated, level-appropriate, age-sensitive, and ready-to-use resources. This distinction matters because struggling readers in upper elementary or early secondary grades may need beginning-level texts without being exposed to materials that feel childish or stigmatizing. Teachers also linked materials to professional development: they wanted training that demonstrates how to diagnose reading levels, match materials to needs, and monitor progress over time. From a social cognitive perspective, uneven access to training and materials may weaken teacher self-efficacy because teachers are expected to model and scaffold reading instruction without sufficient mastery experiences, coaching, and environmental support.</w:t>
      </w:r>
    </w:p>
    <w:p w14:paraId="0202AA91" w14:textId="2065D6FD" w:rsidR="00B5787D" w:rsidRDefault="004544BE" w:rsidP="00C43413">
      <w:pPr>
        <w:spacing w:before="200" w:after="80"/>
      </w:pPr>
      <w:r>
        <w:rPr>
          <w:b/>
          <w:bCs/>
          <w:sz w:val="22"/>
          <w:szCs w:val="22"/>
        </w:rPr>
        <w:t>3.4 Time Constraints, Policy Misinterpretation, and Reporting Pressure</w:t>
      </w:r>
    </w:p>
    <w:p w14:paraId="7732346B" w14:textId="77777777" w:rsidR="00C43413" w:rsidRPr="00C43413" w:rsidRDefault="00C43413" w:rsidP="00C43413">
      <w:pPr>
        <w:spacing w:after="120" w:line="259" w:lineRule="auto"/>
        <w:ind w:firstLine="360"/>
      </w:pPr>
      <w:r w:rsidRPr="00C43413">
        <w:t>Heavy workload and time constraints were identified by 27 teachers (79.4%), as reflected in Table 3. Teachers described a tension between reading remediation and the reportorial work attached to reading programs. T32 observed, “The side goal of submitting reports sidetracks the very goal and purpose of the reading program.” Teachers also described confusion around “No Child Left Behind,” inclusivity provisions, and the identification of non-readers. T19 argued that misinterpretation produced de facto mass promotion, while T17 noted that pressure to pass struggling readers compounded the problem in higher grades.</w:t>
      </w:r>
    </w:p>
    <w:p w14:paraId="5C11E67A" w14:textId="77777777" w:rsidR="00C43413" w:rsidRPr="00C43413" w:rsidRDefault="00C43413" w:rsidP="00C43413">
      <w:pPr>
        <w:spacing w:after="120" w:line="259" w:lineRule="auto"/>
        <w:ind w:firstLine="360"/>
      </w:pPr>
      <w:r w:rsidRPr="00C43413">
        <w:t>The problem was not simply that teachers were busy. Rather, teachers experienced reading intervention as competing with meetings, documentation, class interruptions, shortened schedules, and program reports. T26 described shifting schedules, lack of materials, and weak home reinforcement as combined barriers, while T34 noted that after-class remediation became inconsistent because of meetings and other activities. These accounts show that remediation requires protected institutional time if it is to move beyond occasional effort.</w:t>
      </w:r>
    </w:p>
    <w:p w14:paraId="35C3CF08" w14:textId="77777777" w:rsidR="00C43413" w:rsidRPr="00C43413" w:rsidRDefault="00C43413" w:rsidP="00C43413">
      <w:pPr>
        <w:spacing w:after="120" w:line="259" w:lineRule="auto"/>
        <w:ind w:firstLine="360"/>
      </w:pPr>
      <w:r w:rsidRPr="00C43413">
        <w:t>More serious were repeated accounts of pressure to revise honest reading reports. T33 recalled, “When I submitted my report and made it a point to reflect the exact figures and levels of the frustrated/non-readers, I received a call from the Division Office telling me to rectify it.” T30 similarly stated that teachers were “reprimanded for submitting honest and truthful report” about non-readers and were asked to revise data to avoid tarnishing district or division reputation. These accounts are reported as teacher perceptions and experiences, not as independently verified institutional findings. Nevertheless, they indicate that implementation is shaped not only by resources but also by accountability incentives that may privilege presentable indicators over accurate diagnosis.</w:t>
      </w:r>
    </w:p>
    <w:p w14:paraId="33EA3149" w14:textId="77777777" w:rsidR="00C43413" w:rsidRPr="00C43413" w:rsidRDefault="00C43413" w:rsidP="00C43413">
      <w:pPr>
        <w:spacing w:after="120"/>
        <w:ind w:firstLine="360"/>
        <w:jc w:val="both"/>
      </w:pPr>
      <w:r w:rsidRPr="00C43413">
        <w:rPr>
          <w:i/>
        </w:rPr>
        <w:lastRenderedPageBreak/>
        <w:t xml:space="preserve">Composite Vignette 2. Reporting Pressure as an Implementation Condition. </w:t>
      </w:r>
      <w:r w:rsidRPr="00C43413">
        <w:t>A teacher with more than ten years of experience administers Phil-IRI assessment at the beginning of the school year, identifies a substantial number of frustrated and non-readers in her class, and submits the figures as recorded. Within days, she receives a call asking her to revise the report so that the numbers do not reflect poorly on the district. The same data that should be triggering targeted remediation is instead treated as a reputational problem to be managed. The next reporting cycle is therefore approached more cautiously, with awareness that an honest figure may again attract administrative pressure. This composite, drawn from accounts by T30, T32, and T33, suggests that reporting pressure operates not as an isolated incident but as an implementation condition that systematically discourages the truthful diagnosis on which effective intervention depends.</w:t>
      </w:r>
    </w:p>
    <w:p w14:paraId="3A718D05" w14:textId="77777777" w:rsidR="00C43413" w:rsidRDefault="00C43413" w:rsidP="00C43413">
      <w:pPr>
        <w:spacing w:after="120" w:line="259" w:lineRule="auto"/>
      </w:pPr>
      <w:r>
        <w:rPr>
          <w:b/>
          <w:bCs/>
        </w:rPr>
        <w:t>Table 3. Teacher-Reported Implementation Constraints</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1872"/>
        <w:gridCol w:w="1872"/>
      </w:tblGrid>
      <w:tr w:rsidR="00C43413" w14:paraId="31C2CBE3" w14:textId="77777777" w:rsidTr="00AF4A44">
        <w:trPr>
          <w:tblHeader/>
          <w:jc w:val="center"/>
        </w:trPr>
        <w:tc>
          <w:tcPr>
            <w:tcW w:w="5040" w:type="dxa"/>
            <w:shd w:val="clear" w:color="auto" w:fill="EAF2F8"/>
            <w:vAlign w:val="center"/>
          </w:tcPr>
          <w:p w14:paraId="313BC7F1" w14:textId="77777777" w:rsidR="00C43413" w:rsidRPr="00C43413" w:rsidRDefault="00C43413" w:rsidP="00AF4A44">
            <w:pPr>
              <w:rPr>
                <w:rFonts w:ascii="Arial" w:hAnsi="Arial" w:cs="Arial"/>
              </w:rPr>
            </w:pPr>
            <w:r w:rsidRPr="00C43413">
              <w:rPr>
                <w:rFonts w:ascii="Arial" w:hAnsi="Arial" w:cs="Arial"/>
                <w:b/>
                <w:sz w:val="20"/>
              </w:rPr>
              <w:t>Constraint</w:t>
            </w:r>
          </w:p>
        </w:tc>
        <w:tc>
          <w:tcPr>
            <w:tcW w:w="1872" w:type="dxa"/>
            <w:shd w:val="clear" w:color="auto" w:fill="EAF2F8"/>
            <w:vAlign w:val="center"/>
          </w:tcPr>
          <w:p w14:paraId="5D723B32" w14:textId="77777777" w:rsidR="00C43413" w:rsidRPr="00C43413" w:rsidRDefault="00C43413" w:rsidP="00AF4A44">
            <w:pPr>
              <w:rPr>
                <w:rFonts w:ascii="Arial" w:hAnsi="Arial" w:cs="Arial"/>
              </w:rPr>
            </w:pPr>
            <w:r w:rsidRPr="00C43413">
              <w:rPr>
                <w:rFonts w:ascii="Arial" w:hAnsi="Arial" w:cs="Arial"/>
                <w:b/>
                <w:sz w:val="20"/>
              </w:rPr>
              <w:t>Frequency</w:t>
            </w:r>
          </w:p>
        </w:tc>
        <w:tc>
          <w:tcPr>
            <w:tcW w:w="1872" w:type="dxa"/>
            <w:shd w:val="clear" w:color="auto" w:fill="EAF2F8"/>
            <w:vAlign w:val="center"/>
          </w:tcPr>
          <w:p w14:paraId="0255D46B" w14:textId="77777777" w:rsidR="00C43413" w:rsidRPr="00C43413" w:rsidRDefault="00C43413" w:rsidP="00AF4A44">
            <w:pPr>
              <w:rPr>
                <w:rFonts w:ascii="Arial" w:hAnsi="Arial" w:cs="Arial"/>
              </w:rPr>
            </w:pPr>
            <w:r w:rsidRPr="00C43413">
              <w:rPr>
                <w:rFonts w:ascii="Arial" w:hAnsi="Arial" w:cs="Arial"/>
                <w:b/>
                <w:sz w:val="20"/>
              </w:rPr>
              <w:t>Percentage</w:t>
            </w:r>
          </w:p>
        </w:tc>
      </w:tr>
      <w:tr w:rsidR="00C43413" w14:paraId="6689B19D" w14:textId="77777777" w:rsidTr="00AF4A44">
        <w:trPr>
          <w:jc w:val="center"/>
        </w:trPr>
        <w:tc>
          <w:tcPr>
            <w:tcW w:w="5040" w:type="dxa"/>
            <w:vAlign w:val="center"/>
          </w:tcPr>
          <w:p w14:paraId="19149418" w14:textId="77777777" w:rsidR="00C43413" w:rsidRPr="00C43413" w:rsidRDefault="00C43413" w:rsidP="00AF4A44">
            <w:pPr>
              <w:rPr>
                <w:rFonts w:ascii="Arial" w:hAnsi="Arial" w:cs="Arial"/>
              </w:rPr>
            </w:pPr>
            <w:r w:rsidRPr="00C43413">
              <w:rPr>
                <w:rFonts w:ascii="Arial" w:hAnsi="Arial" w:cs="Arial"/>
                <w:sz w:val="20"/>
              </w:rPr>
              <w:t>Need for ready-to-use, level-appropriate materials</w:t>
            </w:r>
          </w:p>
        </w:tc>
        <w:tc>
          <w:tcPr>
            <w:tcW w:w="1872" w:type="dxa"/>
            <w:vAlign w:val="center"/>
          </w:tcPr>
          <w:p w14:paraId="458211EB" w14:textId="77777777" w:rsidR="00C43413" w:rsidRPr="00C43413" w:rsidRDefault="00C43413" w:rsidP="00AF4A44">
            <w:pPr>
              <w:rPr>
                <w:rFonts w:ascii="Arial" w:hAnsi="Arial" w:cs="Arial"/>
              </w:rPr>
            </w:pPr>
            <w:r w:rsidRPr="00C43413">
              <w:rPr>
                <w:rFonts w:ascii="Arial" w:hAnsi="Arial" w:cs="Arial"/>
                <w:sz w:val="20"/>
              </w:rPr>
              <w:t>29</w:t>
            </w:r>
          </w:p>
        </w:tc>
        <w:tc>
          <w:tcPr>
            <w:tcW w:w="1872" w:type="dxa"/>
            <w:vAlign w:val="center"/>
          </w:tcPr>
          <w:p w14:paraId="29F63CDD" w14:textId="77777777" w:rsidR="00C43413" w:rsidRPr="00C43413" w:rsidRDefault="00C43413" w:rsidP="00AF4A44">
            <w:pPr>
              <w:rPr>
                <w:rFonts w:ascii="Arial" w:hAnsi="Arial" w:cs="Arial"/>
              </w:rPr>
            </w:pPr>
            <w:r w:rsidRPr="00C43413">
              <w:rPr>
                <w:rFonts w:ascii="Arial" w:hAnsi="Arial" w:cs="Arial"/>
                <w:sz w:val="20"/>
              </w:rPr>
              <w:t>85.3%</w:t>
            </w:r>
          </w:p>
        </w:tc>
      </w:tr>
      <w:tr w:rsidR="00C43413" w14:paraId="738680AE" w14:textId="77777777" w:rsidTr="00AF4A44">
        <w:trPr>
          <w:jc w:val="center"/>
        </w:trPr>
        <w:tc>
          <w:tcPr>
            <w:tcW w:w="5040" w:type="dxa"/>
            <w:vAlign w:val="center"/>
          </w:tcPr>
          <w:p w14:paraId="4B6FD13D" w14:textId="77777777" w:rsidR="00C43413" w:rsidRPr="00C43413" w:rsidRDefault="00C43413" w:rsidP="00AF4A44">
            <w:pPr>
              <w:rPr>
                <w:rFonts w:ascii="Arial" w:hAnsi="Arial" w:cs="Arial"/>
              </w:rPr>
            </w:pPr>
            <w:r w:rsidRPr="00C43413">
              <w:rPr>
                <w:rFonts w:ascii="Arial" w:hAnsi="Arial" w:cs="Arial"/>
                <w:sz w:val="20"/>
              </w:rPr>
              <w:t>Lack of formal ECARP-specific training</w:t>
            </w:r>
          </w:p>
        </w:tc>
        <w:tc>
          <w:tcPr>
            <w:tcW w:w="1872" w:type="dxa"/>
            <w:vAlign w:val="center"/>
          </w:tcPr>
          <w:p w14:paraId="1BBAFF02" w14:textId="77777777" w:rsidR="00C43413" w:rsidRPr="00C43413" w:rsidRDefault="00C43413" w:rsidP="00AF4A44">
            <w:pPr>
              <w:rPr>
                <w:rFonts w:ascii="Arial" w:hAnsi="Arial" w:cs="Arial"/>
              </w:rPr>
            </w:pPr>
            <w:r w:rsidRPr="00C43413">
              <w:rPr>
                <w:rFonts w:ascii="Arial" w:hAnsi="Arial" w:cs="Arial"/>
                <w:sz w:val="20"/>
              </w:rPr>
              <w:t>28</w:t>
            </w:r>
          </w:p>
        </w:tc>
        <w:tc>
          <w:tcPr>
            <w:tcW w:w="1872" w:type="dxa"/>
            <w:vAlign w:val="center"/>
          </w:tcPr>
          <w:p w14:paraId="6FD5AE24" w14:textId="77777777" w:rsidR="00C43413" w:rsidRPr="00C43413" w:rsidRDefault="00C43413" w:rsidP="00AF4A44">
            <w:pPr>
              <w:rPr>
                <w:rFonts w:ascii="Arial" w:hAnsi="Arial" w:cs="Arial"/>
              </w:rPr>
            </w:pPr>
            <w:r w:rsidRPr="00C43413">
              <w:rPr>
                <w:rFonts w:ascii="Arial" w:hAnsi="Arial" w:cs="Arial"/>
                <w:sz w:val="20"/>
              </w:rPr>
              <w:t>82.4%</w:t>
            </w:r>
          </w:p>
        </w:tc>
      </w:tr>
      <w:tr w:rsidR="00C43413" w14:paraId="23EECE61" w14:textId="77777777" w:rsidTr="00AF4A44">
        <w:trPr>
          <w:jc w:val="center"/>
        </w:trPr>
        <w:tc>
          <w:tcPr>
            <w:tcW w:w="5040" w:type="dxa"/>
            <w:vAlign w:val="center"/>
          </w:tcPr>
          <w:p w14:paraId="0A0378BE" w14:textId="77777777" w:rsidR="00C43413" w:rsidRPr="00C43413" w:rsidRDefault="00C43413" w:rsidP="00AF4A44">
            <w:pPr>
              <w:rPr>
                <w:rFonts w:ascii="Arial" w:hAnsi="Arial" w:cs="Arial"/>
              </w:rPr>
            </w:pPr>
            <w:r w:rsidRPr="00C43413">
              <w:rPr>
                <w:rFonts w:ascii="Arial" w:hAnsi="Arial" w:cs="Arial"/>
                <w:sz w:val="20"/>
              </w:rPr>
              <w:t>Heavy workload and time constraints</w:t>
            </w:r>
          </w:p>
        </w:tc>
        <w:tc>
          <w:tcPr>
            <w:tcW w:w="1872" w:type="dxa"/>
            <w:vAlign w:val="center"/>
          </w:tcPr>
          <w:p w14:paraId="423BC94B" w14:textId="77777777" w:rsidR="00C43413" w:rsidRPr="00C43413" w:rsidRDefault="00C43413" w:rsidP="00AF4A44">
            <w:pPr>
              <w:rPr>
                <w:rFonts w:ascii="Arial" w:hAnsi="Arial" w:cs="Arial"/>
              </w:rPr>
            </w:pPr>
            <w:r w:rsidRPr="00C43413">
              <w:rPr>
                <w:rFonts w:ascii="Arial" w:hAnsi="Arial" w:cs="Arial"/>
                <w:sz w:val="20"/>
              </w:rPr>
              <w:t>27</w:t>
            </w:r>
          </w:p>
        </w:tc>
        <w:tc>
          <w:tcPr>
            <w:tcW w:w="1872" w:type="dxa"/>
            <w:vAlign w:val="center"/>
          </w:tcPr>
          <w:p w14:paraId="0AA62BE6" w14:textId="77777777" w:rsidR="00C43413" w:rsidRPr="00C43413" w:rsidRDefault="00C43413" w:rsidP="00AF4A44">
            <w:pPr>
              <w:rPr>
                <w:rFonts w:ascii="Arial" w:hAnsi="Arial" w:cs="Arial"/>
              </w:rPr>
            </w:pPr>
            <w:r w:rsidRPr="00C43413">
              <w:rPr>
                <w:rFonts w:ascii="Arial" w:hAnsi="Arial" w:cs="Arial"/>
                <w:sz w:val="20"/>
              </w:rPr>
              <w:t>79.4%</w:t>
            </w:r>
          </w:p>
        </w:tc>
      </w:tr>
      <w:tr w:rsidR="00C43413" w14:paraId="0F0142A2" w14:textId="77777777" w:rsidTr="00AF4A44">
        <w:trPr>
          <w:jc w:val="center"/>
        </w:trPr>
        <w:tc>
          <w:tcPr>
            <w:tcW w:w="5040" w:type="dxa"/>
            <w:vAlign w:val="center"/>
          </w:tcPr>
          <w:p w14:paraId="1B701F14" w14:textId="77777777" w:rsidR="00C43413" w:rsidRPr="00C43413" w:rsidRDefault="00C43413" w:rsidP="00AF4A44">
            <w:pPr>
              <w:rPr>
                <w:rFonts w:ascii="Arial" w:hAnsi="Arial" w:cs="Arial"/>
              </w:rPr>
            </w:pPr>
            <w:r w:rsidRPr="00C43413">
              <w:rPr>
                <w:rFonts w:ascii="Arial" w:hAnsi="Arial" w:cs="Arial"/>
                <w:sz w:val="20"/>
              </w:rPr>
              <w:t>Need for clearer policies and program standards</w:t>
            </w:r>
          </w:p>
        </w:tc>
        <w:tc>
          <w:tcPr>
            <w:tcW w:w="1872" w:type="dxa"/>
            <w:vAlign w:val="center"/>
          </w:tcPr>
          <w:p w14:paraId="376512D0" w14:textId="77777777" w:rsidR="00C43413" w:rsidRPr="00C43413" w:rsidRDefault="00C43413" w:rsidP="00AF4A44">
            <w:pPr>
              <w:rPr>
                <w:rFonts w:ascii="Arial" w:hAnsi="Arial" w:cs="Arial"/>
              </w:rPr>
            </w:pPr>
            <w:r w:rsidRPr="00C43413">
              <w:rPr>
                <w:rFonts w:ascii="Arial" w:hAnsi="Arial" w:cs="Arial"/>
                <w:sz w:val="20"/>
              </w:rPr>
              <w:t>26</w:t>
            </w:r>
          </w:p>
        </w:tc>
        <w:tc>
          <w:tcPr>
            <w:tcW w:w="1872" w:type="dxa"/>
            <w:vAlign w:val="center"/>
          </w:tcPr>
          <w:p w14:paraId="3B8F9984" w14:textId="77777777" w:rsidR="00C43413" w:rsidRPr="00C43413" w:rsidRDefault="00C43413" w:rsidP="00AF4A44">
            <w:pPr>
              <w:rPr>
                <w:rFonts w:ascii="Arial" w:hAnsi="Arial" w:cs="Arial"/>
              </w:rPr>
            </w:pPr>
            <w:r w:rsidRPr="00C43413">
              <w:rPr>
                <w:rFonts w:ascii="Arial" w:hAnsi="Arial" w:cs="Arial"/>
                <w:sz w:val="20"/>
              </w:rPr>
              <w:t>76.5%</w:t>
            </w:r>
          </w:p>
        </w:tc>
      </w:tr>
      <w:tr w:rsidR="00C43413" w14:paraId="3B82A3E1" w14:textId="77777777" w:rsidTr="00AF4A44">
        <w:trPr>
          <w:jc w:val="center"/>
        </w:trPr>
        <w:tc>
          <w:tcPr>
            <w:tcW w:w="5040" w:type="dxa"/>
            <w:vAlign w:val="center"/>
          </w:tcPr>
          <w:p w14:paraId="3E6606FC" w14:textId="77777777" w:rsidR="00C43413" w:rsidRPr="00C43413" w:rsidRDefault="00C43413" w:rsidP="00AF4A44">
            <w:pPr>
              <w:rPr>
                <w:rFonts w:ascii="Arial" w:hAnsi="Arial" w:cs="Arial"/>
              </w:rPr>
            </w:pPr>
            <w:r w:rsidRPr="00C43413">
              <w:rPr>
                <w:rFonts w:ascii="Arial" w:hAnsi="Arial" w:cs="Arial"/>
                <w:sz w:val="20"/>
              </w:rPr>
              <w:t>Difficulty engaging parents in remediation</w:t>
            </w:r>
          </w:p>
        </w:tc>
        <w:tc>
          <w:tcPr>
            <w:tcW w:w="1872" w:type="dxa"/>
            <w:vAlign w:val="center"/>
          </w:tcPr>
          <w:p w14:paraId="6B26CBFC" w14:textId="77777777" w:rsidR="00C43413" w:rsidRPr="00C43413" w:rsidRDefault="00C43413" w:rsidP="00AF4A44">
            <w:pPr>
              <w:rPr>
                <w:rFonts w:ascii="Arial" w:hAnsi="Arial" w:cs="Arial"/>
              </w:rPr>
            </w:pPr>
            <w:r w:rsidRPr="00C43413">
              <w:rPr>
                <w:rFonts w:ascii="Arial" w:hAnsi="Arial" w:cs="Arial"/>
                <w:sz w:val="20"/>
              </w:rPr>
              <w:t>24</w:t>
            </w:r>
          </w:p>
        </w:tc>
        <w:tc>
          <w:tcPr>
            <w:tcW w:w="1872" w:type="dxa"/>
            <w:vAlign w:val="center"/>
          </w:tcPr>
          <w:p w14:paraId="4A6C659A" w14:textId="77777777" w:rsidR="00C43413" w:rsidRPr="00C43413" w:rsidRDefault="00C43413" w:rsidP="00AF4A44">
            <w:pPr>
              <w:rPr>
                <w:rFonts w:ascii="Arial" w:hAnsi="Arial" w:cs="Arial"/>
              </w:rPr>
            </w:pPr>
            <w:r w:rsidRPr="00C43413">
              <w:rPr>
                <w:rFonts w:ascii="Arial" w:hAnsi="Arial" w:cs="Arial"/>
                <w:sz w:val="20"/>
              </w:rPr>
              <w:t>70.6%</w:t>
            </w:r>
          </w:p>
        </w:tc>
      </w:tr>
    </w:tbl>
    <w:p w14:paraId="0F77D1E4" w14:textId="77777777" w:rsidR="00B5787D" w:rsidRDefault="004544BE">
      <w:pPr>
        <w:spacing w:before="200" w:after="80"/>
      </w:pPr>
      <w:r>
        <w:rPr>
          <w:b/>
          <w:bCs/>
          <w:sz w:val="22"/>
          <w:szCs w:val="22"/>
        </w:rPr>
        <w:t>3.5 Administrative Leadership and Parental Engagement</w:t>
      </w:r>
    </w:p>
    <w:p w14:paraId="307D872E" w14:textId="77777777" w:rsidR="00C43413" w:rsidRDefault="00C43413" w:rsidP="00C43413">
      <w:pPr>
        <w:spacing w:before="200" w:after="80"/>
      </w:pPr>
      <w:r>
        <w:t>Leadership continuity emerged as a decisive implementation condition. Nineteen teachers (55.9%) described supportive principals, while 15 teachers (44.1%) described school heads as nonchalant, hesitant, or insufficiently involved. T12 reported that reading programs were active under a previous principal who planned closely with teachers, but were discontinued after administrative reshuffling because the current principal was “nonchalant and hesitant to get involved.” Similar patterns were reported by T16, T17, and T18.</w:t>
      </w:r>
    </w:p>
    <w:p w14:paraId="5AB7AEF3" w14:textId="77777777" w:rsidR="00C43413" w:rsidRDefault="00C43413" w:rsidP="00C43413">
      <w:pPr>
        <w:spacing w:before="200" w:after="80"/>
      </w:pPr>
      <w:r>
        <w:t>The leadership finding indicates that reading programs are vulnerable when they depend on individual champions rather than institutionalized routines. Supportive principals helped mobilize teachers, schedule activities, and sustain motivation. However, when school heads were transferred or disengaged, reading projects were weakened or discontinued. This suggests that continuity protocols, role definitions, monitoring routines, and transition arrangements are necessary if ECARP implementation is to survive normal administrative movement.</w:t>
      </w:r>
    </w:p>
    <w:p w14:paraId="599E1B5F" w14:textId="77777777" w:rsidR="00C43413" w:rsidRDefault="00C43413" w:rsidP="00C43413">
      <w:pPr>
        <w:spacing w:before="200" w:after="80"/>
      </w:pPr>
      <w:r>
        <w:t>Parental engagement was also difficult to sustain. Twenty-four teachers (70.6%) identified difficulty engaging parents in remediation. Some parents prioritized livelihood and household responsibilities, declined permission for after-class reading activities, or viewed reading improvement as solely the school’s responsibility. T6 summarized this perception: “Parents today have a different mindset, they think that it’s the sole responsibility of the school and teachers to make their children learn to read.” These accounts should not be read as blaming parents. They indicate that ECARP needs realistic home-reading strategies that parents can apply within actual family conditions, including simple guidance, brief reading routines, and culturally appropriate materials.</w:t>
      </w:r>
    </w:p>
    <w:p w14:paraId="36E8A136" w14:textId="757D0E64" w:rsidR="00B5787D" w:rsidRDefault="004544BE" w:rsidP="00C43413">
      <w:pPr>
        <w:spacing w:before="200" w:after="80"/>
      </w:pPr>
      <w:r>
        <w:rPr>
          <w:b/>
          <w:bCs/>
          <w:sz w:val="22"/>
          <w:szCs w:val="22"/>
        </w:rPr>
        <w:t>3.6 Teacher-Identified Improvement Measures</w:t>
      </w:r>
    </w:p>
    <w:p w14:paraId="352A0D23" w14:textId="77777777" w:rsidR="00C43413" w:rsidRPr="00C43413" w:rsidRDefault="00C43413" w:rsidP="00C43413">
      <w:pPr>
        <w:spacing w:after="120" w:line="259" w:lineRule="auto"/>
        <w:ind w:firstLine="360"/>
      </w:pPr>
      <w:r w:rsidRPr="00C43413">
        <w:t>Teachers proposed practical and system-level improvements. As summarized in Table 4, the most frequent recommendation was the provision of ready, validated, level-appropriate reading materials (30 teachers, 88.2%). Twenty-eight teachers (82.4%) called for stronger training in reading assessment and remediation. Twenty-six teachers (76.5%) recommended clearer and standardized reading policies, 24 teachers (70.6%) recommended stronger parental and community participation, and 21 teachers (61.8%) emphasized teacher involvement in policy review and feedback mechanisms. T5 argued that policy crafters should consult teachers because they know learner needs, while T32 urged DepEd to examine the truth of reports rather than asking teachers to revise figures for cosmetic purposes.</w:t>
      </w:r>
    </w:p>
    <w:p w14:paraId="2946C378" w14:textId="77777777" w:rsidR="00C43413" w:rsidRPr="00C43413" w:rsidRDefault="00C43413" w:rsidP="00C43413">
      <w:pPr>
        <w:spacing w:after="120" w:line="259" w:lineRule="auto"/>
        <w:ind w:firstLine="360"/>
      </w:pPr>
      <w:r w:rsidRPr="00C43413">
        <w:lastRenderedPageBreak/>
        <w:t>The teachers’ recommendations were not isolated requests but practical responses to the barriers described earlier. Materials were requested because teachers were spending considerable time preparing or searching for resources. Training was requested because re-echo sessions and informal sharing were viewed as insufficient. Clearer standards were requested because teachers experienced policy overlap and program renaming. Stronger parent and community participation was requested because home support was uneven. Teacher participation in policy review was requested because teachers perceived the policy-feedback loop as weak.</w:t>
      </w:r>
    </w:p>
    <w:p w14:paraId="1AC59E93" w14:textId="77777777" w:rsidR="00C43413" w:rsidRDefault="00C43413" w:rsidP="00C43413">
      <w:pPr>
        <w:spacing w:after="120" w:line="259" w:lineRule="auto"/>
      </w:pPr>
      <w:r>
        <w:rPr>
          <w:b/>
          <w:bCs/>
        </w:rPr>
        <w:t>Table 4. Teacher-Identified Improvement Measures</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1872"/>
        <w:gridCol w:w="1872"/>
      </w:tblGrid>
      <w:tr w:rsidR="00C43413" w14:paraId="673B1B21" w14:textId="77777777" w:rsidTr="00AF4A44">
        <w:trPr>
          <w:tblHeader/>
          <w:jc w:val="center"/>
        </w:trPr>
        <w:tc>
          <w:tcPr>
            <w:tcW w:w="5040" w:type="dxa"/>
            <w:shd w:val="clear" w:color="auto" w:fill="EAF2F8"/>
            <w:vAlign w:val="center"/>
          </w:tcPr>
          <w:p w14:paraId="2A6127EC" w14:textId="77777777" w:rsidR="00C43413" w:rsidRPr="00C43413" w:rsidRDefault="00C43413" w:rsidP="00AF4A44">
            <w:pPr>
              <w:rPr>
                <w:rFonts w:ascii="Arial" w:hAnsi="Arial" w:cs="Arial"/>
              </w:rPr>
            </w:pPr>
            <w:r w:rsidRPr="00C43413">
              <w:rPr>
                <w:rFonts w:ascii="Arial" w:hAnsi="Arial" w:cs="Arial"/>
                <w:b/>
                <w:sz w:val="20"/>
              </w:rPr>
              <w:t>Improvement Measure</w:t>
            </w:r>
          </w:p>
        </w:tc>
        <w:tc>
          <w:tcPr>
            <w:tcW w:w="1872" w:type="dxa"/>
            <w:shd w:val="clear" w:color="auto" w:fill="EAF2F8"/>
            <w:vAlign w:val="center"/>
          </w:tcPr>
          <w:p w14:paraId="6C455D40" w14:textId="77777777" w:rsidR="00C43413" w:rsidRPr="00C43413" w:rsidRDefault="00C43413" w:rsidP="00AF4A44">
            <w:pPr>
              <w:rPr>
                <w:rFonts w:ascii="Arial" w:hAnsi="Arial" w:cs="Arial"/>
              </w:rPr>
            </w:pPr>
            <w:r w:rsidRPr="00C43413">
              <w:rPr>
                <w:rFonts w:ascii="Arial" w:hAnsi="Arial" w:cs="Arial"/>
                <w:b/>
                <w:sz w:val="20"/>
              </w:rPr>
              <w:t>Frequency</w:t>
            </w:r>
          </w:p>
        </w:tc>
        <w:tc>
          <w:tcPr>
            <w:tcW w:w="1872" w:type="dxa"/>
            <w:shd w:val="clear" w:color="auto" w:fill="EAF2F8"/>
            <w:vAlign w:val="center"/>
          </w:tcPr>
          <w:p w14:paraId="3C175C42" w14:textId="77777777" w:rsidR="00C43413" w:rsidRPr="00C43413" w:rsidRDefault="00C43413" w:rsidP="00AF4A44">
            <w:pPr>
              <w:rPr>
                <w:rFonts w:ascii="Arial" w:hAnsi="Arial" w:cs="Arial"/>
              </w:rPr>
            </w:pPr>
            <w:r w:rsidRPr="00C43413">
              <w:rPr>
                <w:rFonts w:ascii="Arial" w:hAnsi="Arial" w:cs="Arial"/>
                <w:b/>
                <w:sz w:val="20"/>
              </w:rPr>
              <w:t>Percentage</w:t>
            </w:r>
          </w:p>
        </w:tc>
      </w:tr>
      <w:tr w:rsidR="00C43413" w14:paraId="5CEFA501" w14:textId="77777777" w:rsidTr="00AF4A44">
        <w:trPr>
          <w:jc w:val="center"/>
        </w:trPr>
        <w:tc>
          <w:tcPr>
            <w:tcW w:w="5040" w:type="dxa"/>
            <w:vAlign w:val="center"/>
          </w:tcPr>
          <w:p w14:paraId="618CA1F2" w14:textId="77777777" w:rsidR="00C43413" w:rsidRPr="00C43413" w:rsidRDefault="00C43413" w:rsidP="00AF4A44">
            <w:pPr>
              <w:rPr>
                <w:rFonts w:ascii="Arial" w:hAnsi="Arial" w:cs="Arial"/>
              </w:rPr>
            </w:pPr>
            <w:r w:rsidRPr="00C43413">
              <w:rPr>
                <w:rFonts w:ascii="Arial" w:hAnsi="Arial" w:cs="Arial"/>
                <w:sz w:val="20"/>
              </w:rPr>
              <w:t>Provide ready, validated, and level-appropriate reading materials</w:t>
            </w:r>
          </w:p>
        </w:tc>
        <w:tc>
          <w:tcPr>
            <w:tcW w:w="1872" w:type="dxa"/>
            <w:vAlign w:val="center"/>
          </w:tcPr>
          <w:p w14:paraId="6B2D9C66" w14:textId="77777777" w:rsidR="00C43413" w:rsidRPr="00C43413" w:rsidRDefault="00C43413" w:rsidP="00AF4A44">
            <w:pPr>
              <w:rPr>
                <w:rFonts w:ascii="Arial" w:hAnsi="Arial" w:cs="Arial"/>
              </w:rPr>
            </w:pPr>
            <w:r w:rsidRPr="00C43413">
              <w:rPr>
                <w:rFonts w:ascii="Arial" w:hAnsi="Arial" w:cs="Arial"/>
                <w:sz w:val="20"/>
              </w:rPr>
              <w:t>30</w:t>
            </w:r>
          </w:p>
        </w:tc>
        <w:tc>
          <w:tcPr>
            <w:tcW w:w="1872" w:type="dxa"/>
            <w:vAlign w:val="center"/>
          </w:tcPr>
          <w:p w14:paraId="4FD5ECF0" w14:textId="77777777" w:rsidR="00C43413" w:rsidRPr="00C43413" w:rsidRDefault="00C43413" w:rsidP="00AF4A44">
            <w:pPr>
              <w:rPr>
                <w:rFonts w:ascii="Arial" w:hAnsi="Arial" w:cs="Arial"/>
              </w:rPr>
            </w:pPr>
            <w:r w:rsidRPr="00C43413">
              <w:rPr>
                <w:rFonts w:ascii="Arial" w:hAnsi="Arial" w:cs="Arial"/>
                <w:sz w:val="20"/>
              </w:rPr>
              <w:t>88.2%</w:t>
            </w:r>
          </w:p>
        </w:tc>
      </w:tr>
      <w:tr w:rsidR="00C43413" w14:paraId="7714585C" w14:textId="77777777" w:rsidTr="00AF4A44">
        <w:trPr>
          <w:jc w:val="center"/>
        </w:trPr>
        <w:tc>
          <w:tcPr>
            <w:tcW w:w="5040" w:type="dxa"/>
            <w:vAlign w:val="center"/>
          </w:tcPr>
          <w:p w14:paraId="7099EDD4" w14:textId="77777777" w:rsidR="00C43413" w:rsidRPr="00C43413" w:rsidRDefault="00C43413" w:rsidP="00AF4A44">
            <w:pPr>
              <w:rPr>
                <w:rFonts w:ascii="Arial" w:hAnsi="Arial" w:cs="Arial"/>
              </w:rPr>
            </w:pPr>
            <w:r w:rsidRPr="00C43413">
              <w:rPr>
                <w:rFonts w:ascii="Arial" w:hAnsi="Arial" w:cs="Arial"/>
                <w:sz w:val="20"/>
              </w:rPr>
              <w:t>Strengthen training for reading assessment and remediation</w:t>
            </w:r>
          </w:p>
        </w:tc>
        <w:tc>
          <w:tcPr>
            <w:tcW w:w="1872" w:type="dxa"/>
            <w:vAlign w:val="center"/>
          </w:tcPr>
          <w:p w14:paraId="5C45CF61" w14:textId="77777777" w:rsidR="00C43413" w:rsidRPr="00C43413" w:rsidRDefault="00C43413" w:rsidP="00AF4A44">
            <w:pPr>
              <w:rPr>
                <w:rFonts w:ascii="Arial" w:hAnsi="Arial" w:cs="Arial"/>
              </w:rPr>
            </w:pPr>
            <w:r w:rsidRPr="00C43413">
              <w:rPr>
                <w:rFonts w:ascii="Arial" w:hAnsi="Arial" w:cs="Arial"/>
                <w:sz w:val="20"/>
              </w:rPr>
              <w:t>28</w:t>
            </w:r>
          </w:p>
        </w:tc>
        <w:tc>
          <w:tcPr>
            <w:tcW w:w="1872" w:type="dxa"/>
            <w:vAlign w:val="center"/>
          </w:tcPr>
          <w:p w14:paraId="7D31B5B2" w14:textId="77777777" w:rsidR="00C43413" w:rsidRPr="00C43413" w:rsidRDefault="00C43413" w:rsidP="00AF4A44">
            <w:pPr>
              <w:rPr>
                <w:rFonts w:ascii="Arial" w:hAnsi="Arial" w:cs="Arial"/>
              </w:rPr>
            </w:pPr>
            <w:r w:rsidRPr="00C43413">
              <w:rPr>
                <w:rFonts w:ascii="Arial" w:hAnsi="Arial" w:cs="Arial"/>
                <w:sz w:val="20"/>
              </w:rPr>
              <w:t>82.4%</w:t>
            </w:r>
          </w:p>
        </w:tc>
      </w:tr>
      <w:tr w:rsidR="00C43413" w14:paraId="0AEB49EF" w14:textId="77777777" w:rsidTr="00AF4A44">
        <w:trPr>
          <w:jc w:val="center"/>
        </w:trPr>
        <w:tc>
          <w:tcPr>
            <w:tcW w:w="5040" w:type="dxa"/>
            <w:vAlign w:val="center"/>
          </w:tcPr>
          <w:p w14:paraId="628EB46F" w14:textId="77777777" w:rsidR="00C43413" w:rsidRPr="00C43413" w:rsidRDefault="00C43413" w:rsidP="00AF4A44">
            <w:pPr>
              <w:rPr>
                <w:rFonts w:ascii="Arial" w:hAnsi="Arial" w:cs="Arial"/>
              </w:rPr>
            </w:pPr>
            <w:r w:rsidRPr="00C43413">
              <w:rPr>
                <w:rFonts w:ascii="Arial" w:hAnsi="Arial" w:cs="Arial"/>
                <w:sz w:val="20"/>
              </w:rPr>
              <w:t>Clarify and standardize reading policies and program expectations</w:t>
            </w:r>
          </w:p>
        </w:tc>
        <w:tc>
          <w:tcPr>
            <w:tcW w:w="1872" w:type="dxa"/>
            <w:vAlign w:val="center"/>
          </w:tcPr>
          <w:p w14:paraId="17ACFFA3" w14:textId="77777777" w:rsidR="00C43413" w:rsidRPr="00C43413" w:rsidRDefault="00C43413" w:rsidP="00AF4A44">
            <w:pPr>
              <w:rPr>
                <w:rFonts w:ascii="Arial" w:hAnsi="Arial" w:cs="Arial"/>
              </w:rPr>
            </w:pPr>
            <w:r w:rsidRPr="00C43413">
              <w:rPr>
                <w:rFonts w:ascii="Arial" w:hAnsi="Arial" w:cs="Arial"/>
                <w:sz w:val="20"/>
              </w:rPr>
              <w:t>26</w:t>
            </w:r>
          </w:p>
        </w:tc>
        <w:tc>
          <w:tcPr>
            <w:tcW w:w="1872" w:type="dxa"/>
            <w:vAlign w:val="center"/>
          </w:tcPr>
          <w:p w14:paraId="62D7C69C" w14:textId="77777777" w:rsidR="00C43413" w:rsidRPr="00C43413" w:rsidRDefault="00C43413" w:rsidP="00AF4A44">
            <w:pPr>
              <w:rPr>
                <w:rFonts w:ascii="Arial" w:hAnsi="Arial" w:cs="Arial"/>
              </w:rPr>
            </w:pPr>
            <w:r w:rsidRPr="00C43413">
              <w:rPr>
                <w:rFonts w:ascii="Arial" w:hAnsi="Arial" w:cs="Arial"/>
                <w:sz w:val="20"/>
              </w:rPr>
              <w:t>76.5%</w:t>
            </w:r>
          </w:p>
        </w:tc>
      </w:tr>
      <w:tr w:rsidR="00C43413" w14:paraId="4DB72D2A" w14:textId="77777777" w:rsidTr="00AF4A44">
        <w:trPr>
          <w:jc w:val="center"/>
        </w:trPr>
        <w:tc>
          <w:tcPr>
            <w:tcW w:w="5040" w:type="dxa"/>
            <w:vAlign w:val="center"/>
          </w:tcPr>
          <w:p w14:paraId="7F800194" w14:textId="77777777" w:rsidR="00C43413" w:rsidRPr="00C43413" w:rsidRDefault="00C43413" w:rsidP="00AF4A44">
            <w:pPr>
              <w:rPr>
                <w:rFonts w:ascii="Arial" w:hAnsi="Arial" w:cs="Arial"/>
              </w:rPr>
            </w:pPr>
            <w:r w:rsidRPr="00C43413">
              <w:rPr>
                <w:rFonts w:ascii="Arial" w:hAnsi="Arial" w:cs="Arial"/>
                <w:sz w:val="20"/>
              </w:rPr>
              <w:t>Improve parental and community participation</w:t>
            </w:r>
          </w:p>
        </w:tc>
        <w:tc>
          <w:tcPr>
            <w:tcW w:w="1872" w:type="dxa"/>
            <w:vAlign w:val="center"/>
          </w:tcPr>
          <w:p w14:paraId="6CC98DF6" w14:textId="77777777" w:rsidR="00C43413" w:rsidRPr="00C43413" w:rsidRDefault="00C43413" w:rsidP="00AF4A44">
            <w:pPr>
              <w:rPr>
                <w:rFonts w:ascii="Arial" w:hAnsi="Arial" w:cs="Arial"/>
              </w:rPr>
            </w:pPr>
            <w:r w:rsidRPr="00C43413">
              <w:rPr>
                <w:rFonts w:ascii="Arial" w:hAnsi="Arial" w:cs="Arial"/>
                <w:sz w:val="20"/>
              </w:rPr>
              <w:t>24</w:t>
            </w:r>
          </w:p>
        </w:tc>
        <w:tc>
          <w:tcPr>
            <w:tcW w:w="1872" w:type="dxa"/>
            <w:vAlign w:val="center"/>
          </w:tcPr>
          <w:p w14:paraId="0B5818AC" w14:textId="77777777" w:rsidR="00C43413" w:rsidRPr="00C43413" w:rsidRDefault="00C43413" w:rsidP="00AF4A44">
            <w:pPr>
              <w:rPr>
                <w:rFonts w:ascii="Arial" w:hAnsi="Arial" w:cs="Arial"/>
              </w:rPr>
            </w:pPr>
            <w:r w:rsidRPr="00C43413">
              <w:rPr>
                <w:rFonts w:ascii="Arial" w:hAnsi="Arial" w:cs="Arial"/>
                <w:sz w:val="20"/>
              </w:rPr>
              <w:t>70.6%</w:t>
            </w:r>
          </w:p>
        </w:tc>
      </w:tr>
      <w:tr w:rsidR="00C43413" w14:paraId="69883AEA" w14:textId="77777777" w:rsidTr="00AF4A44">
        <w:trPr>
          <w:jc w:val="center"/>
        </w:trPr>
        <w:tc>
          <w:tcPr>
            <w:tcW w:w="5040" w:type="dxa"/>
            <w:vAlign w:val="center"/>
          </w:tcPr>
          <w:p w14:paraId="074C8452" w14:textId="77777777" w:rsidR="00C43413" w:rsidRPr="00C43413" w:rsidRDefault="00C43413" w:rsidP="00AF4A44">
            <w:pPr>
              <w:rPr>
                <w:rFonts w:ascii="Arial" w:hAnsi="Arial" w:cs="Arial"/>
              </w:rPr>
            </w:pPr>
            <w:r w:rsidRPr="00C43413">
              <w:rPr>
                <w:rFonts w:ascii="Arial" w:hAnsi="Arial" w:cs="Arial"/>
                <w:sz w:val="20"/>
              </w:rPr>
              <w:t>Involve teachers in policy review and feedback mechanisms</w:t>
            </w:r>
          </w:p>
        </w:tc>
        <w:tc>
          <w:tcPr>
            <w:tcW w:w="1872" w:type="dxa"/>
            <w:vAlign w:val="center"/>
          </w:tcPr>
          <w:p w14:paraId="1D7CEC06" w14:textId="77777777" w:rsidR="00C43413" w:rsidRPr="00C43413" w:rsidRDefault="00C43413" w:rsidP="00AF4A44">
            <w:pPr>
              <w:rPr>
                <w:rFonts w:ascii="Arial" w:hAnsi="Arial" w:cs="Arial"/>
              </w:rPr>
            </w:pPr>
            <w:r w:rsidRPr="00C43413">
              <w:rPr>
                <w:rFonts w:ascii="Arial" w:hAnsi="Arial" w:cs="Arial"/>
                <w:sz w:val="20"/>
              </w:rPr>
              <w:t>21</w:t>
            </w:r>
          </w:p>
        </w:tc>
        <w:tc>
          <w:tcPr>
            <w:tcW w:w="1872" w:type="dxa"/>
            <w:vAlign w:val="center"/>
          </w:tcPr>
          <w:p w14:paraId="5C77586D" w14:textId="77777777" w:rsidR="00C43413" w:rsidRPr="00C43413" w:rsidRDefault="00C43413" w:rsidP="00AF4A44">
            <w:pPr>
              <w:rPr>
                <w:rFonts w:ascii="Arial" w:hAnsi="Arial" w:cs="Arial"/>
              </w:rPr>
            </w:pPr>
            <w:r w:rsidRPr="00C43413">
              <w:rPr>
                <w:rFonts w:ascii="Arial" w:hAnsi="Arial" w:cs="Arial"/>
                <w:sz w:val="20"/>
              </w:rPr>
              <w:t>61.8%</w:t>
            </w:r>
          </w:p>
        </w:tc>
      </w:tr>
    </w:tbl>
    <w:p w14:paraId="13FAFAF9" w14:textId="77777777" w:rsidR="00B5787D" w:rsidRDefault="00B5787D">
      <w:pPr>
        <w:spacing w:line="120" w:lineRule="auto"/>
        <w:jc w:val="both"/>
      </w:pPr>
    </w:p>
    <w:p w14:paraId="1E7AE90B" w14:textId="77777777" w:rsidR="00B5787D" w:rsidRDefault="004544BE">
      <w:pPr>
        <w:spacing w:before="200" w:after="80"/>
      </w:pPr>
      <w:r>
        <w:rPr>
          <w:b/>
          <w:bCs/>
          <w:sz w:val="22"/>
          <w:szCs w:val="22"/>
        </w:rPr>
        <w:t>3.7 Theory-Informed Mapping of Findings</w:t>
      </w:r>
    </w:p>
    <w:p w14:paraId="76492B01" w14:textId="77777777" w:rsidR="0013008E" w:rsidRPr="0013008E" w:rsidRDefault="0013008E" w:rsidP="0013008E">
      <w:pPr>
        <w:spacing w:after="120" w:line="259" w:lineRule="auto"/>
        <w:ind w:firstLine="360"/>
      </w:pPr>
      <w:r w:rsidRPr="0013008E">
        <w:t>Table 5 summarizes the interpretive mapping of major findings. The mapping is not mechanical; most findings may be read through more than one lens. The table identifies the lens that most directly clarifies each finding’s mechanism.</w:t>
      </w:r>
    </w:p>
    <w:p w14:paraId="7003BEB0" w14:textId="77777777" w:rsidR="0013008E" w:rsidRDefault="0013008E" w:rsidP="0013008E">
      <w:pPr>
        <w:spacing w:after="120" w:line="259" w:lineRule="auto"/>
      </w:pPr>
      <w:r>
        <w:rPr>
          <w:b/>
          <w:bCs/>
        </w:rPr>
        <w:t>Table 5. Theory-Informed Interpretation of Major Findings</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3456"/>
      </w:tblGrid>
      <w:tr w:rsidR="0013008E" w:rsidRPr="0013008E" w14:paraId="5D2C4766" w14:textId="77777777" w:rsidTr="00AF4A44">
        <w:trPr>
          <w:tblHeader/>
          <w:jc w:val="center"/>
        </w:trPr>
        <w:tc>
          <w:tcPr>
            <w:tcW w:w="2880" w:type="dxa"/>
            <w:shd w:val="clear" w:color="auto" w:fill="EAF2F8"/>
            <w:vAlign w:val="center"/>
          </w:tcPr>
          <w:p w14:paraId="5AB75B80" w14:textId="77777777" w:rsidR="0013008E" w:rsidRPr="0013008E" w:rsidRDefault="0013008E" w:rsidP="00AF4A44">
            <w:pPr>
              <w:rPr>
                <w:rFonts w:ascii="Arial" w:hAnsi="Arial" w:cs="Arial"/>
              </w:rPr>
            </w:pPr>
            <w:r w:rsidRPr="0013008E">
              <w:rPr>
                <w:rFonts w:ascii="Arial" w:hAnsi="Arial" w:cs="Arial"/>
                <w:b/>
                <w:sz w:val="18"/>
              </w:rPr>
              <w:t>Major Finding</w:t>
            </w:r>
          </w:p>
        </w:tc>
        <w:tc>
          <w:tcPr>
            <w:tcW w:w="2880" w:type="dxa"/>
            <w:shd w:val="clear" w:color="auto" w:fill="EAF2F8"/>
            <w:vAlign w:val="center"/>
          </w:tcPr>
          <w:p w14:paraId="473E1730" w14:textId="77777777" w:rsidR="0013008E" w:rsidRPr="0013008E" w:rsidRDefault="0013008E" w:rsidP="00AF4A44">
            <w:pPr>
              <w:rPr>
                <w:rFonts w:ascii="Arial" w:hAnsi="Arial" w:cs="Arial"/>
              </w:rPr>
            </w:pPr>
            <w:r w:rsidRPr="0013008E">
              <w:rPr>
                <w:rFonts w:ascii="Arial" w:hAnsi="Arial" w:cs="Arial"/>
                <w:b/>
                <w:sz w:val="18"/>
              </w:rPr>
              <w:t>Theoretical Lens</w:t>
            </w:r>
          </w:p>
        </w:tc>
        <w:tc>
          <w:tcPr>
            <w:tcW w:w="3456" w:type="dxa"/>
            <w:shd w:val="clear" w:color="auto" w:fill="EAF2F8"/>
            <w:vAlign w:val="center"/>
          </w:tcPr>
          <w:p w14:paraId="340C7689" w14:textId="77777777" w:rsidR="0013008E" w:rsidRPr="0013008E" w:rsidRDefault="0013008E" w:rsidP="00AF4A44">
            <w:pPr>
              <w:rPr>
                <w:rFonts w:ascii="Arial" w:hAnsi="Arial" w:cs="Arial"/>
              </w:rPr>
            </w:pPr>
            <w:r w:rsidRPr="0013008E">
              <w:rPr>
                <w:rFonts w:ascii="Arial" w:hAnsi="Arial" w:cs="Arial"/>
                <w:b/>
                <w:sz w:val="18"/>
              </w:rPr>
              <w:t>Interpretive Meaning</w:t>
            </w:r>
          </w:p>
        </w:tc>
      </w:tr>
      <w:tr w:rsidR="0013008E" w:rsidRPr="0013008E" w14:paraId="11E37F70" w14:textId="77777777" w:rsidTr="00AF4A44">
        <w:trPr>
          <w:jc w:val="center"/>
        </w:trPr>
        <w:tc>
          <w:tcPr>
            <w:tcW w:w="2880" w:type="dxa"/>
            <w:vAlign w:val="center"/>
          </w:tcPr>
          <w:p w14:paraId="06BC07E6" w14:textId="77777777" w:rsidR="0013008E" w:rsidRPr="0013008E" w:rsidRDefault="0013008E" w:rsidP="00AF4A44">
            <w:pPr>
              <w:rPr>
                <w:rFonts w:ascii="Arial" w:hAnsi="Arial" w:cs="Arial"/>
              </w:rPr>
            </w:pPr>
            <w:r w:rsidRPr="0013008E">
              <w:rPr>
                <w:rFonts w:ascii="Arial" w:hAnsi="Arial" w:cs="Arial"/>
                <w:sz w:val="18"/>
              </w:rPr>
              <w:t>Nominal rather than functional ECARP awareness</w:t>
            </w:r>
          </w:p>
        </w:tc>
        <w:tc>
          <w:tcPr>
            <w:tcW w:w="2880" w:type="dxa"/>
            <w:vAlign w:val="center"/>
          </w:tcPr>
          <w:p w14:paraId="7687AEFC" w14:textId="77777777" w:rsidR="0013008E" w:rsidRPr="0013008E" w:rsidRDefault="0013008E" w:rsidP="00AF4A44">
            <w:pPr>
              <w:rPr>
                <w:rFonts w:ascii="Arial" w:hAnsi="Arial" w:cs="Arial"/>
              </w:rPr>
            </w:pPr>
            <w:r w:rsidRPr="0013008E">
              <w:rPr>
                <w:rFonts w:ascii="Arial" w:hAnsi="Arial" w:cs="Arial"/>
                <w:sz w:val="18"/>
              </w:rPr>
              <w:t>Diffusion of Innovations (Rogers, 2003)</w:t>
            </w:r>
          </w:p>
        </w:tc>
        <w:tc>
          <w:tcPr>
            <w:tcW w:w="3456" w:type="dxa"/>
            <w:vAlign w:val="center"/>
          </w:tcPr>
          <w:p w14:paraId="4E50EEBC" w14:textId="77777777" w:rsidR="0013008E" w:rsidRPr="0013008E" w:rsidRDefault="0013008E" w:rsidP="00AF4A44">
            <w:pPr>
              <w:rPr>
                <w:rFonts w:ascii="Arial" w:hAnsi="Arial" w:cs="Arial"/>
              </w:rPr>
            </w:pPr>
            <w:r w:rsidRPr="0013008E">
              <w:rPr>
                <w:rFonts w:ascii="Arial" w:hAnsi="Arial" w:cs="Arial"/>
                <w:sz w:val="18"/>
              </w:rPr>
              <w:t>The policy label diffused, but communication channels did not consistently transmit operational knowledge.</w:t>
            </w:r>
          </w:p>
        </w:tc>
      </w:tr>
      <w:tr w:rsidR="0013008E" w:rsidRPr="0013008E" w14:paraId="4383C082" w14:textId="77777777" w:rsidTr="00AF4A44">
        <w:trPr>
          <w:jc w:val="center"/>
        </w:trPr>
        <w:tc>
          <w:tcPr>
            <w:tcW w:w="2880" w:type="dxa"/>
            <w:vAlign w:val="center"/>
          </w:tcPr>
          <w:p w14:paraId="5F9C96B2" w14:textId="77777777" w:rsidR="0013008E" w:rsidRPr="0013008E" w:rsidRDefault="0013008E" w:rsidP="00AF4A44">
            <w:pPr>
              <w:rPr>
                <w:rFonts w:ascii="Arial" w:hAnsi="Arial" w:cs="Arial"/>
              </w:rPr>
            </w:pPr>
            <w:r w:rsidRPr="0013008E">
              <w:rPr>
                <w:rFonts w:ascii="Arial" w:hAnsi="Arial" w:cs="Arial"/>
                <w:sz w:val="18"/>
              </w:rPr>
              <w:t>Localized reading programs and school adaptations</w:t>
            </w:r>
          </w:p>
        </w:tc>
        <w:tc>
          <w:tcPr>
            <w:tcW w:w="2880" w:type="dxa"/>
            <w:vAlign w:val="center"/>
          </w:tcPr>
          <w:p w14:paraId="154E0E8C" w14:textId="77777777" w:rsidR="0013008E" w:rsidRPr="0013008E" w:rsidRDefault="0013008E" w:rsidP="00AF4A44">
            <w:pPr>
              <w:rPr>
                <w:rFonts w:ascii="Arial" w:hAnsi="Arial" w:cs="Arial"/>
              </w:rPr>
            </w:pPr>
            <w:r w:rsidRPr="0013008E">
              <w:rPr>
                <w:rFonts w:ascii="Arial" w:hAnsi="Arial" w:cs="Arial"/>
                <w:sz w:val="18"/>
              </w:rPr>
              <w:t>Top-down / Bottom-up Implementation (Sabatier, 1986)</w:t>
            </w:r>
          </w:p>
        </w:tc>
        <w:tc>
          <w:tcPr>
            <w:tcW w:w="3456" w:type="dxa"/>
            <w:vAlign w:val="center"/>
          </w:tcPr>
          <w:p w14:paraId="6E90C934" w14:textId="77777777" w:rsidR="0013008E" w:rsidRPr="0013008E" w:rsidRDefault="0013008E" w:rsidP="00AF4A44">
            <w:pPr>
              <w:rPr>
                <w:rFonts w:ascii="Arial" w:hAnsi="Arial" w:cs="Arial"/>
              </w:rPr>
            </w:pPr>
            <w:r w:rsidRPr="0013008E">
              <w:rPr>
                <w:rFonts w:ascii="Arial" w:hAnsi="Arial" w:cs="Arial"/>
                <w:sz w:val="18"/>
              </w:rPr>
              <w:t>Schools adapted central policy, but the upward feedback loop from classrooms to policymakers was weak.</w:t>
            </w:r>
          </w:p>
        </w:tc>
      </w:tr>
      <w:tr w:rsidR="0013008E" w:rsidRPr="0013008E" w14:paraId="37482DBE" w14:textId="77777777" w:rsidTr="00AF4A44">
        <w:trPr>
          <w:jc w:val="center"/>
        </w:trPr>
        <w:tc>
          <w:tcPr>
            <w:tcW w:w="2880" w:type="dxa"/>
            <w:vAlign w:val="center"/>
          </w:tcPr>
          <w:p w14:paraId="307D155E" w14:textId="77777777" w:rsidR="0013008E" w:rsidRPr="0013008E" w:rsidRDefault="0013008E" w:rsidP="00AF4A44">
            <w:pPr>
              <w:rPr>
                <w:rFonts w:ascii="Arial" w:hAnsi="Arial" w:cs="Arial"/>
              </w:rPr>
            </w:pPr>
            <w:r w:rsidRPr="0013008E">
              <w:rPr>
                <w:rFonts w:ascii="Arial" w:hAnsi="Arial" w:cs="Arial"/>
                <w:sz w:val="18"/>
              </w:rPr>
              <w:t>Training and material shortages</w:t>
            </w:r>
          </w:p>
        </w:tc>
        <w:tc>
          <w:tcPr>
            <w:tcW w:w="2880" w:type="dxa"/>
            <w:vAlign w:val="center"/>
          </w:tcPr>
          <w:p w14:paraId="49A97E54" w14:textId="77777777" w:rsidR="0013008E" w:rsidRPr="0013008E" w:rsidRDefault="0013008E" w:rsidP="00AF4A44">
            <w:pPr>
              <w:rPr>
                <w:rFonts w:ascii="Arial" w:hAnsi="Arial" w:cs="Arial"/>
              </w:rPr>
            </w:pPr>
            <w:r w:rsidRPr="0013008E">
              <w:rPr>
                <w:rFonts w:ascii="Arial" w:hAnsi="Arial" w:cs="Arial"/>
                <w:sz w:val="18"/>
              </w:rPr>
              <w:t>Social Cognitive Theory (Bandura, 1986)</w:t>
            </w:r>
          </w:p>
        </w:tc>
        <w:tc>
          <w:tcPr>
            <w:tcW w:w="3456" w:type="dxa"/>
            <w:vAlign w:val="center"/>
          </w:tcPr>
          <w:p w14:paraId="06604BCA" w14:textId="77777777" w:rsidR="0013008E" w:rsidRPr="0013008E" w:rsidRDefault="0013008E" w:rsidP="00AF4A44">
            <w:pPr>
              <w:rPr>
                <w:rFonts w:ascii="Arial" w:hAnsi="Arial" w:cs="Arial"/>
              </w:rPr>
            </w:pPr>
            <w:r w:rsidRPr="0013008E">
              <w:rPr>
                <w:rFonts w:ascii="Arial" w:hAnsi="Arial" w:cs="Arial"/>
                <w:sz w:val="18"/>
              </w:rPr>
              <w:t>Inadequate mastery experiences, modelling, and environmental support reduced teacher self-efficacy.</w:t>
            </w:r>
          </w:p>
        </w:tc>
      </w:tr>
      <w:tr w:rsidR="0013008E" w:rsidRPr="0013008E" w14:paraId="5B71DA7E" w14:textId="77777777" w:rsidTr="00AF4A44">
        <w:trPr>
          <w:jc w:val="center"/>
        </w:trPr>
        <w:tc>
          <w:tcPr>
            <w:tcW w:w="2880" w:type="dxa"/>
            <w:vAlign w:val="center"/>
          </w:tcPr>
          <w:p w14:paraId="670FB60D" w14:textId="77777777" w:rsidR="0013008E" w:rsidRPr="0013008E" w:rsidRDefault="0013008E" w:rsidP="00AF4A44">
            <w:pPr>
              <w:rPr>
                <w:rFonts w:ascii="Arial" w:hAnsi="Arial" w:cs="Arial"/>
              </w:rPr>
            </w:pPr>
            <w:r w:rsidRPr="0013008E">
              <w:rPr>
                <w:rFonts w:ascii="Arial" w:hAnsi="Arial" w:cs="Arial"/>
                <w:sz w:val="18"/>
              </w:rPr>
              <w:t>Leadership turnover disrupting reading programs</w:t>
            </w:r>
          </w:p>
        </w:tc>
        <w:tc>
          <w:tcPr>
            <w:tcW w:w="2880" w:type="dxa"/>
            <w:vAlign w:val="center"/>
          </w:tcPr>
          <w:p w14:paraId="60C7FD5E" w14:textId="77777777" w:rsidR="0013008E" w:rsidRPr="0013008E" w:rsidRDefault="0013008E" w:rsidP="00AF4A44">
            <w:pPr>
              <w:rPr>
                <w:rFonts w:ascii="Arial" w:hAnsi="Arial" w:cs="Arial"/>
              </w:rPr>
            </w:pPr>
            <w:r w:rsidRPr="0013008E">
              <w:rPr>
                <w:rFonts w:ascii="Arial" w:hAnsi="Arial" w:cs="Arial"/>
                <w:sz w:val="18"/>
              </w:rPr>
              <w:t>Change Management Theory (Phillips &amp; Klein, 2023)</w:t>
            </w:r>
          </w:p>
        </w:tc>
        <w:tc>
          <w:tcPr>
            <w:tcW w:w="3456" w:type="dxa"/>
            <w:vAlign w:val="center"/>
          </w:tcPr>
          <w:p w14:paraId="734FE785" w14:textId="77777777" w:rsidR="0013008E" w:rsidRPr="0013008E" w:rsidRDefault="0013008E" w:rsidP="00AF4A44">
            <w:pPr>
              <w:rPr>
                <w:rFonts w:ascii="Arial" w:hAnsi="Arial" w:cs="Arial"/>
              </w:rPr>
            </w:pPr>
            <w:r w:rsidRPr="0013008E">
              <w:rPr>
                <w:rFonts w:ascii="Arial" w:hAnsi="Arial" w:cs="Arial"/>
                <w:sz w:val="18"/>
              </w:rPr>
              <w:t>Reform depended on individual champions rather than institutional routines.</w:t>
            </w:r>
          </w:p>
        </w:tc>
      </w:tr>
      <w:tr w:rsidR="0013008E" w:rsidRPr="0013008E" w14:paraId="58165713" w14:textId="77777777" w:rsidTr="00AF4A44">
        <w:trPr>
          <w:jc w:val="center"/>
        </w:trPr>
        <w:tc>
          <w:tcPr>
            <w:tcW w:w="2880" w:type="dxa"/>
            <w:vAlign w:val="center"/>
          </w:tcPr>
          <w:p w14:paraId="39D7F34F" w14:textId="77777777" w:rsidR="0013008E" w:rsidRPr="0013008E" w:rsidRDefault="0013008E" w:rsidP="00AF4A44">
            <w:pPr>
              <w:rPr>
                <w:rFonts w:ascii="Arial" w:hAnsi="Arial" w:cs="Arial"/>
              </w:rPr>
            </w:pPr>
            <w:r w:rsidRPr="0013008E">
              <w:rPr>
                <w:rFonts w:ascii="Arial" w:hAnsi="Arial" w:cs="Arial"/>
                <w:sz w:val="18"/>
              </w:rPr>
              <w:t>Pressure to rectify reports and pass non-readers</w:t>
            </w:r>
          </w:p>
        </w:tc>
        <w:tc>
          <w:tcPr>
            <w:tcW w:w="2880" w:type="dxa"/>
            <w:vAlign w:val="center"/>
          </w:tcPr>
          <w:p w14:paraId="2C9DE7E1" w14:textId="77777777" w:rsidR="0013008E" w:rsidRPr="0013008E" w:rsidRDefault="0013008E" w:rsidP="00AF4A44">
            <w:pPr>
              <w:rPr>
                <w:rFonts w:ascii="Arial" w:hAnsi="Arial" w:cs="Arial"/>
              </w:rPr>
            </w:pPr>
            <w:r w:rsidRPr="0013008E">
              <w:rPr>
                <w:rFonts w:ascii="Arial" w:hAnsi="Arial" w:cs="Arial"/>
                <w:sz w:val="18"/>
              </w:rPr>
              <w:t>Policy implementation and accountability incentives</w:t>
            </w:r>
          </w:p>
        </w:tc>
        <w:tc>
          <w:tcPr>
            <w:tcW w:w="3456" w:type="dxa"/>
            <w:vAlign w:val="center"/>
          </w:tcPr>
          <w:p w14:paraId="40D575D6" w14:textId="77777777" w:rsidR="0013008E" w:rsidRPr="0013008E" w:rsidRDefault="0013008E" w:rsidP="00AF4A44">
            <w:pPr>
              <w:rPr>
                <w:rFonts w:ascii="Arial" w:hAnsi="Arial" w:cs="Arial"/>
              </w:rPr>
            </w:pPr>
            <w:r w:rsidRPr="0013008E">
              <w:rPr>
                <w:rFonts w:ascii="Arial" w:hAnsi="Arial" w:cs="Arial"/>
                <w:sz w:val="18"/>
              </w:rPr>
              <w:t>Accountability pressures may privilege reputational protection over honest diagnosis.</w:t>
            </w:r>
          </w:p>
        </w:tc>
      </w:tr>
    </w:tbl>
    <w:p w14:paraId="65997B90" w14:textId="77777777" w:rsidR="00B5787D" w:rsidRPr="0013008E" w:rsidRDefault="00B5787D">
      <w:pPr>
        <w:spacing w:line="120" w:lineRule="auto"/>
        <w:jc w:val="both"/>
      </w:pPr>
    </w:p>
    <w:p w14:paraId="4C2636A0" w14:textId="77777777" w:rsidR="00B5787D" w:rsidRDefault="004544BE">
      <w:pPr>
        <w:spacing w:before="280" w:after="100"/>
        <w:rPr>
          <w:b/>
          <w:bCs/>
          <w:caps/>
          <w:sz w:val="22"/>
          <w:szCs w:val="22"/>
        </w:rPr>
      </w:pPr>
      <w:r>
        <w:rPr>
          <w:b/>
          <w:bCs/>
          <w:caps/>
          <w:sz w:val="22"/>
          <w:szCs w:val="22"/>
        </w:rPr>
        <w:t>4. DISCUSSION</w:t>
      </w:r>
    </w:p>
    <w:p w14:paraId="13E1214E" w14:textId="77777777" w:rsidR="0013008E" w:rsidRPr="0013008E" w:rsidRDefault="0013008E" w:rsidP="0013008E">
      <w:pPr>
        <w:spacing w:after="120" w:line="259" w:lineRule="auto"/>
        <w:ind w:firstLine="360"/>
      </w:pPr>
      <w:r w:rsidRPr="0013008E">
        <w:t>The discussion is organized around the study’s three research questions. Sections 4.1 and 4.2 interpret teachers’ awareness, experiences, and implementation challenges in relation to ECARP as an implementation system. Section 4.3 integrates theoretical and practical implications, while Section 4.4 states the study’s limitations and future research directions.</w:t>
      </w:r>
    </w:p>
    <w:p w14:paraId="710A86DE" w14:textId="77777777" w:rsidR="00B5787D" w:rsidRDefault="004544BE">
      <w:pPr>
        <w:spacing w:before="200" w:after="80"/>
      </w:pPr>
      <w:r>
        <w:rPr>
          <w:b/>
          <w:bCs/>
          <w:sz w:val="22"/>
          <w:szCs w:val="22"/>
        </w:rPr>
        <w:t>4.1 ECARP as an Implementation System</w:t>
      </w:r>
    </w:p>
    <w:p w14:paraId="7BA7C6FA" w14:textId="77777777" w:rsidR="0013008E" w:rsidRDefault="0013008E" w:rsidP="0013008E">
      <w:pPr>
        <w:spacing w:before="200" w:after="80"/>
      </w:pPr>
      <w:r>
        <w:t xml:space="preserve">In relation to the first research question, the findings indicate that ECARP’s central challenge is not teacher rejection of reading programs. All 34 teachers recognized the importance of reading intervention. </w:t>
      </w:r>
      <w:r>
        <w:lastRenderedPageBreak/>
        <w:t>The difficulty is that policy commitment has not consistently translated into implementation fidelity. Teachers reported confusion about ECARP’s distinct identity, uneven training, material shortages, inconsistent leadership, competing workload demands, weak home support, and pressure on honest reporting. These conditions explain how a policy with a broadly accepted purpose can still produce uneven classroom effects.</w:t>
      </w:r>
    </w:p>
    <w:p w14:paraId="4FBDBFDD" w14:textId="77777777" w:rsidR="0013008E" w:rsidRDefault="0013008E" w:rsidP="0013008E">
      <w:pPr>
        <w:spacing w:before="200" w:after="80"/>
      </w:pPr>
      <w:r>
        <w:t>This finding extends research on Philippine education reform by showing that ECARP has been reinforced through memoranda, renamed initiatives, and school-based activities, yet remains weak in functional terms because teachers do not consistently receive clear operational guidance, protected time, validated materials, and credible feedback systems. Policies without implementation infrastructure tend to generate compliance rather than learning. This contribution differs from studies that primarily document low reading performance; the present study shows how teachers experience the policy supports, reporting practices, and local adaptations that mediate between policy intent and classroom enactment.</w:t>
      </w:r>
    </w:p>
    <w:p w14:paraId="4F2DB5DE" w14:textId="27D5CA47" w:rsidR="00B5787D" w:rsidRDefault="004544BE" w:rsidP="0013008E">
      <w:pPr>
        <w:spacing w:before="200" w:after="80"/>
      </w:pPr>
      <w:r>
        <w:rPr>
          <w:b/>
          <w:bCs/>
          <w:sz w:val="22"/>
          <w:szCs w:val="22"/>
        </w:rPr>
        <w:t>4.2 Persistence of Similar Problems</w:t>
      </w:r>
    </w:p>
    <w:p w14:paraId="66114041" w14:textId="77777777" w:rsidR="0013008E" w:rsidRDefault="0013008E" w:rsidP="0013008E">
      <w:pPr>
        <w:spacing w:before="200" w:after="80"/>
      </w:pPr>
      <w:r>
        <w:t xml:space="preserve">In relation to the second research question, the recurrence of limited training, scarce materials, workload pressures, and inconsistent leadership across teacher accounts and prior studies (David et al., 2019; </w:t>
      </w:r>
      <w:proofErr w:type="spellStart"/>
      <w:r>
        <w:t>Idulog</w:t>
      </w:r>
      <w:proofErr w:type="spellEnd"/>
      <w:r>
        <w:t xml:space="preserve"> et al., 2023; Lucas et al., 2021) suggests that these are not isolated operational lapses. They are sustained by structural incentives. First, schools and divisions operate under reportable indicators, and the easiest indicator to control may become the report itself rather than the instructional reality. Second, promotion pressures may detach grade level from reading proficiency, leaving teachers in higher grades to inherit non-readers without commensurate remediation support. Third, program proliferation can create the appearance of responsiveness without consolidating the operational learning of earlier initiatives.</w:t>
      </w:r>
    </w:p>
    <w:p w14:paraId="3EDAFABE" w14:textId="77777777" w:rsidR="0013008E" w:rsidRDefault="0013008E" w:rsidP="0013008E">
      <w:pPr>
        <w:spacing w:before="200" w:after="80"/>
      </w:pPr>
      <w:r>
        <w:t>This pattern is consistent with international scholarship on policy decoupling, which describes how organizations under institutional pressure may adopt the symbols of reform while leaving core practices largely unchanged (Coburn, 2016). EDCOM II (2024) similarly characterizes the Philippines’ education governance as a system in which compliance signals and instructional realities have drifted apart. The accounts of reporting pressure are also relevant to the teaching-testing nexus. Tayeb (2023) argues that testing can support learning when it is well aligned with teaching, but it can also distort instructional priorities when assessment becomes detached from learning improvement. In the ECARP context, teacher accounts suggest that reading assessment and reporting become problematic when the production of acceptable figures is valued more than the honest diagnosis of struggling readers. Under such conditions, assessment data may no longer function as feedback for instructional support; instead, it may become an administrative signal that teachers and schools are pressured to manage.</w:t>
      </w:r>
    </w:p>
    <w:p w14:paraId="1EC9A05F" w14:textId="77777777" w:rsidR="0013008E" w:rsidRDefault="0013008E" w:rsidP="0013008E">
      <w:pPr>
        <w:spacing w:before="200" w:after="80"/>
      </w:pPr>
      <w:r>
        <w:t>The implication is not that reporting, inclusion, or innovation should be abandoned. Rather, incentives must be rebalanced. Schools that report many struggling readers should be treated as sites requiring targeted assistance rather than reputational repair. Promotion decisions should be paired with explicit remediation entitlements. New initiatives should specify how they consolidate, rather than displace, earlier programs.</w:t>
      </w:r>
    </w:p>
    <w:p w14:paraId="66021BD4" w14:textId="648BBCC9" w:rsidR="00B5787D" w:rsidRDefault="004544BE" w:rsidP="0013008E">
      <w:pPr>
        <w:spacing w:before="200" w:after="80"/>
      </w:pPr>
      <w:r>
        <w:rPr>
          <w:b/>
          <w:bCs/>
          <w:sz w:val="22"/>
          <w:szCs w:val="22"/>
        </w:rPr>
        <w:t>4.3 Theoretical</w:t>
      </w:r>
      <w:r w:rsidR="0013008E">
        <w:rPr>
          <w:b/>
          <w:bCs/>
          <w:sz w:val="22"/>
          <w:szCs w:val="22"/>
        </w:rPr>
        <w:t xml:space="preserve"> and Practical</w:t>
      </w:r>
      <w:r>
        <w:rPr>
          <w:b/>
          <w:bCs/>
          <w:sz w:val="22"/>
          <w:szCs w:val="22"/>
        </w:rPr>
        <w:t xml:space="preserve"> Implications</w:t>
      </w:r>
    </w:p>
    <w:p w14:paraId="655A6D3C" w14:textId="77777777" w:rsidR="0013008E" w:rsidRDefault="0013008E" w:rsidP="0013008E">
      <w:pPr>
        <w:spacing w:before="200" w:after="80"/>
      </w:pPr>
      <w:r>
        <w:t>In relation to the third research question, the study offers both theoretical and practical implications. Top-down/bottom-up implementation theory (Sabatier, 1986) clarifies the asymmetry in ECARP implementation: national policy is issued centrally, but its operational meaning is produced locally, and the upward feedback channel is weak. Change management theory (Phillips &amp; Klein, 2023) explains why programs collapse when they depend on individual principals instead of institutional routines. Social cognitive theory (Bandura, 1986) clarifies why training and materials affect teacher self-efficacy: without mastery experiences, modelling, and environmental support, teachers rely on improvisation. Diffusion of innovations theory (Rogers, 2003) explains why ECARP diffused as a label without consistently diffusing as a coherent set of practices.</w:t>
      </w:r>
    </w:p>
    <w:p w14:paraId="591D80BF" w14:textId="77777777" w:rsidR="0013008E" w:rsidRDefault="0013008E" w:rsidP="0013008E">
      <w:pPr>
        <w:spacing w:before="200" w:after="80"/>
      </w:pPr>
      <w:r>
        <w:t xml:space="preserve">Taken together, the four lenses suggest that ECARP requires both central clarity and local responsiveness. A purely top-down approach risks compliance without ownership; a purely localized </w:t>
      </w:r>
      <w:r>
        <w:lastRenderedPageBreak/>
        <w:t>approach risks fragmentation. Implementation should combine a common operational standard with structured teacher feedback, school-level adaptation, and division-level support. In this sense, teachers are not merely implementers; they are also sources of implementation intelligence.</w:t>
      </w:r>
    </w:p>
    <w:p w14:paraId="53302261" w14:textId="77777777" w:rsidR="0013008E" w:rsidRDefault="0013008E" w:rsidP="0013008E">
      <w:pPr>
        <w:spacing w:before="200" w:after="80"/>
      </w:pPr>
      <w:r>
        <w:t>Seven practical implications follow. First, ECARP requires a clearer implementation guide that distinguishes its original objectives from related initiatives while showing how they connect. Second, teacher training should be regular, inclusive, and practice-based rather than reliant on memo-based selection and short re-echo sessions. Third, DepEd should provide validated reading materials aligned with learner reading levels and ages. Fourth, schools require protected remediation time that is not displaced by meetings, reports, or unrelated activities. Fifth, accountability systems should reward truthful reporting by making accurate reading data trigger assistance rather than pressure to revise figures. Sixth, teacher feedback should be institutionalized through bottom-up mechanisms such as implementation reviews and consultation groups. Seventh, parental and community engagement should be designed through realistic home-reading strategies rather than assumed as an existing condition.</w:t>
      </w:r>
    </w:p>
    <w:p w14:paraId="1A8E8B5D" w14:textId="77777777" w:rsidR="0013008E" w:rsidRPr="0013008E" w:rsidRDefault="0013008E" w:rsidP="0013008E">
      <w:pPr>
        <w:spacing w:before="120" w:after="80" w:line="259" w:lineRule="auto"/>
      </w:pPr>
      <w:r w:rsidRPr="0013008E">
        <w:rPr>
          <w:b/>
          <w:sz w:val="22"/>
        </w:rPr>
        <w:t>4.4 Limitations and Future Research</w:t>
      </w:r>
    </w:p>
    <w:p w14:paraId="698526AE" w14:textId="77777777" w:rsidR="0013008E" w:rsidRPr="0013008E" w:rsidRDefault="0013008E" w:rsidP="0013008E">
      <w:pPr>
        <w:spacing w:after="120" w:line="259" w:lineRule="auto"/>
        <w:ind w:firstLine="360"/>
      </w:pPr>
      <w:r w:rsidRPr="0013008E">
        <w:t>The study has several limitations that should be considered when interpreting the findings. First, although 34 interviews are appropriate for qualitative inquiry, participants came from two adjacent and comparatively accessible locations, Baguio City and La Trinidad. These settings may have stronger institutional resources than remote, rural, low-performing, or geographically isolated schools. The findings are therefore analytically transferable rather than statistically generalizable. They may be most applicable to contexts where teachers implement national reading policies through school-based programs while facing workload, material, leadership, and reporting pressures.</w:t>
      </w:r>
    </w:p>
    <w:p w14:paraId="3429CE62" w14:textId="77777777" w:rsidR="0013008E" w:rsidRPr="0013008E" w:rsidRDefault="0013008E" w:rsidP="0013008E">
      <w:pPr>
        <w:spacing w:after="120" w:line="259" w:lineRule="auto"/>
        <w:ind w:firstLine="360"/>
      </w:pPr>
      <w:r w:rsidRPr="0013008E">
        <w:t xml:space="preserve">Second, the study relies on teacher self-reports. Teacher accounts are valuable because teachers occupy the front line of implementation, but interview data may be shaped by recall, personal interpretation, and social desirability. Some participants may emphasize system-level barriers more than individual instructional limitations, while others may understate sensitive experiences involving reporting or leadership. The study addressed this limitation through cross-case comparison, reflexive </w:t>
      </w:r>
      <w:proofErr w:type="spellStart"/>
      <w:r w:rsidRPr="0013008E">
        <w:t>memoing</w:t>
      </w:r>
      <w:proofErr w:type="spellEnd"/>
      <w:r w:rsidRPr="0013008E">
        <w:t>, and careful anonymization, but future research should triangulate the findings with classroom observations, learner reading records, school-level reports, policy documents, and interviews with school heads, parents, learners, and division-level implementers.</w:t>
      </w:r>
    </w:p>
    <w:p w14:paraId="42DF5207" w14:textId="77777777" w:rsidR="0013008E" w:rsidRPr="0013008E" w:rsidRDefault="0013008E" w:rsidP="0013008E">
      <w:pPr>
        <w:spacing w:after="120" w:line="259" w:lineRule="auto"/>
        <w:ind w:firstLine="360"/>
      </w:pPr>
      <w:r w:rsidRPr="0013008E">
        <w:t>Third, the study did not formally interview policy implementers at division and central levels. As a result, the findings primarily represent teacher perspectives rather than the full implementation chain. Future studies should extend the locale to rural, remote, geographically isolated, and low-performing schools and should compare teacher accounts with administrative perspectives. Such work would provide a fuller picture of how ECARP functions across different contexts and how implementation support can be targeted more precisely.</w:t>
      </w:r>
    </w:p>
    <w:p w14:paraId="09445F2A" w14:textId="77777777" w:rsidR="00B5787D" w:rsidRDefault="004544BE">
      <w:pPr>
        <w:spacing w:before="280" w:after="100"/>
      </w:pPr>
      <w:r>
        <w:rPr>
          <w:b/>
          <w:bCs/>
          <w:caps/>
          <w:sz w:val="22"/>
          <w:szCs w:val="22"/>
        </w:rPr>
        <w:t>5. CONCLUSION</w:t>
      </w:r>
    </w:p>
    <w:p w14:paraId="1D9A9047" w14:textId="77777777" w:rsidR="0013008E" w:rsidRDefault="0013008E" w:rsidP="0013008E">
      <w:pPr>
        <w:spacing w:after="100" w:line="252" w:lineRule="auto"/>
        <w:jc w:val="both"/>
      </w:pPr>
      <w:r>
        <w:t>This study examined how teachers in Baguio City and La Trinidad perceive and experience the implementation of ECARP and related reading initiatives. The findings indicate that teachers generally support the goal of making every child a reader, but they encounter ECARP through an uneven implementation system. The study’s distinctive contribution lies in showing that the implementation gap is not limited to shortages of materials or training. It also involves nominal policy awareness, fragmented local adaptation, unstable leadership continuity, reportorial pressure, and weak feedback mechanisms between classroom implementers and policy decision-makers.</w:t>
      </w:r>
    </w:p>
    <w:p w14:paraId="4D9DB461" w14:textId="77777777" w:rsidR="0013008E" w:rsidRDefault="0013008E" w:rsidP="0013008E">
      <w:pPr>
        <w:spacing w:after="100" w:line="252" w:lineRule="auto"/>
        <w:jc w:val="both"/>
      </w:pPr>
      <w:r>
        <w:t xml:space="preserve">Recent studies and national reports have documented persistent reading difficulties and broader weaknesses in Philippine basic education. This study extends that discussion by showing how those weaknesses are experienced at the level of teacher implementation. ECARP’s challenge is therefore not simply a failure of policy intent, but a failure to provide the operational infrastructure needed for functional adoption. Stronger implementation requires clear standards, validated and age-appropriate materials, </w:t>
      </w:r>
      <w:r>
        <w:lastRenderedPageBreak/>
        <w:t>sustained teacher training, protected remediation time, truthful reporting systems, leadership continuity, and institutionalized teacher participation in policy review.</w:t>
      </w:r>
    </w:p>
    <w:p w14:paraId="6780D7DA" w14:textId="361DDD1B" w:rsidR="00412900" w:rsidRDefault="0013008E" w:rsidP="0013008E">
      <w:pPr>
        <w:spacing w:after="100" w:line="252" w:lineRule="auto"/>
        <w:jc w:val="both"/>
      </w:pPr>
      <w:r>
        <w:t>The findings should be interpreted as analytically transferable rather than statistically generalizable. Since the study was conducted in two accessible localities, future research should examine ECARP implementation in rural, remote, geographically isolated, and low-performing schools. Further studies may also triangulate teacher interviews with classroom observations, learner reading records, school-level reports, and interviews with school heads, parents, learners, and division-level implementers. Only through such implementation-focused evidence can ECARP and related reading initiatives move closer to their central objective: ensuring that every learner receives the support needed to become a reader.</w:t>
      </w:r>
    </w:p>
    <w:p w14:paraId="5FF93B6E" w14:textId="77777777" w:rsidR="0013008E" w:rsidRDefault="0013008E" w:rsidP="0013008E">
      <w:pPr>
        <w:spacing w:after="100" w:line="252" w:lineRule="auto"/>
        <w:jc w:val="both"/>
      </w:pPr>
    </w:p>
    <w:p w14:paraId="42732343" w14:textId="77777777" w:rsidR="00412900" w:rsidRPr="0013008E" w:rsidRDefault="00412900" w:rsidP="00412900">
      <w:pPr>
        <w:spacing w:after="100" w:line="252" w:lineRule="auto"/>
        <w:jc w:val="both"/>
        <w:rPr>
          <w:b/>
          <w:bCs/>
        </w:rPr>
      </w:pPr>
      <w:r w:rsidRPr="0013008E">
        <w:rPr>
          <w:b/>
          <w:bCs/>
        </w:rPr>
        <w:t>COMPETING INTERESTS DISCLAIMER:</w:t>
      </w:r>
    </w:p>
    <w:p w14:paraId="766F972F" w14:textId="5F1432C6" w:rsidR="00412900" w:rsidRDefault="00412900" w:rsidP="00412900">
      <w:pPr>
        <w:spacing w:after="100" w:line="252" w:lineRule="auto"/>
        <w:jc w:val="both"/>
      </w:pPr>
      <w:r>
        <w:t>Authors have declared that they have no known competing financial interests OR non-financial interests OR personal relationships that could have appeared to influence the work reported in this paper.</w:t>
      </w:r>
    </w:p>
    <w:p w14:paraId="24ECBBD6" w14:textId="77777777" w:rsidR="00A81B8E" w:rsidRDefault="00A81B8E" w:rsidP="00412900">
      <w:pPr>
        <w:spacing w:after="100" w:line="252" w:lineRule="auto"/>
        <w:jc w:val="both"/>
      </w:pPr>
    </w:p>
    <w:p w14:paraId="360072E2" w14:textId="77777777" w:rsidR="00A81B8E" w:rsidRPr="0013008E" w:rsidRDefault="00A81B8E" w:rsidP="00A81B8E">
      <w:pPr>
        <w:rPr>
          <w:rFonts w:eastAsia="Calibri"/>
          <w:b/>
          <w:bCs/>
          <w:kern w:val="2"/>
          <w:sz w:val="22"/>
          <w:szCs w:val="22"/>
          <w:highlight w:val="yellow"/>
        </w:rPr>
      </w:pPr>
      <w:bookmarkStart w:id="0" w:name="_Hlk198031404"/>
      <w:r w:rsidRPr="0013008E">
        <w:rPr>
          <w:rFonts w:eastAsia="Calibri"/>
          <w:b/>
          <w:bCs/>
          <w:kern w:val="2"/>
          <w:sz w:val="22"/>
          <w:szCs w:val="22"/>
          <w:highlight w:val="yellow"/>
        </w:rPr>
        <w:t>Disclaimer (Artificial intelligence)</w:t>
      </w:r>
    </w:p>
    <w:p w14:paraId="4A440FA8" w14:textId="77777777" w:rsidR="00A81B8E" w:rsidRPr="0013008E" w:rsidRDefault="00A81B8E" w:rsidP="00A81B8E">
      <w:pPr>
        <w:rPr>
          <w:rFonts w:eastAsia="Calibri"/>
          <w:kern w:val="2"/>
          <w:sz w:val="22"/>
          <w:szCs w:val="22"/>
          <w:highlight w:val="yellow"/>
        </w:rPr>
      </w:pPr>
    </w:p>
    <w:bookmarkEnd w:id="0"/>
    <w:p w14:paraId="0AA10536" w14:textId="14967B9A" w:rsidR="00412900" w:rsidRPr="0013008E" w:rsidRDefault="0013008E">
      <w:pPr>
        <w:spacing w:after="100" w:line="252" w:lineRule="auto"/>
        <w:jc w:val="both"/>
      </w:pPr>
      <w:r w:rsidRPr="0013008E">
        <w:rPr>
          <w:rFonts w:eastAsia="Calibri"/>
          <w:kern w:val="2"/>
          <w:sz w:val="22"/>
          <w:szCs w:val="22"/>
        </w:rPr>
        <w:t>The author acknowledges the use of generative AI-assisted editorial support for language refinement, formatting support, and preparation of revision materials. The author reviewed and verified the manuscript, and retains full responsibility for the research data, analysis, interpretation, scholarly claims, and final content.</w:t>
      </w:r>
    </w:p>
    <w:p w14:paraId="453B400E" w14:textId="77777777" w:rsidR="00B5787D" w:rsidRDefault="004544BE">
      <w:pPr>
        <w:spacing w:before="280" w:after="100"/>
      </w:pPr>
      <w:r>
        <w:rPr>
          <w:b/>
          <w:bCs/>
          <w:caps/>
          <w:sz w:val="22"/>
          <w:szCs w:val="22"/>
        </w:rPr>
        <w:t>REFERENCES</w:t>
      </w:r>
    </w:p>
    <w:p w14:paraId="62A49BC4" w14:textId="77777777" w:rsidR="0013008E" w:rsidRDefault="0013008E" w:rsidP="003643CD">
      <w:pPr>
        <w:pStyle w:val="ListParagraph"/>
        <w:numPr>
          <w:ilvl w:val="0"/>
          <w:numId w:val="2"/>
        </w:numPr>
        <w:spacing w:before="280" w:after="100"/>
      </w:pPr>
      <w:bookmarkStart w:id="1" w:name="_GoBack"/>
      <w:r>
        <w:t>Bandura, A. (1986). Social foundations of thought and action: A social cognitive theory. Prentice Hall.</w:t>
      </w:r>
    </w:p>
    <w:p w14:paraId="5FF8A676" w14:textId="77777777" w:rsidR="0013008E" w:rsidRDefault="0013008E" w:rsidP="003643CD">
      <w:pPr>
        <w:pStyle w:val="ListParagraph"/>
        <w:numPr>
          <w:ilvl w:val="0"/>
          <w:numId w:val="2"/>
        </w:numPr>
        <w:spacing w:before="280" w:after="100"/>
      </w:pPr>
      <w:r>
        <w:t>Bautista, M. C. R. B., Bernardo, A. B. I., &amp; Ocampo, D. (2008). When reforms don’t transform: Reflections on institutional reforms in the Department of Education. Human Development Network.</w:t>
      </w:r>
    </w:p>
    <w:p w14:paraId="6116EB29" w14:textId="77777777" w:rsidR="0013008E" w:rsidRDefault="0013008E" w:rsidP="003643CD">
      <w:pPr>
        <w:pStyle w:val="ListParagraph"/>
        <w:numPr>
          <w:ilvl w:val="0"/>
          <w:numId w:val="2"/>
        </w:numPr>
        <w:spacing w:before="280" w:after="100"/>
      </w:pPr>
      <w:r>
        <w:t>Berger, R. (2015). Now I see it, now I don’t: Researcher’s position and reflexivity in qualitative research. Qualitative Research, 15(2), 219–234. https://doi.org/10.1177/1468794112468475</w:t>
      </w:r>
    </w:p>
    <w:p w14:paraId="47486C1F" w14:textId="77777777" w:rsidR="0013008E" w:rsidRDefault="0013008E" w:rsidP="003643CD">
      <w:pPr>
        <w:pStyle w:val="ListParagraph"/>
        <w:numPr>
          <w:ilvl w:val="0"/>
          <w:numId w:val="2"/>
        </w:numPr>
        <w:spacing w:before="280" w:after="100"/>
      </w:pPr>
      <w:r>
        <w:t>Braun, V., &amp; Clarke, V. (2006). Using thematic analysis in psychology. Qualitative Research in Psychology, 3(2), 77–101. https://doi.org/10.1191/1478088706qp063oa</w:t>
      </w:r>
    </w:p>
    <w:p w14:paraId="4068AE23" w14:textId="77777777" w:rsidR="0013008E" w:rsidRDefault="0013008E" w:rsidP="003643CD">
      <w:pPr>
        <w:pStyle w:val="ListParagraph"/>
        <w:numPr>
          <w:ilvl w:val="0"/>
          <w:numId w:val="2"/>
        </w:numPr>
        <w:spacing w:before="280" w:after="100"/>
      </w:pPr>
      <w:r>
        <w:t>Coburn, C. E. (2016). What’s policy got to do with it? How the structure-agency debate can illuminate policy implementation. American Journal of Education, 122(3), 465–475. https://doi.org/10.1086/685847</w:t>
      </w:r>
    </w:p>
    <w:p w14:paraId="0AED5C7E" w14:textId="77777777" w:rsidR="0013008E" w:rsidRDefault="0013008E" w:rsidP="003643CD">
      <w:pPr>
        <w:pStyle w:val="ListParagraph"/>
        <w:numPr>
          <w:ilvl w:val="0"/>
          <w:numId w:val="2"/>
        </w:numPr>
        <w:spacing w:before="280" w:after="100"/>
      </w:pPr>
      <w:r>
        <w:t xml:space="preserve">David, C. C., Albert, J. R. G., &amp; </w:t>
      </w:r>
      <w:proofErr w:type="spellStart"/>
      <w:r>
        <w:t>Vizmanos</w:t>
      </w:r>
      <w:proofErr w:type="spellEnd"/>
      <w:r>
        <w:t>, J. F. V. (2019). Pressures on public school teachers and implications on quality (PIDS Policy Notes No. 2019-01). Philippine Institute for Development Studies.</w:t>
      </w:r>
    </w:p>
    <w:p w14:paraId="4F021734" w14:textId="77777777" w:rsidR="0013008E" w:rsidRDefault="0013008E" w:rsidP="003643CD">
      <w:pPr>
        <w:pStyle w:val="ListParagraph"/>
        <w:numPr>
          <w:ilvl w:val="0"/>
          <w:numId w:val="2"/>
        </w:numPr>
        <w:spacing w:before="280" w:after="100"/>
      </w:pPr>
      <w:r>
        <w:t>Department of Education. (2001). DepEd Order No. 34, s. 2001: Two books a year per student.</w:t>
      </w:r>
    </w:p>
    <w:p w14:paraId="1E410008" w14:textId="77777777" w:rsidR="0013008E" w:rsidRDefault="0013008E" w:rsidP="003643CD">
      <w:pPr>
        <w:pStyle w:val="ListParagraph"/>
        <w:numPr>
          <w:ilvl w:val="0"/>
          <w:numId w:val="2"/>
        </w:numPr>
        <w:spacing w:before="280" w:after="100"/>
      </w:pPr>
      <w:r>
        <w:t>Department of Education. (2002). DepEd Order No. 45, s. 2002: Promotion criteria based on literacy skills.</w:t>
      </w:r>
    </w:p>
    <w:p w14:paraId="3EAAFA17" w14:textId="77777777" w:rsidR="0013008E" w:rsidRDefault="0013008E" w:rsidP="003643CD">
      <w:pPr>
        <w:pStyle w:val="ListParagraph"/>
        <w:numPr>
          <w:ilvl w:val="0"/>
          <w:numId w:val="2"/>
        </w:numPr>
        <w:spacing w:before="280" w:after="100"/>
      </w:pPr>
      <w:r>
        <w:lastRenderedPageBreak/>
        <w:t>Department of Education. (2004). DepEd Memorandum No. 324, s. 2004: Philippine Informal Reading Inventory.</w:t>
      </w:r>
    </w:p>
    <w:p w14:paraId="40490D43" w14:textId="77777777" w:rsidR="0013008E" w:rsidRDefault="0013008E" w:rsidP="003643CD">
      <w:pPr>
        <w:pStyle w:val="ListParagraph"/>
        <w:numPr>
          <w:ilvl w:val="0"/>
          <w:numId w:val="2"/>
        </w:numPr>
        <w:spacing w:before="280" w:after="100"/>
      </w:pPr>
      <w:r>
        <w:t>Department of Education. (2015). DepEd Order No. 12, s. 2015: Guidelines on the Early Language, Literacy, and Numeracy Program: Professional development component.</w:t>
      </w:r>
    </w:p>
    <w:p w14:paraId="4D8E9310" w14:textId="77777777" w:rsidR="0013008E" w:rsidRDefault="0013008E" w:rsidP="003643CD">
      <w:pPr>
        <w:pStyle w:val="ListParagraph"/>
        <w:numPr>
          <w:ilvl w:val="0"/>
          <w:numId w:val="2"/>
        </w:numPr>
        <w:spacing w:before="280" w:after="100"/>
      </w:pPr>
      <w:r>
        <w:t>Department of Education. (2018). DepEd Order No. 14, s. 2018: Policy guidelines on the administration of the revised Philippine Informal Reading Inventory.</w:t>
      </w:r>
    </w:p>
    <w:p w14:paraId="71ACB0D7" w14:textId="77777777" w:rsidR="0013008E" w:rsidRDefault="0013008E" w:rsidP="003643CD">
      <w:pPr>
        <w:pStyle w:val="ListParagraph"/>
        <w:numPr>
          <w:ilvl w:val="0"/>
          <w:numId w:val="2"/>
        </w:numPr>
        <w:spacing w:before="280" w:after="100"/>
      </w:pPr>
      <w:r>
        <w:t xml:space="preserve">Department of Education. (2019). DepEd Memorandum No. 173, s. 2019: Hamon: </w:t>
      </w:r>
      <w:proofErr w:type="spellStart"/>
      <w:r>
        <w:t>Bawat</w:t>
      </w:r>
      <w:proofErr w:type="spellEnd"/>
      <w:r>
        <w:t xml:space="preserve"> Bata </w:t>
      </w:r>
      <w:proofErr w:type="spellStart"/>
      <w:r>
        <w:t>Bumabasa</w:t>
      </w:r>
      <w:proofErr w:type="spellEnd"/>
      <w:r>
        <w:t xml:space="preserve"> (3Bs Initiative).</w:t>
      </w:r>
    </w:p>
    <w:p w14:paraId="090914C1" w14:textId="77777777" w:rsidR="0013008E" w:rsidRDefault="0013008E" w:rsidP="003643CD">
      <w:pPr>
        <w:pStyle w:val="ListParagraph"/>
        <w:numPr>
          <w:ilvl w:val="0"/>
          <w:numId w:val="2"/>
        </w:numPr>
        <w:spacing w:before="280" w:after="100"/>
      </w:pPr>
      <w:r>
        <w:t>Department of Education. (2024). DepEd Memorandum No. 001, s. 2024: Implementation of Catch-up Fridays.</w:t>
      </w:r>
    </w:p>
    <w:p w14:paraId="3C6DF247" w14:textId="77777777" w:rsidR="0013008E" w:rsidRDefault="0013008E" w:rsidP="003643CD">
      <w:pPr>
        <w:pStyle w:val="ListParagraph"/>
        <w:numPr>
          <w:ilvl w:val="0"/>
          <w:numId w:val="2"/>
        </w:numPr>
        <w:spacing w:before="280" w:after="100"/>
      </w:pPr>
      <w:r>
        <w:t>EDCOM II. (2024). Miseducation: The failed system of Philippine education. Second Congressional Commission on Education.</w:t>
      </w:r>
    </w:p>
    <w:p w14:paraId="60F4502E" w14:textId="77777777" w:rsidR="0013008E" w:rsidRDefault="0013008E" w:rsidP="003643CD">
      <w:pPr>
        <w:pStyle w:val="ListParagraph"/>
        <w:numPr>
          <w:ilvl w:val="0"/>
          <w:numId w:val="2"/>
        </w:numPr>
        <w:spacing w:before="280" w:after="100"/>
      </w:pPr>
      <w:r>
        <w:t>Finlay, L. (2002). “Outing” the researcher: The provenance, process, and practice of reflexivity. Qualitative Health Research, 12(4), 531–545. https://doi.org/10.1177/104973202129120052</w:t>
      </w:r>
    </w:p>
    <w:p w14:paraId="17B4CC01" w14:textId="77777777" w:rsidR="0013008E" w:rsidRDefault="0013008E" w:rsidP="003643CD">
      <w:pPr>
        <w:pStyle w:val="ListParagraph"/>
        <w:numPr>
          <w:ilvl w:val="0"/>
          <w:numId w:val="2"/>
        </w:numPr>
        <w:spacing w:before="280" w:after="100"/>
      </w:pPr>
      <w:r>
        <w:t>Gallagher, T. L., Grierson, A. L., &amp; Susin, C. (2023). Coaching high school English teachers in guided reading for struggling readers. Journal of Adolescent &amp; Adult Literacy. Advance online publication.</w:t>
      </w:r>
    </w:p>
    <w:p w14:paraId="0E030D4C" w14:textId="77777777" w:rsidR="0013008E" w:rsidRDefault="0013008E" w:rsidP="003643CD">
      <w:pPr>
        <w:pStyle w:val="ListParagraph"/>
        <w:numPr>
          <w:ilvl w:val="0"/>
          <w:numId w:val="2"/>
        </w:numPr>
        <w:spacing w:before="280" w:after="100"/>
      </w:pPr>
      <w:proofErr w:type="spellStart"/>
      <w:r>
        <w:t>Hennink</w:t>
      </w:r>
      <w:proofErr w:type="spellEnd"/>
      <w:r>
        <w:t>, M. M., Kaiser, B. N., &amp; Marconi, V. C. (2017). Code saturation versus meaning saturation: How many interviews are enough? Qualitative Health Research, 27(4), 591–608. https://doi.org/10.1177/1049732316665344</w:t>
      </w:r>
    </w:p>
    <w:p w14:paraId="2621C24D" w14:textId="77777777" w:rsidR="0013008E" w:rsidRDefault="0013008E" w:rsidP="003643CD">
      <w:pPr>
        <w:pStyle w:val="ListParagraph"/>
        <w:numPr>
          <w:ilvl w:val="0"/>
          <w:numId w:val="2"/>
        </w:numPr>
        <w:spacing w:before="280" w:after="100"/>
      </w:pPr>
      <w:proofErr w:type="spellStart"/>
      <w:r>
        <w:t>Idulog</w:t>
      </w:r>
      <w:proofErr w:type="spellEnd"/>
      <w:r>
        <w:t xml:space="preserve">, M. V. A., </w:t>
      </w:r>
      <w:proofErr w:type="spellStart"/>
      <w:r>
        <w:t>Gadiano</w:t>
      </w:r>
      <w:proofErr w:type="spellEnd"/>
      <w:r>
        <w:t xml:space="preserve">, R., Toledo, E., </w:t>
      </w:r>
      <w:proofErr w:type="spellStart"/>
      <w:r>
        <w:t>Hermosada</w:t>
      </w:r>
      <w:proofErr w:type="spellEnd"/>
      <w:r>
        <w:t xml:space="preserve">, M., </w:t>
      </w:r>
      <w:proofErr w:type="spellStart"/>
      <w:r>
        <w:t>Casaldon</w:t>
      </w:r>
      <w:proofErr w:type="spellEnd"/>
      <w:r>
        <w:t xml:space="preserve">, H. P., Mariposa, M., </w:t>
      </w:r>
      <w:proofErr w:type="spellStart"/>
      <w:r>
        <w:t>Geron</w:t>
      </w:r>
      <w:proofErr w:type="spellEnd"/>
      <w:r>
        <w:t xml:space="preserve">, C., </w:t>
      </w:r>
      <w:proofErr w:type="spellStart"/>
      <w:r>
        <w:t>Dequito</w:t>
      </w:r>
      <w:proofErr w:type="spellEnd"/>
      <w:r>
        <w:t xml:space="preserve">, E., </w:t>
      </w:r>
      <w:proofErr w:type="spellStart"/>
      <w:r>
        <w:t>Genanda</w:t>
      </w:r>
      <w:proofErr w:type="spellEnd"/>
      <w:r>
        <w:t xml:space="preserve">, J., </w:t>
      </w:r>
      <w:proofErr w:type="spellStart"/>
      <w:r>
        <w:t>Malipot</w:t>
      </w:r>
      <w:proofErr w:type="spellEnd"/>
      <w:r>
        <w:t xml:space="preserve">, M. A., </w:t>
      </w:r>
      <w:proofErr w:type="spellStart"/>
      <w:r>
        <w:t>Pentang</w:t>
      </w:r>
      <w:proofErr w:type="spellEnd"/>
      <w:r>
        <w:t>, J. T., &amp; Bautista, R. M. (2023). Filipino students’ reading abilities: A note on the challenges and potential areas for improvement. International Journal of Education and Teaching Zone, 2(2), 233–242.</w:t>
      </w:r>
    </w:p>
    <w:p w14:paraId="7827C575" w14:textId="77777777" w:rsidR="0013008E" w:rsidRDefault="0013008E" w:rsidP="003643CD">
      <w:pPr>
        <w:pStyle w:val="ListParagraph"/>
        <w:numPr>
          <w:ilvl w:val="0"/>
          <w:numId w:val="2"/>
        </w:numPr>
        <w:spacing w:before="280" w:after="100"/>
      </w:pPr>
      <w:proofErr w:type="spellStart"/>
      <w:r>
        <w:t>Lorente</w:t>
      </w:r>
      <w:proofErr w:type="spellEnd"/>
      <w:r>
        <w:t>, B. P. (2013). The grip of English and Philippine language policy. In L. Wee, R. B. H. Goh, &amp; L. Lim (Eds.), The politics of English: South Asia, Southeast Asia and the Asia Pacific (pp. 187–204). John Benjamins.</w:t>
      </w:r>
    </w:p>
    <w:p w14:paraId="28CF1044" w14:textId="77777777" w:rsidR="0013008E" w:rsidRDefault="0013008E" w:rsidP="003643CD">
      <w:pPr>
        <w:pStyle w:val="ListParagraph"/>
        <w:numPr>
          <w:ilvl w:val="0"/>
          <w:numId w:val="2"/>
        </w:numPr>
        <w:spacing w:before="280" w:after="100"/>
      </w:pPr>
      <w:r>
        <w:t xml:space="preserve">Lucas, R. I. G., Cordell, M. O., II, </w:t>
      </w:r>
      <w:proofErr w:type="spellStart"/>
      <w:r>
        <w:t>Teves</w:t>
      </w:r>
      <w:proofErr w:type="spellEnd"/>
      <w:r>
        <w:t>, J. M., Yap, S. A., Chua, U. C., &amp; Bernardo, A. B. I. (2021). Examining policy implementation and reading proficiency challenges among Filipino students. Asian Journal of Education and Social Studies, 21(4), 1–12.</w:t>
      </w:r>
    </w:p>
    <w:p w14:paraId="2AAFD6CC" w14:textId="77777777" w:rsidR="0013008E" w:rsidRDefault="0013008E" w:rsidP="003643CD">
      <w:pPr>
        <w:pStyle w:val="ListParagraph"/>
        <w:numPr>
          <w:ilvl w:val="0"/>
          <w:numId w:val="2"/>
        </w:numPr>
        <w:spacing w:before="280" w:after="100"/>
      </w:pPr>
      <w:proofErr w:type="spellStart"/>
      <w:r>
        <w:t>Mangila</w:t>
      </w:r>
      <w:proofErr w:type="spellEnd"/>
      <w:r>
        <w:t xml:space="preserve">, B. B., &amp; </w:t>
      </w:r>
      <w:proofErr w:type="spellStart"/>
      <w:r>
        <w:t>Adapon</w:t>
      </w:r>
      <w:proofErr w:type="spellEnd"/>
      <w:r>
        <w:t>, M. T. (2020). Helping struggling readers to read: The impact of the Care for the Non-Readers (CNR) program on Filipino pupils’ reading proficiency. ETERNAL (English Teaching Journal), 11(2), 1–10.</w:t>
      </w:r>
    </w:p>
    <w:p w14:paraId="36D01EA3" w14:textId="77777777" w:rsidR="0013008E" w:rsidRDefault="0013008E" w:rsidP="003643CD">
      <w:pPr>
        <w:pStyle w:val="ListParagraph"/>
        <w:numPr>
          <w:ilvl w:val="0"/>
          <w:numId w:val="2"/>
        </w:numPr>
        <w:spacing w:before="280" w:after="100"/>
      </w:pPr>
      <w:r>
        <w:t>Maxwell, J. A. (2010). Using numbers in qualitative research. Qualitative Inquiry, 16(6), 475–482. https://doi.org/10.1177/1077800410364740</w:t>
      </w:r>
    </w:p>
    <w:p w14:paraId="6934147A" w14:textId="77777777" w:rsidR="0013008E" w:rsidRDefault="0013008E" w:rsidP="003643CD">
      <w:pPr>
        <w:pStyle w:val="ListParagraph"/>
        <w:numPr>
          <w:ilvl w:val="0"/>
          <w:numId w:val="2"/>
        </w:numPr>
        <w:spacing w:before="280" w:after="100"/>
      </w:pPr>
      <w:r w:rsidRPr="003643CD">
        <w:rPr>
          <w:lang w:val="nn-NO"/>
        </w:rPr>
        <w:t xml:space="preserve">Merriam, S. B., &amp; Tisdell, E. J. (2016). </w:t>
      </w:r>
      <w:r>
        <w:t>Qualitative research: A guide to design and implementation (4th ed.). Jossey-Bass.</w:t>
      </w:r>
    </w:p>
    <w:p w14:paraId="0E026E2E" w14:textId="77777777" w:rsidR="0013008E" w:rsidRDefault="0013008E" w:rsidP="003643CD">
      <w:pPr>
        <w:pStyle w:val="ListParagraph"/>
        <w:numPr>
          <w:ilvl w:val="0"/>
          <w:numId w:val="2"/>
        </w:numPr>
        <w:spacing w:before="280" w:after="100"/>
      </w:pPr>
      <w:r>
        <w:lastRenderedPageBreak/>
        <w:t>OECD. (2019). PISA 2018 results (Volume I): What students know and can do. OECD Publishing. https://doi.org/10.1787/5f07c754-en</w:t>
      </w:r>
    </w:p>
    <w:p w14:paraId="0E4996BB" w14:textId="77777777" w:rsidR="0013008E" w:rsidRDefault="0013008E" w:rsidP="003643CD">
      <w:pPr>
        <w:pStyle w:val="ListParagraph"/>
        <w:numPr>
          <w:ilvl w:val="0"/>
          <w:numId w:val="2"/>
        </w:numPr>
        <w:spacing w:before="280" w:after="100"/>
      </w:pPr>
      <w:r>
        <w:t>OECD. (2023). PISA 2022 results (Volume I): The state of learning and equity in education. OECD Publishing. https://doi.org/10.1787/53f23881-en</w:t>
      </w:r>
    </w:p>
    <w:p w14:paraId="38284A5E" w14:textId="77777777" w:rsidR="0013008E" w:rsidRDefault="0013008E" w:rsidP="003643CD">
      <w:pPr>
        <w:pStyle w:val="ListParagraph"/>
        <w:numPr>
          <w:ilvl w:val="0"/>
          <w:numId w:val="2"/>
        </w:numPr>
        <w:spacing w:before="280" w:after="100"/>
      </w:pPr>
      <w:r>
        <w:t>Office of the President of the Philippines. (2003). Executive Order No. 210, s. 2003: Establishing the policy to strengthen the use of the English language as a medium of instruction in the educational system.</w:t>
      </w:r>
    </w:p>
    <w:p w14:paraId="7CB9C818" w14:textId="77777777" w:rsidR="0013008E" w:rsidRDefault="0013008E" w:rsidP="003643CD">
      <w:pPr>
        <w:pStyle w:val="ListParagraph"/>
        <w:numPr>
          <w:ilvl w:val="0"/>
          <w:numId w:val="2"/>
        </w:numPr>
        <w:spacing w:before="280" w:after="100"/>
      </w:pPr>
      <w:r w:rsidRPr="003643CD">
        <w:rPr>
          <w:lang w:val="nn-NO"/>
        </w:rPr>
        <w:t xml:space="preserve">Orbeta, A. C., Jr., &amp; Paqueo, V. B. (2022). </w:t>
      </w:r>
      <w:r>
        <w:t xml:space="preserve">Philippine education: </w:t>
      </w:r>
      <w:proofErr w:type="spellStart"/>
      <w:r>
        <w:t>Situationer</w:t>
      </w:r>
      <w:proofErr w:type="spellEnd"/>
      <w:r>
        <w:t>, challenges, and ways forward (PIDS Discussion Paper Series No. 2022-23). Philippine Institute for Development Studies.</w:t>
      </w:r>
    </w:p>
    <w:p w14:paraId="7E3E39A6" w14:textId="77777777" w:rsidR="0013008E" w:rsidRDefault="0013008E" w:rsidP="003643CD">
      <w:pPr>
        <w:pStyle w:val="ListParagraph"/>
        <w:numPr>
          <w:ilvl w:val="0"/>
          <w:numId w:val="2"/>
        </w:numPr>
        <w:spacing w:before="280" w:after="100"/>
      </w:pPr>
      <w:r>
        <w:t xml:space="preserve">Phillips, J., &amp; Klein, J. D. (2023). Change management: From theory to practice. </w:t>
      </w:r>
      <w:proofErr w:type="spellStart"/>
      <w:r>
        <w:t>TechTrends</w:t>
      </w:r>
      <w:proofErr w:type="spellEnd"/>
      <w:r>
        <w:t>, 67(1), 189–197. https://doi.org/10.1007/s11528-022-00775-0</w:t>
      </w:r>
    </w:p>
    <w:p w14:paraId="34369C1A" w14:textId="77777777" w:rsidR="0013008E" w:rsidRDefault="0013008E" w:rsidP="003643CD">
      <w:pPr>
        <w:pStyle w:val="ListParagraph"/>
        <w:numPr>
          <w:ilvl w:val="0"/>
          <w:numId w:val="2"/>
        </w:numPr>
        <w:spacing w:before="280" w:after="100"/>
      </w:pPr>
      <w:r>
        <w:t>Rogers, E. M. (2003). Diffusion of innovations (5th ed.). Free Press.</w:t>
      </w:r>
    </w:p>
    <w:p w14:paraId="2E0F6298" w14:textId="77777777" w:rsidR="0013008E" w:rsidRDefault="0013008E" w:rsidP="003643CD">
      <w:pPr>
        <w:pStyle w:val="ListParagraph"/>
        <w:numPr>
          <w:ilvl w:val="0"/>
          <w:numId w:val="2"/>
        </w:numPr>
        <w:spacing w:before="280" w:after="100"/>
      </w:pPr>
      <w:r>
        <w:t>Sabatier, P. A. (1986). Top-down and bottom-up approaches to implementation research: A critical analysis and suggested synthesis. Journal of Public Policy, 6(1), 21–48. https://doi.org/10.1017/S0143814X00003846</w:t>
      </w:r>
    </w:p>
    <w:p w14:paraId="1F463032" w14:textId="77777777" w:rsidR="0013008E" w:rsidRDefault="0013008E" w:rsidP="003643CD">
      <w:pPr>
        <w:pStyle w:val="ListParagraph"/>
        <w:numPr>
          <w:ilvl w:val="0"/>
          <w:numId w:val="2"/>
        </w:numPr>
        <w:spacing w:before="280" w:after="100"/>
      </w:pPr>
      <w:proofErr w:type="spellStart"/>
      <w:r>
        <w:t>Sandelowski</w:t>
      </w:r>
      <w:proofErr w:type="spellEnd"/>
      <w:r>
        <w:t>, M. (2001). Real qualitative researchers do not count: The use of numbers in qualitative research. Research in Nursing &amp; Health, 24(3), 230–240. https://doi.org/10.1002/nur.1025</w:t>
      </w:r>
    </w:p>
    <w:p w14:paraId="62B3B2DF" w14:textId="77777777" w:rsidR="0013008E" w:rsidRDefault="0013008E" w:rsidP="003643CD">
      <w:pPr>
        <w:pStyle w:val="ListParagraph"/>
        <w:numPr>
          <w:ilvl w:val="0"/>
          <w:numId w:val="2"/>
        </w:numPr>
        <w:spacing w:before="280" w:after="100"/>
      </w:pPr>
      <w:r>
        <w:t>Tayeb, Y. A. (2023). The teaching-testing nexus: Embracing the challenges and opportunities for optimal learning outcomes. BRU ELT Journal, 1(2), 15–20. https://doi.org/10.14456/bej.2023.10</w:t>
      </w:r>
    </w:p>
    <w:p w14:paraId="22E20482" w14:textId="77777777" w:rsidR="0013008E" w:rsidRDefault="0013008E" w:rsidP="003643CD">
      <w:pPr>
        <w:pStyle w:val="ListParagraph"/>
        <w:numPr>
          <w:ilvl w:val="0"/>
          <w:numId w:val="2"/>
        </w:numPr>
        <w:spacing w:before="280" w:after="100"/>
      </w:pPr>
      <w:r>
        <w:t>UNESCO. (2022). Transforming education from within: Current trends in the status and development of teachers. UNESCO.</w:t>
      </w:r>
    </w:p>
    <w:p w14:paraId="53D3AD7E" w14:textId="77777777" w:rsidR="0013008E" w:rsidRDefault="0013008E" w:rsidP="003643CD">
      <w:pPr>
        <w:pStyle w:val="ListParagraph"/>
        <w:numPr>
          <w:ilvl w:val="0"/>
          <w:numId w:val="2"/>
        </w:numPr>
        <w:spacing w:before="280" w:after="100"/>
      </w:pPr>
      <w:r>
        <w:t>UNICEF, &amp; SEAMEO. (2020). SEA-PLM 2019 main regional report: Children’s learning in 6 Southeast Asian countries. UNICEF &amp; Southeast Asian Ministers of Education Organization.</w:t>
      </w:r>
    </w:p>
    <w:p w14:paraId="35B52664" w14:textId="77777777" w:rsidR="0013008E" w:rsidRDefault="0013008E" w:rsidP="003643CD">
      <w:pPr>
        <w:pStyle w:val="ListParagraph"/>
        <w:numPr>
          <w:ilvl w:val="0"/>
          <w:numId w:val="2"/>
        </w:numPr>
        <w:spacing w:before="280" w:after="100"/>
      </w:pPr>
      <w:r>
        <w:t>World Bank, UNESCO, UNICEF, FCDO, USAID, &amp; Bill &amp; Melinda Gates Foundation. (2022). The state of global learning poverty: 2022 update. World Bank.</w:t>
      </w:r>
    </w:p>
    <w:bookmarkEnd w:id="1"/>
    <w:p w14:paraId="232516B4" w14:textId="5605C075" w:rsidR="00B5787D" w:rsidRDefault="004544BE" w:rsidP="0013008E">
      <w:pPr>
        <w:spacing w:before="280" w:after="100"/>
      </w:pPr>
      <w:r>
        <w:rPr>
          <w:b/>
          <w:bCs/>
          <w:caps/>
          <w:sz w:val="22"/>
          <w:szCs w:val="22"/>
        </w:rPr>
        <w:t>APPENDIX</w:t>
      </w:r>
    </w:p>
    <w:p w14:paraId="60E4BB6D" w14:textId="77777777" w:rsidR="00B5787D" w:rsidRDefault="004544BE">
      <w:pPr>
        <w:spacing w:before="200" w:after="80"/>
      </w:pPr>
      <w:r>
        <w:rPr>
          <w:b/>
          <w:bCs/>
          <w:sz w:val="22"/>
          <w:szCs w:val="22"/>
        </w:rPr>
        <w:t>Interview Guide for Teachers</w:t>
      </w:r>
    </w:p>
    <w:p w14:paraId="41F71BBD" w14:textId="77777777" w:rsidR="00B5787D" w:rsidRDefault="004544BE">
      <w:pPr>
        <w:spacing w:after="80"/>
        <w:jc w:val="both"/>
      </w:pPr>
      <w:r>
        <w:t>1.</w:t>
      </w:r>
      <w:r>
        <w:tab/>
        <w:t>How familiar are you with the Every Child a Reader Program (ECARP) and its objectives?</w:t>
      </w:r>
    </w:p>
    <w:p w14:paraId="3FF00504" w14:textId="77777777" w:rsidR="00B5787D" w:rsidRDefault="004544BE">
      <w:pPr>
        <w:spacing w:after="80"/>
        <w:jc w:val="both"/>
      </w:pPr>
      <w:r>
        <w:t>2.</w:t>
      </w:r>
      <w:r>
        <w:tab/>
        <w:t>If you are not familiar with ECARP, what DepEd reading programs or activities are you familiar with?</w:t>
      </w:r>
    </w:p>
    <w:p w14:paraId="75FD3EBF" w14:textId="77777777" w:rsidR="00B5787D" w:rsidRDefault="004544BE">
      <w:pPr>
        <w:spacing w:after="80"/>
        <w:jc w:val="both"/>
      </w:pPr>
      <w:r>
        <w:t>3.</w:t>
      </w:r>
      <w:r>
        <w:tab/>
        <w:t>In your view, how important are ECARP and related reading programs in addressing literacy challenges in the Philippines?</w:t>
      </w:r>
    </w:p>
    <w:p w14:paraId="0F5D0C7E" w14:textId="77777777" w:rsidR="00B5787D" w:rsidRDefault="004544BE">
      <w:pPr>
        <w:spacing w:after="80"/>
        <w:jc w:val="both"/>
      </w:pPr>
      <w:r>
        <w:t>4.</w:t>
      </w:r>
      <w:r>
        <w:tab/>
        <w:t>How have ECARP policies or related reading initiatives been implemented in your school?</w:t>
      </w:r>
    </w:p>
    <w:p w14:paraId="7FB4EED9" w14:textId="77777777" w:rsidR="00B5787D" w:rsidRDefault="004544BE">
      <w:pPr>
        <w:spacing w:after="80"/>
        <w:jc w:val="both"/>
      </w:pPr>
      <w:r>
        <w:t>5.</w:t>
      </w:r>
      <w:r>
        <w:tab/>
        <w:t>What strategies or practices have you adopted in your classroom to support ECARP goals?</w:t>
      </w:r>
    </w:p>
    <w:p w14:paraId="5B3BFA0F" w14:textId="77777777" w:rsidR="00B5787D" w:rsidRDefault="004544BE">
      <w:pPr>
        <w:spacing w:after="80"/>
        <w:jc w:val="both"/>
      </w:pPr>
      <w:r>
        <w:t>6.</w:t>
      </w:r>
      <w:r>
        <w:tab/>
        <w:t>Have you received adequate training and resources to implement ECARP or related reading programs effectively?</w:t>
      </w:r>
    </w:p>
    <w:p w14:paraId="26F4FBC6" w14:textId="77777777" w:rsidR="00B5787D" w:rsidRDefault="004544BE">
      <w:pPr>
        <w:spacing w:after="80"/>
        <w:jc w:val="both"/>
      </w:pPr>
      <w:r>
        <w:lastRenderedPageBreak/>
        <w:t>7.</w:t>
      </w:r>
      <w:r>
        <w:tab/>
        <w:t>Do you have non-readers or struggling readers among your learners? How are they identified?</w:t>
      </w:r>
    </w:p>
    <w:p w14:paraId="1F6BAB1B" w14:textId="77777777" w:rsidR="00B5787D" w:rsidRDefault="004544BE">
      <w:pPr>
        <w:spacing w:after="80"/>
        <w:jc w:val="both"/>
      </w:pPr>
      <w:r>
        <w:t>8.</w:t>
      </w:r>
      <w:r>
        <w:tab/>
        <w:t>What are the main challenges you have encountered in implementing reading interventions?</w:t>
      </w:r>
    </w:p>
    <w:p w14:paraId="008FEBED" w14:textId="77777777" w:rsidR="00B5787D" w:rsidRDefault="004544BE">
      <w:pPr>
        <w:spacing w:after="80"/>
        <w:jc w:val="both"/>
      </w:pPr>
      <w:r>
        <w:t>9.</w:t>
      </w:r>
      <w:r>
        <w:tab/>
        <w:t>How do you navigate these challenges, and what additional support do you need?</w:t>
      </w:r>
    </w:p>
    <w:p w14:paraId="2C5A90A8" w14:textId="77777777" w:rsidR="00B5787D" w:rsidRDefault="004544BE">
      <w:pPr>
        <w:spacing w:after="80"/>
        <w:jc w:val="both"/>
      </w:pPr>
      <w:r>
        <w:t>10.</w:t>
      </w:r>
      <w:r>
        <w:tab/>
        <w:t>How do parents and learners respond to ECARP-related activities and remediation efforts?</w:t>
      </w:r>
    </w:p>
    <w:p w14:paraId="296C414B" w14:textId="77777777" w:rsidR="00B5787D" w:rsidRDefault="004544BE">
      <w:pPr>
        <w:spacing w:after="80"/>
        <w:jc w:val="both"/>
      </w:pPr>
      <w:r>
        <w:t>11.</w:t>
      </w:r>
      <w:r>
        <w:tab/>
        <w:t>How could ECARP be improved to better support teachers and learners?</w:t>
      </w:r>
    </w:p>
    <w:p w14:paraId="3911AB6F" w14:textId="77777777" w:rsidR="00B5787D" w:rsidRDefault="004544BE">
      <w:pPr>
        <w:spacing w:after="80"/>
        <w:jc w:val="both"/>
      </w:pPr>
      <w:r>
        <w:t>12.</w:t>
      </w:r>
      <w:r>
        <w:tab/>
        <w:t>What specific policy adjustments, tools, materials, training, or support mechanisms would strengthen implementation?</w:t>
      </w:r>
    </w:p>
    <w:p w14:paraId="75EA8099" w14:textId="77777777" w:rsidR="00B5787D" w:rsidRDefault="004544BE">
      <w:pPr>
        <w:spacing w:after="80"/>
        <w:jc w:val="both"/>
      </w:pPr>
      <w:r>
        <w:t>13.</w:t>
      </w:r>
      <w:r>
        <w:tab/>
        <w:t>How can DepEd better support teachers and schools in achieving ECARP objectives?</w:t>
      </w:r>
    </w:p>
    <w:p w14:paraId="405469D0" w14:textId="77777777" w:rsidR="00B5787D" w:rsidRDefault="004544BE">
      <w:pPr>
        <w:spacing w:after="80"/>
        <w:jc w:val="both"/>
      </w:pPr>
      <w:r>
        <w:t>14.</w:t>
      </w:r>
      <w:r>
        <w:tab/>
        <w:t>What role should teachers and school administrators have in shaping future reading policies?</w:t>
      </w:r>
    </w:p>
    <w:sectPr w:rsidR="00B5787D" w:rsidSect="006D02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33A65" w14:textId="77777777" w:rsidR="00B94EF5" w:rsidRDefault="00B94EF5">
      <w:r>
        <w:separator/>
      </w:r>
    </w:p>
  </w:endnote>
  <w:endnote w:type="continuationSeparator" w:id="0">
    <w:p w14:paraId="422E93DF" w14:textId="77777777" w:rsidR="00B94EF5" w:rsidRDefault="00B9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DBE5" w14:textId="77777777" w:rsidR="00E47CE0" w:rsidRDefault="00E4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2288" w14:textId="77777777" w:rsidR="00E47CE0" w:rsidRDefault="00E4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5910F" w14:textId="77777777" w:rsidR="00E47CE0" w:rsidRDefault="00E4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2CD3D" w14:textId="77777777" w:rsidR="00B94EF5" w:rsidRDefault="00B94EF5">
      <w:r>
        <w:separator/>
      </w:r>
    </w:p>
  </w:footnote>
  <w:footnote w:type="continuationSeparator" w:id="0">
    <w:p w14:paraId="5E86F0BC" w14:textId="77777777" w:rsidR="00B94EF5" w:rsidRDefault="00B9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CAB8" w14:textId="561143EC" w:rsidR="00E47CE0" w:rsidRDefault="00B94EF5">
    <w:pPr>
      <w:pStyle w:val="Header"/>
    </w:pPr>
    <w:r>
      <w:rPr>
        <w:noProof/>
      </w:rPr>
      <w:pict w14:anchorId="4247C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60AB" w14:textId="7E755024" w:rsidR="00E47CE0" w:rsidRDefault="00B94EF5">
    <w:pPr>
      <w:pStyle w:val="Header"/>
    </w:pPr>
    <w:r>
      <w:rPr>
        <w:noProof/>
      </w:rPr>
      <w:pict w14:anchorId="7EE05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AD2F" w14:textId="794FCEDC" w:rsidR="00E47CE0" w:rsidRDefault="00B94EF5">
    <w:pPr>
      <w:pStyle w:val="Header"/>
    </w:pPr>
    <w:r>
      <w:rPr>
        <w:noProof/>
      </w:rPr>
      <w:pict w14:anchorId="406B8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22EF"/>
    <w:multiLevelType w:val="hybridMultilevel"/>
    <w:tmpl w:val="D35E5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67F53"/>
    <w:multiLevelType w:val="hybridMultilevel"/>
    <w:tmpl w:val="BB54FAEC"/>
    <w:lvl w:ilvl="0" w:tplc="D6B2071A">
      <w:start w:val="1"/>
      <w:numFmt w:val="bullet"/>
      <w:lvlText w:val="●"/>
      <w:lvlJc w:val="left"/>
      <w:pPr>
        <w:ind w:left="720" w:hanging="360"/>
      </w:pPr>
    </w:lvl>
    <w:lvl w:ilvl="1" w:tplc="B680CAD4">
      <w:start w:val="1"/>
      <w:numFmt w:val="bullet"/>
      <w:lvlText w:val="○"/>
      <w:lvlJc w:val="left"/>
      <w:pPr>
        <w:ind w:left="1440" w:hanging="360"/>
      </w:pPr>
    </w:lvl>
    <w:lvl w:ilvl="2" w:tplc="D09CB1DC">
      <w:start w:val="1"/>
      <w:numFmt w:val="bullet"/>
      <w:lvlText w:val="■"/>
      <w:lvlJc w:val="left"/>
      <w:pPr>
        <w:ind w:left="2160" w:hanging="360"/>
      </w:pPr>
    </w:lvl>
    <w:lvl w:ilvl="3" w:tplc="BBDC9A6C">
      <w:start w:val="1"/>
      <w:numFmt w:val="bullet"/>
      <w:lvlText w:val="●"/>
      <w:lvlJc w:val="left"/>
      <w:pPr>
        <w:ind w:left="2880" w:hanging="360"/>
      </w:pPr>
    </w:lvl>
    <w:lvl w:ilvl="4" w:tplc="B7BEA644">
      <w:start w:val="1"/>
      <w:numFmt w:val="bullet"/>
      <w:lvlText w:val="○"/>
      <w:lvlJc w:val="left"/>
      <w:pPr>
        <w:ind w:left="3600" w:hanging="360"/>
      </w:pPr>
    </w:lvl>
    <w:lvl w:ilvl="5" w:tplc="179E4DCC">
      <w:start w:val="1"/>
      <w:numFmt w:val="bullet"/>
      <w:lvlText w:val="■"/>
      <w:lvlJc w:val="left"/>
      <w:pPr>
        <w:ind w:left="4320" w:hanging="360"/>
      </w:pPr>
    </w:lvl>
    <w:lvl w:ilvl="6" w:tplc="04B84DDA">
      <w:start w:val="1"/>
      <w:numFmt w:val="bullet"/>
      <w:lvlText w:val="●"/>
      <w:lvlJc w:val="left"/>
      <w:pPr>
        <w:ind w:left="5040" w:hanging="360"/>
      </w:pPr>
    </w:lvl>
    <w:lvl w:ilvl="7" w:tplc="0CB27C26">
      <w:start w:val="1"/>
      <w:numFmt w:val="bullet"/>
      <w:lvlText w:val="●"/>
      <w:lvlJc w:val="left"/>
      <w:pPr>
        <w:ind w:left="5760" w:hanging="360"/>
      </w:pPr>
    </w:lvl>
    <w:lvl w:ilvl="8" w:tplc="614E5D7C">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isplayBackgroundShape/>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7D"/>
    <w:rsid w:val="0013008E"/>
    <w:rsid w:val="0013432F"/>
    <w:rsid w:val="00197403"/>
    <w:rsid w:val="001D3903"/>
    <w:rsid w:val="00342DFB"/>
    <w:rsid w:val="003643CD"/>
    <w:rsid w:val="00412900"/>
    <w:rsid w:val="004544BE"/>
    <w:rsid w:val="00512A86"/>
    <w:rsid w:val="0052695F"/>
    <w:rsid w:val="005678CF"/>
    <w:rsid w:val="006D0215"/>
    <w:rsid w:val="007657D9"/>
    <w:rsid w:val="007B5F33"/>
    <w:rsid w:val="0080257C"/>
    <w:rsid w:val="009A3A2A"/>
    <w:rsid w:val="00A81B8E"/>
    <w:rsid w:val="00AF63F9"/>
    <w:rsid w:val="00B5787D"/>
    <w:rsid w:val="00B64D05"/>
    <w:rsid w:val="00B83DD3"/>
    <w:rsid w:val="00B94EF5"/>
    <w:rsid w:val="00BD5E1C"/>
    <w:rsid w:val="00C43413"/>
    <w:rsid w:val="00DB5FE2"/>
    <w:rsid w:val="00DC60FE"/>
    <w:rsid w:val="00E47CE0"/>
    <w:rsid w:val="00F6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314403"/>
  <w15:docId w15:val="{422DD5BB-9529-4398-AE39-C9ACF54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AF63F9"/>
  </w:style>
  <w:style w:type="paragraph" w:styleId="Header">
    <w:name w:val="header"/>
    <w:basedOn w:val="Normal"/>
    <w:link w:val="HeaderChar"/>
    <w:uiPriority w:val="99"/>
    <w:unhideWhenUsed/>
    <w:rsid w:val="00AF63F9"/>
    <w:pPr>
      <w:tabs>
        <w:tab w:val="center" w:pos="4680"/>
        <w:tab w:val="right" w:pos="9360"/>
      </w:tabs>
    </w:pPr>
  </w:style>
  <w:style w:type="character" w:customStyle="1" w:styleId="HeaderChar">
    <w:name w:val="Header Char"/>
    <w:basedOn w:val="DefaultParagraphFont"/>
    <w:link w:val="Header"/>
    <w:uiPriority w:val="99"/>
    <w:rsid w:val="00AF63F9"/>
  </w:style>
  <w:style w:type="paragraph" w:styleId="Footer">
    <w:name w:val="footer"/>
    <w:basedOn w:val="Normal"/>
    <w:link w:val="FooterChar"/>
    <w:uiPriority w:val="99"/>
    <w:unhideWhenUsed/>
    <w:rsid w:val="00AF63F9"/>
    <w:pPr>
      <w:tabs>
        <w:tab w:val="center" w:pos="4680"/>
        <w:tab w:val="right" w:pos="9360"/>
      </w:tabs>
    </w:pPr>
  </w:style>
  <w:style w:type="character" w:customStyle="1" w:styleId="FooterChar">
    <w:name w:val="Footer Char"/>
    <w:basedOn w:val="DefaultParagraphFont"/>
    <w:link w:val="Footer"/>
    <w:uiPriority w:val="99"/>
    <w:rsid w:val="00AF63F9"/>
  </w:style>
  <w:style w:type="character" w:styleId="UnresolvedMention">
    <w:name w:val="Unresolved Mention"/>
    <w:basedOn w:val="DefaultParagraphFont"/>
    <w:uiPriority w:val="99"/>
    <w:semiHidden/>
    <w:unhideWhenUsed/>
    <w:rsid w:val="00197403"/>
    <w:rPr>
      <w:color w:val="605E5C"/>
      <w:shd w:val="clear" w:color="auto" w:fill="E1DFDD"/>
    </w:rPr>
  </w:style>
  <w:style w:type="table" w:styleId="TableGrid">
    <w:name w:val="Table Grid"/>
    <w:basedOn w:val="TableNormal"/>
    <w:uiPriority w:val="59"/>
    <w:rsid w:val="007657D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7884</Words>
  <Characters>44942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1022</cp:lastModifiedBy>
  <cp:revision>19</cp:revision>
  <dcterms:created xsi:type="dcterms:W3CDTF">2026-05-04T18:14:00Z</dcterms:created>
  <dcterms:modified xsi:type="dcterms:W3CDTF">2026-05-07T06:05:00Z</dcterms:modified>
</cp:coreProperties>
</file>