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8A8F" w14:textId="291CF771" w:rsidR="00071D94" w:rsidRPr="00F7032F" w:rsidRDefault="00071D94" w:rsidP="00071D94">
      <w:pPr>
        <w:keepNext/>
        <w:outlineLvl w:val="1"/>
        <w:rPr>
          <w:rFonts w:ascii="Times New Roman" w:hAnsi="Times New Roman" w:cs="Times New Roman"/>
          <w:b/>
          <w:iCs/>
          <w:sz w:val="24"/>
          <w:szCs w:val="24"/>
        </w:rPr>
      </w:pPr>
      <w:r w:rsidRPr="00F7032F">
        <w:rPr>
          <w:rFonts w:ascii="Times New Roman" w:hAnsi="Times New Roman" w:cs="Times New Roman"/>
          <w:b/>
          <w:iCs/>
          <w:sz w:val="24"/>
          <w:szCs w:val="24"/>
        </w:rPr>
        <w:t xml:space="preserve">Comparative Analysis of Community-Based Forest Management in </w:t>
      </w:r>
      <w:proofErr w:type="spellStart"/>
      <w:r w:rsidRPr="00F7032F">
        <w:rPr>
          <w:rFonts w:ascii="Times New Roman" w:hAnsi="Times New Roman" w:cs="Times New Roman"/>
          <w:b/>
          <w:iCs/>
          <w:sz w:val="24"/>
          <w:szCs w:val="24"/>
        </w:rPr>
        <w:t>Nchumuru</w:t>
      </w:r>
      <w:proofErr w:type="spellEnd"/>
      <w:r w:rsidRPr="00F7032F">
        <w:rPr>
          <w:rFonts w:ascii="Times New Roman" w:hAnsi="Times New Roman" w:cs="Times New Roman"/>
          <w:b/>
          <w:iCs/>
          <w:sz w:val="24"/>
          <w:szCs w:val="24"/>
        </w:rPr>
        <w:t xml:space="preserve"> and Adele Communities, </w:t>
      </w:r>
      <w:proofErr w:type="spellStart"/>
      <w:r w:rsidRPr="00F7032F">
        <w:rPr>
          <w:rFonts w:ascii="Times New Roman" w:hAnsi="Times New Roman" w:cs="Times New Roman"/>
          <w:b/>
          <w:iCs/>
          <w:sz w:val="24"/>
          <w:szCs w:val="24"/>
        </w:rPr>
        <w:t>Oti</w:t>
      </w:r>
      <w:proofErr w:type="spellEnd"/>
      <w:r w:rsidRPr="00F7032F">
        <w:rPr>
          <w:rFonts w:ascii="Times New Roman" w:hAnsi="Times New Roman" w:cs="Times New Roman"/>
          <w:b/>
          <w:iCs/>
          <w:sz w:val="24"/>
          <w:szCs w:val="24"/>
        </w:rPr>
        <w:t xml:space="preserve"> Region, Ghana</w:t>
      </w:r>
    </w:p>
    <w:p w14:paraId="0025B9A0" w14:textId="77777777" w:rsidR="009119CA" w:rsidRPr="00BD36C9" w:rsidRDefault="009119CA" w:rsidP="00BD36C9">
      <w:pPr>
        <w:spacing w:before="100" w:beforeAutospacing="1" w:after="100" w:afterAutospacing="1" w:line="360" w:lineRule="auto"/>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Abstract</w:t>
      </w:r>
      <w:r w:rsidR="009B4E88" w:rsidRPr="00BD36C9">
        <w:rPr>
          <w:rFonts w:ascii="Times New Roman" w:eastAsia="Times New Roman" w:hAnsi="Times New Roman" w:cs="Times New Roman"/>
          <w:b/>
          <w:bCs/>
          <w:sz w:val="24"/>
          <w:szCs w:val="24"/>
        </w:rPr>
        <w:t xml:space="preserve">    </w:t>
      </w:r>
      <w:bookmarkStart w:id="0" w:name="_GoBack"/>
      <w:bookmarkEnd w:id="0"/>
    </w:p>
    <w:p w14:paraId="74C48BED" w14:textId="217D1835" w:rsidR="009119CA" w:rsidRPr="00BD36C9" w:rsidRDefault="009119CA"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Community-Based Forest Resource Management (CBFRM) has emerged as a critical approach for promoting sustainable forest use and conservation in forest-dependent rural communities. This study compares the forest resource management strategies adopted by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in the </w:t>
      </w:r>
      <w:proofErr w:type="spellStart"/>
      <w:r w:rsidRPr="00BD36C9">
        <w:rPr>
          <w:rFonts w:ascii="Times New Roman" w:eastAsia="Times New Roman" w:hAnsi="Times New Roman" w:cs="Times New Roman"/>
          <w:sz w:val="24"/>
          <w:szCs w:val="24"/>
        </w:rPr>
        <w:t>Oti</w:t>
      </w:r>
      <w:proofErr w:type="spellEnd"/>
      <w:r w:rsidRPr="00BD36C9">
        <w:rPr>
          <w:rFonts w:ascii="Times New Roman" w:eastAsia="Times New Roman" w:hAnsi="Times New Roman" w:cs="Times New Roman"/>
          <w:sz w:val="24"/>
          <w:szCs w:val="24"/>
        </w:rPr>
        <w:t xml:space="preserve"> Region of Ghana, with particular attention to </w:t>
      </w:r>
      <w:r w:rsidRPr="00EC5C25">
        <w:rPr>
          <w:rFonts w:ascii="Times New Roman" w:eastAsia="Times New Roman" w:hAnsi="Times New Roman" w:cs="Times New Roman"/>
          <w:sz w:val="24"/>
          <w:szCs w:val="24"/>
        </w:rPr>
        <w:t>governance structures, traditional institutions, sanctions, and livelihood strategies</w:t>
      </w:r>
      <w:r w:rsidRPr="002D2E58">
        <w:rPr>
          <w:rFonts w:ascii="Times New Roman" w:eastAsia="Times New Roman" w:hAnsi="Times New Roman" w:cs="Times New Roman"/>
          <w:sz w:val="24"/>
          <w:szCs w:val="24"/>
        </w:rPr>
        <w:t xml:space="preserve">. A </w:t>
      </w:r>
      <w:r w:rsidRPr="00EC5C25">
        <w:rPr>
          <w:rFonts w:ascii="Times New Roman" w:eastAsia="Times New Roman" w:hAnsi="Times New Roman" w:cs="Times New Roman"/>
          <w:sz w:val="24"/>
          <w:szCs w:val="24"/>
        </w:rPr>
        <w:t>comparative case study design</w:t>
      </w:r>
      <w:r w:rsidRPr="00BD36C9">
        <w:rPr>
          <w:rFonts w:ascii="Times New Roman" w:eastAsia="Times New Roman" w:hAnsi="Times New Roman" w:cs="Times New Roman"/>
          <w:sz w:val="24"/>
          <w:szCs w:val="24"/>
        </w:rPr>
        <w:t xml:space="preserve"> was employed, integrating quantitative and qualit</w:t>
      </w:r>
      <w:r w:rsidR="002358B8">
        <w:rPr>
          <w:rFonts w:ascii="Times New Roman" w:eastAsia="Times New Roman" w:hAnsi="Times New Roman" w:cs="Times New Roman"/>
          <w:sz w:val="24"/>
          <w:szCs w:val="24"/>
        </w:rPr>
        <w:t xml:space="preserve">ative methods. Data were </w:t>
      </w:r>
      <w:r w:rsidRPr="00BD36C9">
        <w:rPr>
          <w:rFonts w:ascii="Times New Roman" w:eastAsia="Times New Roman" w:hAnsi="Times New Roman" w:cs="Times New Roman"/>
          <w:sz w:val="24"/>
          <w:szCs w:val="24"/>
        </w:rPr>
        <w:t>collected through household surveys administered to 344 respondents, key informant interviews, and focus group discussions. Quantitative data were analyzed using descriptive statistics and Chi-square tests, while qualitative data were examined through thematic analysis.</w:t>
      </w:r>
      <w:r w:rsidR="00BD36C9">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 xml:space="preserve">The findings reveal significant differences in how CBFRM strategies operate across the two communities. While awareness of forest management practices is relatively high in both communities, the </w:t>
      </w:r>
      <w:r w:rsidRPr="00EC5C25">
        <w:rPr>
          <w:rFonts w:ascii="Times New Roman" w:eastAsia="Times New Roman" w:hAnsi="Times New Roman" w:cs="Times New Roman"/>
          <w:sz w:val="24"/>
          <w:szCs w:val="24"/>
        </w:rPr>
        <w:t>pathways through which awareness is generated differ</w:t>
      </w:r>
      <w:r w:rsidRPr="002D2E58">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 xml:space="preserve">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forest governance is strongly rooted in traditional ecological knowledge, credible sanctions, and culturally regulated livelihoods, resulting in cohesive and self-enforcing management practices. In contrast, the Adele community exhibits weakened traditional authority, uneven enforcement of sanctions, and greater reliance on external actors </w:t>
      </w:r>
      <w:r w:rsidRPr="00EC5C25">
        <w:rPr>
          <w:rFonts w:ascii="Times New Roman" w:eastAsia="Times New Roman" w:hAnsi="Times New Roman" w:cs="Times New Roman"/>
          <w:sz w:val="24"/>
          <w:szCs w:val="24"/>
        </w:rPr>
        <w:t>and livelihood interventions such as bee-keeping</w:t>
      </w:r>
      <w:r w:rsidRPr="002D2E58">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 xml:space="preserve"> These differences highlight the importance of institutional legitimacy, social embeddedness, and livelihood alignment in shaping forest governance outcomes. The study concludes that effective community-based forest management is context-specific and </w:t>
      </w:r>
      <w:r w:rsidR="00687F41" w:rsidRPr="00BD36C9">
        <w:rPr>
          <w:rFonts w:ascii="Times New Roman" w:eastAsia="Times New Roman" w:hAnsi="Times New Roman" w:cs="Times New Roman"/>
          <w:sz w:val="24"/>
          <w:szCs w:val="24"/>
        </w:rPr>
        <w:t>must integrate</w:t>
      </w:r>
      <w:r w:rsidRPr="00BD36C9">
        <w:rPr>
          <w:rFonts w:ascii="Times New Roman" w:eastAsia="Times New Roman" w:hAnsi="Times New Roman" w:cs="Times New Roman"/>
          <w:sz w:val="24"/>
          <w:szCs w:val="24"/>
        </w:rPr>
        <w:t xml:space="preserve"> local institutions with appropriate external support to achieve long-term sustainability</w:t>
      </w:r>
      <w:r w:rsidR="00BD36C9">
        <w:rPr>
          <w:rFonts w:ascii="Times New Roman" w:eastAsia="Times New Roman" w:hAnsi="Times New Roman" w:cs="Times New Roman"/>
          <w:sz w:val="24"/>
          <w:szCs w:val="24"/>
        </w:rPr>
        <w:t>.</w:t>
      </w:r>
    </w:p>
    <w:p w14:paraId="169ABE2A" w14:textId="4F946F27" w:rsidR="00AD2315" w:rsidRPr="00BD36C9" w:rsidRDefault="0034508E" w:rsidP="00BD36C9">
      <w:pPr>
        <w:spacing w:before="100" w:beforeAutospacing="1" w:after="100" w:afterAutospacing="1" w:line="360" w:lineRule="auto"/>
        <w:rPr>
          <w:rFonts w:ascii="Times New Roman" w:eastAsia="Times New Roman" w:hAnsi="Times New Roman" w:cs="Times New Roman"/>
          <w:sz w:val="24"/>
          <w:szCs w:val="24"/>
        </w:rPr>
      </w:pPr>
      <w:r w:rsidRPr="00BD36C9">
        <w:rPr>
          <w:rFonts w:ascii="Times New Roman" w:eastAsia="Times New Roman" w:hAnsi="Times New Roman" w:cs="Times New Roman"/>
          <w:b/>
          <w:bCs/>
          <w:sz w:val="24"/>
          <w:szCs w:val="24"/>
        </w:rPr>
        <w:t>Keywords:</w:t>
      </w:r>
      <w:r w:rsidRPr="00BD36C9">
        <w:rPr>
          <w:rFonts w:ascii="Times New Roman" w:eastAsia="Times New Roman" w:hAnsi="Times New Roman" w:cs="Times New Roman"/>
          <w:sz w:val="24"/>
          <w:szCs w:val="24"/>
        </w:rPr>
        <w:t xml:space="preserve"> Community-Based Forest Resource Management; Forest Management Strategies; Comparative Analysis;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Adele  </w:t>
      </w:r>
    </w:p>
    <w:p w14:paraId="330C9AA1" w14:textId="47DE323C" w:rsidR="001D4CCB" w:rsidRPr="001D4CCB" w:rsidRDefault="001D4CCB" w:rsidP="001D4CCB">
      <w:pPr>
        <w:pStyle w:val="Heading2"/>
      </w:pPr>
      <w:r w:rsidRPr="001D4CCB">
        <w:t>Introduction</w:t>
      </w:r>
    </w:p>
    <w:p w14:paraId="0594EAE8" w14:textId="77777777" w:rsidR="001D4CCB" w:rsidRPr="001D4CCB" w:rsidRDefault="001D4CCB" w:rsidP="001D4CCB">
      <w:pPr>
        <w:spacing w:before="100" w:beforeAutospacing="1" w:after="100" w:afterAutospacing="1" w:line="240" w:lineRule="auto"/>
        <w:jc w:val="both"/>
        <w:rPr>
          <w:rFonts w:ascii="Times New Roman" w:eastAsia="Times New Roman" w:hAnsi="Times New Roman" w:cs="Times New Roman"/>
          <w:sz w:val="24"/>
          <w:szCs w:val="24"/>
        </w:rPr>
      </w:pPr>
      <w:r w:rsidRPr="001D4CCB">
        <w:rPr>
          <w:rFonts w:ascii="Times New Roman" w:eastAsia="Times New Roman" w:hAnsi="Times New Roman" w:cs="Times New Roman"/>
          <w:sz w:val="24"/>
          <w:szCs w:val="24"/>
        </w:rPr>
        <w:t xml:space="preserve">Community-Based Forest Resource Management (CBFRM) has emerged as an important approach for promoting sustainable forest use and conservation in Ghana, particularly in rural communities where livelihoods are closely linked to forest resources (Asante et al., 2017; </w:t>
      </w:r>
      <w:proofErr w:type="spellStart"/>
      <w:r w:rsidRPr="001D4CCB">
        <w:rPr>
          <w:rFonts w:ascii="Times New Roman" w:eastAsia="Times New Roman" w:hAnsi="Times New Roman" w:cs="Times New Roman"/>
          <w:sz w:val="24"/>
          <w:szCs w:val="24"/>
        </w:rPr>
        <w:t>Ampadu</w:t>
      </w:r>
      <w:proofErr w:type="spellEnd"/>
      <w:r w:rsidRPr="001D4CCB">
        <w:rPr>
          <w:rFonts w:ascii="Times New Roman" w:eastAsia="Times New Roman" w:hAnsi="Times New Roman" w:cs="Times New Roman"/>
          <w:sz w:val="24"/>
          <w:szCs w:val="24"/>
        </w:rPr>
        <w:t xml:space="preserve"> </w:t>
      </w:r>
      <w:r w:rsidRPr="001D4CCB">
        <w:rPr>
          <w:rFonts w:ascii="Times New Roman" w:eastAsia="Times New Roman" w:hAnsi="Times New Roman" w:cs="Times New Roman"/>
          <w:sz w:val="24"/>
          <w:szCs w:val="24"/>
        </w:rPr>
        <w:lastRenderedPageBreak/>
        <w:t xml:space="preserve">&amp; Yang, 2024). In the </w:t>
      </w:r>
      <w:proofErr w:type="spellStart"/>
      <w:r w:rsidRPr="001D4CCB">
        <w:rPr>
          <w:rFonts w:ascii="Times New Roman" w:eastAsia="Times New Roman" w:hAnsi="Times New Roman" w:cs="Times New Roman"/>
          <w:sz w:val="24"/>
          <w:szCs w:val="24"/>
        </w:rPr>
        <w:t>Oti</w:t>
      </w:r>
      <w:proofErr w:type="spellEnd"/>
      <w:r w:rsidRPr="001D4CCB">
        <w:rPr>
          <w:rFonts w:ascii="Times New Roman" w:eastAsia="Times New Roman" w:hAnsi="Times New Roman" w:cs="Times New Roman"/>
          <w:sz w:val="24"/>
          <w:szCs w:val="24"/>
        </w:rPr>
        <w:t xml:space="preserve"> Region, the </w:t>
      </w:r>
      <w:proofErr w:type="spellStart"/>
      <w:r w:rsidRPr="001D4CCB">
        <w:rPr>
          <w:rFonts w:ascii="Times New Roman" w:eastAsia="Times New Roman" w:hAnsi="Times New Roman" w:cs="Times New Roman"/>
          <w:sz w:val="24"/>
          <w:szCs w:val="24"/>
        </w:rPr>
        <w:t>Nchumuru</w:t>
      </w:r>
      <w:proofErr w:type="spellEnd"/>
      <w:r w:rsidRPr="001D4CCB">
        <w:rPr>
          <w:rFonts w:ascii="Times New Roman" w:eastAsia="Times New Roman" w:hAnsi="Times New Roman" w:cs="Times New Roman"/>
          <w:sz w:val="24"/>
          <w:szCs w:val="24"/>
        </w:rPr>
        <w:t xml:space="preserve"> and Adele communities represent two distinct yet comparable cases of localized forest governance shaped by ecological conditions and socio-cultural contexts.</w:t>
      </w:r>
    </w:p>
    <w:p w14:paraId="3D0486A5" w14:textId="77777777" w:rsidR="001D4CCB" w:rsidRPr="001D4CCB" w:rsidRDefault="001D4CCB" w:rsidP="001D4CCB">
      <w:pPr>
        <w:spacing w:before="100" w:beforeAutospacing="1" w:after="100" w:afterAutospacing="1" w:line="240" w:lineRule="auto"/>
        <w:jc w:val="both"/>
        <w:rPr>
          <w:rFonts w:ascii="Times New Roman" w:eastAsia="Times New Roman" w:hAnsi="Times New Roman" w:cs="Times New Roman"/>
          <w:sz w:val="24"/>
          <w:szCs w:val="24"/>
        </w:rPr>
      </w:pPr>
      <w:r w:rsidRPr="001D4CCB">
        <w:rPr>
          <w:rFonts w:ascii="Times New Roman" w:eastAsia="Times New Roman" w:hAnsi="Times New Roman" w:cs="Times New Roman"/>
          <w:sz w:val="24"/>
          <w:szCs w:val="24"/>
        </w:rPr>
        <w:t xml:space="preserve">This study undertakes a comparative analysis of the forest resource management strategies adopted by these two communities. Although both communities operate within the same ecological zone and under Ghana’s broader forest governance framework (Forestry Commission of Ghana, 2023), their approaches differ in governance structures, institutional arrangements, and customary practices (Agrawal &amp; Gibson, 1999). The </w:t>
      </w:r>
      <w:proofErr w:type="spellStart"/>
      <w:r w:rsidRPr="001D4CCB">
        <w:rPr>
          <w:rFonts w:ascii="Times New Roman" w:eastAsia="Times New Roman" w:hAnsi="Times New Roman" w:cs="Times New Roman"/>
          <w:sz w:val="24"/>
          <w:szCs w:val="24"/>
        </w:rPr>
        <w:t>Nchumuru</w:t>
      </w:r>
      <w:proofErr w:type="spellEnd"/>
      <w:r w:rsidRPr="001D4CCB">
        <w:rPr>
          <w:rFonts w:ascii="Times New Roman" w:eastAsia="Times New Roman" w:hAnsi="Times New Roman" w:cs="Times New Roman"/>
          <w:sz w:val="24"/>
          <w:szCs w:val="24"/>
        </w:rPr>
        <w:t xml:space="preserve"> community is characterized by a relatively centralized chieftaincy system in which forest protection is reinforced through culturally embedded norms and traditional beliefs (Asante et al., 2017). In contrast, the Adele community employs a decentralized clan-based governance structure that distributes authority across multiple lineages and often relies on collaboration with non-governmental organizations and state institutions to strengthen local forest management capacity (Baruah, 2017).</w:t>
      </w:r>
    </w:p>
    <w:p w14:paraId="71AE42E7" w14:textId="77777777" w:rsidR="001D4CCB" w:rsidRPr="001D4CCB" w:rsidRDefault="001D4CCB" w:rsidP="001D4CCB">
      <w:pPr>
        <w:spacing w:before="100" w:beforeAutospacing="1" w:after="100" w:afterAutospacing="1" w:line="240" w:lineRule="auto"/>
        <w:jc w:val="both"/>
        <w:rPr>
          <w:rFonts w:ascii="Times New Roman" w:eastAsia="Times New Roman" w:hAnsi="Times New Roman" w:cs="Times New Roman"/>
          <w:sz w:val="24"/>
          <w:szCs w:val="24"/>
        </w:rPr>
      </w:pPr>
      <w:r w:rsidRPr="001D4CCB">
        <w:rPr>
          <w:rFonts w:ascii="Times New Roman" w:eastAsia="Times New Roman" w:hAnsi="Times New Roman" w:cs="Times New Roman"/>
          <w:sz w:val="24"/>
          <w:szCs w:val="24"/>
        </w:rPr>
        <w:t>The study examines how these differing community-based strategies influence forest governance outcomes, levels of participation, and long-term sustainability. By identifying the strengths and limitations of each approach, the research contributes to broader discussions on context-specific forest governance and provides insights for developing more inclusive and effective community-based forest management strategies in Ghana and similar contexts.</w:t>
      </w:r>
    </w:p>
    <w:p w14:paraId="3FC8D6FC" w14:textId="2E4CBB67" w:rsidR="0034508E" w:rsidRPr="00BD36C9" w:rsidRDefault="0034508E" w:rsidP="001D4CCB">
      <w:pPr>
        <w:spacing w:before="100" w:beforeAutospacing="1" w:after="100" w:afterAutospacing="1" w:line="360" w:lineRule="auto"/>
        <w:outlineLvl w:val="1"/>
        <w:rPr>
          <w:rFonts w:ascii="Times New Roman" w:eastAsia="Times New Roman" w:hAnsi="Times New Roman" w:cs="Times New Roman"/>
          <w:sz w:val="24"/>
          <w:szCs w:val="24"/>
        </w:rPr>
      </w:pPr>
    </w:p>
    <w:p w14:paraId="5B1B493A" w14:textId="77777777" w:rsidR="00071D94" w:rsidRDefault="00071D94"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4C11C9D0" w14:textId="77777777" w:rsidR="00071D94" w:rsidRDefault="00071D94"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4F9ECE4" w14:textId="77777777" w:rsidR="001D4CCB" w:rsidRDefault="00BA7278"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25E18AF1" w14:textId="77777777" w:rsidR="001D4CCB" w:rsidRDefault="001D4CCB"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16EC4523" w14:textId="7301C4A3" w:rsidR="0034508E" w:rsidRPr="00BD36C9" w:rsidRDefault="0034508E"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Literature Review</w:t>
      </w:r>
    </w:p>
    <w:p w14:paraId="5994A905" w14:textId="77777777" w:rsidR="00816B56" w:rsidRDefault="00BA7278" w:rsidP="00816B56">
      <w:pPr>
        <w:pStyle w:val="NormalWeb"/>
        <w:rPr>
          <w:b/>
          <w:bCs/>
        </w:rPr>
      </w:pPr>
      <w:r>
        <w:rPr>
          <w:b/>
          <w:bCs/>
        </w:rPr>
        <w:t xml:space="preserve"> </w:t>
      </w:r>
      <w:r w:rsidR="0034508E" w:rsidRPr="00BD36C9">
        <w:rPr>
          <w:b/>
          <w:bCs/>
        </w:rPr>
        <w:t xml:space="preserve">Conceptual </w:t>
      </w:r>
      <w:r w:rsidR="007F3D73">
        <w:rPr>
          <w:b/>
          <w:bCs/>
        </w:rPr>
        <w:t>f</w:t>
      </w:r>
      <w:r w:rsidR="0034508E" w:rsidRPr="00BD36C9">
        <w:rPr>
          <w:b/>
          <w:bCs/>
        </w:rPr>
        <w:t>oundation of</w:t>
      </w:r>
      <w:r w:rsidR="0034508E" w:rsidRPr="00FE7D62">
        <w:rPr>
          <w:b/>
          <w:bCs/>
        </w:rPr>
        <w:t xml:space="preserve"> </w:t>
      </w:r>
      <w:r w:rsidR="00FE7D62" w:rsidRPr="00EC5C25">
        <w:rPr>
          <w:b/>
          <w:bCs/>
        </w:rPr>
        <w:t>CBFRM</w:t>
      </w:r>
      <w:r w:rsidR="00FE7D62" w:rsidRPr="00BD36C9" w:rsidDel="00FE7D62">
        <w:rPr>
          <w:b/>
          <w:bCs/>
        </w:rPr>
        <w:t xml:space="preserve"> </w:t>
      </w:r>
    </w:p>
    <w:p w14:paraId="069B8E56" w14:textId="189CFCA3" w:rsidR="00816B56" w:rsidRDefault="00816B56" w:rsidP="00816B56">
      <w:pPr>
        <w:pStyle w:val="NormalWeb"/>
        <w:jc w:val="both"/>
      </w:pPr>
      <w:r>
        <w:t>Community-Based Forest Resource Management (CBFRM) refers to governance arrangements in which local communities actively participate in the planning, decision-making, implementation, and monitoring of forest resource use and conservation (Larson &amp; Soto, 2008). The approach emerged in response to the limitations of centralized forest governance systems, which have often been criticized for inadequate local participation, weak legitimacy, and limited consideration of local socio-ecological realities (Tole, 2010). Scholars argue that the historical exclusion of local resource users from forest governance has contributed to forest degradation, conflicts over resource access, and weak enforcement mechanisms (</w:t>
      </w:r>
      <w:proofErr w:type="spellStart"/>
      <w:r>
        <w:t>Ribot</w:t>
      </w:r>
      <w:proofErr w:type="spellEnd"/>
      <w:r>
        <w:t xml:space="preserve"> et al., 2006).</w:t>
      </w:r>
    </w:p>
    <w:p w14:paraId="18B03DA8" w14:textId="77777777" w:rsidR="00816B56" w:rsidRDefault="00816B56" w:rsidP="00816B56">
      <w:pPr>
        <w:pStyle w:val="NormalWeb"/>
        <w:jc w:val="both"/>
      </w:pPr>
      <w:r>
        <w:lastRenderedPageBreak/>
        <w:t xml:space="preserve">Unlike centralized forest management systems, CBFRM emphasizes decentralization, collective responsibility, integration of indigenous ecological knowledge, and the alignment of conservation objectives with local livelihoods and social well-being (Agrawal &amp; Gibson, 1999). At its core, CBFRM </w:t>
      </w:r>
      <w:proofErr w:type="gramStart"/>
      <w:r>
        <w:t>is based on the assumption</w:t>
      </w:r>
      <w:proofErr w:type="gramEnd"/>
      <w:r>
        <w:t xml:space="preserve"> that communities living within or near forest areas are better positioned to manage forest resources sustainably when they possess secure rights, decision-making authority, and adequate institutional support (</w:t>
      </w:r>
      <w:proofErr w:type="spellStart"/>
      <w:r>
        <w:t>Ribot</w:t>
      </w:r>
      <w:proofErr w:type="spellEnd"/>
      <w:r>
        <w:t>, 2002).</w:t>
      </w:r>
    </w:p>
    <w:p w14:paraId="20E1F44D" w14:textId="3D46891F" w:rsidR="00816B56" w:rsidRPr="00816B56" w:rsidRDefault="00816B56" w:rsidP="00816B56">
      <w:pPr>
        <w:pStyle w:val="NormalWeb"/>
        <w:jc w:val="both"/>
      </w:pPr>
      <w:r>
        <w:t xml:space="preserve">However, the effectiveness of CBFRM varies across contexts and is influenced by factors such as tenure security, institutional capacity, governance arrangements, and socio-cultural dynamics (Agrawal &amp; Gibson, 1999). Studies have also highlighted persistent challenges relating to unequal participation, elite capture, and the exclusion of marginalized groups from meaningful decision-making processes. In many instances, formal representation exists without corresponding influence or equitable access to forest benefits (Acharya, 2006; </w:t>
      </w:r>
      <w:proofErr w:type="spellStart"/>
      <w:r>
        <w:t>Essougong</w:t>
      </w:r>
      <w:proofErr w:type="spellEnd"/>
      <w:r>
        <w:t xml:space="preserve"> et al., 2019).</w:t>
      </w:r>
    </w:p>
    <w:p w14:paraId="06739DC4" w14:textId="1D07729A" w:rsidR="0034508E" w:rsidRPr="00BD36C9" w:rsidRDefault="0034508E"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 xml:space="preserve">Global Perspectives on </w:t>
      </w:r>
      <w:r w:rsidR="007F3D73" w:rsidRPr="00BD36C9">
        <w:rPr>
          <w:rFonts w:ascii="Times New Roman" w:eastAsia="Times New Roman" w:hAnsi="Times New Roman" w:cs="Times New Roman"/>
          <w:b/>
          <w:bCs/>
          <w:sz w:val="24"/>
          <w:szCs w:val="24"/>
        </w:rPr>
        <w:t>community-based forest management</w:t>
      </w:r>
    </w:p>
    <w:p w14:paraId="1C781F6E" w14:textId="77777777" w:rsidR="0034508E"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Globally, CBFRM initiatives have been implemented across Asia, Latin America, and Africa with varying outcomes. In Nepal, community forestry programs are widely regarded as successful due to strong legal frameworks, secure tenure arrangements, and effective local institutions (Ojha et al., 2016). Similarly, in Mexico, community-managed forests have demonstrated both ecological sustainability and economic viability through collective forest </w:t>
      </w:r>
      <w:r w:rsidR="009119CA" w:rsidRPr="00BD36C9">
        <w:rPr>
          <w:rFonts w:ascii="Times New Roman" w:eastAsia="Times New Roman" w:hAnsi="Times New Roman" w:cs="Times New Roman"/>
          <w:sz w:val="24"/>
          <w:szCs w:val="24"/>
        </w:rPr>
        <w:t>enterprises (Bray et al., 2005)</w:t>
      </w:r>
    </w:p>
    <w:p w14:paraId="7A705D33" w14:textId="72884AA3" w:rsidR="00B90229" w:rsidRPr="00B90229" w:rsidRDefault="0034508E" w:rsidP="00B9022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Despite these positive examples, scholars caution that community participation alone does not guarantee successful outcomes. Challenges such as elite capture, internal inequalities, weak enforcement mechanisms, and external market pressures often undermine collective action (Agrawal et al., 2008). Comparative studies emphasize that institutional design and governance capacity are more critical determinants of success than participation per se (Ostrom, 1990).</w:t>
      </w:r>
    </w:p>
    <w:p w14:paraId="3FF3B9A2" w14:textId="77777777" w:rsidR="00B90229" w:rsidRPr="00B90229" w:rsidRDefault="00B90229" w:rsidP="00B90229">
      <w:pPr>
        <w:spacing w:before="100" w:beforeAutospacing="1" w:after="100" w:afterAutospacing="1" w:line="240" w:lineRule="auto"/>
        <w:outlineLvl w:val="1"/>
        <w:rPr>
          <w:rFonts w:ascii="Times New Roman" w:eastAsia="Times New Roman" w:hAnsi="Times New Roman" w:cs="Times New Roman"/>
          <w:b/>
          <w:bCs/>
          <w:sz w:val="24"/>
          <w:szCs w:val="24"/>
        </w:rPr>
      </w:pPr>
      <w:r w:rsidRPr="00B90229">
        <w:rPr>
          <w:rFonts w:ascii="Times New Roman" w:eastAsia="Times New Roman" w:hAnsi="Times New Roman" w:cs="Times New Roman"/>
          <w:b/>
          <w:bCs/>
          <w:sz w:val="24"/>
          <w:szCs w:val="24"/>
        </w:rPr>
        <w:t>Community-based Forest Resource Management in Africa</w:t>
      </w:r>
    </w:p>
    <w:p w14:paraId="042542AA"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Community-Based Forest Resource Management (CBFRM) in Africa emerged largely as a response to colonial and post-colonial forest governance systems that centralized control over forest resources and marginalized local users. In response, countries such as Tanzania, Kenya, and Uganda have implemented community forestry and participatory forest management (PFM) approaches aimed at devolving authority to local institutions and improving conservation outcomes.</w:t>
      </w:r>
    </w:p>
    <w:p w14:paraId="247B19D3"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 xml:space="preserve">Empirical research shows that CBFRM tends to be more effective where communities have secure tenure rights, strong local governance institutions, and sustained technical and financial support (Ostrom, 1990; Agrawal &amp; Gibson, 1999; Andersson &amp; Ostrom, 2008). However, weak state capacity, insufficient funding, and political interference often undermine implementation. Scholars </w:t>
      </w:r>
      <w:r w:rsidRPr="00B90229">
        <w:rPr>
          <w:rFonts w:ascii="Times New Roman" w:eastAsia="Times New Roman" w:hAnsi="Times New Roman" w:cs="Times New Roman"/>
          <w:sz w:val="24"/>
          <w:szCs w:val="24"/>
        </w:rPr>
        <w:lastRenderedPageBreak/>
        <w:t xml:space="preserve">further emphasize that effective forest governance depends on the alignment of formal state institutions with customary governance systems, particularly where traditional authorities retain legitimacy and social authority (Cleaver, 2012; </w:t>
      </w:r>
      <w:proofErr w:type="spellStart"/>
      <w:r w:rsidRPr="00B90229">
        <w:rPr>
          <w:rFonts w:ascii="Times New Roman" w:eastAsia="Times New Roman" w:hAnsi="Times New Roman" w:cs="Times New Roman"/>
          <w:sz w:val="24"/>
          <w:szCs w:val="24"/>
        </w:rPr>
        <w:t>Ribot</w:t>
      </w:r>
      <w:proofErr w:type="spellEnd"/>
      <w:r w:rsidRPr="00B90229">
        <w:rPr>
          <w:rFonts w:ascii="Times New Roman" w:eastAsia="Times New Roman" w:hAnsi="Times New Roman" w:cs="Times New Roman"/>
          <w:sz w:val="24"/>
          <w:szCs w:val="24"/>
        </w:rPr>
        <w:t>, 2004).</w:t>
      </w:r>
    </w:p>
    <w:p w14:paraId="3D059C8E" w14:textId="6DCDAD3B" w:rsidR="00B90229" w:rsidRPr="00B90229" w:rsidRDefault="00B90229" w:rsidP="00B9022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90229">
        <w:rPr>
          <w:rFonts w:ascii="Times New Roman" w:eastAsia="Times New Roman" w:hAnsi="Times New Roman" w:cs="Times New Roman"/>
          <w:b/>
          <w:bCs/>
          <w:sz w:val="24"/>
          <w:szCs w:val="24"/>
        </w:rPr>
        <w:t>Community-based Forest Resource Management in Ghana</w:t>
      </w:r>
    </w:p>
    <w:p w14:paraId="1B53CB7B"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Ghana represents one of the more structured CBFRM systems in West Africa, primarily through the Community Resource Management Area (CREMA) framework. CREMAs are legally recognized local institutions that empower communities to manage wildlife and forest resources on off-reserve lands under the supervision of the Forestry Commission of Ghana (Forestry Commission of Ghana, 2016; FAO, 2020).</w:t>
      </w:r>
    </w:p>
    <w:p w14:paraId="78B1E3A1"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Studies on CREMAs indicate that they have contributed in some cases to improved biodiversity conservation, livelihood diversification, and increased local participation in resource governance (</w:t>
      </w:r>
      <w:proofErr w:type="spellStart"/>
      <w:r w:rsidRPr="00B90229">
        <w:rPr>
          <w:rFonts w:ascii="Times New Roman" w:eastAsia="Times New Roman" w:hAnsi="Times New Roman" w:cs="Times New Roman"/>
          <w:sz w:val="24"/>
          <w:szCs w:val="24"/>
        </w:rPr>
        <w:t>Agyare</w:t>
      </w:r>
      <w:proofErr w:type="spellEnd"/>
      <w:r w:rsidRPr="00B90229">
        <w:rPr>
          <w:rFonts w:ascii="Times New Roman" w:eastAsia="Times New Roman" w:hAnsi="Times New Roman" w:cs="Times New Roman"/>
          <w:sz w:val="24"/>
          <w:szCs w:val="24"/>
        </w:rPr>
        <w:t xml:space="preserve"> et al., 2020; </w:t>
      </w:r>
      <w:proofErr w:type="spellStart"/>
      <w:r w:rsidRPr="00B90229">
        <w:rPr>
          <w:rFonts w:ascii="Times New Roman" w:eastAsia="Times New Roman" w:hAnsi="Times New Roman" w:cs="Times New Roman"/>
          <w:sz w:val="24"/>
          <w:szCs w:val="24"/>
        </w:rPr>
        <w:t>Kalame</w:t>
      </w:r>
      <w:proofErr w:type="spellEnd"/>
      <w:r w:rsidRPr="00B90229">
        <w:rPr>
          <w:rFonts w:ascii="Times New Roman" w:eastAsia="Times New Roman" w:hAnsi="Times New Roman" w:cs="Times New Roman"/>
          <w:sz w:val="24"/>
          <w:szCs w:val="24"/>
        </w:rPr>
        <w:t xml:space="preserve"> et al., 2011). Nonetheless, implementation outcomes remain uneven. Key constraints include weak financial sustainability, limited enforcement capacity, and inadequate inclusion of women and youth in decision-making processes (</w:t>
      </w:r>
      <w:proofErr w:type="spellStart"/>
      <w:r w:rsidRPr="00B90229">
        <w:rPr>
          <w:rFonts w:ascii="Times New Roman" w:eastAsia="Times New Roman" w:hAnsi="Times New Roman" w:cs="Times New Roman"/>
          <w:sz w:val="24"/>
          <w:szCs w:val="24"/>
        </w:rPr>
        <w:t>Mawutor</w:t>
      </w:r>
      <w:proofErr w:type="spellEnd"/>
      <w:r w:rsidRPr="00B90229">
        <w:rPr>
          <w:rFonts w:ascii="Times New Roman" w:eastAsia="Times New Roman" w:hAnsi="Times New Roman" w:cs="Times New Roman"/>
          <w:sz w:val="24"/>
          <w:szCs w:val="24"/>
        </w:rPr>
        <w:t xml:space="preserve"> &amp; Hajjar, 2022; </w:t>
      </w:r>
      <w:proofErr w:type="spellStart"/>
      <w:r w:rsidRPr="00B90229">
        <w:rPr>
          <w:rFonts w:ascii="Times New Roman" w:eastAsia="Times New Roman" w:hAnsi="Times New Roman" w:cs="Times New Roman"/>
          <w:sz w:val="24"/>
          <w:szCs w:val="24"/>
        </w:rPr>
        <w:t>Foli</w:t>
      </w:r>
      <w:proofErr w:type="spellEnd"/>
      <w:r w:rsidRPr="00B90229">
        <w:rPr>
          <w:rFonts w:ascii="Times New Roman" w:eastAsia="Times New Roman" w:hAnsi="Times New Roman" w:cs="Times New Roman"/>
          <w:sz w:val="24"/>
          <w:szCs w:val="24"/>
        </w:rPr>
        <w:t xml:space="preserve"> et al., 2018).</w:t>
      </w:r>
    </w:p>
    <w:p w14:paraId="5B768F4C"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Recent legal reforms, particularly the Wildlife Resources Management Act, 2024 (Act 1115), have strengthened the statutory basis for community-based wildlife governance in Ghana. However, evidence suggests that legal recognition alone is insufficient without corresponding investments in institutional capacity, accountability mechanisms, and equitable benefit-sharing arrangements (World Bank, 2024; Hansen et al., 2009).</w:t>
      </w:r>
    </w:p>
    <w:p w14:paraId="6E644188" w14:textId="46877A8B" w:rsidR="00B90229" w:rsidRPr="00B90229" w:rsidRDefault="00B90229" w:rsidP="00B90229">
      <w:pPr>
        <w:spacing w:after="0" w:line="240" w:lineRule="auto"/>
        <w:jc w:val="both"/>
        <w:rPr>
          <w:rFonts w:ascii="Times New Roman" w:eastAsia="Times New Roman" w:hAnsi="Times New Roman" w:cs="Times New Roman"/>
          <w:sz w:val="24"/>
          <w:szCs w:val="24"/>
        </w:rPr>
      </w:pPr>
    </w:p>
    <w:p w14:paraId="1732DFF7" w14:textId="77777777" w:rsidR="00B90229" w:rsidRPr="00B90229" w:rsidRDefault="00B90229" w:rsidP="00B9022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90229">
        <w:rPr>
          <w:rFonts w:ascii="Times New Roman" w:eastAsia="Times New Roman" w:hAnsi="Times New Roman" w:cs="Times New Roman"/>
          <w:b/>
          <w:bCs/>
          <w:sz w:val="24"/>
          <w:szCs w:val="24"/>
        </w:rPr>
        <w:t>Role of Traditional Institutions and Indigenous Knowledge</w:t>
      </w:r>
    </w:p>
    <w:p w14:paraId="15C6CD64"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Traditional institutions such as chieftaincy systems, councils of elders, and customary norms remain central to forest governance in many Ghanaian communities. These institutions regulate access to forest resources, enforce sanctions, and embed conservation practices within culturally embedded belief systems (Yahaya, 2016; Agrawal &amp; Gibson, 1999).</w:t>
      </w:r>
    </w:p>
    <w:p w14:paraId="06C233D2"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Indigenous conservation practices such as sacred groves, taboos, and seasonal restrictions function as informal but effective mechanisms for biodiversity protection. Studies in Ghana show that sacred groves are often preserved through customary prohibitions against activities such as tree cutting, farming, and hunting, thereby contributing significantly to biodiversity conservation (Dorm-</w:t>
      </w:r>
      <w:proofErr w:type="spellStart"/>
      <w:r w:rsidRPr="00B90229">
        <w:rPr>
          <w:rFonts w:ascii="Times New Roman" w:eastAsia="Times New Roman" w:hAnsi="Times New Roman" w:cs="Times New Roman"/>
          <w:sz w:val="24"/>
          <w:szCs w:val="24"/>
        </w:rPr>
        <w:t>Adzobu</w:t>
      </w:r>
      <w:proofErr w:type="spellEnd"/>
      <w:r w:rsidRPr="00B90229">
        <w:rPr>
          <w:rFonts w:ascii="Times New Roman" w:eastAsia="Times New Roman" w:hAnsi="Times New Roman" w:cs="Times New Roman"/>
          <w:sz w:val="24"/>
          <w:szCs w:val="24"/>
        </w:rPr>
        <w:t xml:space="preserve"> et al., 1991; Campbell, 2005; Sarfo-Mensah et al., 2010).</w:t>
      </w:r>
    </w:p>
    <w:p w14:paraId="634AC57F" w14:textId="77777777" w:rsidR="00B90229" w:rsidRPr="00B90229" w:rsidRDefault="00B90229" w:rsidP="00B90229">
      <w:pPr>
        <w:spacing w:before="100" w:beforeAutospacing="1" w:after="100" w:afterAutospacing="1" w:line="240" w:lineRule="auto"/>
        <w:jc w:val="both"/>
        <w:rPr>
          <w:rFonts w:ascii="Times New Roman" w:eastAsia="Times New Roman" w:hAnsi="Times New Roman" w:cs="Times New Roman"/>
          <w:sz w:val="24"/>
          <w:szCs w:val="24"/>
        </w:rPr>
      </w:pPr>
      <w:r w:rsidRPr="00B90229">
        <w:rPr>
          <w:rFonts w:ascii="Times New Roman" w:eastAsia="Times New Roman" w:hAnsi="Times New Roman" w:cs="Times New Roman"/>
          <w:sz w:val="24"/>
          <w:szCs w:val="24"/>
        </w:rPr>
        <w:t>However, the effectiveness of these traditional systems varies across communities. Processes such as modernization, urbanization, weakening kinship systems, and declining authority of traditional leaders have reduced compliance in some areas, resulting in increased pressure on forest resources (</w:t>
      </w:r>
      <w:proofErr w:type="spellStart"/>
      <w:r w:rsidRPr="00B90229">
        <w:rPr>
          <w:rFonts w:ascii="Times New Roman" w:eastAsia="Times New Roman" w:hAnsi="Times New Roman" w:cs="Times New Roman"/>
          <w:sz w:val="24"/>
          <w:szCs w:val="24"/>
        </w:rPr>
        <w:t>Ribot</w:t>
      </w:r>
      <w:proofErr w:type="spellEnd"/>
      <w:r w:rsidRPr="00B90229">
        <w:rPr>
          <w:rFonts w:ascii="Times New Roman" w:eastAsia="Times New Roman" w:hAnsi="Times New Roman" w:cs="Times New Roman"/>
          <w:sz w:val="24"/>
          <w:szCs w:val="24"/>
        </w:rPr>
        <w:t xml:space="preserve">, 2004; </w:t>
      </w:r>
      <w:proofErr w:type="spellStart"/>
      <w:r w:rsidRPr="00B90229">
        <w:rPr>
          <w:rFonts w:ascii="Times New Roman" w:eastAsia="Times New Roman" w:hAnsi="Times New Roman" w:cs="Times New Roman"/>
          <w:sz w:val="24"/>
          <w:szCs w:val="24"/>
        </w:rPr>
        <w:t>Marfo</w:t>
      </w:r>
      <w:proofErr w:type="spellEnd"/>
      <w:r w:rsidRPr="00B90229">
        <w:rPr>
          <w:rFonts w:ascii="Times New Roman" w:eastAsia="Times New Roman" w:hAnsi="Times New Roman" w:cs="Times New Roman"/>
          <w:sz w:val="24"/>
          <w:szCs w:val="24"/>
        </w:rPr>
        <w:t>, 2010).</w:t>
      </w:r>
    </w:p>
    <w:p w14:paraId="3B8A8DED" w14:textId="6A5584A0" w:rsidR="00B90229" w:rsidRDefault="00B90229"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3F38181" w14:textId="77777777" w:rsidR="00B90229" w:rsidRDefault="00B90229"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738170E0" w14:textId="6EC457EE" w:rsidR="0034508E" w:rsidRPr="00BD36C9" w:rsidRDefault="0034508E"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 xml:space="preserve">Theoretical </w:t>
      </w:r>
      <w:r w:rsidR="00115EFA">
        <w:rPr>
          <w:rFonts w:ascii="Times New Roman" w:eastAsia="Times New Roman" w:hAnsi="Times New Roman" w:cs="Times New Roman"/>
          <w:b/>
          <w:bCs/>
          <w:sz w:val="24"/>
          <w:szCs w:val="24"/>
        </w:rPr>
        <w:t>U</w:t>
      </w:r>
      <w:r w:rsidR="0038306C">
        <w:rPr>
          <w:rFonts w:ascii="Times New Roman" w:eastAsia="Times New Roman" w:hAnsi="Times New Roman" w:cs="Times New Roman"/>
          <w:b/>
          <w:bCs/>
          <w:sz w:val="24"/>
          <w:szCs w:val="24"/>
        </w:rPr>
        <w:t>nderpinning</w:t>
      </w:r>
    </w:p>
    <w:p w14:paraId="5D6ABBED" w14:textId="28CC4212" w:rsidR="006E1127" w:rsidRPr="00BD36C9" w:rsidRDefault="0034508E" w:rsidP="0048125F">
      <w:pPr>
        <w:spacing w:after="0"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This study is anchored in Common Property Theory (CPT) and Comparative Institutionalism, which together provide a robust analytical framework for examining and comparing community-based forest resource management strategies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w:t>
      </w:r>
    </w:p>
    <w:p w14:paraId="62B84BF6" w14:textId="77777777" w:rsidR="0034508E" w:rsidRPr="00BD36C9" w:rsidRDefault="0034508E" w:rsidP="0048125F">
      <w:pPr>
        <w:spacing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CPT, most notably articulated by Ostrom (1990), challenges the notion that common-pool resources are inevitably degraded. Instead, it demonstrates that communities can sustainably manage shared resources when appropriate institutional arrangements are in place. Ostrom identified several design principles associated with successful common property regimes, including clearly defined boundaries, collective-choice arrangements, effective monitoring, graduated sanctions, conflict-resolution mechanisms, and recognition of local rights by external authorities (Ostrom, 1990; Ostrom et al., 1994).</w:t>
      </w:r>
    </w:p>
    <w:p w14:paraId="66D2C4BB" w14:textId="3236AC71" w:rsidR="004666AB" w:rsidRPr="0048125F" w:rsidRDefault="0034508E" w:rsidP="0048125F">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While CPT emphasizes internal community governance, Comparative Institutionalism extends the analysis by focusing on how institutional diversity, historical trajectories, and governance structures shape outcomes across contexts (Hall &amp; Taylor, 1996; North, 1990). This perspective is particularly relevant to the present study, as it facilitates a systematic comparison of forest management strategies in communities operating under similar ecological and policy conditions but with differing local institutions.</w:t>
      </w:r>
    </w:p>
    <w:p w14:paraId="0F28EA9B" w14:textId="77777777" w:rsidR="008664E5" w:rsidRDefault="00115EFA"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3ED229A7" w14:textId="6DCDE722" w:rsidR="0034508E" w:rsidRPr="00BD36C9" w:rsidRDefault="0038306C"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Materials and </w:t>
      </w:r>
      <w:r w:rsidR="0034508E" w:rsidRPr="00BD36C9">
        <w:rPr>
          <w:rFonts w:ascii="Times New Roman" w:eastAsia="Times New Roman" w:hAnsi="Times New Roman" w:cs="Times New Roman"/>
          <w:b/>
          <w:bCs/>
          <w:sz w:val="24"/>
          <w:szCs w:val="24"/>
        </w:rPr>
        <w:t>Method</w:t>
      </w:r>
      <w:r>
        <w:rPr>
          <w:rFonts w:ascii="Times New Roman" w:eastAsia="Times New Roman" w:hAnsi="Times New Roman" w:cs="Times New Roman"/>
          <w:b/>
          <w:bCs/>
          <w:sz w:val="24"/>
          <w:szCs w:val="24"/>
        </w:rPr>
        <w:t>s</w:t>
      </w:r>
    </w:p>
    <w:p w14:paraId="286A0969" w14:textId="1716909C" w:rsidR="0034508E" w:rsidRPr="00BD36C9" w:rsidRDefault="00115EFA"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0231D">
        <w:rPr>
          <w:rFonts w:ascii="Times New Roman" w:eastAsia="Times New Roman" w:hAnsi="Times New Roman" w:cs="Times New Roman"/>
          <w:b/>
          <w:bCs/>
          <w:sz w:val="24"/>
          <w:szCs w:val="24"/>
        </w:rPr>
        <w:t xml:space="preserve">Description of </w:t>
      </w:r>
      <w:r w:rsidR="00636FFC">
        <w:rPr>
          <w:rFonts w:ascii="Times New Roman" w:eastAsia="Times New Roman" w:hAnsi="Times New Roman" w:cs="Times New Roman"/>
          <w:b/>
          <w:bCs/>
          <w:sz w:val="24"/>
          <w:szCs w:val="24"/>
        </w:rPr>
        <w:t>S</w:t>
      </w:r>
      <w:r w:rsidR="0034508E" w:rsidRPr="00BD36C9">
        <w:rPr>
          <w:rFonts w:ascii="Times New Roman" w:eastAsia="Times New Roman" w:hAnsi="Times New Roman" w:cs="Times New Roman"/>
          <w:b/>
          <w:bCs/>
          <w:sz w:val="24"/>
          <w:szCs w:val="24"/>
        </w:rPr>
        <w:t xml:space="preserve">tudy </w:t>
      </w:r>
      <w:r w:rsidR="00636FFC">
        <w:rPr>
          <w:rFonts w:ascii="Times New Roman" w:eastAsia="Times New Roman" w:hAnsi="Times New Roman" w:cs="Times New Roman"/>
          <w:b/>
          <w:bCs/>
          <w:sz w:val="24"/>
          <w:szCs w:val="24"/>
        </w:rPr>
        <w:t>A</w:t>
      </w:r>
      <w:r w:rsidR="0034508E" w:rsidRPr="00BD36C9">
        <w:rPr>
          <w:rFonts w:ascii="Times New Roman" w:eastAsia="Times New Roman" w:hAnsi="Times New Roman" w:cs="Times New Roman"/>
          <w:b/>
          <w:bCs/>
          <w:sz w:val="24"/>
          <w:szCs w:val="24"/>
        </w:rPr>
        <w:t>rea</w:t>
      </w:r>
    </w:p>
    <w:p w14:paraId="7DB1C314" w14:textId="77777777" w:rsidR="00D446BE" w:rsidRPr="00396252" w:rsidRDefault="00D446BE" w:rsidP="00D446BE">
      <w:pPr>
        <w:pStyle w:val="NormalWeb"/>
        <w:spacing w:line="360" w:lineRule="auto"/>
        <w:jc w:val="both"/>
      </w:pPr>
      <w:r w:rsidRPr="00396252">
        <w:t xml:space="preserve">The study was conducted in the </w:t>
      </w:r>
      <w:proofErr w:type="spellStart"/>
      <w:r w:rsidRPr="00396252">
        <w:t>Oti</w:t>
      </w:r>
      <w:proofErr w:type="spellEnd"/>
      <w:r w:rsidRPr="00396252">
        <w:t xml:space="preserve"> Region of Ghana, focusing on two forest-dependent communities: the </w:t>
      </w:r>
      <w:proofErr w:type="spellStart"/>
      <w:r w:rsidRPr="00396252">
        <w:t>Nchumuru</w:t>
      </w:r>
      <w:proofErr w:type="spellEnd"/>
      <w:r w:rsidRPr="00396252">
        <w:t xml:space="preserve"> and Adele communities. These areas were selected based on their ecological similarities, shared exposure to national forest management policies, and distinct socio-institutional contexts, which make them suitable for a comparative analysis of Community-Based Forest Resource Management (CBFRM).</w:t>
      </w:r>
    </w:p>
    <w:p w14:paraId="2795DEC9" w14:textId="77777777" w:rsidR="00D446BE" w:rsidRPr="00396252" w:rsidRDefault="00D446BE" w:rsidP="00D446BE">
      <w:pPr>
        <w:spacing w:before="100" w:beforeAutospacing="1" w:after="100" w:afterAutospacing="1" w:line="360" w:lineRule="auto"/>
        <w:jc w:val="both"/>
        <w:rPr>
          <w:rFonts w:ascii="Times New Roman" w:eastAsia="Times New Roman" w:hAnsi="Times New Roman" w:cs="Times New Roman"/>
          <w:sz w:val="24"/>
          <w:szCs w:val="24"/>
        </w:rPr>
      </w:pPr>
      <w:r w:rsidRPr="00396252">
        <w:rPr>
          <w:rFonts w:ascii="Times New Roman" w:eastAsia="Times New Roman" w:hAnsi="Times New Roman" w:cs="Times New Roman"/>
          <w:sz w:val="24"/>
          <w:szCs w:val="24"/>
        </w:rPr>
        <w:lastRenderedPageBreak/>
        <w:t xml:space="preserve">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communities</w:t>
      </w:r>
      <w:r>
        <w:rPr>
          <w:rFonts w:ascii="Times New Roman" w:eastAsia="Times New Roman" w:hAnsi="Times New Roman" w:cs="Times New Roman"/>
          <w:sz w:val="24"/>
          <w:szCs w:val="24"/>
        </w:rPr>
        <w:t xml:space="preserve"> (Banda, </w:t>
      </w:r>
      <w:proofErr w:type="spellStart"/>
      <w:r>
        <w:rPr>
          <w:rFonts w:ascii="Times New Roman" w:eastAsia="Times New Roman" w:hAnsi="Times New Roman" w:cs="Times New Roman"/>
          <w:sz w:val="24"/>
          <w:szCs w:val="24"/>
        </w:rPr>
        <w:t>Borae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Anyabor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Chamba</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geographically situated across two administrative jurisdictions: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District and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Municipality.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spans an estimated 2,393 square kilometers, while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covers approximately 4,402 square kilometers, making it one of the largest municipalities in the </w:t>
      </w:r>
      <w:proofErr w:type="spellStart"/>
      <w:r w:rsidRPr="00396252">
        <w:rPr>
          <w:rFonts w:ascii="Times New Roman" w:eastAsia="Times New Roman" w:hAnsi="Times New Roman" w:cs="Times New Roman"/>
          <w:sz w:val="24"/>
          <w:szCs w:val="24"/>
        </w:rPr>
        <w:t>Oti</w:t>
      </w:r>
      <w:proofErr w:type="spellEnd"/>
      <w:r w:rsidRPr="00396252">
        <w:rPr>
          <w:rFonts w:ascii="Times New Roman" w:eastAsia="Times New Roman" w:hAnsi="Times New Roman" w:cs="Times New Roman"/>
          <w:sz w:val="24"/>
          <w:szCs w:val="24"/>
        </w:rPr>
        <w:t xml:space="preserve"> Region. These areas are predominantly rural, and agriculture is the principal livelihood activity. The presence of the Volta Lake along the western and southern boundaries further supports fishing and irrigation farming. The terrain is largely flat and conducive for staple crops such as yam and maize. According to the Ghana Statistical Service (2021), more than 80% of households in this region rely on agriculture as their primary source of income.</w:t>
      </w:r>
    </w:p>
    <w:p w14:paraId="1FBB4644" w14:textId="5E4DC236" w:rsidR="00CE61EB" w:rsidRDefault="00D446BE" w:rsidP="00CE61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Adele communities (Ofosu, </w:t>
      </w:r>
      <w:proofErr w:type="spellStart"/>
      <w:r>
        <w:rPr>
          <w:rFonts w:ascii="Times New Roman" w:eastAsia="Times New Roman" w:hAnsi="Times New Roman" w:cs="Times New Roman"/>
          <w:sz w:val="24"/>
          <w:szCs w:val="24"/>
        </w:rPr>
        <w:t>Totokpene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Kachebi</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located in Nkwanta South Municipality, which occupies about 2,706 square kilometers. It is bordered to the south by the Volta Region and to the west by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The municipality is characterized by a mix of savannah and semi-deciduous forest, hilly terrain, and dispersed rural settlements. Agriculture also dominates local livelihoods, with a focus on crops such as yam, cassava, and maize.</w:t>
      </w:r>
      <w:r w:rsidR="00CC1F05">
        <w:rPr>
          <w:rFonts w:ascii="Times New Roman" w:eastAsia="Times New Roman" w:hAnsi="Times New Roman" w:cs="Times New Roman"/>
          <w:sz w:val="24"/>
          <w:szCs w:val="24"/>
        </w:rPr>
        <w:t xml:space="preserve"> </w:t>
      </w:r>
      <w:r w:rsidR="005A3912" w:rsidRPr="00BD36C9">
        <w:rPr>
          <w:rFonts w:ascii="Times New Roman" w:eastAsia="Times New Roman" w:hAnsi="Times New Roman" w:cs="Times New Roman"/>
          <w:sz w:val="24"/>
          <w:szCs w:val="24"/>
        </w:rPr>
        <w:t>The two communities were purposively selected due to their ecological similarity, shared location within the forest–savannah transition zone, and long-standing dependence on forest resources.</w:t>
      </w:r>
      <w:r w:rsidR="005A3912">
        <w:rPr>
          <w:rFonts w:ascii="Times New Roman" w:eastAsia="Times New Roman" w:hAnsi="Times New Roman" w:cs="Times New Roman"/>
          <w:sz w:val="24"/>
          <w:szCs w:val="24"/>
        </w:rPr>
        <w:t xml:space="preserve"> </w:t>
      </w:r>
      <w:r w:rsidRPr="00396252">
        <w:rPr>
          <w:rFonts w:ascii="Times New Roman" w:eastAsia="Times New Roman" w:hAnsi="Times New Roman" w:cs="Times New Roman"/>
          <w:sz w:val="24"/>
          <w:szCs w:val="24"/>
        </w:rPr>
        <w:t xml:space="preserve">Despite being under the same national forest policy regime and situated within the same ecological zone,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and Adele communities exhibit markedly different forest governance outcomes.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area demonstrates relative success in preserving forest cover, while the Adele community faces severe environmental degradation. These distinctions are rooted in differences in traditional leadership structures, community cohesion, institutional support, and external partnerships.</w:t>
      </w:r>
      <w:r w:rsidR="00CE61EB">
        <w:rPr>
          <w:rFonts w:ascii="Times New Roman" w:eastAsia="Times New Roman" w:hAnsi="Times New Roman" w:cs="Times New Roman"/>
          <w:sz w:val="24"/>
          <w:szCs w:val="24"/>
        </w:rPr>
        <w:t xml:space="preserve"> </w:t>
      </w:r>
    </w:p>
    <w:p w14:paraId="3A659BEA" w14:textId="7380654E" w:rsidR="00CE61EB" w:rsidRDefault="00CE61EB" w:rsidP="00CE61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shows the map of the study areas.</w:t>
      </w:r>
    </w:p>
    <w:p w14:paraId="6F78AFB7" w14:textId="12E0AB76" w:rsidR="00CE61EB" w:rsidRDefault="00CE61EB" w:rsidP="00CE61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CD5458A" wp14:editId="009FF0AC">
            <wp:extent cx="5913755" cy="4596765"/>
            <wp:effectExtent l="0" t="0" r="0" b="0"/>
            <wp:docPr id="55879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755" cy="4596765"/>
                    </a:xfrm>
                    <a:prstGeom prst="rect">
                      <a:avLst/>
                    </a:prstGeom>
                    <a:noFill/>
                  </pic:spPr>
                </pic:pic>
              </a:graphicData>
            </a:graphic>
          </wp:inline>
        </w:drawing>
      </w:r>
    </w:p>
    <w:p w14:paraId="1B81F9BA" w14:textId="77777777" w:rsidR="005A54C5" w:rsidRDefault="00CE61EB" w:rsidP="005A54C5">
      <w:pPr>
        <w:pStyle w:val="Caption"/>
        <w:rPr>
          <w:rFonts w:eastAsia="Calibri"/>
          <w:shd w:val="clear" w:color="auto" w:fill="FFFFFF"/>
        </w:rPr>
      </w:pPr>
      <w:bookmarkStart w:id="1" w:name="_Toc206959598"/>
      <w:r>
        <w:t xml:space="preserve">Figure </w:t>
      </w:r>
      <w:r w:rsidR="007B7EE9">
        <w:fldChar w:fldCharType="begin"/>
      </w:r>
      <w:r w:rsidR="007B7EE9">
        <w:instrText xml:space="preserve"> SEQ Figure_3. \* ARABIC </w:instrText>
      </w:r>
      <w:r w:rsidR="007B7EE9">
        <w:fldChar w:fldCharType="separate"/>
      </w:r>
      <w:r>
        <w:rPr>
          <w:noProof/>
        </w:rPr>
        <w:t>1</w:t>
      </w:r>
      <w:r w:rsidR="007B7EE9">
        <w:rPr>
          <w:noProof/>
        </w:rPr>
        <w:fldChar w:fldCharType="end"/>
      </w:r>
      <w:r w:rsidRPr="00396252">
        <w:t xml:space="preserve">: </w:t>
      </w:r>
      <w:r w:rsidRPr="00396252">
        <w:rPr>
          <w:rFonts w:eastAsia="Calibri"/>
          <w:shd w:val="clear" w:color="auto" w:fill="FFFFFF"/>
        </w:rPr>
        <w:t xml:space="preserve">Map of </w:t>
      </w:r>
      <w:proofErr w:type="spellStart"/>
      <w:r w:rsidRPr="00396252">
        <w:rPr>
          <w:rFonts w:eastAsia="Calibri"/>
          <w:shd w:val="clear" w:color="auto" w:fill="FFFFFF"/>
        </w:rPr>
        <w:t>Oti</w:t>
      </w:r>
      <w:proofErr w:type="spellEnd"/>
      <w:r w:rsidRPr="00396252">
        <w:rPr>
          <w:rFonts w:eastAsia="Calibri"/>
          <w:shd w:val="clear" w:color="auto" w:fill="FFFFFF"/>
        </w:rPr>
        <w:t xml:space="preserve"> Region with Selected Municipalities Showing the Study </w:t>
      </w:r>
      <w:proofErr w:type="spellStart"/>
      <w:r w:rsidRPr="00396252">
        <w:rPr>
          <w:rFonts w:eastAsia="Calibri"/>
          <w:shd w:val="clear" w:color="auto" w:fill="FFFFFF"/>
        </w:rPr>
        <w:t>Communitie</w:t>
      </w:r>
      <w:bookmarkEnd w:id="1"/>
      <w:proofErr w:type="spellEnd"/>
    </w:p>
    <w:p w14:paraId="7EE679FC" w14:textId="54960D1D" w:rsidR="00110D4B" w:rsidRPr="005A54C5" w:rsidRDefault="00CE61EB" w:rsidP="005A54C5">
      <w:pPr>
        <w:pStyle w:val="Caption"/>
        <w:rPr>
          <w:rFonts w:eastAsia="Calibri"/>
          <w:b w:val="0"/>
          <w:bCs w:val="0"/>
          <w:shd w:val="clear" w:color="auto" w:fill="FFFFFF"/>
        </w:rPr>
      </w:pPr>
      <w:r w:rsidRPr="00396252">
        <w:rPr>
          <w:rFonts w:eastAsia="Calibri"/>
          <w:shd w:val="clear" w:color="auto" w:fill="FFFFFF"/>
        </w:rPr>
        <w:t>Source: Author’s Construct, 202</w:t>
      </w:r>
      <w:r w:rsidR="008E2C3B">
        <w:rPr>
          <w:rFonts w:eastAsia="Calibri"/>
          <w:shd w:val="clear" w:color="auto" w:fill="FFFFFF"/>
        </w:rPr>
        <w:t>6</w:t>
      </w:r>
      <w:r w:rsidR="00110D4B">
        <w:rPr>
          <w:rFonts w:eastAsia="Calibri"/>
          <w:b w:val="0"/>
          <w:bCs w:val="0"/>
          <w:shd w:val="clear" w:color="auto" w:fill="FFFFFF"/>
        </w:rPr>
        <w:t xml:space="preserve"> </w:t>
      </w:r>
    </w:p>
    <w:p w14:paraId="072756FF" w14:textId="77777777" w:rsidR="00110D4B" w:rsidRDefault="00110D4B" w:rsidP="00110D4B">
      <w:pPr>
        <w:pStyle w:val="Heading3"/>
        <w:numPr>
          <w:ilvl w:val="0"/>
          <w:numId w:val="0"/>
        </w:numPr>
        <w:ind w:left="720"/>
        <w:rPr>
          <w:rFonts w:eastAsia="Times New Roman"/>
          <w:sz w:val="27"/>
          <w:szCs w:val="27"/>
        </w:rPr>
      </w:pPr>
    </w:p>
    <w:p w14:paraId="5CB595CD" w14:textId="4E730840" w:rsidR="005A54C5" w:rsidRDefault="005A54C5" w:rsidP="00110D4B">
      <w:pPr>
        <w:pStyle w:val="Heading3"/>
        <w:numPr>
          <w:ilvl w:val="0"/>
          <w:numId w:val="0"/>
        </w:numPr>
        <w:ind w:left="720" w:hanging="720"/>
        <w:rPr>
          <w:rFonts w:eastAsia="Times New Roman"/>
          <w:sz w:val="27"/>
          <w:szCs w:val="27"/>
        </w:rPr>
      </w:pPr>
    </w:p>
    <w:p w14:paraId="2E105B57" w14:textId="448CD526" w:rsidR="005A54C5" w:rsidRDefault="005A54C5" w:rsidP="005A54C5"/>
    <w:p w14:paraId="69D9E3A6" w14:textId="77777777" w:rsidR="005A54C5" w:rsidRPr="005A54C5" w:rsidRDefault="005A54C5" w:rsidP="005A54C5"/>
    <w:p w14:paraId="76F22CCF" w14:textId="77777777" w:rsidR="005A54C5" w:rsidRDefault="005A54C5" w:rsidP="00110D4B">
      <w:pPr>
        <w:pStyle w:val="Heading3"/>
        <w:numPr>
          <w:ilvl w:val="0"/>
          <w:numId w:val="0"/>
        </w:numPr>
        <w:ind w:left="720" w:hanging="720"/>
        <w:rPr>
          <w:rFonts w:eastAsia="Times New Roman"/>
          <w:sz w:val="27"/>
          <w:szCs w:val="27"/>
        </w:rPr>
      </w:pPr>
    </w:p>
    <w:p w14:paraId="54D9F7D5" w14:textId="3D40B87B" w:rsidR="00110D4B" w:rsidRPr="00110D4B" w:rsidRDefault="00110D4B" w:rsidP="00110D4B">
      <w:pPr>
        <w:pStyle w:val="Heading3"/>
        <w:numPr>
          <w:ilvl w:val="0"/>
          <w:numId w:val="0"/>
        </w:numPr>
        <w:ind w:left="720" w:hanging="720"/>
        <w:rPr>
          <w:rFonts w:eastAsia="Times New Roman"/>
          <w:sz w:val="27"/>
          <w:szCs w:val="27"/>
        </w:rPr>
      </w:pPr>
      <w:r>
        <w:rPr>
          <w:rFonts w:eastAsia="Times New Roman"/>
          <w:sz w:val="27"/>
          <w:szCs w:val="27"/>
        </w:rPr>
        <w:t>Research Design</w:t>
      </w:r>
    </w:p>
    <w:p w14:paraId="49059379" w14:textId="77777777" w:rsidR="00110D4B" w:rsidRPr="00110D4B" w:rsidRDefault="00110D4B" w:rsidP="00110D4B">
      <w:pPr>
        <w:spacing w:before="100" w:beforeAutospacing="1" w:after="100" w:afterAutospacing="1" w:line="240" w:lineRule="auto"/>
        <w:jc w:val="both"/>
        <w:rPr>
          <w:rFonts w:ascii="Times New Roman" w:eastAsia="Times New Roman" w:hAnsi="Times New Roman" w:cs="Times New Roman"/>
          <w:sz w:val="24"/>
          <w:szCs w:val="24"/>
        </w:rPr>
      </w:pPr>
      <w:r w:rsidRPr="00110D4B">
        <w:rPr>
          <w:rFonts w:ascii="Times New Roman" w:eastAsia="Times New Roman" w:hAnsi="Times New Roman" w:cs="Times New Roman"/>
          <w:sz w:val="24"/>
          <w:szCs w:val="24"/>
        </w:rPr>
        <w:t xml:space="preserve">This study adopted a mixed-methods research design within a comparative case study framework to examine community-based forest resource management strategies in the selected communities. The mixed-methods approach was chosen to enable the integration of both quantitative and qualitative data, thereby providing a more comprehensive understanding of the research problem. While quantitative data offered measurable insights into patterns of community participation and </w:t>
      </w:r>
      <w:r w:rsidRPr="00110D4B">
        <w:rPr>
          <w:rFonts w:ascii="Times New Roman" w:eastAsia="Times New Roman" w:hAnsi="Times New Roman" w:cs="Times New Roman"/>
          <w:sz w:val="24"/>
          <w:szCs w:val="24"/>
        </w:rPr>
        <w:lastRenderedPageBreak/>
        <w:t>governance practices, qualitative data provided deeper contextual explanations of local experiences, perceptions, and institutional dynamics.</w:t>
      </w:r>
    </w:p>
    <w:p w14:paraId="75F774C7" w14:textId="77777777" w:rsidR="00110D4B" w:rsidRPr="00110D4B" w:rsidRDefault="00110D4B" w:rsidP="00110D4B">
      <w:pPr>
        <w:spacing w:before="100" w:beforeAutospacing="1" w:after="100" w:afterAutospacing="1" w:line="240" w:lineRule="auto"/>
        <w:jc w:val="both"/>
        <w:rPr>
          <w:rFonts w:ascii="Times New Roman" w:eastAsia="Times New Roman" w:hAnsi="Times New Roman" w:cs="Times New Roman"/>
          <w:sz w:val="24"/>
          <w:szCs w:val="24"/>
        </w:rPr>
      </w:pPr>
      <w:r w:rsidRPr="00110D4B">
        <w:rPr>
          <w:rFonts w:ascii="Times New Roman" w:eastAsia="Times New Roman" w:hAnsi="Times New Roman" w:cs="Times New Roman"/>
          <w:sz w:val="24"/>
          <w:szCs w:val="24"/>
        </w:rPr>
        <w:t xml:space="preserve">The comparative case study design facilitated a systematic analysis of similarities and differences between the </w:t>
      </w:r>
      <w:proofErr w:type="spellStart"/>
      <w:r w:rsidRPr="00110D4B">
        <w:rPr>
          <w:rFonts w:ascii="Times New Roman" w:eastAsia="Times New Roman" w:hAnsi="Times New Roman" w:cs="Times New Roman"/>
          <w:sz w:val="24"/>
          <w:szCs w:val="24"/>
        </w:rPr>
        <w:t>Nchumuru</w:t>
      </w:r>
      <w:proofErr w:type="spellEnd"/>
      <w:r w:rsidRPr="00110D4B">
        <w:rPr>
          <w:rFonts w:ascii="Times New Roman" w:eastAsia="Times New Roman" w:hAnsi="Times New Roman" w:cs="Times New Roman"/>
          <w:sz w:val="24"/>
          <w:szCs w:val="24"/>
        </w:rPr>
        <w:t xml:space="preserve"> and Adele communities. This approach was particularly appropriate given the study’s objective of exploring how variations in governance structures, cultural norms, and socio-institutional arrangements influence forest management outcomes. By examining multiple cases within the same regional context, the study enhanced its analytical depth and allowed for more robust interpretation of findings.</w:t>
      </w:r>
    </w:p>
    <w:p w14:paraId="13FD8DD3" w14:textId="319856DC" w:rsidR="00110D4B" w:rsidRPr="00110D4B" w:rsidRDefault="00110D4B" w:rsidP="00110D4B">
      <w:pPr>
        <w:spacing w:before="240" w:after="240" w:line="360" w:lineRule="auto"/>
        <w:jc w:val="both"/>
        <w:rPr>
          <w:rFonts w:ascii="Times New Roman" w:eastAsia="Calibri" w:hAnsi="Times New Roman" w:cs="Times New Roman"/>
          <w:b/>
          <w:bCs/>
          <w:sz w:val="24"/>
          <w:szCs w:val="24"/>
          <w:shd w:val="clear" w:color="auto" w:fill="FFFFFF"/>
        </w:rPr>
      </w:pPr>
      <w:r>
        <w:rPr>
          <w:rFonts w:ascii="Times New Roman" w:eastAsia="Calibri" w:hAnsi="Times New Roman" w:cs="Times New Roman"/>
          <w:b/>
          <w:bCs/>
          <w:sz w:val="24"/>
          <w:szCs w:val="24"/>
          <w:shd w:val="clear" w:color="auto" w:fill="FFFFFF"/>
        </w:rPr>
        <w:t>Sampling Technique</w:t>
      </w:r>
    </w:p>
    <w:p w14:paraId="01369C11" w14:textId="77777777" w:rsidR="00110D4B" w:rsidRPr="00110D4B" w:rsidRDefault="00110D4B" w:rsidP="00110D4B">
      <w:pPr>
        <w:spacing w:before="100" w:beforeAutospacing="1" w:after="100" w:afterAutospacing="1" w:line="240" w:lineRule="auto"/>
        <w:jc w:val="both"/>
        <w:rPr>
          <w:rFonts w:ascii="Times New Roman" w:eastAsia="Times New Roman" w:hAnsi="Times New Roman" w:cs="Times New Roman"/>
          <w:sz w:val="24"/>
          <w:szCs w:val="24"/>
        </w:rPr>
      </w:pPr>
      <w:r w:rsidRPr="00110D4B">
        <w:rPr>
          <w:rFonts w:ascii="Times New Roman" w:eastAsia="Times New Roman" w:hAnsi="Times New Roman" w:cs="Times New Roman"/>
          <w:sz w:val="24"/>
          <w:szCs w:val="24"/>
        </w:rPr>
        <w:t>The study employed a combination of purposive and probability sampling techniques to ensure both relevance and representativeness of the data. This approach was considered appropriate given the need to capture in-depth institutional insights while also obtaining generalizable household-level information.</w:t>
      </w:r>
    </w:p>
    <w:p w14:paraId="270DE56F" w14:textId="02692E8A" w:rsidR="00110D4B" w:rsidRPr="00110D4B" w:rsidRDefault="00110D4B" w:rsidP="00110D4B">
      <w:pPr>
        <w:spacing w:before="100" w:beforeAutospacing="1" w:after="100" w:afterAutospacing="1" w:line="240" w:lineRule="auto"/>
        <w:jc w:val="both"/>
        <w:rPr>
          <w:rFonts w:ascii="Times New Roman" w:eastAsia="Times New Roman" w:hAnsi="Times New Roman" w:cs="Times New Roman"/>
          <w:sz w:val="24"/>
          <w:szCs w:val="24"/>
        </w:rPr>
      </w:pPr>
      <w:r w:rsidRPr="00110D4B">
        <w:rPr>
          <w:rFonts w:ascii="Times New Roman" w:eastAsia="Times New Roman" w:hAnsi="Times New Roman" w:cs="Times New Roman"/>
          <w:sz w:val="24"/>
          <w:szCs w:val="24"/>
        </w:rPr>
        <w:t xml:space="preserve">Purposive sampling was initially used to select the study communities, relevant institutions, and key informants for qualitative data collection. The selection of the </w:t>
      </w:r>
      <w:proofErr w:type="spellStart"/>
      <w:r w:rsidRPr="00110D4B">
        <w:rPr>
          <w:rFonts w:ascii="Times New Roman" w:eastAsia="Times New Roman" w:hAnsi="Times New Roman" w:cs="Times New Roman"/>
          <w:sz w:val="24"/>
          <w:szCs w:val="24"/>
        </w:rPr>
        <w:t>Nchumuru</w:t>
      </w:r>
      <w:proofErr w:type="spellEnd"/>
      <w:r w:rsidRPr="00110D4B">
        <w:rPr>
          <w:rFonts w:ascii="Times New Roman" w:eastAsia="Times New Roman" w:hAnsi="Times New Roman" w:cs="Times New Roman"/>
          <w:sz w:val="24"/>
          <w:szCs w:val="24"/>
        </w:rPr>
        <w:t xml:space="preserve"> and Adele communities was based on their active involvement in community-based forest management and their contrasting governance structures, which made them suitable for compa</w:t>
      </w:r>
      <w:r>
        <w:rPr>
          <w:rFonts w:ascii="Times New Roman" w:eastAsia="Times New Roman" w:hAnsi="Times New Roman" w:cs="Times New Roman"/>
          <w:sz w:val="24"/>
          <w:szCs w:val="24"/>
        </w:rPr>
        <w:t>rative analysis. Key informants were community leaders. They</w:t>
      </w:r>
      <w:r w:rsidRPr="00110D4B">
        <w:rPr>
          <w:rFonts w:ascii="Times New Roman" w:eastAsia="Times New Roman" w:hAnsi="Times New Roman" w:cs="Times New Roman"/>
          <w:sz w:val="24"/>
          <w:szCs w:val="24"/>
        </w:rPr>
        <w:t xml:space="preserve"> were deliberately chosen based on their knowledge, experience, and direct involvement in forest resource management. This ensured that the study captured detailed and context-specific information relevant to the research objectives. However, it is acknowledged that purposive sampling may introduce selection bias, as participants are not chosen randomly.</w:t>
      </w:r>
    </w:p>
    <w:p w14:paraId="313134D9" w14:textId="42B933DF" w:rsidR="006E1127" w:rsidRPr="00110D4B" w:rsidRDefault="00110D4B" w:rsidP="00110D4B">
      <w:pPr>
        <w:spacing w:before="100" w:beforeAutospacing="1" w:after="100" w:afterAutospacing="1" w:line="240" w:lineRule="auto"/>
        <w:jc w:val="both"/>
        <w:rPr>
          <w:rFonts w:ascii="Times New Roman" w:eastAsia="Times New Roman" w:hAnsi="Times New Roman" w:cs="Times New Roman"/>
          <w:sz w:val="24"/>
          <w:szCs w:val="24"/>
        </w:rPr>
      </w:pPr>
      <w:r w:rsidRPr="00110D4B">
        <w:rPr>
          <w:rFonts w:ascii="Times New Roman" w:eastAsia="Times New Roman" w:hAnsi="Times New Roman" w:cs="Times New Roman"/>
          <w:sz w:val="24"/>
          <w:szCs w:val="24"/>
        </w:rPr>
        <w:t>For the quantitative component, a simple random sampling technique was employed to select household heads for questionnaire administration. A sampling frame was developed using community household lists obtained from local authorities. From this frame, respondents were selected using the lottery method, ensuring that each household had an equal and independent chance of inclusion. This procedure enhanced the representativeness of the sample and reduced the likelihood of systematic selection bias.</w:t>
      </w:r>
    </w:p>
    <w:p w14:paraId="6CBE888B" w14:textId="77777777" w:rsidR="005A54C5" w:rsidRDefault="005A54C5"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7C52752" w14:textId="66FF5721" w:rsidR="0034508E" w:rsidRPr="00BD36C9" w:rsidRDefault="0034508E"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 xml:space="preserve">Data </w:t>
      </w:r>
      <w:r w:rsidR="00F0231D">
        <w:rPr>
          <w:rFonts w:ascii="Times New Roman" w:eastAsia="Times New Roman" w:hAnsi="Times New Roman" w:cs="Times New Roman"/>
          <w:b/>
          <w:bCs/>
          <w:sz w:val="24"/>
          <w:szCs w:val="24"/>
        </w:rPr>
        <w:t>c</w:t>
      </w:r>
      <w:r w:rsidR="00F0231D" w:rsidRPr="00BD36C9">
        <w:rPr>
          <w:rFonts w:ascii="Times New Roman" w:eastAsia="Times New Roman" w:hAnsi="Times New Roman" w:cs="Times New Roman"/>
          <w:b/>
          <w:bCs/>
          <w:sz w:val="24"/>
          <w:szCs w:val="24"/>
        </w:rPr>
        <w:t xml:space="preserve">ollection </w:t>
      </w:r>
      <w:r w:rsidR="00F0231D">
        <w:rPr>
          <w:rFonts w:ascii="Times New Roman" w:eastAsia="Times New Roman" w:hAnsi="Times New Roman" w:cs="Times New Roman"/>
          <w:b/>
          <w:bCs/>
          <w:sz w:val="24"/>
          <w:szCs w:val="24"/>
        </w:rPr>
        <w:t xml:space="preserve">and </w:t>
      </w:r>
      <w:r w:rsidR="00636FFC">
        <w:rPr>
          <w:rFonts w:ascii="Times New Roman" w:eastAsia="Times New Roman" w:hAnsi="Times New Roman" w:cs="Times New Roman"/>
          <w:b/>
          <w:bCs/>
          <w:sz w:val="24"/>
          <w:szCs w:val="24"/>
        </w:rPr>
        <w:t>A</w:t>
      </w:r>
      <w:r w:rsidRPr="00BD36C9">
        <w:rPr>
          <w:rFonts w:ascii="Times New Roman" w:eastAsia="Times New Roman" w:hAnsi="Times New Roman" w:cs="Times New Roman"/>
          <w:b/>
          <w:bCs/>
          <w:sz w:val="24"/>
          <w:szCs w:val="24"/>
        </w:rPr>
        <w:t>nalysis</w:t>
      </w:r>
    </w:p>
    <w:p w14:paraId="0240F6B7" w14:textId="661D03EB" w:rsidR="007D674A" w:rsidRDefault="00F0231D" w:rsidP="005A54C5">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Data were collected through household surveys, key informant interviews, and focus group discussions. Structured questionnaires were administered to 344 households across both communities, while semi-structured interviews and </w:t>
      </w:r>
      <w:r w:rsidR="00D21AA6">
        <w:rPr>
          <w:rFonts w:ascii="Times New Roman" w:eastAsia="Times New Roman" w:hAnsi="Times New Roman" w:cs="Times New Roman"/>
          <w:sz w:val="24"/>
          <w:szCs w:val="24"/>
        </w:rPr>
        <w:t xml:space="preserve">focused </w:t>
      </w:r>
      <w:r w:rsidRPr="00BD36C9">
        <w:rPr>
          <w:rFonts w:ascii="Times New Roman" w:eastAsia="Times New Roman" w:hAnsi="Times New Roman" w:cs="Times New Roman"/>
          <w:sz w:val="24"/>
          <w:szCs w:val="24"/>
        </w:rPr>
        <w:t>group discussions provided deeper insights into institutional practices and community perceptions.</w:t>
      </w:r>
      <w:r>
        <w:rPr>
          <w:rFonts w:ascii="Times New Roman" w:eastAsia="Times New Roman" w:hAnsi="Times New Roman" w:cs="Times New Roman"/>
          <w:sz w:val="24"/>
          <w:szCs w:val="24"/>
        </w:rPr>
        <w:t xml:space="preserve"> </w:t>
      </w:r>
      <w:r w:rsidR="0034508E" w:rsidRPr="00BD36C9">
        <w:rPr>
          <w:rFonts w:ascii="Times New Roman" w:eastAsia="Times New Roman" w:hAnsi="Times New Roman" w:cs="Times New Roman"/>
          <w:sz w:val="24"/>
          <w:szCs w:val="24"/>
        </w:rPr>
        <w:t xml:space="preserve">Quantitative data were analyzed using SPSS Version 23.0, employing descriptive statistics and Chi-square tests. Qualitative data </w:t>
      </w:r>
      <w:r w:rsidR="0034508E" w:rsidRPr="00BD36C9">
        <w:rPr>
          <w:rFonts w:ascii="Times New Roman" w:eastAsia="Times New Roman" w:hAnsi="Times New Roman" w:cs="Times New Roman"/>
          <w:sz w:val="24"/>
          <w:szCs w:val="24"/>
        </w:rPr>
        <w:lastRenderedPageBreak/>
        <w:t>were analyzed thematically through manual coding and iterative review, with emphasis on governance structures, enforcement mechanisms, and perceived effectiveness.</w:t>
      </w:r>
    </w:p>
    <w:p w14:paraId="708DA263" w14:textId="7F76C7AB" w:rsidR="003A308A" w:rsidRDefault="003A308A" w:rsidP="005A54C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 </w:t>
      </w:r>
    </w:p>
    <w:p w14:paraId="34D688CA" w14:textId="77777777" w:rsidR="00814639" w:rsidRDefault="004666AB" w:rsidP="00814639">
      <w:pPr>
        <w:pStyle w:val="NormalWeb"/>
        <w:rPr>
          <w:b/>
          <w:bCs/>
        </w:rPr>
      </w:pPr>
      <w:r w:rsidRPr="00BD36C9">
        <w:rPr>
          <w:b/>
          <w:bCs/>
        </w:rPr>
        <w:t xml:space="preserve">Descriptive </w:t>
      </w:r>
      <w:r w:rsidR="007F3D73">
        <w:rPr>
          <w:b/>
          <w:bCs/>
        </w:rPr>
        <w:t>a</w:t>
      </w:r>
      <w:r w:rsidRPr="00BD36C9">
        <w:rPr>
          <w:b/>
          <w:bCs/>
        </w:rPr>
        <w:t>nalysis</w:t>
      </w:r>
      <w:r w:rsidR="00814639">
        <w:rPr>
          <w:b/>
          <w:bCs/>
        </w:rPr>
        <w:t xml:space="preserve"> </w:t>
      </w:r>
    </w:p>
    <w:p w14:paraId="6E5FDF6F" w14:textId="33BD1AB7" w:rsidR="004666AB" w:rsidRPr="00814639" w:rsidRDefault="00814639" w:rsidP="00814639">
      <w:pPr>
        <w:pStyle w:val="NormalWeb"/>
        <w:jc w:val="both"/>
      </w:pPr>
      <w:r>
        <w:t xml:space="preserve">This section presents a comparative descriptive analysis of community awareness of forest resource management strategies in the </w:t>
      </w:r>
      <w:proofErr w:type="spellStart"/>
      <w:r>
        <w:t>Nchumuru</w:t>
      </w:r>
      <w:proofErr w:type="spellEnd"/>
      <w:r>
        <w:t xml:space="preserve"> and Adele communities. The analysis focuses on the proportion of respondents in each community who reported awareness of local forest management practices, thereby establishing baseline differences in knowledge levels and engagement. These descriptive insights provide a foundational understanding of how information about forest governance is distributed across the two communities and serve as a basis for subsequent inferential analysis.</w:t>
      </w:r>
    </w:p>
    <w:p w14:paraId="7984D839" w14:textId="77777777" w:rsidR="005A54C5" w:rsidRDefault="001A58FB" w:rsidP="005A54C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D36C9">
        <w:rPr>
          <w:rFonts w:ascii="Times New Roman" w:hAnsi="Times New Roman" w:cs="Times New Roman"/>
          <w:noProof/>
        </w:rPr>
        <w:drawing>
          <wp:inline distT="0" distB="0" distL="0" distR="0" wp14:anchorId="1CAB49A9" wp14:editId="1C6F8837">
            <wp:extent cx="5128591" cy="3522428"/>
            <wp:effectExtent l="0" t="0" r="1524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D36C9">
        <w:rPr>
          <w:rFonts w:ascii="Times New Roman" w:eastAsia="Times New Roman" w:hAnsi="Times New Roman" w:cs="Times New Roman"/>
          <w:b/>
          <w:bCs/>
          <w:sz w:val="24"/>
          <w:szCs w:val="24"/>
        </w:rPr>
        <w:t xml:space="preserve"> </w:t>
      </w:r>
      <w:bookmarkStart w:id="2" w:name="_Toc206960209"/>
      <w:bookmarkStart w:id="3" w:name="_Toc202870229"/>
    </w:p>
    <w:p w14:paraId="549A333A" w14:textId="2D8C46CC" w:rsidR="00744C1E" w:rsidRPr="005A54C5" w:rsidRDefault="004D70A4" w:rsidP="005A54C5">
      <w:pPr>
        <w:spacing w:before="100" w:beforeAutospacing="1" w:after="100" w:afterAutospacing="1" w:line="360" w:lineRule="auto"/>
        <w:jc w:val="both"/>
        <w:outlineLvl w:val="1"/>
        <w:rPr>
          <w:rFonts w:ascii="Times New Roman" w:eastAsia="Times New Roman" w:hAnsi="Times New Roman" w:cs="Times New Roman"/>
          <w:b/>
          <w:bCs/>
        </w:rPr>
      </w:pPr>
      <w:r w:rsidRPr="005A54C5">
        <w:rPr>
          <w:rFonts w:ascii="Times New Roman" w:hAnsi="Times New Roman" w:cs="Times New Roman"/>
        </w:rPr>
        <w:t xml:space="preserve">Figure </w:t>
      </w:r>
      <w:r w:rsidR="00227DB6" w:rsidRPr="005A54C5">
        <w:rPr>
          <w:rFonts w:ascii="Times New Roman" w:hAnsi="Times New Roman" w:cs="Times New Roman"/>
        </w:rPr>
        <w:t>2</w:t>
      </w:r>
      <w:r w:rsidR="001A58FB" w:rsidRPr="005A54C5">
        <w:rPr>
          <w:rFonts w:ascii="Times New Roman" w:hAnsi="Times New Roman" w:cs="Times New Roman"/>
        </w:rPr>
        <w:t xml:space="preserve">: Comparative analysis of Communities Awareness within the </w:t>
      </w:r>
      <w:proofErr w:type="spellStart"/>
      <w:r w:rsidR="001A58FB" w:rsidRPr="005A54C5">
        <w:rPr>
          <w:rFonts w:ascii="Times New Roman" w:hAnsi="Times New Roman" w:cs="Times New Roman"/>
        </w:rPr>
        <w:t>Nchumuru</w:t>
      </w:r>
      <w:proofErr w:type="spellEnd"/>
      <w:r w:rsidR="001A58FB" w:rsidRPr="005A54C5">
        <w:rPr>
          <w:rFonts w:ascii="Times New Roman" w:hAnsi="Times New Roman" w:cs="Times New Roman"/>
        </w:rPr>
        <w:t xml:space="preserve"> and Adele Communities</w:t>
      </w:r>
      <w:bookmarkEnd w:id="2"/>
      <w:bookmarkEnd w:id="3"/>
    </w:p>
    <w:p w14:paraId="30AFAC78" w14:textId="77777777" w:rsidR="0048125F" w:rsidRDefault="0048125F" w:rsidP="0048125F"/>
    <w:p w14:paraId="35CD1679" w14:textId="51E84845" w:rsidR="0048125F"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b/>
          <w:sz w:val="24"/>
          <w:szCs w:val="24"/>
        </w:rPr>
        <w:t xml:space="preserve"> </w:t>
      </w:r>
      <w:r w:rsidR="00744C1E" w:rsidRPr="00BD36C9">
        <w:rPr>
          <w:rFonts w:ascii="Times New Roman" w:hAnsi="Times New Roman" w:cs="Times New Roman"/>
          <w:b/>
          <w:sz w:val="24"/>
          <w:szCs w:val="24"/>
        </w:rPr>
        <w:t xml:space="preserve">Chi-Square test on </w:t>
      </w:r>
      <w:r w:rsidR="007F3D73" w:rsidRPr="00BD36C9">
        <w:rPr>
          <w:rFonts w:ascii="Times New Roman" w:hAnsi="Times New Roman" w:cs="Times New Roman"/>
          <w:b/>
          <w:sz w:val="24"/>
          <w:szCs w:val="24"/>
        </w:rPr>
        <w:t>duration</w:t>
      </w:r>
      <w:r w:rsidR="00227DB6">
        <w:rPr>
          <w:rFonts w:ascii="Times New Roman" w:hAnsi="Times New Roman" w:cs="Times New Roman"/>
          <w:b/>
          <w:sz w:val="24"/>
          <w:szCs w:val="24"/>
        </w:rPr>
        <w:t xml:space="preserve"> of residence</w:t>
      </w:r>
      <w:r w:rsidR="007F3D73" w:rsidRPr="00BD36C9">
        <w:rPr>
          <w:rFonts w:ascii="Times New Roman" w:hAnsi="Times New Roman" w:cs="Times New Roman"/>
          <w:b/>
          <w:sz w:val="24"/>
          <w:szCs w:val="24"/>
        </w:rPr>
        <w:t xml:space="preserve"> and awareness </w:t>
      </w:r>
      <w:r w:rsidR="00744C1E" w:rsidRPr="00BD36C9">
        <w:rPr>
          <w:rFonts w:ascii="Times New Roman" w:hAnsi="Times New Roman" w:cs="Times New Roman"/>
          <w:b/>
          <w:sz w:val="24"/>
          <w:szCs w:val="24"/>
        </w:rPr>
        <w:t xml:space="preserve">in </w:t>
      </w:r>
      <w:proofErr w:type="spellStart"/>
      <w:r w:rsidR="00744C1E" w:rsidRPr="00BD36C9">
        <w:rPr>
          <w:rFonts w:ascii="Times New Roman" w:hAnsi="Times New Roman" w:cs="Times New Roman"/>
          <w:b/>
          <w:sz w:val="24"/>
          <w:szCs w:val="24"/>
        </w:rPr>
        <w:t>Nchumuru</w:t>
      </w:r>
      <w:proofErr w:type="spellEnd"/>
      <w:r w:rsidR="00744C1E" w:rsidRPr="00BD36C9">
        <w:rPr>
          <w:rFonts w:ascii="Times New Roman" w:hAnsi="Times New Roman" w:cs="Times New Roman"/>
          <w:b/>
          <w:sz w:val="24"/>
          <w:szCs w:val="24"/>
        </w:rPr>
        <w:t xml:space="preserve"> </w:t>
      </w:r>
      <w:r w:rsidR="007F3D73">
        <w:rPr>
          <w:rFonts w:ascii="Times New Roman" w:hAnsi="Times New Roman" w:cs="Times New Roman"/>
          <w:b/>
          <w:sz w:val="24"/>
          <w:szCs w:val="24"/>
        </w:rPr>
        <w:t>c</w:t>
      </w:r>
      <w:r w:rsidR="00744C1E" w:rsidRPr="00BD36C9">
        <w:rPr>
          <w:rFonts w:ascii="Times New Roman" w:hAnsi="Times New Roman" w:cs="Times New Roman"/>
          <w:b/>
          <w:sz w:val="24"/>
          <w:szCs w:val="24"/>
        </w:rPr>
        <w:t xml:space="preserve">ommunities </w:t>
      </w:r>
    </w:p>
    <w:p w14:paraId="594007AB" w14:textId="15905DB9" w:rsidR="003F7DAE" w:rsidRDefault="00744C1E" w:rsidP="005A54C5">
      <w:pPr>
        <w:spacing w:before="100" w:beforeAutospacing="1" w:after="100" w:afterAutospacing="1" w:line="360" w:lineRule="auto"/>
        <w:jc w:val="both"/>
        <w:outlineLvl w:val="1"/>
      </w:pPr>
      <w:r w:rsidRPr="00BD36C9">
        <w:rPr>
          <w:rFonts w:ascii="Times New Roman" w:hAnsi="Times New Roman" w:cs="Times New Roman"/>
          <w:sz w:val="24"/>
          <w:szCs w:val="24"/>
        </w:rPr>
        <w:lastRenderedPageBreak/>
        <w:t xml:space="preserve">To further examine the relationship between the duration of residence in the community and awareness of forest resource management strategies, Chi-square tests of independence were conducted separately for the </w:t>
      </w:r>
      <w:proofErr w:type="spellStart"/>
      <w:r w:rsidRPr="00BD36C9">
        <w:rPr>
          <w:rFonts w:ascii="Times New Roman" w:hAnsi="Times New Roman" w:cs="Times New Roman"/>
          <w:sz w:val="24"/>
          <w:szCs w:val="24"/>
        </w:rPr>
        <w:t>Nchumuru</w:t>
      </w:r>
      <w:proofErr w:type="spellEnd"/>
      <w:r w:rsidRPr="00BD36C9">
        <w:rPr>
          <w:rFonts w:ascii="Times New Roman" w:hAnsi="Times New Roman" w:cs="Times New Roman"/>
          <w:sz w:val="24"/>
          <w:szCs w:val="24"/>
        </w:rPr>
        <w:t xml:space="preserve"> and Adele communities. The Chi-square analysis was employed to determine whether awareness levels are significantly associated with how long respondents have lived in the community. This inferential approach allows for an assessment of whether prolonged exposure to community institutions and practices influences awareness of</w:t>
      </w:r>
      <w:r w:rsidR="007F3D73">
        <w:rPr>
          <w:rFonts w:ascii="Times New Roman" w:hAnsi="Times New Roman" w:cs="Times New Roman"/>
          <w:sz w:val="24"/>
          <w:szCs w:val="24"/>
        </w:rPr>
        <w:t xml:space="preserve"> </w:t>
      </w:r>
      <w:r w:rsidRPr="00BD36C9">
        <w:rPr>
          <w:rFonts w:ascii="Times New Roman" w:hAnsi="Times New Roman" w:cs="Times New Roman"/>
          <w:sz w:val="24"/>
          <w:szCs w:val="24"/>
        </w:rPr>
        <w:t>forest management initiatives within each community context.</w:t>
      </w:r>
      <w:bookmarkStart w:id="4" w:name="_Toc206960280"/>
    </w:p>
    <w:p w14:paraId="2D6BB37D" w14:textId="3B4ECDF5" w:rsidR="007428D9" w:rsidRPr="0048125F" w:rsidRDefault="007428D9" w:rsidP="0048125F">
      <w:pPr>
        <w:pStyle w:val="Caption"/>
        <w:spacing w:line="360" w:lineRule="auto"/>
        <w:rPr>
          <w:b w:val="0"/>
        </w:rPr>
      </w:pPr>
      <w:r w:rsidRPr="00BD36C9">
        <w:t xml:space="preserve">Table 1: Chi-Square test on Duration in the and Awareness in </w:t>
      </w:r>
      <w:proofErr w:type="spellStart"/>
      <w:r w:rsidRPr="00BD36C9">
        <w:t>Nchumuru</w:t>
      </w:r>
      <w:proofErr w:type="spellEnd"/>
      <w:r w:rsidRPr="00BD36C9">
        <w:t xml:space="preserve"> Communities</w:t>
      </w:r>
      <w:bookmarkEnd w:id="4"/>
    </w:p>
    <w:tbl>
      <w:tblPr>
        <w:tblStyle w:val="TableGrid"/>
        <w:tblW w:w="8412" w:type="dxa"/>
        <w:tblInd w:w="0" w:type="dxa"/>
        <w:tblLook w:val="04A0" w:firstRow="1" w:lastRow="0" w:firstColumn="1" w:lastColumn="0" w:noHBand="0" w:noVBand="1"/>
      </w:tblPr>
      <w:tblGrid>
        <w:gridCol w:w="2425"/>
        <w:gridCol w:w="1779"/>
        <w:gridCol w:w="2104"/>
        <w:gridCol w:w="2104"/>
      </w:tblGrid>
      <w:tr w:rsidR="007428D9" w:rsidRPr="00BD36C9" w14:paraId="02ECFB32" w14:textId="77777777" w:rsidTr="00077AFA">
        <w:trPr>
          <w:trHeight w:val="475"/>
        </w:trPr>
        <w:tc>
          <w:tcPr>
            <w:tcW w:w="2425" w:type="dxa"/>
            <w:tcBorders>
              <w:top w:val="single" w:sz="4" w:space="0" w:color="auto"/>
              <w:left w:val="single" w:sz="4" w:space="0" w:color="auto"/>
              <w:bottom w:val="single" w:sz="4" w:space="0" w:color="auto"/>
              <w:right w:val="single" w:sz="4" w:space="0" w:color="auto"/>
            </w:tcBorders>
          </w:tcPr>
          <w:p w14:paraId="17D184F3" w14:textId="77777777" w:rsidR="007428D9" w:rsidRPr="00BD36C9" w:rsidRDefault="007428D9" w:rsidP="00BD36C9">
            <w:pPr>
              <w:spacing w:line="360" w:lineRule="auto"/>
              <w:rPr>
                <w:rFonts w:ascii="Times New Roman" w:hAnsi="Times New Roman" w:cs="Times New Roman"/>
                <w:sz w:val="24"/>
                <w:szCs w:val="24"/>
              </w:rPr>
            </w:pPr>
          </w:p>
        </w:tc>
        <w:tc>
          <w:tcPr>
            <w:tcW w:w="1779" w:type="dxa"/>
            <w:tcBorders>
              <w:top w:val="single" w:sz="4" w:space="0" w:color="auto"/>
              <w:left w:val="single" w:sz="4" w:space="0" w:color="auto"/>
              <w:bottom w:val="single" w:sz="4" w:space="0" w:color="auto"/>
              <w:right w:val="single" w:sz="4" w:space="0" w:color="auto"/>
            </w:tcBorders>
            <w:hideMark/>
          </w:tcPr>
          <w:p w14:paraId="5BE61D2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Values</w:t>
            </w:r>
          </w:p>
        </w:tc>
        <w:tc>
          <w:tcPr>
            <w:tcW w:w="2104" w:type="dxa"/>
            <w:tcBorders>
              <w:top w:val="single" w:sz="4" w:space="0" w:color="auto"/>
              <w:left w:val="single" w:sz="4" w:space="0" w:color="auto"/>
              <w:bottom w:val="single" w:sz="4" w:space="0" w:color="auto"/>
              <w:right w:val="single" w:sz="4" w:space="0" w:color="auto"/>
            </w:tcBorders>
            <w:hideMark/>
          </w:tcPr>
          <w:p w14:paraId="25F8D72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df</w:t>
            </w:r>
          </w:p>
        </w:tc>
        <w:tc>
          <w:tcPr>
            <w:tcW w:w="2104" w:type="dxa"/>
            <w:tcBorders>
              <w:top w:val="single" w:sz="4" w:space="0" w:color="auto"/>
              <w:left w:val="single" w:sz="4" w:space="0" w:color="auto"/>
              <w:bottom w:val="single" w:sz="4" w:space="0" w:color="auto"/>
              <w:right w:val="single" w:sz="4" w:space="0" w:color="auto"/>
            </w:tcBorders>
            <w:hideMark/>
          </w:tcPr>
          <w:p w14:paraId="5661D9CA" w14:textId="77777777" w:rsidR="007428D9" w:rsidRPr="00BD36C9" w:rsidRDefault="007428D9" w:rsidP="00077AFA">
            <w:pPr>
              <w:rPr>
                <w:rFonts w:ascii="Times New Roman" w:hAnsi="Times New Roman" w:cs="Times New Roman"/>
                <w:sz w:val="24"/>
                <w:szCs w:val="24"/>
              </w:rPr>
            </w:pPr>
            <w:r w:rsidRPr="00BD36C9">
              <w:rPr>
                <w:rFonts w:ascii="Times New Roman" w:hAnsi="Times New Roman" w:cs="Times New Roman"/>
                <w:sz w:val="24"/>
                <w:szCs w:val="24"/>
              </w:rPr>
              <w:t>Asymptotic Significance</w:t>
            </w:r>
          </w:p>
        </w:tc>
      </w:tr>
      <w:tr w:rsidR="007428D9" w:rsidRPr="00BD36C9" w14:paraId="19693482" w14:textId="77777777" w:rsidTr="00077AFA">
        <w:trPr>
          <w:trHeight w:val="448"/>
        </w:trPr>
        <w:tc>
          <w:tcPr>
            <w:tcW w:w="2425" w:type="dxa"/>
            <w:tcBorders>
              <w:top w:val="single" w:sz="4" w:space="0" w:color="auto"/>
              <w:left w:val="single" w:sz="4" w:space="0" w:color="auto"/>
              <w:bottom w:val="single" w:sz="4" w:space="0" w:color="auto"/>
              <w:right w:val="single" w:sz="4" w:space="0" w:color="auto"/>
            </w:tcBorders>
            <w:hideMark/>
          </w:tcPr>
          <w:p w14:paraId="586D545A" w14:textId="77777777" w:rsidR="007428D9" w:rsidRPr="00BD36C9" w:rsidRDefault="007428D9" w:rsidP="00077AFA">
            <w:pPr>
              <w:spacing w:line="276" w:lineRule="auto"/>
              <w:rPr>
                <w:rFonts w:ascii="Times New Roman" w:hAnsi="Times New Roman" w:cs="Times New Roman"/>
                <w:sz w:val="24"/>
                <w:szCs w:val="24"/>
              </w:rPr>
            </w:pPr>
            <w:r w:rsidRPr="00BD36C9">
              <w:rPr>
                <w:rFonts w:ascii="Times New Roman" w:hAnsi="Times New Roman" w:cs="Times New Roman"/>
                <w:sz w:val="24"/>
                <w:szCs w:val="24"/>
              </w:rPr>
              <w:t>Pearson Chi-Square</w:t>
            </w:r>
          </w:p>
        </w:tc>
        <w:tc>
          <w:tcPr>
            <w:tcW w:w="1779" w:type="dxa"/>
            <w:tcBorders>
              <w:top w:val="single" w:sz="4" w:space="0" w:color="auto"/>
              <w:left w:val="single" w:sz="4" w:space="0" w:color="auto"/>
              <w:bottom w:val="single" w:sz="4" w:space="0" w:color="auto"/>
              <w:right w:val="single" w:sz="4" w:space="0" w:color="auto"/>
            </w:tcBorders>
            <w:hideMark/>
          </w:tcPr>
          <w:p w14:paraId="7549DA75"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15.47</w:t>
            </w:r>
          </w:p>
        </w:tc>
        <w:tc>
          <w:tcPr>
            <w:tcW w:w="2104" w:type="dxa"/>
            <w:tcBorders>
              <w:top w:val="single" w:sz="4" w:space="0" w:color="auto"/>
              <w:left w:val="single" w:sz="4" w:space="0" w:color="auto"/>
              <w:bottom w:val="single" w:sz="4" w:space="0" w:color="auto"/>
              <w:right w:val="single" w:sz="4" w:space="0" w:color="auto"/>
            </w:tcBorders>
            <w:hideMark/>
          </w:tcPr>
          <w:p w14:paraId="2D4EC293"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104" w:type="dxa"/>
            <w:tcBorders>
              <w:top w:val="single" w:sz="4" w:space="0" w:color="auto"/>
              <w:left w:val="single" w:sz="4" w:space="0" w:color="auto"/>
              <w:bottom w:val="single" w:sz="4" w:space="0" w:color="auto"/>
              <w:right w:val="single" w:sz="4" w:space="0" w:color="auto"/>
            </w:tcBorders>
            <w:hideMark/>
          </w:tcPr>
          <w:p w14:paraId="418B55D9"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0.0001</w:t>
            </w:r>
          </w:p>
        </w:tc>
      </w:tr>
      <w:tr w:rsidR="007428D9" w:rsidRPr="00BD36C9" w14:paraId="7DF1462D" w14:textId="77777777" w:rsidTr="00077AFA">
        <w:trPr>
          <w:trHeight w:val="475"/>
        </w:trPr>
        <w:tc>
          <w:tcPr>
            <w:tcW w:w="2425" w:type="dxa"/>
            <w:tcBorders>
              <w:top w:val="single" w:sz="4" w:space="0" w:color="auto"/>
              <w:left w:val="single" w:sz="4" w:space="0" w:color="auto"/>
              <w:bottom w:val="single" w:sz="4" w:space="0" w:color="auto"/>
              <w:right w:val="single" w:sz="4" w:space="0" w:color="auto"/>
            </w:tcBorders>
            <w:hideMark/>
          </w:tcPr>
          <w:p w14:paraId="74102E6C"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Livelihood Ratio</w:t>
            </w:r>
          </w:p>
        </w:tc>
        <w:tc>
          <w:tcPr>
            <w:tcW w:w="1779" w:type="dxa"/>
            <w:tcBorders>
              <w:top w:val="single" w:sz="4" w:space="0" w:color="auto"/>
              <w:left w:val="single" w:sz="4" w:space="0" w:color="auto"/>
              <w:bottom w:val="single" w:sz="4" w:space="0" w:color="auto"/>
              <w:right w:val="single" w:sz="4" w:space="0" w:color="auto"/>
            </w:tcBorders>
            <w:hideMark/>
          </w:tcPr>
          <w:p w14:paraId="2BD1E537"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16.12</w:t>
            </w:r>
          </w:p>
        </w:tc>
        <w:tc>
          <w:tcPr>
            <w:tcW w:w="2104" w:type="dxa"/>
            <w:tcBorders>
              <w:top w:val="single" w:sz="4" w:space="0" w:color="auto"/>
              <w:left w:val="single" w:sz="4" w:space="0" w:color="auto"/>
              <w:bottom w:val="single" w:sz="4" w:space="0" w:color="auto"/>
              <w:right w:val="single" w:sz="4" w:space="0" w:color="auto"/>
            </w:tcBorders>
            <w:hideMark/>
          </w:tcPr>
          <w:p w14:paraId="2E532BC0"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104" w:type="dxa"/>
            <w:tcBorders>
              <w:top w:val="single" w:sz="4" w:space="0" w:color="auto"/>
              <w:left w:val="single" w:sz="4" w:space="0" w:color="auto"/>
              <w:bottom w:val="single" w:sz="4" w:space="0" w:color="auto"/>
              <w:right w:val="single" w:sz="4" w:space="0" w:color="auto"/>
            </w:tcBorders>
            <w:hideMark/>
          </w:tcPr>
          <w:p w14:paraId="47C2242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0.0001</w:t>
            </w:r>
          </w:p>
        </w:tc>
      </w:tr>
      <w:tr w:rsidR="007428D9" w:rsidRPr="00BD36C9" w14:paraId="281556E2" w14:textId="77777777" w:rsidTr="00077AFA">
        <w:trPr>
          <w:trHeight w:val="448"/>
        </w:trPr>
        <w:tc>
          <w:tcPr>
            <w:tcW w:w="2425" w:type="dxa"/>
            <w:tcBorders>
              <w:top w:val="single" w:sz="4" w:space="0" w:color="auto"/>
              <w:left w:val="single" w:sz="4" w:space="0" w:color="auto"/>
              <w:bottom w:val="single" w:sz="4" w:space="0" w:color="auto"/>
              <w:right w:val="single" w:sz="4" w:space="0" w:color="auto"/>
            </w:tcBorders>
            <w:hideMark/>
          </w:tcPr>
          <w:p w14:paraId="2C1E290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 xml:space="preserve">Linear-by Linear </w:t>
            </w:r>
          </w:p>
          <w:p w14:paraId="1C18D4FA"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Association</w:t>
            </w:r>
          </w:p>
        </w:tc>
        <w:tc>
          <w:tcPr>
            <w:tcW w:w="1779" w:type="dxa"/>
            <w:tcBorders>
              <w:top w:val="single" w:sz="4" w:space="0" w:color="auto"/>
              <w:left w:val="single" w:sz="4" w:space="0" w:color="auto"/>
              <w:bottom w:val="single" w:sz="4" w:space="0" w:color="auto"/>
              <w:right w:val="single" w:sz="4" w:space="0" w:color="auto"/>
            </w:tcBorders>
            <w:hideMark/>
          </w:tcPr>
          <w:p w14:paraId="7FAF2FB7"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14.95</w:t>
            </w:r>
          </w:p>
        </w:tc>
        <w:tc>
          <w:tcPr>
            <w:tcW w:w="2104" w:type="dxa"/>
            <w:tcBorders>
              <w:top w:val="single" w:sz="4" w:space="0" w:color="auto"/>
              <w:left w:val="single" w:sz="4" w:space="0" w:color="auto"/>
              <w:bottom w:val="single" w:sz="4" w:space="0" w:color="auto"/>
              <w:right w:val="single" w:sz="4" w:space="0" w:color="auto"/>
            </w:tcBorders>
            <w:hideMark/>
          </w:tcPr>
          <w:p w14:paraId="7EC688D2"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w:t>
            </w:r>
          </w:p>
        </w:tc>
        <w:tc>
          <w:tcPr>
            <w:tcW w:w="2104" w:type="dxa"/>
            <w:tcBorders>
              <w:top w:val="single" w:sz="4" w:space="0" w:color="auto"/>
              <w:left w:val="single" w:sz="4" w:space="0" w:color="auto"/>
              <w:bottom w:val="single" w:sz="4" w:space="0" w:color="auto"/>
              <w:right w:val="single" w:sz="4" w:space="0" w:color="auto"/>
            </w:tcBorders>
            <w:hideMark/>
          </w:tcPr>
          <w:p w14:paraId="217BDE8C"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0.001</w:t>
            </w:r>
          </w:p>
        </w:tc>
      </w:tr>
      <w:tr w:rsidR="007428D9" w:rsidRPr="00BD36C9" w14:paraId="69131370" w14:textId="77777777" w:rsidTr="00077AFA">
        <w:trPr>
          <w:trHeight w:val="448"/>
        </w:trPr>
        <w:tc>
          <w:tcPr>
            <w:tcW w:w="2425" w:type="dxa"/>
            <w:tcBorders>
              <w:top w:val="single" w:sz="4" w:space="0" w:color="auto"/>
              <w:left w:val="single" w:sz="4" w:space="0" w:color="auto"/>
              <w:bottom w:val="single" w:sz="4" w:space="0" w:color="auto"/>
              <w:right w:val="single" w:sz="4" w:space="0" w:color="auto"/>
            </w:tcBorders>
            <w:hideMark/>
          </w:tcPr>
          <w:p w14:paraId="55B2F48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No. of Valid Cases</w:t>
            </w:r>
          </w:p>
        </w:tc>
        <w:tc>
          <w:tcPr>
            <w:tcW w:w="1779" w:type="dxa"/>
            <w:tcBorders>
              <w:top w:val="single" w:sz="4" w:space="0" w:color="auto"/>
              <w:left w:val="single" w:sz="4" w:space="0" w:color="auto"/>
              <w:bottom w:val="single" w:sz="4" w:space="0" w:color="auto"/>
              <w:right w:val="single" w:sz="4" w:space="0" w:color="auto"/>
            </w:tcBorders>
            <w:hideMark/>
          </w:tcPr>
          <w:p w14:paraId="4D5B52AE"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174</w:t>
            </w:r>
          </w:p>
        </w:tc>
        <w:tc>
          <w:tcPr>
            <w:tcW w:w="2104" w:type="dxa"/>
            <w:tcBorders>
              <w:top w:val="single" w:sz="4" w:space="0" w:color="auto"/>
              <w:left w:val="single" w:sz="4" w:space="0" w:color="auto"/>
              <w:bottom w:val="single" w:sz="4" w:space="0" w:color="auto"/>
              <w:right w:val="single" w:sz="4" w:space="0" w:color="auto"/>
            </w:tcBorders>
          </w:tcPr>
          <w:p w14:paraId="437FB82D" w14:textId="77777777" w:rsidR="007428D9" w:rsidRPr="00BD36C9" w:rsidRDefault="007428D9" w:rsidP="00BD36C9">
            <w:pPr>
              <w:spacing w:line="360"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14:paraId="15C95D75" w14:textId="77777777" w:rsidR="007428D9" w:rsidRPr="00BD36C9" w:rsidRDefault="007428D9" w:rsidP="00BD36C9">
            <w:pPr>
              <w:spacing w:line="360" w:lineRule="auto"/>
              <w:rPr>
                <w:rFonts w:ascii="Times New Roman" w:hAnsi="Times New Roman" w:cs="Times New Roman"/>
                <w:sz w:val="24"/>
                <w:szCs w:val="24"/>
              </w:rPr>
            </w:pPr>
          </w:p>
        </w:tc>
      </w:tr>
    </w:tbl>
    <w:p w14:paraId="1BDDA9E6" w14:textId="77777777" w:rsidR="007428D9" w:rsidRPr="00BD36C9" w:rsidRDefault="007428D9" w:rsidP="00BD36C9">
      <w:pPr>
        <w:spacing w:line="360" w:lineRule="auto"/>
        <w:rPr>
          <w:rFonts w:ascii="Times New Roman" w:hAnsi="Times New Roman" w:cs="Times New Roman"/>
        </w:rPr>
      </w:pPr>
      <w:r w:rsidRPr="00BD36C9">
        <w:rPr>
          <w:rFonts w:ascii="Times New Roman" w:hAnsi="Times New Roman" w:cs="Times New Roman"/>
        </w:rPr>
        <w:t xml:space="preserve">a.1 cell (16.7%) has an expected count less than 5. Minimum expected count is 3.12 </w:t>
      </w:r>
    </w:p>
    <w:p w14:paraId="1AD9E3A4" w14:textId="197B4CB9" w:rsidR="007428D9" w:rsidRPr="00BD36C9" w:rsidRDefault="007428D9" w:rsidP="0048125F">
      <w:pPr>
        <w:pStyle w:val="Caption"/>
        <w:spacing w:line="360" w:lineRule="auto"/>
        <w:rPr>
          <w:b w:val="0"/>
        </w:rPr>
      </w:pPr>
      <w:bookmarkStart w:id="5" w:name="_Toc206960281"/>
      <w:r w:rsidRPr="00BD36C9">
        <w:t>Table 2: Chi-Square test on Duration in the and Awareness in Adele Communities</w:t>
      </w:r>
      <w:bookmarkEnd w:id="5"/>
      <w:r w:rsidRPr="00BD36C9">
        <w:t xml:space="preserve"> </w:t>
      </w:r>
    </w:p>
    <w:tbl>
      <w:tblPr>
        <w:tblStyle w:val="TableGrid"/>
        <w:tblW w:w="8486" w:type="dxa"/>
        <w:tblInd w:w="0" w:type="dxa"/>
        <w:tblLook w:val="04A0" w:firstRow="1" w:lastRow="0" w:firstColumn="1" w:lastColumn="0" w:noHBand="0" w:noVBand="1"/>
      </w:tblPr>
      <w:tblGrid>
        <w:gridCol w:w="2313"/>
        <w:gridCol w:w="1929"/>
        <w:gridCol w:w="1872"/>
        <w:gridCol w:w="2372"/>
      </w:tblGrid>
      <w:tr w:rsidR="007428D9" w:rsidRPr="00BD36C9" w14:paraId="0D80ED44" w14:textId="77777777" w:rsidTr="00133A35">
        <w:trPr>
          <w:trHeight w:val="513"/>
        </w:trPr>
        <w:tc>
          <w:tcPr>
            <w:tcW w:w="2313" w:type="dxa"/>
            <w:tcBorders>
              <w:top w:val="single" w:sz="4" w:space="0" w:color="auto"/>
              <w:left w:val="single" w:sz="4" w:space="0" w:color="auto"/>
              <w:bottom w:val="single" w:sz="4" w:space="0" w:color="auto"/>
              <w:right w:val="single" w:sz="4" w:space="0" w:color="auto"/>
            </w:tcBorders>
          </w:tcPr>
          <w:p w14:paraId="33FEBAD5" w14:textId="77777777" w:rsidR="007428D9" w:rsidRPr="00BD36C9" w:rsidRDefault="007428D9" w:rsidP="00BD36C9">
            <w:pPr>
              <w:spacing w:line="360" w:lineRule="auto"/>
              <w:rPr>
                <w:rFonts w:ascii="Times New Roman"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hideMark/>
          </w:tcPr>
          <w:p w14:paraId="4E52565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Values</w:t>
            </w:r>
          </w:p>
        </w:tc>
        <w:tc>
          <w:tcPr>
            <w:tcW w:w="1872" w:type="dxa"/>
            <w:tcBorders>
              <w:top w:val="single" w:sz="4" w:space="0" w:color="auto"/>
              <w:left w:val="single" w:sz="4" w:space="0" w:color="auto"/>
              <w:bottom w:val="single" w:sz="4" w:space="0" w:color="auto"/>
              <w:right w:val="single" w:sz="4" w:space="0" w:color="auto"/>
            </w:tcBorders>
            <w:hideMark/>
          </w:tcPr>
          <w:p w14:paraId="47C6529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df</w:t>
            </w:r>
          </w:p>
        </w:tc>
        <w:tc>
          <w:tcPr>
            <w:tcW w:w="2372" w:type="dxa"/>
            <w:tcBorders>
              <w:top w:val="single" w:sz="4" w:space="0" w:color="auto"/>
              <w:left w:val="single" w:sz="4" w:space="0" w:color="auto"/>
              <w:bottom w:val="single" w:sz="4" w:space="0" w:color="auto"/>
              <w:right w:val="single" w:sz="4" w:space="0" w:color="auto"/>
            </w:tcBorders>
            <w:hideMark/>
          </w:tcPr>
          <w:p w14:paraId="1E5A692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Asymptotic Significance</w:t>
            </w:r>
          </w:p>
        </w:tc>
      </w:tr>
      <w:tr w:rsidR="007428D9" w:rsidRPr="00BD36C9" w14:paraId="1F8AF8F1" w14:textId="77777777" w:rsidTr="00133A35">
        <w:trPr>
          <w:trHeight w:val="484"/>
        </w:trPr>
        <w:tc>
          <w:tcPr>
            <w:tcW w:w="2313" w:type="dxa"/>
            <w:tcBorders>
              <w:top w:val="single" w:sz="4" w:space="0" w:color="auto"/>
              <w:left w:val="single" w:sz="4" w:space="0" w:color="auto"/>
              <w:bottom w:val="single" w:sz="4" w:space="0" w:color="auto"/>
              <w:right w:val="single" w:sz="4" w:space="0" w:color="auto"/>
            </w:tcBorders>
            <w:hideMark/>
          </w:tcPr>
          <w:p w14:paraId="261AF2FE"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Pearson Chi-Square</w:t>
            </w:r>
          </w:p>
        </w:tc>
        <w:tc>
          <w:tcPr>
            <w:tcW w:w="1929" w:type="dxa"/>
            <w:tcBorders>
              <w:top w:val="single" w:sz="4" w:space="0" w:color="auto"/>
              <w:left w:val="single" w:sz="4" w:space="0" w:color="auto"/>
              <w:bottom w:val="single" w:sz="4" w:space="0" w:color="auto"/>
              <w:right w:val="single" w:sz="4" w:space="0" w:color="auto"/>
            </w:tcBorders>
            <w:hideMark/>
          </w:tcPr>
          <w:p w14:paraId="72E8B0F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11.32</w:t>
            </w:r>
          </w:p>
        </w:tc>
        <w:tc>
          <w:tcPr>
            <w:tcW w:w="1872" w:type="dxa"/>
            <w:tcBorders>
              <w:top w:val="single" w:sz="4" w:space="0" w:color="auto"/>
              <w:left w:val="single" w:sz="4" w:space="0" w:color="auto"/>
              <w:bottom w:val="single" w:sz="4" w:space="0" w:color="auto"/>
              <w:right w:val="single" w:sz="4" w:space="0" w:color="auto"/>
            </w:tcBorders>
            <w:hideMark/>
          </w:tcPr>
          <w:p w14:paraId="63DA0ADC"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372" w:type="dxa"/>
            <w:tcBorders>
              <w:top w:val="single" w:sz="4" w:space="0" w:color="auto"/>
              <w:left w:val="single" w:sz="4" w:space="0" w:color="auto"/>
              <w:bottom w:val="single" w:sz="4" w:space="0" w:color="auto"/>
              <w:right w:val="single" w:sz="4" w:space="0" w:color="auto"/>
            </w:tcBorders>
            <w:hideMark/>
          </w:tcPr>
          <w:p w14:paraId="3EDF81FF"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0.0035</w:t>
            </w:r>
          </w:p>
        </w:tc>
      </w:tr>
      <w:tr w:rsidR="007428D9" w:rsidRPr="00BD36C9" w14:paraId="3F6963A3" w14:textId="77777777" w:rsidTr="00133A35">
        <w:trPr>
          <w:trHeight w:val="513"/>
        </w:trPr>
        <w:tc>
          <w:tcPr>
            <w:tcW w:w="2313" w:type="dxa"/>
            <w:tcBorders>
              <w:top w:val="single" w:sz="4" w:space="0" w:color="auto"/>
              <w:left w:val="single" w:sz="4" w:space="0" w:color="auto"/>
              <w:bottom w:val="single" w:sz="4" w:space="0" w:color="auto"/>
              <w:right w:val="single" w:sz="4" w:space="0" w:color="auto"/>
            </w:tcBorders>
            <w:hideMark/>
          </w:tcPr>
          <w:p w14:paraId="317CFF35"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Livelihood Ratio</w:t>
            </w:r>
          </w:p>
        </w:tc>
        <w:tc>
          <w:tcPr>
            <w:tcW w:w="1929" w:type="dxa"/>
            <w:tcBorders>
              <w:top w:val="single" w:sz="4" w:space="0" w:color="auto"/>
              <w:left w:val="single" w:sz="4" w:space="0" w:color="auto"/>
              <w:bottom w:val="single" w:sz="4" w:space="0" w:color="auto"/>
              <w:right w:val="single" w:sz="4" w:space="0" w:color="auto"/>
            </w:tcBorders>
            <w:hideMark/>
          </w:tcPr>
          <w:p w14:paraId="23575CF0"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11.68</w:t>
            </w:r>
          </w:p>
        </w:tc>
        <w:tc>
          <w:tcPr>
            <w:tcW w:w="1872" w:type="dxa"/>
            <w:tcBorders>
              <w:top w:val="single" w:sz="4" w:space="0" w:color="auto"/>
              <w:left w:val="single" w:sz="4" w:space="0" w:color="auto"/>
              <w:bottom w:val="single" w:sz="4" w:space="0" w:color="auto"/>
              <w:right w:val="single" w:sz="4" w:space="0" w:color="auto"/>
            </w:tcBorders>
            <w:hideMark/>
          </w:tcPr>
          <w:p w14:paraId="69951E0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372" w:type="dxa"/>
            <w:tcBorders>
              <w:top w:val="single" w:sz="4" w:space="0" w:color="auto"/>
              <w:left w:val="single" w:sz="4" w:space="0" w:color="auto"/>
              <w:bottom w:val="single" w:sz="4" w:space="0" w:color="auto"/>
              <w:right w:val="single" w:sz="4" w:space="0" w:color="auto"/>
            </w:tcBorders>
            <w:hideMark/>
          </w:tcPr>
          <w:p w14:paraId="18ACFCC2"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0.0029</w:t>
            </w:r>
          </w:p>
        </w:tc>
      </w:tr>
      <w:tr w:rsidR="007428D9" w:rsidRPr="00BD36C9" w14:paraId="6A976DAC" w14:textId="77777777" w:rsidTr="00133A35">
        <w:trPr>
          <w:trHeight w:val="484"/>
        </w:trPr>
        <w:tc>
          <w:tcPr>
            <w:tcW w:w="2313" w:type="dxa"/>
            <w:tcBorders>
              <w:top w:val="single" w:sz="4" w:space="0" w:color="auto"/>
              <w:left w:val="single" w:sz="4" w:space="0" w:color="auto"/>
              <w:bottom w:val="single" w:sz="4" w:space="0" w:color="auto"/>
              <w:right w:val="single" w:sz="4" w:space="0" w:color="auto"/>
            </w:tcBorders>
            <w:hideMark/>
          </w:tcPr>
          <w:p w14:paraId="492030CB"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 xml:space="preserve">Linear-by Linear </w:t>
            </w:r>
          </w:p>
          <w:p w14:paraId="72FCA7A5"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Association</w:t>
            </w:r>
          </w:p>
        </w:tc>
        <w:tc>
          <w:tcPr>
            <w:tcW w:w="1929" w:type="dxa"/>
            <w:tcBorders>
              <w:top w:val="single" w:sz="4" w:space="0" w:color="auto"/>
              <w:left w:val="single" w:sz="4" w:space="0" w:color="auto"/>
              <w:bottom w:val="single" w:sz="4" w:space="0" w:color="auto"/>
              <w:right w:val="single" w:sz="4" w:space="0" w:color="auto"/>
            </w:tcBorders>
            <w:hideMark/>
          </w:tcPr>
          <w:p w14:paraId="61B8653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10.85</w:t>
            </w:r>
          </w:p>
        </w:tc>
        <w:tc>
          <w:tcPr>
            <w:tcW w:w="1872" w:type="dxa"/>
            <w:tcBorders>
              <w:top w:val="single" w:sz="4" w:space="0" w:color="auto"/>
              <w:left w:val="single" w:sz="4" w:space="0" w:color="auto"/>
              <w:bottom w:val="single" w:sz="4" w:space="0" w:color="auto"/>
              <w:right w:val="single" w:sz="4" w:space="0" w:color="auto"/>
            </w:tcBorders>
            <w:hideMark/>
          </w:tcPr>
          <w:p w14:paraId="7A0FEDFB"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w:t>
            </w:r>
          </w:p>
        </w:tc>
        <w:tc>
          <w:tcPr>
            <w:tcW w:w="2372" w:type="dxa"/>
            <w:tcBorders>
              <w:top w:val="single" w:sz="4" w:space="0" w:color="auto"/>
              <w:left w:val="single" w:sz="4" w:space="0" w:color="auto"/>
              <w:bottom w:val="single" w:sz="4" w:space="0" w:color="auto"/>
              <w:right w:val="single" w:sz="4" w:space="0" w:color="auto"/>
            </w:tcBorders>
            <w:hideMark/>
          </w:tcPr>
          <w:p w14:paraId="5029B1D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0.0010</w:t>
            </w:r>
          </w:p>
        </w:tc>
      </w:tr>
      <w:tr w:rsidR="007428D9" w:rsidRPr="00BD36C9" w14:paraId="4660044E" w14:textId="77777777" w:rsidTr="00133A35">
        <w:trPr>
          <w:trHeight w:val="484"/>
        </w:trPr>
        <w:tc>
          <w:tcPr>
            <w:tcW w:w="2313" w:type="dxa"/>
            <w:tcBorders>
              <w:top w:val="single" w:sz="4" w:space="0" w:color="auto"/>
              <w:left w:val="single" w:sz="4" w:space="0" w:color="auto"/>
              <w:bottom w:val="single" w:sz="4" w:space="0" w:color="auto"/>
              <w:right w:val="single" w:sz="4" w:space="0" w:color="auto"/>
            </w:tcBorders>
            <w:hideMark/>
          </w:tcPr>
          <w:p w14:paraId="4E575C0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 xml:space="preserve"> No. of Valid Cases</w:t>
            </w:r>
          </w:p>
        </w:tc>
        <w:tc>
          <w:tcPr>
            <w:tcW w:w="1929" w:type="dxa"/>
            <w:tcBorders>
              <w:top w:val="single" w:sz="4" w:space="0" w:color="auto"/>
              <w:left w:val="single" w:sz="4" w:space="0" w:color="auto"/>
              <w:bottom w:val="single" w:sz="4" w:space="0" w:color="auto"/>
              <w:right w:val="single" w:sz="4" w:space="0" w:color="auto"/>
            </w:tcBorders>
            <w:hideMark/>
          </w:tcPr>
          <w:p w14:paraId="0871DAF3"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170</w:t>
            </w:r>
          </w:p>
        </w:tc>
        <w:tc>
          <w:tcPr>
            <w:tcW w:w="1872" w:type="dxa"/>
            <w:tcBorders>
              <w:top w:val="single" w:sz="4" w:space="0" w:color="auto"/>
              <w:left w:val="single" w:sz="4" w:space="0" w:color="auto"/>
              <w:bottom w:val="single" w:sz="4" w:space="0" w:color="auto"/>
              <w:right w:val="single" w:sz="4" w:space="0" w:color="auto"/>
            </w:tcBorders>
          </w:tcPr>
          <w:p w14:paraId="12E9596C" w14:textId="77777777" w:rsidR="007428D9" w:rsidRPr="00BD36C9" w:rsidRDefault="007428D9" w:rsidP="00BD36C9">
            <w:pPr>
              <w:spacing w:line="360" w:lineRule="auto"/>
              <w:rPr>
                <w:rFonts w:ascii="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tcPr>
          <w:p w14:paraId="1D18401B" w14:textId="77777777" w:rsidR="007428D9" w:rsidRPr="00BD36C9" w:rsidRDefault="007428D9" w:rsidP="00BD36C9">
            <w:pPr>
              <w:spacing w:line="360" w:lineRule="auto"/>
              <w:rPr>
                <w:rFonts w:ascii="Times New Roman" w:hAnsi="Times New Roman" w:cs="Times New Roman"/>
                <w:sz w:val="24"/>
                <w:szCs w:val="24"/>
              </w:rPr>
            </w:pPr>
          </w:p>
        </w:tc>
      </w:tr>
    </w:tbl>
    <w:p w14:paraId="379198DE" w14:textId="131E1049" w:rsidR="007428D9" w:rsidRPr="00BD36C9" w:rsidRDefault="007428D9" w:rsidP="00EC5C25">
      <w:pPr>
        <w:spacing w:line="360" w:lineRule="auto"/>
        <w:rPr>
          <w:rFonts w:ascii="Times New Roman" w:eastAsia="Times New Roman" w:hAnsi="Times New Roman" w:cs="Times New Roman"/>
          <w:b/>
          <w:bCs/>
          <w:sz w:val="24"/>
          <w:szCs w:val="24"/>
        </w:rPr>
      </w:pPr>
      <w:r w:rsidRPr="00BD36C9">
        <w:rPr>
          <w:rFonts w:ascii="Times New Roman" w:hAnsi="Times New Roman" w:cs="Times New Roman"/>
        </w:rPr>
        <w:t xml:space="preserve">a.1 cell (16.7%) has expected count less than 5. Minimum expected count is 3.22.  </w:t>
      </w:r>
    </w:p>
    <w:p w14:paraId="11A9677B" w14:textId="77777777" w:rsidR="00814639"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ED114AA" w14:textId="1D850138" w:rsidR="00814639" w:rsidRDefault="00814639"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4639">
        <w:rPr>
          <w:rFonts w:ascii="Times New Roman" w:hAnsi="Times New Roman" w:cs="Times New Roman"/>
          <w:sz w:val="24"/>
          <w:szCs w:val="24"/>
        </w:rPr>
        <w:lastRenderedPageBreak/>
        <w:t>The results indicate a statistically significant association between duration of residence and awareness in both communities (</w:t>
      </w:r>
      <w:proofErr w:type="spellStart"/>
      <w:r w:rsidRPr="00814639">
        <w:rPr>
          <w:rFonts w:ascii="Times New Roman" w:hAnsi="Times New Roman" w:cs="Times New Roman"/>
          <w:sz w:val="24"/>
          <w:szCs w:val="24"/>
        </w:rPr>
        <w:t>Nchumuru</w:t>
      </w:r>
      <w:proofErr w:type="spellEnd"/>
      <w:r w:rsidRPr="00814639">
        <w:rPr>
          <w:rFonts w:ascii="Times New Roman" w:hAnsi="Times New Roman" w:cs="Times New Roman"/>
          <w:sz w:val="24"/>
          <w:szCs w:val="24"/>
        </w:rPr>
        <w:t xml:space="preserve">: χ² = 15.47, </w:t>
      </w:r>
      <w:r w:rsidRPr="00814639">
        <w:rPr>
          <w:rStyle w:val="Emphasis"/>
          <w:rFonts w:ascii="Times New Roman" w:hAnsi="Times New Roman" w:cs="Times New Roman"/>
          <w:sz w:val="24"/>
          <w:szCs w:val="24"/>
        </w:rPr>
        <w:t>p</w:t>
      </w:r>
      <w:r w:rsidRPr="00814639">
        <w:rPr>
          <w:rFonts w:ascii="Times New Roman" w:hAnsi="Times New Roman" w:cs="Times New Roman"/>
          <w:sz w:val="24"/>
          <w:szCs w:val="24"/>
        </w:rPr>
        <w:t xml:space="preserve"> &lt; 0.001; Adele: χ² = 11.32, </w:t>
      </w:r>
      <w:r w:rsidRPr="00814639">
        <w:rPr>
          <w:rStyle w:val="Emphasis"/>
          <w:rFonts w:ascii="Times New Roman" w:hAnsi="Times New Roman" w:cs="Times New Roman"/>
          <w:sz w:val="24"/>
          <w:szCs w:val="24"/>
        </w:rPr>
        <w:t>p</w:t>
      </w:r>
      <w:r w:rsidRPr="00814639">
        <w:rPr>
          <w:rFonts w:ascii="Times New Roman" w:hAnsi="Times New Roman" w:cs="Times New Roman"/>
          <w:sz w:val="24"/>
          <w:szCs w:val="24"/>
        </w:rPr>
        <w:t xml:space="preserve"> &lt; 0.01). This suggests that individuals who have lived longer in the community are more likely to be aware of forest management strategies. However, the presence of cells with expected counts below five indicates a potential limitation in the robustness of the Chi-square results, and therefore findings should be interpreted with caution</w:t>
      </w:r>
      <w:r>
        <w:t>.</w:t>
      </w:r>
    </w:p>
    <w:p w14:paraId="03166A52" w14:textId="2AF39CBF" w:rsidR="0011695C" w:rsidRPr="00BD36C9"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007F3D73" w:rsidRPr="00BD36C9">
        <w:rPr>
          <w:rFonts w:ascii="Times New Roman" w:eastAsia="Times New Roman" w:hAnsi="Times New Roman" w:cs="Times New Roman"/>
          <w:b/>
          <w:bCs/>
          <w:sz w:val="24"/>
          <w:szCs w:val="24"/>
        </w:rPr>
        <w:t>hematic analysis</w:t>
      </w:r>
    </w:p>
    <w:p w14:paraId="0DF990BA" w14:textId="1157FACD" w:rsidR="007428D9" w:rsidRPr="00BD36C9" w:rsidRDefault="002D0540" w:rsidP="001D4CCB">
      <w:pPr>
        <w:pStyle w:val="Heading2"/>
        <w:rPr>
          <w:sz w:val="27"/>
          <w:szCs w:val="27"/>
        </w:rPr>
      </w:pPr>
      <w:bookmarkStart w:id="6" w:name="_Toc207012608"/>
      <w:r>
        <w:t xml:space="preserve"> </w:t>
      </w:r>
      <w:r w:rsidR="007428D9" w:rsidRPr="00BD36C9">
        <w:t>Traditional</w:t>
      </w:r>
      <w:r w:rsidR="007428D9" w:rsidRPr="00BD36C9">
        <w:rPr>
          <w:sz w:val="27"/>
          <w:szCs w:val="27"/>
        </w:rPr>
        <w:t xml:space="preserve"> </w:t>
      </w:r>
      <w:r w:rsidR="007F3D73" w:rsidRPr="00BD36C9">
        <w:t>knowledge and practices as a strategy for forest resource management</w:t>
      </w:r>
      <w:bookmarkEnd w:id="6"/>
    </w:p>
    <w:p w14:paraId="3A31E73F"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Traditional ecological knowledge (TEK) functions not merely as cultural heritage but as a strategic mechanism for regulating human interaction with the environment. In both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traditional beliefs and practices serve as informal yet powerful governance systems that supplement or, in some cases, substitute formal conservation strategies. These practices encode ecological knowledge in rituals, taboos, and oral instruction, shaping forest behavior and decision-making. However, their application and effectiveness as strategies differ markedly between the two communities, yielding distinct conservation outcomes.</w:t>
      </w:r>
    </w:p>
    <w:p w14:paraId="278124CB"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traditional knowledge is applied strategically through an integrated system of taboos, oral transmission, and sacred forest zoning. For instance, certain tree species are avoided not because of formal environmental law, but due to beliefs about spiritual guardianship and ancestral disapproval. These restrictions are strategic in function: they limit overharvesting, preserve biodiversity hotspots, and ensure ecosystem regeneration through rotational harvesting and s</w:t>
      </w:r>
      <w:r w:rsidR="00CD4F78" w:rsidRPr="00BD36C9">
        <w:rPr>
          <w:rFonts w:ascii="Times New Roman" w:eastAsia="Times New Roman" w:hAnsi="Times New Roman" w:cs="Times New Roman"/>
          <w:sz w:val="24"/>
          <w:szCs w:val="24"/>
        </w:rPr>
        <w:t>easonal observance. As one Informant</w:t>
      </w:r>
      <w:r w:rsidRPr="00BD36C9">
        <w:rPr>
          <w:rFonts w:ascii="Times New Roman" w:eastAsia="Times New Roman" w:hAnsi="Times New Roman" w:cs="Times New Roman"/>
          <w:sz w:val="24"/>
          <w:szCs w:val="24"/>
        </w:rPr>
        <w:t xml:space="preserve"> explained, </w:t>
      </w:r>
      <w:r w:rsidRPr="00BD36C9">
        <w:rPr>
          <w:rFonts w:ascii="Times New Roman" w:eastAsia="Times New Roman" w:hAnsi="Times New Roman" w:cs="Times New Roman"/>
          <w:i/>
          <w:iCs/>
          <w:sz w:val="24"/>
          <w:szCs w:val="24"/>
        </w:rPr>
        <w:t>“We don’t need a forest officer to tell us what to do. Our ancestors already taught us.”</w:t>
      </w:r>
      <w:r w:rsidRPr="00BD36C9">
        <w:rPr>
          <w:rFonts w:ascii="Times New Roman" w:eastAsia="Times New Roman" w:hAnsi="Times New Roman" w:cs="Times New Roman"/>
          <w:sz w:val="24"/>
          <w:szCs w:val="24"/>
        </w:rPr>
        <w:t xml:space="preserve"> This reflects the concept of embedded governance, where cultural norms act as institutional substitutes for formal policy enforcement a phenomenon also noted by </w:t>
      </w:r>
      <w:proofErr w:type="spellStart"/>
      <w:r w:rsidRPr="00BD36C9">
        <w:rPr>
          <w:rFonts w:ascii="Times New Roman" w:eastAsia="Times New Roman" w:hAnsi="Times New Roman" w:cs="Times New Roman"/>
          <w:sz w:val="24"/>
          <w:szCs w:val="24"/>
        </w:rPr>
        <w:t>Berkes</w:t>
      </w:r>
      <w:proofErr w:type="spellEnd"/>
      <w:r w:rsidRPr="00BD36C9">
        <w:rPr>
          <w:rFonts w:ascii="Times New Roman" w:eastAsia="Times New Roman" w:hAnsi="Times New Roman" w:cs="Times New Roman"/>
          <w:sz w:val="24"/>
          <w:szCs w:val="24"/>
        </w:rPr>
        <w:t xml:space="preserve"> (2018) in his analysis of community-based resource management systems globally.</w:t>
      </w:r>
    </w:p>
    <w:p w14:paraId="1C8E92A0" w14:textId="2EB3C776"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Moreover, </w:t>
      </w:r>
      <w:proofErr w:type="spellStart"/>
      <w:r w:rsidRPr="00BD36C9">
        <w:rPr>
          <w:rFonts w:ascii="Times New Roman" w:eastAsia="Times New Roman" w:hAnsi="Times New Roman" w:cs="Times New Roman"/>
          <w:sz w:val="24"/>
          <w:szCs w:val="24"/>
        </w:rPr>
        <w:t>Nchumuru’s</w:t>
      </w:r>
      <w:proofErr w:type="spellEnd"/>
      <w:r w:rsidRPr="00BD36C9">
        <w:rPr>
          <w:rFonts w:ascii="Times New Roman" w:eastAsia="Times New Roman" w:hAnsi="Times New Roman" w:cs="Times New Roman"/>
          <w:sz w:val="24"/>
          <w:szCs w:val="24"/>
        </w:rPr>
        <w:t xml:space="preserve"> use of traditional practices is cohesively enforced through social sanctions and spiritual fear. Violating forest taboos can result in illness, ostracism, or rituals of appeasement mechanisms that collectively reduce rule-breaking.</w:t>
      </w:r>
      <w:r w:rsidR="00077AFA">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 xml:space="preserve">In strategic terms, this approach reduces </w:t>
      </w:r>
      <w:r w:rsidRPr="00BD36C9">
        <w:rPr>
          <w:rFonts w:ascii="Times New Roman" w:eastAsia="Times New Roman" w:hAnsi="Times New Roman" w:cs="Times New Roman"/>
          <w:sz w:val="24"/>
          <w:szCs w:val="24"/>
        </w:rPr>
        <w:lastRenderedPageBreak/>
        <w:t>enforcement costs and enhances compliance, offering a self-policing system that functions without the need for constant surveillance. This aligns with findings by Ormsby (2021), who highlights sacred groves as de facto conservation zones due to their embedded cultural significance.</w:t>
      </w:r>
    </w:p>
    <w:p w14:paraId="7D49A03D" w14:textId="41F7D308" w:rsidR="00744C1E"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contrast, the Adele community employs traditional knowledge more selectively and in a weakened strategic capacity. While sacred groves and forest taboos still exist, their role as regulatory tools is increasingly symbolic rather than functional. </w:t>
      </w:r>
    </w:p>
    <w:p w14:paraId="0C953CCC" w14:textId="77777777" w:rsidR="00744C1E"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Many younger community members do not internalize these practices as authoritative, thereby reducing their efficacy. As one young adult shared</w:t>
      </w:r>
      <w:r w:rsidR="00CD4F78" w:rsidRPr="00BD36C9">
        <w:rPr>
          <w:rFonts w:ascii="Times New Roman" w:eastAsia="Times New Roman" w:hAnsi="Times New Roman" w:cs="Times New Roman"/>
          <w:sz w:val="24"/>
          <w:szCs w:val="24"/>
        </w:rPr>
        <w:t xml:space="preserve"> in a Focus group discussion</w:t>
      </w:r>
      <w:r w:rsidRPr="00BD36C9">
        <w:rPr>
          <w:rFonts w:ascii="Times New Roman" w:eastAsia="Times New Roman" w:hAnsi="Times New Roman" w:cs="Times New Roman"/>
          <w:sz w:val="24"/>
          <w:szCs w:val="24"/>
        </w:rPr>
        <w:t xml:space="preserve">, </w:t>
      </w:r>
      <w:r w:rsidRPr="00BD36C9">
        <w:rPr>
          <w:rFonts w:ascii="Times New Roman" w:eastAsia="Times New Roman" w:hAnsi="Times New Roman" w:cs="Times New Roman"/>
          <w:i/>
          <w:iCs/>
          <w:sz w:val="24"/>
          <w:szCs w:val="24"/>
        </w:rPr>
        <w:t>“We know about the taboos, but people don’t take them seriously anymore. If someone needs land, they go in.”</w:t>
      </w:r>
      <w:r w:rsidRPr="00BD36C9">
        <w:rPr>
          <w:rFonts w:ascii="Times New Roman" w:eastAsia="Times New Roman" w:hAnsi="Times New Roman" w:cs="Times New Roman"/>
          <w:sz w:val="24"/>
          <w:szCs w:val="24"/>
        </w:rPr>
        <w:t xml:space="preserve"> Here, traditional knowledge lacks strategic enforcement power, especially in the face of livelihood pressures and shifting value systems.</w:t>
      </w:r>
    </w:p>
    <w:p w14:paraId="544A22AB"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This difference suggests a strategic decoupling in Adele, where traditional norms exist alongside external conservation efforts, such as NGO programs, but are not tightly integrated into everyday forest management behavior. Adele’s approach thus leans toward hybrid governance, where modern techniques are introduced but not necessarily anchored in indigenous practices. The strategic function of tradition is contingent, often reactivated through external prompting rather than internal cultural momentum.  </w:t>
      </w:r>
    </w:p>
    <w:p w14:paraId="769868B7" w14:textId="6C55ECFA" w:rsidR="007428D9" w:rsidRPr="00BD36C9" w:rsidRDefault="002D0540" w:rsidP="001D4CCB">
      <w:pPr>
        <w:pStyle w:val="Heading2"/>
      </w:pPr>
      <w:bookmarkStart w:id="7" w:name="_Toc207012609"/>
      <w:r>
        <w:t xml:space="preserve"> </w:t>
      </w:r>
      <w:r w:rsidR="007428D9" w:rsidRPr="00BD36C9">
        <w:t xml:space="preserve">Sanctions and </w:t>
      </w:r>
      <w:r w:rsidR="007F3D73" w:rsidRPr="00BD36C9">
        <w:t>enforcement as strategies for forest governance</w:t>
      </w:r>
      <w:bookmarkEnd w:id="7"/>
    </w:p>
    <w:p w14:paraId="4FF631C3"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Sanctions are a fundamental </w:t>
      </w:r>
      <w:r w:rsidRPr="00BD36C9">
        <w:rPr>
          <w:rFonts w:ascii="Times New Roman" w:eastAsia="Times New Roman" w:hAnsi="Times New Roman" w:cs="Times New Roman"/>
          <w:bCs/>
          <w:sz w:val="24"/>
          <w:szCs w:val="24"/>
        </w:rPr>
        <w:t>governance strategy</w:t>
      </w:r>
      <w:r w:rsidRPr="00BD36C9">
        <w:rPr>
          <w:rFonts w:ascii="Times New Roman" w:eastAsia="Times New Roman" w:hAnsi="Times New Roman" w:cs="Times New Roman"/>
          <w:sz w:val="24"/>
          <w:szCs w:val="24"/>
        </w:rPr>
        <w:t xml:space="preserve"> in community-based forest management, serving as both deterrents and corrective mechanisms. In both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sanctions are present, but their </w:t>
      </w:r>
      <w:r w:rsidRPr="00BD36C9">
        <w:rPr>
          <w:rFonts w:ascii="Times New Roman" w:eastAsia="Times New Roman" w:hAnsi="Times New Roman" w:cs="Times New Roman"/>
          <w:bCs/>
          <w:sz w:val="24"/>
          <w:szCs w:val="24"/>
        </w:rPr>
        <w:t>credibility and enforcement power</w:t>
      </w:r>
      <w:r w:rsidRPr="00BD36C9">
        <w:rPr>
          <w:rFonts w:ascii="Times New Roman" w:eastAsia="Times New Roman" w:hAnsi="Times New Roman" w:cs="Times New Roman"/>
          <w:sz w:val="24"/>
          <w:szCs w:val="24"/>
        </w:rPr>
        <w:t xml:space="preserve"> vary. Field narratives show that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sanctions enjoy </w:t>
      </w:r>
      <w:r w:rsidRPr="00BD36C9">
        <w:rPr>
          <w:rFonts w:ascii="Times New Roman" w:eastAsia="Times New Roman" w:hAnsi="Times New Roman" w:cs="Times New Roman"/>
          <w:bCs/>
          <w:sz w:val="24"/>
          <w:szCs w:val="24"/>
        </w:rPr>
        <w:t>broad-based legitimacy</w:t>
      </w:r>
      <w:r w:rsidRPr="00BD36C9">
        <w:rPr>
          <w:rFonts w:ascii="Times New Roman" w:eastAsia="Times New Roman" w:hAnsi="Times New Roman" w:cs="Times New Roman"/>
          <w:sz w:val="24"/>
          <w:szCs w:val="24"/>
        </w:rPr>
        <w:t>, while in Adele they are increasingly contested, particularly among younger generations.</w:t>
      </w:r>
    </w:p>
    <w:p w14:paraId="32DFD44A" w14:textId="19E9F450"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the </w:t>
      </w:r>
      <w:proofErr w:type="spellStart"/>
      <w:r w:rsidRPr="00BD36C9">
        <w:rPr>
          <w:rFonts w:ascii="Times New Roman" w:eastAsia="Times New Roman" w:hAnsi="Times New Roman" w:cs="Times New Roman"/>
          <w:bCs/>
          <w:sz w:val="24"/>
          <w:szCs w:val="24"/>
        </w:rPr>
        <w:t>Nchumuru</w:t>
      </w:r>
      <w:proofErr w:type="spellEnd"/>
      <w:r w:rsidRPr="00BD36C9">
        <w:rPr>
          <w:rFonts w:ascii="Times New Roman" w:eastAsia="Times New Roman" w:hAnsi="Times New Roman" w:cs="Times New Roman"/>
          <w:bCs/>
          <w:sz w:val="24"/>
          <w:szCs w:val="24"/>
        </w:rPr>
        <w:t xml:space="preserve"> community</w:t>
      </w:r>
      <w:r w:rsidRPr="00BD36C9">
        <w:rPr>
          <w:rFonts w:ascii="Times New Roman" w:eastAsia="Times New Roman" w:hAnsi="Times New Roman" w:cs="Times New Roman"/>
          <w:sz w:val="24"/>
          <w:szCs w:val="24"/>
        </w:rPr>
        <w:t xml:space="preserve">, the </w:t>
      </w:r>
      <w:r w:rsidRPr="00BD36C9">
        <w:rPr>
          <w:rFonts w:ascii="Times New Roman" w:eastAsia="Times New Roman" w:hAnsi="Times New Roman" w:cs="Times New Roman"/>
          <w:bCs/>
          <w:sz w:val="24"/>
          <w:szCs w:val="24"/>
        </w:rPr>
        <w:t>majority of respondents strongly affirmed</w:t>
      </w:r>
      <w:r w:rsidRPr="00BD36C9">
        <w:rPr>
          <w:rFonts w:ascii="Times New Roman" w:eastAsia="Times New Roman" w:hAnsi="Times New Roman" w:cs="Times New Roman"/>
          <w:sz w:val="24"/>
          <w:szCs w:val="24"/>
        </w:rPr>
        <w:t xml:space="preserve"> that sanctions are effective because they combine spiritual fear with socia</w:t>
      </w:r>
      <w:r w:rsidR="006D297C" w:rsidRPr="00BD36C9">
        <w:rPr>
          <w:rFonts w:ascii="Times New Roman" w:eastAsia="Times New Roman" w:hAnsi="Times New Roman" w:cs="Times New Roman"/>
          <w:sz w:val="24"/>
          <w:szCs w:val="24"/>
        </w:rPr>
        <w:t xml:space="preserve">l enforcement. As several </w:t>
      </w:r>
      <w:r w:rsidR="00077AFA" w:rsidRPr="00BD36C9">
        <w:rPr>
          <w:rFonts w:ascii="Times New Roman" w:eastAsia="Times New Roman" w:hAnsi="Times New Roman" w:cs="Times New Roman"/>
          <w:sz w:val="24"/>
          <w:szCs w:val="24"/>
        </w:rPr>
        <w:t>elders expressed</w:t>
      </w:r>
      <w:r w:rsidR="006D297C" w:rsidRPr="00BD36C9">
        <w:rPr>
          <w:rFonts w:ascii="Times New Roman" w:eastAsia="Times New Roman" w:hAnsi="Times New Roman" w:cs="Times New Roman"/>
          <w:sz w:val="24"/>
          <w:szCs w:val="24"/>
        </w:rPr>
        <w:t xml:space="preserve"> in a Focus group discussion</w:t>
      </w:r>
      <w:r w:rsidRPr="00BD36C9">
        <w:rPr>
          <w:rFonts w:ascii="Times New Roman" w:eastAsia="Times New Roman" w:hAnsi="Times New Roman" w:cs="Times New Roman"/>
          <w:sz w:val="24"/>
          <w:szCs w:val="24"/>
        </w:rPr>
        <w:t xml:space="preserve">, </w:t>
      </w:r>
      <w:r w:rsidRPr="00BD36C9">
        <w:rPr>
          <w:rFonts w:ascii="Times New Roman" w:eastAsia="Times New Roman" w:hAnsi="Times New Roman" w:cs="Times New Roman"/>
          <w:i/>
          <w:iCs/>
          <w:sz w:val="24"/>
          <w:szCs w:val="24"/>
        </w:rPr>
        <w:t>“If you break the forest rules, the ancestors punish you even before the elders act.”</w:t>
      </w:r>
      <w:r w:rsidRPr="00BD36C9">
        <w:rPr>
          <w:rFonts w:ascii="Times New Roman" w:eastAsia="Times New Roman" w:hAnsi="Times New Roman" w:cs="Times New Roman"/>
          <w:sz w:val="24"/>
          <w:szCs w:val="24"/>
        </w:rPr>
        <w:t xml:space="preserve"> Others added, </w:t>
      </w:r>
      <w:r w:rsidRPr="00BD36C9">
        <w:rPr>
          <w:rFonts w:ascii="Times New Roman" w:eastAsia="Times New Roman" w:hAnsi="Times New Roman" w:cs="Times New Roman"/>
          <w:i/>
          <w:iCs/>
          <w:sz w:val="24"/>
          <w:szCs w:val="24"/>
        </w:rPr>
        <w:t>“No one wants to risk his or her life, so we all try obey.”</w:t>
      </w:r>
      <w:r w:rsidRPr="00BD36C9">
        <w:rPr>
          <w:rFonts w:ascii="Times New Roman" w:eastAsia="Times New Roman" w:hAnsi="Times New Roman" w:cs="Times New Roman"/>
          <w:sz w:val="24"/>
          <w:szCs w:val="24"/>
        </w:rPr>
        <w:t xml:space="preserve"> This </w:t>
      </w:r>
      <w:r w:rsidRPr="00BD36C9">
        <w:rPr>
          <w:rFonts w:ascii="Times New Roman" w:eastAsia="Times New Roman" w:hAnsi="Times New Roman" w:cs="Times New Roman"/>
          <w:sz w:val="24"/>
          <w:szCs w:val="24"/>
        </w:rPr>
        <w:lastRenderedPageBreak/>
        <w:t xml:space="preserve">majority view shows that sanctions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are not merely symbolic but are actively </w:t>
      </w:r>
      <w:r w:rsidRPr="00BD36C9">
        <w:rPr>
          <w:rFonts w:ascii="Times New Roman" w:eastAsia="Times New Roman" w:hAnsi="Times New Roman" w:cs="Times New Roman"/>
          <w:bCs/>
          <w:sz w:val="24"/>
          <w:szCs w:val="24"/>
        </w:rPr>
        <w:t>internalized as preventive strategies</w:t>
      </w:r>
      <w:r w:rsidRPr="00BD36C9">
        <w:rPr>
          <w:rFonts w:ascii="Times New Roman" w:eastAsia="Times New Roman" w:hAnsi="Times New Roman" w:cs="Times New Roman"/>
          <w:sz w:val="24"/>
          <w:szCs w:val="24"/>
        </w:rPr>
        <w:t xml:space="preserve">. Violations are rare precisely because most people believe consequences are both inevitable and severe. When breaches occur, the community enforces them through fines, ritual cleansing, or temporary ostracism. These collective accounts highlight that sanctions here function as </w:t>
      </w:r>
      <w:r w:rsidRPr="00BD36C9">
        <w:rPr>
          <w:rFonts w:ascii="Times New Roman" w:eastAsia="Times New Roman" w:hAnsi="Times New Roman" w:cs="Times New Roman"/>
          <w:bCs/>
          <w:sz w:val="24"/>
          <w:szCs w:val="24"/>
        </w:rPr>
        <w:t>self-enforcing institutions</w:t>
      </w:r>
      <w:r w:rsidRPr="00BD36C9">
        <w:rPr>
          <w:rFonts w:ascii="Times New Roman" w:eastAsia="Times New Roman" w:hAnsi="Times New Roman" w:cs="Times New Roman"/>
          <w:sz w:val="24"/>
          <w:szCs w:val="24"/>
        </w:rPr>
        <w:t>, confirming Ostrom’s (1990) principle that strong community norms reduce monitoring costs and increase compliance.</w:t>
      </w:r>
    </w:p>
    <w:p w14:paraId="528128C2" w14:textId="3F4E6626" w:rsidR="00744C1E" w:rsidRPr="00BD36C9" w:rsidRDefault="007428D9" w:rsidP="00BD36C9">
      <w:pPr>
        <w:spacing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the </w:t>
      </w:r>
      <w:r w:rsidRPr="00BD36C9">
        <w:rPr>
          <w:rFonts w:ascii="Times New Roman" w:eastAsia="Times New Roman" w:hAnsi="Times New Roman" w:cs="Times New Roman"/>
          <w:bCs/>
          <w:sz w:val="24"/>
          <w:szCs w:val="24"/>
        </w:rPr>
        <w:t>Adele community</w:t>
      </w:r>
      <w:r w:rsidRPr="00BD36C9">
        <w:rPr>
          <w:rFonts w:ascii="Times New Roman" w:eastAsia="Times New Roman" w:hAnsi="Times New Roman" w:cs="Times New Roman"/>
          <w:sz w:val="24"/>
          <w:szCs w:val="24"/>
        </w:rPr>
        <w:t xml:space="preserve">, however, the </w:t>
      </w:r>
      <w:r w:rsidRPr="00BD36C9">
        <w:rPr>
          <w:rFonts w:ascii="Times New Roman" w:eastAsia="Times New Roman" w:hAnsi="Times New Roman" w:cs="Times New Roman"/>
          <w:bCs/>
          <w:sz w:val="24"/>
          <w:szCs w:val="24"/>
        </w:rPr>
        <w:t>majority opinion reflected skepticism</w:t>
      </w:r>
      <w:r w:rsidRPr="00BD36C9">
        <w:rPr>
          <w:rFonts w:ascii="Times New Roman" w:eastAsia="Times New Roman" w:hAnsi="Times New Roman" w:cs="Times New Roman"/>
          <w:sz w:val="24"/>
          <w:szCs w:val="24"/>
        </w:rPr>
        <w:t xml:space="preserve">, especially among youth and women, about the continuing power of sanctions. Many respondents emphasized that younger people no longer fear spiritual retribution. </w:t>
      </w:r>
    </w:p>
    <w:p w14:paraId="40058C5E" w14:textId="77777777" w:rsidR="00744C1E" w:rsidRPr="00BD36C9" w:rsidRDefault="007428D9" w:rsidP="00BD36C9">
      <w:pPr>
        <w:spacing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As one group of young men noted, </w:t>
      </w:r>
      <w:r w:rsidRPr="00BD36C9">
        <w:rPr>
          <w:rFonts w:ascii="Times New Roman" w:eastAsia="Times New Roman" w:hAnsi="Times New Roman" w:cs="Times New Roman"/>
          <w:i/>
          <w:iCs/>
          <w:sz w:val="24"/>
          <w:szCs w:val="24"/>
        </w:rPr>
        <w:t>“They used to say the gods will punish you, but have never witness since I was born.”</w:t>
      </w:r>
      <w:r w:rsidRPr="00BD36C9">
        <w:rPr>
          <w:rFonts w:ascii="Times New Roman" w:eastAsia="Times New Roman" w:hAnsi="Times New Roman" w:cs="Times New Roman"/>
          <w:sz w:val="24"/>
          <w:szCs w:val="24"/>
        </w:rPr>
        <w:t xml:space="preserve"> Similarly, a </w:t>
      </w:r>
      <w:proofErr w:type="gramStart"/>
      <w:r w:rsidRPr="00BD36C9">
        <w:rPr>
          <w:rFonts w:ascii="Times New Roman" w:eastAsia="Times New Roman" w:hAnsi="Times New Roman" w:cs="Times New Roman"/>
          <w:sz w:val="24"/>
          <w:szCs w:val="24"/>
        </w:rPr>
        <w:t>women</w:t>
      </w:r>
      <w:proofErr w:type="gramEnd"/>
      <w:r w:rsidRPr="00BD36C9">
        <w:rPr>
          <w:rFonts w:ascii="Times New Roman" w:eastAsia="Times New Roman" w:hAnsi="Times New Roman" w:cs="Times New Roman"/>
          <w:sz w:val="24"/>
          <w:szCs w:val="24"/>
        </w:rPr>
        <w:t xml:space="preserve"> echoed, </w:t>
      </w:r>
      <w:r w:rsidRPr="00BD36C9">
        <w:rPr>
          <w:rFonts w:ascii="Times New Roman" w:eastAsia="Times New Roman" w:hAnsi="Times New Roman" w:cs="Times New Roman"/>
          <w:i/>
          <w:iCs/>
          <w:sz w:val="24"/>
          <w:szCs w:val="24"/>
        </w:rPr>
        <w:t xml:space="preserve">“When someone breaks the rule, it depends on who they are. Sometimes fines are given, sometimes nothing happens.” </w:t>
      </w:r>
      <w:r w:rsidRPr="00BD36C9">
        <w:rPr>
          <w:rFonts w:ascii="Times New Roman" w:eastAsia="Times New Roman" w:hAnsi="Times New Roman" w:cs="Times New Roman"/>
          <w:sz w:val="24"/>
          <w:szCs w:val="24"/>
        </w:rPr>
        <w:t xml:space="preserve">These majority perspectives reveal that sanctions in Adele are perceived as </w:t>
      </w:r>
      <w:r w:rsidRPr="00BD36C9">
        <w:rPr>
          <w:rFonts w:ascii="Times New Roman" w:eastAsia="Times New Roman" w:hAnsi="Times New Roman" w:cs="Times New Roman"/>
          <w:bCs/>
          <w:sz w:val="24"/>
          <w:szCs w:val="24"/>
        </w:rPr>
        <w:t>unevenly applied and less legitimate</w:t>
      </w:r>
      <w:r w:rsidRPr="00BD36C9">
        <w:rPr>
          <w:rFonts w:ascii="Times New Roman" w:eastAsia="Times New Roman" w:hAnsi="Times New Roman" w:cs="Times New Roman"/>
          <w:sz w:val="24"/>
          <w:szCs w:val="24"/>
        </w:rPr>
        <w:t>, reducing their deterrent effect.</w:t>
      </w:r>
    </w:p>
    <w:p w14:paraId="44B67460" w14:textId="3DB1856A" w:rsidR="00744C1E" w:rsidRPr="00077AFA" w:rsidRDefault="007428D9" w:rsidP="00077AFA">
      <w:pPr>
        <w:spacing w:line="360" w:lineRule="auto"/>
        <w:jc w:val="both"/>
        <w:rPr>
          <w:rFonts w:ascii="Times New Roman" w:hAnsi="Times New Roman" w:cs="Times New Roman"/>
        </w:rPr>
      </w:pPr>
      <w:r w:rsidRPr="00BD36C9">
        <w:rPr>
          <w:rFonts w:ascii="Times New Roman" w:eastAsia="Times New Roman" w:hAnsi="Times New Roman" w:cs="Times New Roman"/>
          <w:sz w:val="24"/>
          <w:szCs w:val="24"/>
        </w:rPr>
        <w:t xml:space="preserve"> Elders acknowledged this erosion, though some pointed to external actors as a way forward:</w:t>
      </w:r>
      <w:r w:rsidRPr="00BD36C9">
        <w:rPr>
          <w:rFonts w:ascii="Times New Roman" w:eastAsia="Times New Roman" w:hAnsi="Times New Roman" w:cs="Times New Roman"/>
          <w:i/>
          <w:iCs/>
          <w:sz w:val="24"/>
          <w:szCs w:val="24"/>
        </w:rPr>
        <w:t xml:space="preserve"> “There are forest officers who have been visiting us, when one </w:t>
      </w:r>
      <w:proofErr w:type="gramStart"/>
      <w:r w:rsidRPr="00BD36C9">
        <w:rPr>
          <w:rFonts w:ascii="Times New Roman" w:eastAsia="Times New Roman" w:hAnsi="Times New Roman" w:cs="Times New Roman"/>
          <w:i/>
          <w:iCs/>
          <w:sz w:val="24"/>
          <w:szCs w:val="24"/>
        </w:rPr>
        <w:t>mismanage</w:t>
      </w:r>
      <w:proofErr w:type="gramEnd"/>
      <w:r w:rsidRPr="00BD36C9">
        <w:rPr>
          <w:rFonts w:ascii="Times New Roman" w:eastAsia="Times New Roman" w:hAnsi="Times New Roman" w:cs="Times New Roman"/>
          <w:i/>
          <w:iCs/>
          <w:sz w:val="24"/>
          <w:szCs w:val="24"/>
        </w:rPr>
        <w:t xml:space="preserve"> the forest we do inform them.”</w:t>
      </w:r>
      <w:r w:rsidRPr="00BD36C9">
        <w:rPr>
          <w:rFonts w:ascii="Times New Roman" w:eastAsia="Times New Roman" w:hAnsi="Times New Roman" w:cs="Times New Roman"/>
          <w:sz w:val="24"/>
          <w:szCs w:val="24"/>
        </w:rPr>
        <w:t xml:space="preserve"> This demonstrates a strategic shift toward </w:t>
      </w:r>
      <w:r w:rsidRPr="00BD36C9">
        <w:rPr>
          <w:rFonts w:ascii="Times New Roman" w:eastAsia="Times New Roman" w:hAnsi="Times New Roman" w:cs="Times New Roman"/>
          <w:bCs/>
          <w:sz w:val="24"/>
          <w:szCs w:val="24"/>
        </w:rPr>
        <w:t>hybrid enforcement</w:t>
      </w:r>
      <w:r w:rsidRPr="00BD36C9">
        <w:rPr>
          <w:rFonts w:ascii="Times New Roman" w:eastAsia="Times New Roman" w:hAnsi="Times New Roman" w:cs="Times New Roman"/>
          <w:sz w:val="24"/>
          <w:szCs w:val="24"/>
        </w:rPr>
        <w:t xml:space="preserve">, where NGOs and state institutions supplement weakened traditional sanctions.  </w:t>
      </w:r>
    </w:p>
    <w:p w14:paraId="269B5A46" w14:textId="288D2E00" w:rsidR="007428D9" w:rsidRPr="00BD36C9" w:rsidRDefault="002D0540" w:rsidP="00BD36C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7428D9" w:rsidRPr="00BD36C9">
        <w:rPr>
          <w:rFonts w:ascii="Times New Roman" w:hAnsi="Times New Roman" w:cs="Times New Roman"/>
          <w:b/>
          <w:sz w:val="24"/>
          <w:szCs w:val="24"/>
        </w:rPr>
        <w:t xml:space="preserve">Sustainable </w:t>
      </w:r>
      <w:r w:rsidR="007F3D73" w:rsidRPr="00BD36C9">
        <w:rPr>
          <w:rFonts w:ascii="Times New Roman" w:hAnsi="Times New Roman" w:cs="Times New Roman"/>
          <w:b/>
          <w:sz w:val="24"/>
          <w:szCs w:val="24"/>
        </w:rPr>
        <w:t xml:space="preserve">livelihood alternatives as strategic conservation tools </w:t>
      </w:r>
    </w:p>
    <w:p w14:paraId="30E2E947"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Sustainable livelihood alternatives represent a vital strategy for linking forest conservation with community well-being.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the majority of people described their livelihood activities as largely subsistence-based and shaped by traditional values of restraint. Gathering forest products such as mushrooms, honey, snails, medicinal plants, and firewood was repeatedly highlighted as central to survival, but these practices were not done at the expense forest conservation. Women emphasized the importance of careful use of forest resources, with on</w:t>
      </w:r>
      <w:r w:rsidR="006D297C" w:rsidRPr="00BD36C9">
        <w:rPr>
          <w:rFonts w:ascii="Times New Roman" w:eastAsia="Times New Roman" w:hAnsi="Times New Roman" w:cs="Times New Roman"/>
          <w:sz w:val="24"/>
          <w:szCs w:val="24"/>
        </w:rPr>
        <w:t>e Informant</w:t>
      </w:r>
      <w:r w:rsidRPr="00BD36C9">
        <w:rPr>
          <w:rFonts w:ascii="Times New Roman" w:eastAsia="Times New Roman" w:hAnsi="Times New Roman" w:cs="Times New Roman"/>
          <w:sz w:val="24"/>
          <w:szCs w:val="24"/>
        </w:rPr>
        <w:t xml:space="preserve"> remarking, </w:t>
      </w:r>
      <w:r w:rsidRPr="00BD36C9">
        <w:rPr>
          <w:rFonts w:ascii="Times New Roman" w:eastAsia="Times New Roman" w:hAnsi="Times New Roman" w:cs="Times New Roman"/>
          <w:i/>
          <w:iCs/>
          <w:sz w:val="24"/>
          <w:szCs w:val="24"/>
        </w:rPr>
        <w:t>“We collect snails and firewood carefully. We avoid cutting big trees. That helps protect the forest for the future.”</w:t>
      </w:r>
      <w:r w:rsidRPr="00BD36C9">
        <w:rPr>
          <w:rFonts w:ascii="Times New Roman" w:eastAsia="Times New Roman" w:hAnsi="Times New Roman" w:cs="Times New Roman"/>
          <w:sz w:val="24"/>
          <w:szCs w:val="24"/>
        </w:rPr>
        <w:t xml:space="preserve"> These majority perspectives reveal a culture of moderation, where forest-based livelihoods are embedded in local norms that safeguard long-term sustainability. This resonates with recent scholarship emphasizing that non-timber forest product </w:t>
      </w:r>
      <w:r w:rsidRPr="00BD36C9">
        <w:rPr>
          <w:rFonts w:ascii="Times New Roman" w:eastAsia="Times New Roman" w:hAnsi="Times New Roman" w:cs="Times New Roman"/>
          <w:sz w:val="24"/>
          <w:szCs w:val="24"/>
        </w:rPr>
        <w:lastRenderedPageBreak/>
        <w:t>use, when culturally regulated, can strengthen ecological resilience while meeting subsistence needs (Amoako et al., 2022; Shackleton et al., 2015).</w:t>
      </w:r>
    </w:p>
    <w:p w14:paraId="0C1C04F7" w14:textId="5EED8DC2" w:rsidR="00744C1E"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the Adele community, a different trajectory is evident, one shaped by </w:t>
      </w:r>
      <w:r w:rsidRPr="00BD36C9">
        <w:rPr>
          <w:rFonts w:ascii="Times New Roman" w:eastAsia="Times New Roman" w:hAnsi="Times New Roman" w:cs="Times New Roman"/>
          <w:bCs/>
          <w:sz w:val="24"/>
          <w:szCs w:val="24"/>
        </w:rPr>
        <w:t>emerging livelihood innovations promoted through external partnerships</w:t>
      </w:r>
      <w:r w:rsidRPr="00BD36C9">
        <w:rPr>
          <w:rFonts w:ascii="Times New Roman" w:eastAsia="Times New Roman" w:hAnsi="Times New Roman" w:cs="Times New Roman"/>
          <w:sz w:val="24"/>
          <w:szCs w:val="24"/>
        </w:rPr>
        <w:t xml:space="preserve">. The majority of respondents pointed to bee-keeping as a promising alternative that both generates income and reinforces conservation. Elders and youth alike spoke positively of these interventions, with one participant noting, </w:t>
      </w:r>
      <w:r w:rsidRPr="00BD36C9">
        <w:rPr>
          <w:rFonts w:ascii="Times New Roman" w:eastAsia="Times New Roman" w:hAnsi="Times New Roman" w:cs="Times New Roman"/>
          <w:i/>
          <w:iCs/>
          <w:sz w:val="24"/>
          <w:szCs w:val="24"/>
        </w:rPr>
        <w:t>“They trained us how to keep bees. It gives us honey, money, and also prevent us from destroying the forest.”</w:t>
      </w:r>
      <w:r w:rsidRPr="00BD36C9">
        <w:rPr>
          <w:rFonts w:ascii="Times New Roman" w:eastAsia="Times New Roman" w:hAnsi="Times New Roman" w:cs="Times New Roman"/>
          <w:sz w:val="24"/>
          <w:szCs w:val="24"/>
        </w:rPr>
        <w:t xml:space="preserve"> Another added, </w:t>
      </w:r>
      <w:r w:rsidRPr="00BD36C9">
        <w:rPr>
          <w:rFonts w:ascii="Times New Roman" w:eastAsia="Times New Roman" w:hAnsi="Times New Roman" w:cs="Times New Roman"/>
          <w:i/>
          <w:iCs/>
          <w:sz w:val="24"/>
          <w:szCs w:val="24"/>
        </w:rPr>
        <w:t>“The bees need the forest to survive, so we cannot des</w:t>
      </w:r>
      <w:r w:rsidR="006D297C" w:rsidRPr="00BD36C9">
        <w:rPr>
          <w:rFonts w:ascii="Times New Roman" w:eastAsia="Times New Roman" w:hAnsi="Times New Roman" w:cs="Times New Roman"/>
          <w:i/>
          <w:iCs/>
          <w:sz w:val="24"/>
          <w:szCs w:val="24"/>
        </w:rPr>
        <w:t xml:space="preserve">troy it if we want to keep </w:t>
      </w:r>
      <w:r w:rsidR="00077AFA" w:rsidRPr="00BD36C9">
        <w:rPr>
          <w:rFonts w:ascii="Times New Roman" w:eastAsia="Times New Roman" w:hAnsi="Times New Roman" w:cs="Times New Roman"/>
          <w:i/>
          <w:iCs/>
          <w:sz w:val="24"/>
          <w:szCs w:val="24"/>
        </w:rPr>
        <w:t>them” (</w:t>
      </w:r>
      <w:r w:rsidR="006D297C" w:rsidRPr="00BD36C9">
        <w:rPr>
          <w:rFonts w:ascii="Times New Roman" w:eastAsia="Times New Roman" w:hAnsi="Times New Roman" w:cs="Times New Roman"/>
          <w:i/>
          <w:iCs/>
          <w:sz w:val="24"/>
          <w:szCs w:val="24"/>
        </w:rPr>
        <w:t>FGD).</w:t>
      </w:r>
      <w:r w:rsidR="00743F69" w:rsidRPr="00BD36C9">
        <w:rPr>
          <w:rFonts w:ascii="Times New Roman" w:eastAsia="Times New Roman" w:hAnsi="Times New Roman" w:cs="Times New Roman"/>
          <w:i/>
          <w:iCs/>
          <w:sz w:val="24"/>
          <w:szCs w:val="24"/>
        </w:rPr>
        <w:t xml:space="preserve">  </w:t>
      </w:r>
      <w:r w:rsidRPr="00BD36C9">
        <w:rPr>
          <w:rFonts w:ascii="Times New Roman" w:eastAsia="Times New Roman" w:hAnsi="Times New Roman" w:cs="Times New Roman"/>
          <w:sz w:val="24"/>
          <w:szCs w:val="24"/>
        </w:rPr>
        <w:t xml:space="preserve"> These narratives show that bee-keeping is not only an economic activity but also a conservation strategy that ties livelihoods directly to forest preservation. </w:t>
      </w:r>
    </w:p>
    <w:p w14:paraId="3190C24D" w14:textId="77777777" w:rsidR="00077AFA" w:rsidRDefault="007428D9" w:rsidP="00077AFA">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The enthusiasm around bee-keeping reflects findings from recent studies which highlight how non-timber enterprises, especially apiculture, can diversify rural income while reducing destructive forest dependence (Mensah et al., 2024; Naughton-Treves et al., 2023).</w:t>
      </w:r>
    </w:p>
    <w:p w14:paraId="6AC37E07" w14:textId="5381B1D9" w:rsidR="007428D9" w:rsidRPr="00077AFA" w:rsidRDefault="007428D9" w:rsidP="00077AFA">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Taken together, the two cases illustrate different ways in which sustainable livelihoods operate as forest governance strategies.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subsistence-based practices grounded in cultural norms provide a self-sustaining model of resource use. In Adele, newer alternatives such as bee-keeping demonstrate the potential of hybrid approaches, where traditional knowledge and modern livelihood projects are brought together to reinforce conservation. Both examples underscore the argument that sustainable livelihood strategies are effective when they are economically viable, socially meaningful, and ecologically grounded (</w:t>
      </w:r>
      <w:proofErr w:type="spellStart"/>
      <w:r w:rsidRPr="00BD36C9">
        <w:rPr>
          <w:rFonts w:ascii="Times New Roman" w:eastAsia="Times New Roman" w:hAnsi="Times New Roman" w:cs="Times New Roman"/>
          <w:sz w:val="24"/>
          <w:szCs w:val="24"/>
        </w:rPr>
        <w:t>Scoones</w:t>
      </w:r>
      <w:proofErr w:type="spellEnd"/>
      <w:r w:rsidRPr="00BD36C9">
        <w:rPr>
          <w:rFonts w:ascii="Times New Roman" w:eastAsia="Times New Roman" w:hAnsi="Times New Roman" w:cs="Times New Roman"/>
          <w:sz w:val="24"/>
          <w:szCs w:val="24"/>
        </w:rPr>
        <w:t xml:space="preserve">, 2015; </w:t>
      </w:r>
      <w:proofErr w:type="spellStart"/>
      <w:r w:rsidRPr="00BD36C9">
        <w:rPr>
          <w:rFonts w:ascii="Times New Roman" w:eastAsia="Times New Roman" w:hAnsi="Times New Roman" w:cs="Times New Roman"/>
          <w:sz w:val="24"/>
          <w:szCs w:val="24"/>
        </w:rPr>
        <w:t>Berkes</w:t>
      </w:r>
      <w:proofErr w:type="spellEnd"/>
      <w:r w:rsidRPr="00BD36C9">
        <w:rPr>
          <w:rFonts w:ascii="Times New Roman" w:eastAsia="Times New Roman" w:hAnsi="Times New Roman" w:cs="Times New Roman"/>
          <w:sz w:val="24"/>
          <w:szCs w:val="24"/>
        </w:rPr>
        <w:t>, 2018).</w:t>
      </w:r>
    </w:p>
    <w:p w14:paraId="2DAF8526" w14:textId="2F799384" w:rsidR="007428D9" w:rsidRPr="00BD36C9"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82014" w:rsidRPr="00BD36C9">
        <w:rPr>
          <w:rFonts w:ascii="Times New Roman" w:eastAsia="Times New Roman" w:hAnsi="Times New Roman" w:cs="Times New Roman"/>
          <w:b/>
          <w:bCs/>
          <w:sz w:val="24"/>
          <w:szCs w:val="24"/>
        </w:rPr>
        <w:t>Discussions</w:t>
      </w:r>
    </w:p>
    <w:p w14:paraId="4193C45E" w14:textId="0EC3D034" w:rsidR="00082014" w:rsidRPr="00BD36C9"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82014" w:rsidRPr="00BD36C9">
        <w:rPr>
          <w:rFonts w:ascii="Times New Roman" w:eastAsia="Times New Roman" w:hAnsi="Times New Roman" w:cs="Times New Roman"/>
          <w:b/>
          <w:bCs/>
          <w:sz w:val="24"/>
          <w:szCs w:val="24"/>
        </w:rPr>
        <w:t xml:space="preserve">Descriptive </w:t>
      </w:r>
      <w:r>
        <w:rPr>
          <w:rFonts w:ascii="Times New Roman" w:eastAsia="Times New Roman" w:hAnsi="Times New Roman" w:cs="Times New Roman"/>
          <w:b/>
          <w:bCs/>
          <w:sz w:val="24"/>
          <w:szCs w:val="24"/>
        </w:rPr>
        <w:t>A</w:t>
      </w:r>
      <w:r w:rsidR="00082014" w:rsidRPr="00BD36C9">
        <w:rPr>
          <w:rFonts w:ascii="Times New Roman" w:eastAsia="Times New Roman" w:hAnsi="Times New Roman" w:cs="Times New Roman"/>
          <w:b/>
          <w:bCs/>
          <w:sz w:val="24"/>
          <w:szCs w:val="24"/>
        </w:rPr>
        <w:t>nalysis</w:t>
      </w:r>
    </w:p>
    <w:p w14:paraId="5CE12183" w14:textId="77777777" w:rsidR="006E1E06" w:rsidRPr="00BD36C9" w:rsidRDefault="00082014" w:rsidP="00BD36C9">
      <w:pPr>
        <w:pStyle w:val="NormalWeb"/>
        <w:spacing w:line="360" w:lineRule="auto"/>
        <w:jc w:val="both"/>
      </w:pPr>
      <w:r w:rsidRPr="00BD36C9">
        <w:rPr>
          <w:b/>
          <w:bCs/>
        </w:rPr>
        <w:t xml:space="preserve"> </w:t>
      </w:r>
      <w:r w:rsidR="006E1E06" w:rsidRPr="00BD36C9">
        <w:t xml:space="preserve">The descriptive analysis reveals notable differences in awareness of community-based forest resource management strategies between the </w:t>
      </w:r>
      <w:proofErr w:type="spellStart"/>
      <w:r w:rsidR="006E1E06" w:rsidRPr="00BD36C9">
        <w:t>Nchumuru</w:t>
      </w:r>
      <w:proofErr w:type="spellEnd"/>
      <w:r w:rsidR="006E1E06" w:rsidRPr="00BD36C9">
        <w:t xml:space="preserve"> and Adele communities. Overall, awareness levels were relatively high in both communities, indicating that forest management is a recognized issue across the study area. However, the proportion of respondents who reported awareness was higher in the Adele communities than in the </w:t>
      </w:r>
      <w:proofErr w:type="spellStart"/>
      <w:r w:rsidR="006E1E06" w:rsidRPr="00BD36C9">
        <w:t>Nchumuru</w:t>
      </w:r>
      <w:proofErr w:type="spellEnd"/>
      <w:r w:rsidR="006E1E06" w:rsidRPr="00BD36C9">
        <w:t xml:space="preserve"> community, suggesting </w:t>
      </w:r>
      <w:r w:rsidR="006E1E06" w:rsidRPr="00BD36C9">
        <w:lastRenderedPageBreak/>
        <w:t>differences in exposure to forest-related information, sensitization efforts, or institutional engagement.</w:t>
      </w:r>
    </w:p>
    <w:p w14:paraId="43CF96DA" w14:textId="77777777" w:rsidR="006E1E06" w:rsidRPr="00BD36C9" w:rsidRDefault="006E1E06" w:rsidP="00BD36C9">
      <w:pPr>
        <w:pStyle w:val="NormalWeb"/>
        <w:spacing w:line="360" w:lineRule="auto"/>
        <w:jc w:val="both"/>
      </w:pPr>
      <w:r w:rsidRPr="00BD36C9">
        <w:t xml:space="preserve">The Chi-square analyses further demonstrate that duration of residence in the community is significantly associated with awareness of forest resource management strategies in both communities. In the </w:t>
      </w:r>
      <w:proofErr w:type="spellStart"/>
      <w:r w:rsidRPr="00BD36C9">
        <w:t>Nchumuru</w:t>
      </w:r>
      <w:proofErr w:type="spellEnd"/>
      <w:r w:rsidRPr="00BD36C9">
        <w:t xml:space="preserve"> community, the statistically significant Chi-square results indicate that respondents who had lived longer in the community were more likely to be aware of forest management rules and practices. This finding reflects the role of long-term socialization, oral transmission of knowledge, and embedded cultural norms in shaping awareness. Long-standing residents are more deeply integrated into traditional institutions and are therefore more exposed to customary regulations governing forest use.</w:t>
      </w:r>
    </w:p>
    <w:p w14:paraId="1BD156DC" w14:textId="197AD01A" w:rsidR="0068321B" w:rsidRPr="00BD36C9" w:rsidRDefault="006E1E06" w:rsidP="00BD36C9">
      <w:pPr>
        <w:pStyle w:val="NormalWeb"/>
        <w:spacing w:line="360" w:lineRule="auto"/>
        <w:jc w:val="both"/>
      </w:pPr>
      <w:r w:rsidRPr="00BD36C9">
        <w:t>Similarly, in the Adele community, the Chi-square test also shows a significant relationship between duration of residence and awareness. However, the pattern of awareness appears to be influenced not only by length of residence but also by exposure to external interventions, such as NGO programs and visits by forestry officials. This suggests that awareness in Adele is shaped by a combination of community tenure and external engagement rather than solely by traditional knowledge transmission.</w:t>
      </w:r>
    </w:p>
    <w:p w14:paraId="48FDE9B2" w14:textId="77777777" w:rsidR="007428D9" w:rsidRPr="00BD36C9" w:rsidRDefault="006E1E06" w:rsidP="00BD36C9">
      <w:pPr>
        <w:pStyle w:val="NormalWeb"/>
        <w:spacing w:line="360" w:lineRule="auto"/>
        <w:jc w:val="both"/>
      </w:pPr>
      <w:r w:rsidRPr="00BD36C9">
        <w:t xml:space="preserve">Taken together, the descriptive results indicate that while awareness is present in both communities, the pathways through which awareness is generated differ. In </w:t>
      </w:r>
      <w:proofErr w:type="spellStart"/>
      <w:r w:rsidRPr="00BD36C9">
        <w:t>Nchumuru</w:t>
      </w:r>
      <w:proofErr w:type="spellEnd"/>
      <w:r w:rsidRPr="00BD36C9">
        <w:t>, awareness is largely endogenous, rooted in long-term residence and cultural embeddedness. In Adele, awareness appears more exogenous and intervention-driven, reflecting a hybrid governance context. These differences provide an important quantitative foundation for understanding the qualitative patterns identified in the thematic analysis.</w:t>
      </w:r>
    </w:p>
    <w:p w14:paraId="27C34249" w14:textId="77777777" w:rsidR="005A54C5" w:rsidRDefault="002D0540" w:rsidP="00BD36C9">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4FFB3F35" w14:textId="14A8B8B9" w:rsidR="006E1E06" w:rsidRPr="00BD36C9" w:rsidRDefault="006E1E06" w:rsidP="00BD36C9">
      <w:pPr>
        <w:spacing w:before="100" w:beforeAutospacing="1" w:after="100" w:afterAutospacing="1" w:line="360" w:lineRule="auto"/>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 xml:space="preserve">Thematic </w:t>
      </w:r>
      <w:r w:rsidR="002D0540">
        <w:rPr>
          <w:rFonts w:ascii="Times New Roman" w:eastAsia="Times New Roman" w:hAnsi="Times New Roman" w:cs="Times New Roman"/>
          <w:b/>
          <w:bCs/>
          <w:sz w:val="24"/>
          <w:szCs w:val="24"/>
        </w:rPr>
        <w:t>A</w:t>
      </w:r>
      <w:r w:rsidRPr="00BD36C9">
        <w:rPr>
          <w:rFonts w:ascii="Times New Roman" w:eastAsia="Times New Roman" w:hAnsi="Times New Roman" w:cs="Times New Roman"/>
          <w:b/>
          <w:bCs/>
          <w:sz w:val="24"/>
          <w:szCs w:val="24"/>
        </w:rPr>
        <w:t>nalysis</w:t>
      </w:r>
    </w:p>
    <w:p w14:paraId="74B4C385" w14:textId="68D207B4" w:rsidR="006E1E06" w:rsidRPr="00BD36C9" w:rsidRDefault="002D0540" w:rsidP="00BD36C9">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E1E06" w:rsidRPr="00BD36C9">
        <w:rPr>
          <w:rFonts w:ascii="Times New Roman" w:eastAsia="Times New Roman" w:hAnsi="Times New Roman" w:cs="Times New Roman"/>
          <w:b/>
          <w:bCs/>
          <w:sz w:val="24"/>
          <w:szCs w:val="24"/>
        </w:rPr>
        <w:t xml:space="preserve">Traditional </w:t>
      </w:r>
      <w:r w:rsidR="007F3D73" w:rsidRPr="00BD36C9">
        <w:rPr>
          <w:rFonts w:ascii="Times New Roman" w:eastAsia="Times New Roman" w:hAnsi="Times New Roman" w:cs="Times New Roman"/>
          <w:b/>
          <w:bCs/>
          <w:sz w:val="24"/>
          <w:szCs w:val="24"/>
        </w:rPr>
        <w:t>knowledge and practices as forest management strategies</w:t>
      </w:r>
    </w:p>
    <w:p w14:paraId="55BDBB67"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lastRenderedPageBreak/>
        <w:t xml:space="preserve">The thematic findings demonstrate that traditional ecological knowledge (TEK) plays a central but uneven role in forest governance across the two communities.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traditional knowledge functions as a coherent and strategically applied governance system. Forest-related taboos, sacred zones, and oral transmission of ecological rules are not merely symbolic but actively regulate behavior. The strong internalization of these norms, reinforced by spiritual beliefs and social sanctions, enables traditional practices to function as effective substitutes for formal enforcement mechanisms.</w:t>
      </w:r>
    </w:p>
    <w:p w14:paraId="6ACB4272" w14:textId="61C8B5FC" w:rsidR="006E1E06" w:rsidRPr="00BD36C9" w:rsidRDefault="006E1E06" w:rsidP="00BD36C9">
      <w:pPr>
        <w:spacing w:before="100" w:beforeAutospacing="1" w:after="100" w:afterAutospacing="1" w:line="360" w:lineRule="auto"/>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This finding supports broader scholarship on embedded governance, which argues that culturally grounded institutions can deliver strong conservation outcomes when they retain legitimacy and social authority.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case aligns with arguments by </w:t>
      </w:r>
      <w:proofErr w:type="spellStart"/>
      <w:r w:rsidRPr="00BD36C9">
        <w:rPr>
          <w:rFonts w:ascii="Times New Roman" w:eastAsia="Times New Roman" w:hAnsi="Times New Roman" w:cs="Times New Roman"/>
          <w:sz w:val="24"/>
          <w:szCs w:val="24"/>
        </w:rPr>
        <w:t>Berkes</w:t>
      </w:r>
      <w:proofErr w:type="spellEnd"/>
      <w:r w:rsidRPr="00BD36C9">
        <w:rPr>
          <w:rFonts w:ascii="Times New Roman" w:eastAsia="Times New Roman" w:hAnsi="Times New Roman" w:cs="Times New Roman"/>
          <w:sz w:val="24"/>
          <w:szCs w:val="24"/>
        </w:rPr>
        <w:t xml:space="preserve"> and Ostrom that informal institutions can reduce enforcement costs, enhance compliance, and promote sustainable resource use through shared norms and belief systems</w:t>
      </w:r>
      <w:r w:rsidR="006B6860">
        <w:rPr>
          <w:rFonts w:ascii="Times New Roman" w:eastAsia="Times New Roman" w:hAnsi="Times New Roman" w:cs="Times New Roman"/>
          <w:sz w:val="24"/>
          <w:szCs w:val="24"/>
        </w:rPr>
        <w:t xml:space="preserve"> [17]</w:t>
      </w:r>
      <w:r w:rsidRPr="00BD36C9">
        <w:rPr>
          <w:rFonts w:ascii="Times New Roman" w:eastAsia="Times New Roman" w:hAnsi="Times New Roman" w:cs="Times New Roman"/>
          <w:sz w:val="24"/>
          <w:szCs w:val="24"/>
        </w:rPr>
        <w:t>.</w:t>
      </w:r>
    </w:p>
    <w:p w14:paraId="12C0FC10" w14:textId="33D76051"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In contrast, the Adele community exhibits a weakened strategic application of traditional knowledge. Although sacred groves and taboos still exist, they no longer command the same level of authority, particularly among younger community members. As a result, traditional knowledge in Adele functions more as cultural memory than as an enforceable governance mechanism. This erosion of traditional authority reflects broader processes of social change, including modernization, livelihood pressure, and shifting value systems</w:t>
      </w:r>
      <w:r w:rsidR="006B6860">
        <w:rPr>
          <w:rFonts w:ascii="Times New Roman" w:eastAsia="Times New Roman" w:hAnsi="Times New Roman" w:cs="Times New Roman"/>
          <w:sz w:val="24"/>
          <w:szCs w:val="24"/>
        </w:rPr>
        <w:t xml:space="preserve"> [18]</w:t>
      </w:r>
      <w:r w:rsidRPr="00BD36C9">
        <w:rPr>
          <w:rFonts w:ascii="Times New Roman" w:eastAsia="Times New Roman" w:hAnsi="Times New Roman" w:cs="Times New Roman"/>
          <w:sz w:val="24"/>
          <w:szCs w:val="24"/>
        </w:rPr>
        <w:t>.</w:t>
      </w:r>
    </w:p>
    <w:p w14:paraId="77188C3F" w14:textId="178E3DE7" w:rsidR="0068321B" w:rsidRPr="00077AFA" w:rsidRDefault="006E1E06" w:rsidP="00077AFA">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The divergence between the two communities highlights that traditional knowledge is not inherently effective as a conservation strategy; rather, its effectiveness depends on the degree to which it is socially embedded, respected, and enforced. Where legitimacy declines, as in Adele, traditional norms require reinforcement through complementary governance arrangements.</w:t>
      </w:r>
    </w:p>
    <w:p w14:paraId="03C94AB2" w14:textId="55D432BF" w:rsidR="006E1E06" w:rsidRPr="00BD36C9" w:rsidRDefault="002D0540"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E1E06" w:rsidRPr="00BD36C9">
        <w:rPr>
          <w:rFonts w:ascii="Times New Roman" w:eastAsia="Times New Roman" w:hAnsi="Times New Roman" w:cs="Times New Roman"/>
          <w:b/>
          <w:bCs/>
          <w:sz w:val="24"/>
          <w:szCs w:val="24"/>
        </w:rPr>
        <w:t xml:space="preserve">Sanctions and </w:t>
      </w:r>
      <w:r w:rsidR="007F3D73" w:rsidRPr="00BD36C9">
        <w:rPr>
          <w:rFonts w:ascii="Times New Roman" w:eastAsia="Times New Roman" w:hAnsi="Times New Roman" w:cs="Times New Roman"/>
          <w:b/>
          <w:bCs/>
          <w:sz w:val="24"/>
          <w:szCs w:val="24"/>
        </w:rPr>
        <w:t>enforcement as governance strategies</w:t>
      </w:r>
    </w:p>
    <w:p w14:paraId="5C43413D" w14:textId="77777777" w:rsidR="0068321B"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analysis of sanctions further underscores the contrast between the two communities.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sanctions are widely perceived as credible and effective because they combine spiritual fear with collective social enforcement. The belief that violations invite both supernatural and </w:t>
      </w:r>
    </w:p>
    <w:p w14:paraId="1B2AB24E" w14:textId="7079192E"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lastRenderedPageBreak/>
        <w:t xml:space="preserve">social consequences </w:t>
      </w:r>
      <w:r w:rsidR="00077AFA" w:rsidRPr="00BD36C9">
        <w:rPr>
          <w:rFonts w:ascii="Times New Roman" w:eastAsia="Times New Roman" w:hAnsi="Times New Roman" w:cs="Times New Roman"/>
          <w:sz w:val="24"/>
          <w:szCs w:val="24"/>
        </w:rPr>
        <w:t>create</w:t>
      </w:r>
      <w:r w:rsidRPr="00BD36C9">
        <w:rPr>
          <w:rFonts w:ascii="Times New Roman" w:eastAsia="Times New Roman" w:hAnsi="Times New Roman" w:cs="Times New Roman"/>
          <w:sz w:val="24"/>
          <w:szCs w:val="24"/>
        </w:rPr>
        <w:t xml:space="preserve"> a strong deterrent effect, resulting in high levels of compliance and low monitoring costs. This finding is consistent with Common Property Theory, which emphasizes that shared norms and graduated sanctions enhance collective action and resource sustainability</w:t>
      </w:r>
      <w:r w:rsidR="006B6860">
        <w:rPr>
          <w:rFonts w:ascii="Times New Roman" w:eastAsia="Times New Roman" w:hAnsi="Times New Roman" w:cs="Times New Roman"/>
          <w:sz w:val="24"/>
          <w:szCs w:val="24"/>
        </w:rPr>
        <w:t xml:space="preserve"> (</w:t>
      </w:r>
      <w:r w:rsidR="006B6860">
        <w:rPr>
          <w:rFonts w:ascii="Arial" w:hAnsi="Arial" w:cs="Arial"/>
          <w:color w:val="222222"/>
          <w:sz w:val="20"/>
          <w:szCs w:val="20"/>
          <w:shd w:val="clear" w:color="auto" w:fill="FFFFFF"/>
        </w:rPr>
        <w:t>Fagan &amp; Meares, 2008</w:t>
      </w:r>
      <w:r w:rsidR="006B6860">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w:t>
      </w:r>
    </w:p>
    <w:p w14:paraId="50071873" w14:textId="2342C0B8"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In Adele, however, sanctions are increasingly contested and unevenly enforced. The perception that penalties depend on social status or personal connections undermines their legitimacy and weakens their deterrent effect. The declining fear of spiritual punishment among younger generations further erodes compliance. As a result, sanctions in Adele no longer function as a reliable internal governance strategy</w:t>
      </w:r>
      <w:r w:rsidR="006B6860">
        <w:rPr>
          <w:rFonts w:ascii="Times New Roman" w:eastAsia="Times New Roman" w:hAnsi="Times New Roman" w:cs="Times New Roman"/>
          <w:sz w:val="24"/>
          <w:szCs w:val="24"/>
        </w:rPr>
        <w:t xml:space="preserve"> [18,19]</w:t>
      </w:r>
      <w:r w:rsidRPr="00BD36C9">
        <w:rPr>
          <w:rFonts w:ascii="Times New Roman" w:eastAsia="Times New Roman" w:hAnsi="Times New Roman" w:cs="Times New Roman"/>
          <w:sz w:val="24"/>
          <w:szCs w:val="24"/>
        </w:rPr>
        <w:t>.</w:t>
      </w:r>
    </w:p>
    <w:p w14:paraId="3B41E3DF"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The shift toward involving forestry officers and external actors in enforcement reflects an adaptive but reactive strategy. While hybrid enforcement may compensate for weakened traditional sanctions, it also introduces dependency on external institutions and may reduce local ownership. This contrast illustrates how enforcement effectiveness is closely tied to social trust, perceived fairness, and institutional legitimacy.</w:t>
      </w:r>
    </w:p>
    <w:p w14:paraId="69CFB1A9" w14:textId="6B82B3D4" w:rsidR="006E1E06" w:rsidRPr="00BD36C9" w:rsidRDefault="002D0540"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E1E06" w:rsidRPr="00BD36C9">
        <w:rPr>
          <w:rFonts w:ascii="Times New Roman" w:eastAsia="Times New Roman" w:hAnsi="Times New Roman" w:cs="Times New Roman"/>
          <w:b/>
          <w:bCs/>
          <w:sz w:val="24"/>
          <w:szCs w:val="24"/>
        </w:rPr>
        <w:t xml:space="preserve">Sustainable </w:t>
      </w:r>
      <w:r w:rsidR="007F3D73" w:rsidRPr="00BD36C9">
        <w:rPr>
          <w:rFonts w:ascii="Times New Roman" w:eastAsia="Times New Roman" w:hAnsi="Times New Roman" w:cs="Times New Roman"/>
          <w:b/>
          <w:bCs/>
          <w:sz w:val="24"/>
          <w:szCs w:val="24"/>
        </w:rPr>
        <w:t>livelihood alternatives as conservation strategies</w:t>
      </w:r>
    </w:p>
    <w:p w14:paraId="5FDF7D74" w14:textId="2A0B666E"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thematic findings also reveal differing livelihood-based conservation strategies between the two communities.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forest-based livelihoods are largely subsistence-oriented and regulated by cultural norms of restraint. The careful harvesting of non-timber forest products reflects a long-term perspective in which livelihood security and conservation are mutually reinforcing. This model demonstrates how culturally moderated subsistence practices can sustain both ecosystems and household well-being</w:t>
      </w:r>
      <w:r w:rsidR="006B6860">
        <w:rPr>
          <w:rFonts w:ascii="Times New Roman" w:eastAsia="Times New Roman" w:hAnsi="Times New Roman" w:cs="Times New Roman"/>
          <w:sz w:val="24"/>
          <w:szCs w:val="24"/>
        </w:rPr>
        <w:t xml:space="preserve"> [19]</w:t>
      </w:r>
      <w:r w:rsidRPr="00BD36C9">
        <w:rPr>
          <w:rFonts w:ascii="Times New Roman" w:eastAsia="Times New Roman" w:hAnsi="Times New Roman" w:cs="Times New Roman"/>
          <w:sz w:val="24"/>
          <w:szCs w:val="24"/>
        </w:rPr>
        <w:t>.</w:t>
      </w:r>
    </w:p>
    <w:p w14:paraId="1BDCBBE9" w14:textId="6AE673EC"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In Adele, conservation is increasingly linked to externally promoted livelihood innovations, particularly bee-keeping. The strong community enthusiasm for apiculture reflects its dual function as an income-generating activity and a conservation incentive. By tying livelihoods directly to forest preservation, bee-keeping creates an economic rationale for conservation that compensates for the weakening of traditional norms</w:t>
      </w:r>
      <w:r w:rsidR="006B6860">
        <w:rPr>
          <w:rFonts w:ascii="Times New Roman" w:eastAsia="Times New Roman" w:hAnsi="Times New Roman" w:cs="Times New Roman"/>
          <w:sz w:val="24"/>
          <w:szCs w:val="24"/>
        </w:rPr>
        <w:t xml:space="preserve"> (</w:t>
      </w:r>
      <w:proofErr w:type="spellStart"/>
      <w:r w:rsidR="006B6860">
        <w:rPr>
          <w:rFonts w:ascii="Arial" w:hAnsi="Arial" w:cs="Arial"/>
          <w:color w:val="222222"/>
          <w:sz w:val="20"/>
          <w:szCs w:val="20"/>
          <w:shd w:val="clear" w:color="auto" w:fill="FFFFFF"/>
        </w:rPr>
        <w:t>Hunde</w:t>
      </w:r>
      <w:proofErr w:type="spellEnd"/>
      <w:r w:rsidR="006B6860">
        <w:rPr>
          <w:rFonts w:ascii="Arial" w:hAnsi="Arial" w:cs="Arial"/>
          <w:color w:val="222222"/>
          <w:sz w:val="20"/>
          <w:szCs w:val="20"/>
          <w:shd w:val="clear" w:color="auto" w:fill="FFFFFF"/>
        </w:rPr>
        <w:t>, 2025</w:t>
      </w:r>
      <w:r w:rsidR="006B6860">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w:t>
      </w:r>
    </w:p>
    <w:p w14:paraId="01463AB1" w14:textId="324400B8" w:rsidR="00077AFA"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lastRenderedPageBreak/>
        <w:t xml:space="preserve">The comparison suggests that sustainable livelihood strategies are most effective when they align with local contexts.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cultural norms sustain moderation without external intervention. In Adele, hybrid strategies that integrate modern livelihood opportunities with conservation goals offer a viable pathway for reinforcing forest protection. These findings support the argument that livelihood-based conservation must be economically viable, socially acceptable, and institutionally supported to succeed.</w:t>
      </w:r>
    </w:p>
    <w:p w14:paraId="5A91ABAF" w14:textId="77777777" w:rsidR="00071D94" w:rsidRDefault="002D0540" w:rsidP="00071D94">
      <w:pPr>
        <w:pStyle w:val="NormalWeb"/>
        <w:rPr>
          <w:b/>
          <w:bCs/>
        </w:rPr>
      </w:pPr>
      <w:r>
        <w:rPr>
          <w:b/>
          <w:bCs/>
        </w:rPr>
        <w:t xml:space="preserve"> </w:t>
      </w:r>
      <w:r w:rsidR="009119CA" w:rsidRPr="00BD36C9">
        <w:rPr>
          <w:b/>
          <w:bCs/>
        </w:rPr>
        <w:t>Limitations of the Study</w:t>
      </w:r>
      <w:r w:rsidR="00E95530" w:rsidRPr="00BD36C9">
        <w:rPr>
          <w:b/>
          <w:bCs/>
        </w:rPr>
        <w:t xml:space="preserve"> </w:t>
      </w:r>
    </w:p>
    <w:p w14:paraId="5B975D1B" w14:textId="0D2EE19B" w:rsidR="00071D94" w:rsidRDefault="00071D94" w:rsidP="00071D94">
      <w:pPr>
        <w:pStyle w:val="NormalWeb"/>
        <w:jc w:val="both"/>
      </w:pPr>
      <w:r>
        <w:t>Despite its contributions, this study is subject to several limitations that may influence the interpretation of its findings. First, the study relied partly on self-reported data obtained through household surveys, interviews, and focus group discussions. Such data are susceptible to recall bias, social desirability bias, and potential underreporting of sensitive issues, particularly those related to rule violations and enforcement practices. As a result, some responses may present a more favorable picture of community compliance and governance effectiveness than is the case in practice, which could affect the accuracy of the conclusions. Although triangulation was employed to improve data reliability, these biases cannot be entirely eliminated.</w:t>
      </w:r>
    </w:p>
    <w:p w14:paraId="58DBB11E" w14:textId="77777777" w:rsidR="00071D94" w:rsidRDefault="00071D94" w:rsidP="00071D94">
      <w:pPr>
        <w:pStyle w:val="NormalWeb"/>
        <w:jc w:val="both"/>
      </w:pPr>
      <w:r>
        <w:t>Second, the cross-sectional design limits the study’s capacity to capture temporal dynamics in community-based forest management. Forest governance systems evolve over time in response to institutional reforms, socio-economic changes, and external interventions. The absence of longitudinal data therefore constrains the ability to establish causal relationships or assess long-term sustainability of the observed management strategies.</w:t>
      </w:r>
    </w:p>
    <w:p w14:paraId="065D889F" w14:textId="189E70C7" w:rsidR="009119CA" w:rsidRPr="005A54C5" w:rsidRDefault="00071D94" w:rsidP="005A54C5">
      <w:pPr>
        <w:pStyle w:val="NormalWeb"/>
        <w:jc w:val="both"/>
      </w:pPr>
      <w:r>
        <w:t>Finally, the study did not incorporate direct ecological measurements of forest condition, relying instead on community perceptions and reported practices as proxies for environmental outcomes. While these insights are valuable, they may not fully reflect actual changes in forest cover, biodiversity, or ecosystem health. This limitation restricts the extent to which the study can conclusively link governance practices to ecological outcomes.</w:t>
      </w:r>
    </w:p>
    <w:p w14:paraId="7605E864" w14:textId="77777777" w:rsidR="005A54C5" w:rsidRDefault="00E95530" w:rsidP="005A54C5">
      <w:pPr>
        <w:spacing w:before="100" w:beforeAutospacing="1" w:after="100" w:afterAutospacing="1" w:line="360" w:lineRule="auto"/>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Conclusion</w:t>
      </w:r>
    </w:p>
    <w:p w14:paraId="73E6DAD4" w14:textId="24BCB203" w:rsidR="0068321B" w:rsidRPr="005A54C5" w:rsidRDefault="00E95530" w:rsidP="005A54C5">
      <w:pPr>
        <w:spacing w:before="100" w:beforeAutospacing="1" w:after="100" w:afterAutospacing="1" w:line="360" w:lineRule="auto"/>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sz w:val="24"/>
          <w:szCs w:val="24"/>
        </w:rPr>
        <w:t xml:space="preserve">This study set out to compare community-based forest resource management strategies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of Ghana’s </w:t>
      </w:r>
      <w:proofErr w:type="spellStart"/>
      <w:r w:rsidRPr="00BD36C9">
        <w:rPr>
          <w:rFonts w:ascii="Times New Roman" w:eastAsia="Times New Roman" w:hAnsi="Times New Roman" w:cs="Times New Roman"/>
          <w:sz w:val="24"/>
          <w:szCs w:val="24"/>
        </w:rPr>
        <w:t>Oti</w:t>
      </w:r>
      <w:proofErr w:type="spellEnd"/>
      <w:r w:rsidRPr="00BD36C9">
        <w:rPr>
          <w:rFonts w:ascii="Times New Roman" w:eastAsia="Times New Roman" w:hAnsi="Times New Roman" w:cs="Times New Roman"/>
          <w:sz w:val="24"/>
          <w:szCs w:val="24"/>
        </w:rPr>
        <w:t xml:space="preserve"> Region. Drawing on Common Property Theory and Comparative Institutionalism, the study examined how differences in traditional knowledge systems, sanctions, enforcement mechanisms, and livelihood strategies influence forest governance outcomes under similar ecological and policy conditions.</w:t>
      </w:r>
    </w:p>
    <w:p w14:paraId="7A65F9FD" w14:textId="77777777" w:rsidR="00E95530" w:rsidRPr="00BD36C9" w:rsidRDefault="00E95530"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findings demonstrate that while both communities exhibit awareness of forest management practices, the effectiveness of their strategies varies considerably.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w:t>
      </w:r>
      <w:r w:rsidRPr="00BD36C9">
        <w:rPr>
          <w:rFonts w:ascii="Times New Roman" w:eastAsia="Times New Roman" w:hAnsi="Times New Roman" w:cs="Times New Roman"/>
          <w:sz w:val="24"/>
          <w:szCs w:val="24"/>
        </w:rPr>
        <w:lastRenderedPageBreak/>
        <w:t xml:space="preserve">forest management is anchored in strong traditional institutions, culturally embedded norms, and credible sanctions that promote high levels of compliance. Traditional ecological knowledge functions as an effective governance mechanism, reducing enforcement costs and fostering sustainable resource use. Livelihood activities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further reinforce conservation through culturally regulated subsistence practices.</w:t>
      </w:r>
    </w:p>
    <w:p w14:paraId="3534634F" w14:textId="025F8ADA" w:rsidR="00E95530" w:rsidRPr="00BD36C9" w:rsidRDefault="00E95530"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contrast, the Adele community illustrates a more hybrid governance system characterized by weakened traditional authority and reliance on external </w:t>
      </w:r>
      <w:proofErr w:type="spellStart"/>
      <w:r w:rsidRPr="00BD36C9">
        <w:rPr>
          <w:rFonts w:ascii="Times New Roman" w:eastAsia="Times New Roman" w:hAnsi="Times New Roman" w:cs="Times New Roman"/>
          <w:sz w:val="24"/>
          <w:szCs w:val="24"/>
        </w:rPr>
        <w:t>act</w:t>
      </w:r>
      <w:r w:rsidR="00077AFA">
        <w:rPr>
          <w:rFonts w:ascii="Times New Roman" w:eastAsia="Times New Roman" w:hAnsi="Times New Roman" w:cs="Times New Roman"/>
          <w:sz w:val="24"/>
          <w:szCs w:val="24"/>
        </w:rPr>
        <w:t>e</w:t>
      </w:r>
      <w:r w:rsidRPr="00BD36C9">
        <w:rPr>
          <w:rFonts w:ascii="Times New Roman" w:eastAsia="Times New Roman" w:hAnsi="Times New Roman" w:cs="Times New Roman"/>
          <w:sz w:val="24"/>
          <w:szCs w:val="24"/>
        </w:rPr>
        <w:t>rs</w:t>
      </w:r>
      <w:proofErr w:type="spellEnd"/>
      <w:r w:rsidRPr="00BD36C9">
        <w:rPr>
          <w:rFonts w:ascii="Times New Roman" w:eastAsia="Times New Roman" w:hAnsi="Times New Roman" w:cs="Times New Roman"/>
          <w:sz w:val="24"/>
          <w:szCs w:val="24"/>
        </w:rPr>
        <w:t xml:space="preserve"> such as NGOs and forestry officials. Although innovative livelihood strategies, particularly bee-keeping, show promise in linking conservation with income generation, the erosion of traditional sanctions limits the effectiveness of internal governance mechanisms. As a result, forest management in Adele depends more heavily on external enforcement and project-based interventions.</w:t>
      </w:r>
    </w:p>
    <w:p w14:paraId="6746BD2A" w14:textId="2A97E551" w:rsidR="003F7DAE" w:rsidRDefault="00E95530" w:rsidP="005A54C5">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Overall, the study concludes that community-based forest resource management is not a uniform model but a context-dependent process. Sustainable outcomes are most likely where local institutions are legitimate, enforcement mechanisms are credible, and livelihood strategies align with conservation objectives. Policy efforts should therefore prioritize strengthening locally embedded institutions while supporting context-appropriate livelihood innovations rather than applying standardized CBFRM models across diverse communities.</w:t>
      </w:r>
    </w:p>
    <w:p w14:paraId="204524AD" w14:textId="179CC8EE" w:rsidR="003A308A" w:rsidRDefault="003A308A" w:rsidP="005A54C5">
      <w:pPr>
        <w:spacing w:before="100" w:beforeAutospacing="1" w:after="100" w:afterAutospacing="1" w:line="360" w:lineRule="auto"/>
        <w:jc w:val="both"/>
        <w:rPr>
          <w:rFonts w:ascii="Times New Roman" w:eastAsia="Times New Roman" w:hAnsi="Times New Roman" w:cs="Times New Roman"/>
          <w:sz w:val="24"/>
          <w:szCs w:val="24"/>
        </w:rPr>
      </w:pPr>
    </w:p>
    <w:p w14:paraId="62F69501" w14:textId="77777777" w:rsidR="003A308A" w:rsidRPr="003A308A" w:rsidRDefault="003A308A" w:rsidP="003A308A">
      <w:pPr>
        <w:spacing w:before="100" w:beforeAutospacing="1" w:after="100" w:afterAutospacing="1" w:line="360" w:lineRule="auto"/>
        <w:jc w:val="both"/>
        <w:rPr>
          <w:rFonts w:ascii="Times New Roman" w:eastAsia="Times New Roman" w:hAnsi="Times New Roman" w:cs="Times New Roman"/>
          <w:b/>
          <w:sz w:val="24"/>
          <w:szCs w:val="24"/>
        </w:rPr>
      </w:pPr>
      <w:r w:rsidRPr="003A308A">
        <w:rPr>
          <w:rFonts w:ascii="Times New Roman" w:eastAsia="Times New Roman" w:hAnsi="Times New Roman" w:cs="Times New Roman"/>
          <w:b/>
          <w:sz w:val="24"/>
          <w:szCs w:val="24"/>
        </w:rPr>
        <w:t xml:space="preserve">Consent </w:t>
      </w:r>
    </w:p>
    <w:p w14:paraId="74D52242" w14:textId="28BF44A5" w:rsidR="003A308A" w:rsidRPr="005A54C5" w:rsidRDefault="003A308A" w:rsidP="003A308A">
      <w:pPr>
        <w:spacing w:before="100" w:beforeAutospacing="1" w:after="100" w:afterAutospacing="1" w:line="360" w:lineRule="auto"/>
        <w:jc w:val="both"/>
        <w:rPr>
          <w:rFonts w:ascii="Times New Roman" w:eastAsia="Times New Roman" w:hAnsi="Times New Roman" w:cs="Times New Roman"/>
          <w:sz w:val="24"/>
          <w:szCs w:val="24"/>
        </w:rPr>
      </w:pPr>
      <w:r w:rsidRPr="003A308A">
        <w:rPr>
          <w:rFonts w:ascii="Times New Roman" w:eastAsia="Times New Roman" w:hAnsi="Times New Roman" w:cs="Times New Roman"/>
          <w:sz w:val="24"/>
          <w:szCs w:val="24"/>
        </w:rPr>
        <w:t>As per international standards or university standards, Participants’ written consent has been collected and preserved by the author(s).</w:t>
      </w:r>
    </w:p>
    <w:p w14:paraId="0580EE9D" w14:textId="3D28F4DE" w:rsidR="00BB7C50" w:rsidRDefault="00BB7C50" w:rsidP="00184C2F">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Acknowledgement</w:t>
      </w:r>
    </w:p>
    <w:p w14:paraId="083280E6" w14:textId="77777777" w:rsidR="00BB7C50" w:rsidRDefault="00BB7C50" w:rsidP="00BB7C50">
      <w:pPr>
        <w:pStyle w:val="isselectedend"/>
        <w:jc w:val="both"/>
      </w:pPr>
      <w:r>
        <w:t>I would like to express my sincere gratitude to Almighty God for His guidance, strength, and protection throughout the course of this study. My heartfelt appreciation goes to my supervisor, Prof. Isaac Agyemang, for his invaluable guidance, constructive criticisms, and encouragement, which greatly contributed to the successful completion of this research.</w:t>
      </w:r>
    </w:p>
    <w:p w14:paraId="1487B85F" w14:textId="77777777" w:rsidR="00BB7C50" w:rsidRDefault="00BB7C50" w:rsidP="00BB7C50">
      <w:pPr>
        <w:pStyle w:val="NormalWeb"/>
        <w:jc w:val="both"/>
      </w:pPr>
      <w:r>
        <w:lastRenderedPageBreak/>
        <w:t xml:space="preserve">I am also deeply grateful to Prof. Yahaya </w:t>
      </w:r>
      <w:proofErr w:type="spellStart"/>
      <w:r>
        <w:t>Kadil</w:t>
      </w:r>
      <w:proofErr w:type="spellEnd"/>
      <w:r>
        <w:t>, the Head of Department (HOD), for his support, leadership, and encouragement throughout my academic journey in the Department of Environment and Resource Studies, University of Business and Integrated Development Studies (UBIDS).</w:t>
      </w:r>
    </w:p>
    <w:p w14:paraId="69D0FA8A" w14:textId="77777777"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55EDA1A9" w14:textId="77777777"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51B3631C" w14:textId="77777777" w:rsidR="00BB7C50" w:rsidRDefault="00BB7C50" w:rsidP="00BB7C50">
      <w:pPr>
        <w:pStyle w:val="isselectedend"/>
      </w:pPr>
      <w:r>
        <w:rPr>
          <w:rStyle w:val="Strong"/>
        </w:rPr>
        <w:t>Authors’ Contributions</w:t>
      </w:r>
    </w:p>
    <w:p w14:paraId="69EE1391" w14:textId="630C3EF8" w:rsidR="00BB7C50" w:rsidRDefault="00BB7C50" w:rsidP="00BB7C50">
      <w:pPr>
        <w:pStyle w:val="NormalWeb"/>
        <w:jc w:val="both"/>
      </w:pPr>
      <w:r>
        <w:t xml:space="preserve">Author A, Kwasi </w:t>
      </w:r>
      <w:proofErr w:type="spellStart"/>
      <w:r>
        <w:t>Lapah</w:t>
      </w:r>
      <w:proofErr w:type="spellEnd"/>
      <w:r>
        <w:t xml:space="preserve"> </w:t>
      </w:r>
      <w:proofErr w:type="spellStart"/>
      <w:r>
        <w:t>Makpobi</w:t>
      </w:r>
      <w:proofErr w:type="spellEnd"/>
      <w:r>
        <w:t>, designed the study, collected the data, performed the statistical analysis, conducted the literature review, and wrote the first draft of the manuscript.</w:t>
      </w:r>
      <w:r w:rsidR="002358B8" w:rsidRPr="002358B8">
        <w:t xml:space="preserve"> </w:t>
      </w:r>
      <w:r w:rsidR="002358B8">
        <w:t>Author B</w:t>
      </w:r>
      <w:r>
        <w:t xml:space="preserve">, Francis </w:t>
      </w:r>
      <w:proofErr w:type="spellStart"/>
      <w:r>
        <w:t>Saakuu</w:t>
      </w:r>
      <w:proofErr w:type="spellEnd"/>
      <w:r>
        <w:t>, reviewed and revised the manuscript critically for</w:t>
      </w:r>
      <w:r w:rsidR="002358B8">
        <w:t xml:space="preserve"> important intellectual content.</w:t>
      </w:r>
      <w:r w:rsidR="002358B8" w:rsidRPr="002358B8">
        <w:t xml:space="preserve"> </w:t>
      </w:r>
      <w:r w:rsidR="000B3C8E">
        <w:t>Author C</w:t>
      </w:r>
      <w:r w:rsidR="002358B8">
        <w:t xml:space="preserve">, Isaac Agyemang supervised the research, provided academic guidance, reviewed and revised the manuscript critically for important intellectual content, and ensured the overall quality of the </w:t>
      </w:r>
      <w:proofErr w:type="gramStart"/>
      <w:r w:rsidR="002358B8">
        <w:t>work</w:t>
      </w:r>
      <w:r>
        <w:t xml:space="preserve"> </w:t>
      </w:r>
      <w:r w:rsidR="000B3C8E">
        <w:t>.</w:t>
      </w:r>
      <w:proofErr w:type="gramEnd"/>
    </w:p>
    <w:p w14:paraId="34577EFF" w14:textId="77777777"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3FAD8711" w14:textId="77777777"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0E37B22E" w14:textId="77777777"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702BFA01" w14:textId="77777777"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6F428B7A" w14:textId="4B20B786"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412D6F83" w14:textId="071BDAA5" w:rsidR="008F3328" w:rsidRDefault="008F3328" w:rsidP="00184C2F">
      <w:pPr>
        <w:spacing w:after="0" w:line="360" w:lineRule="auto"/>
        <w:jc w:val="both"/>
        <w:outlineLvl w:val="1"/>
        <w:rPr>
          <w:rFonts w:ascii="Times New Roman" w:eastAsia="Times New Roman" w:hAnsi="Times New Roman" w:cs="Times New Roman"/>
          <w:b/>
          <w:bCs/>
          <w:sz w:val="24"/>
          <w:szCs w:val="24"/>
        </w:rPr>
      </w:pPr>
    </w:p>
    <w:p w14:paraId="529FAE8D" w14:textId="52F8436B" w:rsidR="008F3328" w:rsidRDefault="008F3328" w:rsidP="00184C2F">
      <w:pPr>
        <w:spacing w:after="0" w:line="360" w:lineRule="auto"/>
        <w:jc w:val="both"/>
        <w:outlineLvl w:val="1"/>
        <w:rPr>
          <w:rFonts w:ascii="Times New Roman" w:eastAsia="Times New Roman" w:hAnsi="Times New Roman" w:cs="Times New Roman"/>
          <w:b/>
          <w:bCs/>
          <w:sz w:val="24"/>
          <w:szCs w:val="24"/>
        </w:rPr>
      </w:pPr>
    </w:p>
    <w:p w14:paraId="193F44CD" w14:textId="2B3F39A7" w:rsidR="008F3328" w:rsidRDefault="008F3328" w:rsidP="00184C2F">
      <w:pPr>
        <w:spacing w:after="0" w:line="360" w:lineRule="auto"/>
        <w:jc w:val="both"/>
        <w:outlineLvl w:val="1"/>
        <w:rPr>
          <w:rFonts w:ascii="Times New Roman" w:eastAsia="Times New Roman" w:hAnsi="Times New Roman" w:cs="Times New Roman"/>
          <w:b/>
          <w:bCs/>
          <w:sz w:val="24"/>
          <w:szCs w:val="24"/>
        </w:rPr>
      </w:pPr>
    </w:p>
    <w:p w14:paraId="33937297" w14:textId="3A9FEA2A" w:rsidR="008F3328" w:rsidRDefault="008F3328" w:rsidP="00184C2F">
      <w:pPr>
        <w:spacing w:after="0" w:line="360" w:lineRule="auto"/>
        <w:jc w:val="both"/>
        <w:outlineLvl w:val="1"/>
        <w:rPr>
          <w:rFonts w:ascii="Times New Roman" w:eastAsia="Times New Roman" w:hAnsi="Times New Roman" w:cs="Times New Roman"/>
          <w:b/>
          <w:bCs/>
          <w:sz w:val="24"/>
          <w:szCs w:val="24"/>
        </w:rPr>
      </w:pPr>
    </w:p>
    <w:p w14:paraId="48D02B16" w14:textId="7618B8A6" w:rsidR="00BB7C50" w:rsidRDefault="00BB7C50" w:rsidP="00184C2F">
      <w:pPr>
        <w:spacing w:after="0" w:line="360" w:lineRule="auto"/>
        <w:jc w:val="both"/>
        <w:outlineLvl w:val="1"/>
        <w:rPr>
          <w:rFonts w:ascii="Times New Roman" w:eastAsia="Times New Roman" w:hAnsi="Times New Roman" w:cs="Times New Roman"/>
          <w:b/>
          <w:bCs/>
          <w:sz w:val="24"/>
          <w:szCs w:val="24"/>
        </w:rPr>
      </w:pPr>
    </w:p>
    <w:p w14:paraId="2E840B09" w14:textId="4F7C0059" w:rsidR="008664E5" w:rsidRPr="008664E5" w:rsidRDefault="008664E5" w:rsidP="008664E5">
      <w:pPr>
        <w:spacing w:before="100" w:beforeAutospacing="1" w:after="100" w:afterAutospacing="1" w:line="240" w:lineRule="auto"/>
        <w:rPr>
          <w:rFonts w:ascii="Times New Roman" w:eastAsia="Times New Roman" w:hAnsi="Times New Roman" w:cs="Times New Roman"/>
          <w:sz w:val="24"/>
          <w:szCs w:val="24"/>
        </w:rPr>
      </w:pPr>
      <w:r w:rsidRPr="008664E5">
        <w:rPr>
          <w:rFonts w:ascii="Times New Roman" w:eastAsia="Times New Roman" w:hAnsi="Times New Roman" w:cs="Times New Roman"/>
          <w:sz w:val="24"/>
          <w:szCs w:val="24"/>
        </w:rPr>
        <w:t>.</w:t>
      </w:r>
    </w:p>
    <w:p w14:paraId="7C31F6D7" w14:textId="23D77F4F" w:rsidR="00764F56" w:rsidRDefault="00764F56" w:rsidP="00BD36C9">
      <w:pPr>
        <w:spacing w:line="360" w:lineRule="auto"/>
        <w:rPr>
          <w:rFonts w:ascii="Times New Roman" w:hAnsi="Times New Roman" w:cs="Times New Roman"/>
          <w:b/>
          <w:sz w:val="24"/>
          <w:szCs w:val="24"/>
        </w:rPr>
      </w:pPr>
    </w:p>
    <w:p w14:paraId="1D3BAE14" w14:textId="1591E778" w:rsidR="00764F56" w:rsidRDefault="00764F56" w:rsidP="00BD36C9">
      <w:pPr>
        <w:spacing w:line="360" w:lineRule="auto"/>
        <w:rPr>
          <w:rFonts w:ascii="Times New Roman" w:hAnsi="Times New Roman" w:cs="Times New Roman"/>
          <w:b/>
          <w:sz w:val="24"/>
          <w:szCs w:val="24"/>
        </w:rPr>
      </w:pPr>
    </w:p>
    <w:p w14:paraId="1969B4E6" w14:textId="074D87EB" w:rsidR="00764F56" w:rsidRDefault="00764F56" w:rsidP="00BD36C9">
      <w:pPr>
        <w:spacing w:line="360" w:lineRule="auto"/>
        <w:rPr>
          <w:rFonts w:ascii="Times New Roman" w:hAnsi="Times New Roman" w:cs="Times New Roman"/>
          <w:b/>
          <w:sz w:val="24"/>
          <w:szCs w:val="24"/>
        </w:rPr>
      </w:pPr>
    </w:p>
    <w:p w14:paraId="4463E3DD" w14:textId="4729768B" w:rsidR="00764F56" w:rsidRDefault="00764F56" w:rsidP="00BD36C9">
      <w:pPr>
        <w:spacing w:line="360" w:lineRule="auto"/>
        <w:rPr>
          <w:rFonts w:ascii="Times New Roman" w:hAnsi="Times New Roman" w:cs="Times New Roman"/>
          <w:b/>
          <w:sz w:val="24"/>
          <w:szCs w:val="24"/>
        </w:rPr>
      </w:pPr>
    </w:p>
    <w:p w14:paraId="1CB5837F" w14:textId="7A82602C" w:rsidR="00764F56" w:rsidRDefault="00764F56" w:rsidP="00BD36C9">
      <w:pPr>
        <w:spacing w:line="360" w:lineRule="auto"/>
        <w:rPr>
          <w:rFonts w:ascii="Times New Roman" w:hAnsi="Times New Roman" w:cs="Times New Roman"/>
          <w:b/>
          <w:sz w:val="24"/>
          <w:szCs w:val="24"/>
        </w:rPr>
      </w:pPr>
    </w:p>
    <w:p w14:paraId="76B06B4C" w14:textId="20F1251F" w:rsidR="00764F56" w:rsidRDefault="00AF12FD" w:rsidP="00BD36C9">
      <w:pPr>
        <w:spacing w:line="360" w:lineRule="auto"/>
        <w:rPr>
          <w:rFonts w:ascii="Times New Roman" w:hAnsi="Times New Roman" w:cs="Times New Roman"/>
          <w:b/>
          <w:sz w:val="24"/>
          <w:szCs w:val="24"/>
        </w:rPr>
      </w:pPr>
      <w:r w:rsidRPr="00AF12FD">
        <w:rPr>
          <w:rFonts w:ascii="Times New Roman" w:hAnsi="Times New Roman" w:cs="Times New Roman"/>
          <w:b/>
          <w:sz w:val="24"/>
          <w:szCs w:val="24"/>
        </w:rPr>
        <w:lastRenderedPageBreak/>
        <w:t>References</w:t>
      </w:r>
    </w:p>
    <w:p w14:paraId="53A21550" w14:textId="0C187B6D" w:rsidR="00764F56" w:rsidRDefault="00764F56" w:rsidP="00BD36C9">
      <w:pPr>
        <w:spacing w:line="360" w:lineRule="auto"/>
        <w:rPr>
          <w:rFonts w:ascii="Times New Roman" w:hAnsi="Times New Roman" w:cs="Times New Roman"/>
          <w:b/>
          <w:sz w:val="24"/>
          <w:szCs w:val="24"/>
        </w:rPr>
      </w:pPr>
    </w:p>
    <w:p w14:paraId="009170E1"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Acharya, K. P. (2006). Improving the effectiveness of collective action: Sharing experiences from community forestry in Nepal. </w:t>
      </w:r>
      <w:proofErr w:type="spellStart"/>
      <w:r w:rsidRPr="00AF12FD">
        <w:rPr>
          <w:rFonts w:ascii="Times New Roman" w:eastAsia="Times New Roman" w:hAnsi="Times New Roman" w:cs="Times New Roman"/>
          <w:i/>
          <w:iCs/>
          <w:sz w:val="24"/>
          <w:szCs w:val="24"/>
        </w:rPr>
        <w:t>CAPRi</w:t>
      </w:r>
      <w:proofErr w:type="spellEnd"/>
      <w:r w:rsidRPr="00AF12FD">
        <w:rPr>
          <w:rFonts w:ascii="Times New Roman" w:eastAsia="Times New Roman" w:hAnsi="Times New Roman" w:cs="Times New Roman"/>
          <w:i/>
          <w:iCs/>
          <w:sz w:val="24"/>
          <w:szCs w:val="24"/>
        </w:rPr>
        <w:t xml:space="preserve"> Working Paper No. 54</w:t>
      </w:r>
      <w:r w:rsidRPr="00AF12FD">
        <w:rPr>
          <w:rFonts w:ascii="Times New Roman" w:eastAsia="Times New Roman" w:hAnsi="Times New Roman" w:cs="Times New Roman"/>
          <w:sz w:val="24"/>
          <w:szCs w:val="24"/>
        </w:rPr>
        <w:t>.</w:t>
      </w:r>
    </w:p>
    <w:p w14:paraId="66A41152"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Agrawal, A., &amp; Gibson, C. C. (1999). Enchantment and disenchantment: The role of community in natural resource conservation. </w:t>
      </w:r>
      <w:r w:rsidRPr="00AF12FD">
        <w:rPr>
          <w:rFonts w:ascii="Times New Roman" w:eastAsia="Times New Roman" w:hAnsi="Times New Roman" w:cs="Times New Roman"/>
          <w:i/>
          <w:iCs/>
          <w:sz w:val="24"/>
          <w:szCs w:val="24"/>
        </w:rPr>
        <w:t>World Development, 27</w:t>
      </w:r>
      <w:r w:rsidRPr="00AF12FD">
        <w:rPr>
          <w:rFonts w:ascii="Times New Roman" w:eastAsia="Times New Roman" w:hAnsi="Times New Roman" w:cs="Times New Roman"/>
          <w:sz w:val="24"/>
          <w:szCs w:val="24"/>
        </w:rPr>
        <w:t xml:space="preserve">(4), 629–649. </w:t>
      </w:r>
      <w:hyperlink r:id="rId9" w:tgtFrame="_new" w:history="1">
        <w:r w:rsidRPr="00AF12FD">
          <w:rPr>
            <w:rFonts w:ascii="Times New Roman" w:eastAsia="Times New Roman" w:hAnsi="Times New Roman" w:cs="Times New Roman"/>
            <w:color w:val="0000FF"/>
            <w:sz w:val="24"/>
            <w:szCs w:val="24"/>
            <w:u w:val="single"/>
          </w:rPr>
          <w:t>https://doi.org/10.1016/S0305-750X(98)00161-2</w:t>
        </w:r>
      </w:hyperlink>
    </w:p>
    <w:p w14:paraId="3F396FBA"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F12FD">
        <w:rPr>
          <w:rFonts w:ascii="Times New Roman" w:eastAsia="Times New Roman" w:hAnsi="Times New Roman" w:cs="Times New Roman"/>
          <w:sz w:val="24"/>
          <w:szCs w:val="24"/>
        </w:rPr>
        <w:t>Ampadu</w:t>
      </w:r>
      <w:proofErr w:type="spellEnd"/>
      <w:r w:rsidRPr="00AF12FD">
        <w:rPr>
          <w:rFonts w:ascii="Times New Roman" w:eastAsia="Times New Roman" w:hAnsi="Times New Roman" w:cs="Times New Roman"/>
          <w:sz w:val="24"/>
          <w:szCs w:val="24"/>
        </w:rPr>
        <w:t xml:space="preserve">, P. B., &amp; Yang, J. (2024). Forestry management practices and livelihoods in Ghana. </w:t>
      </w:r>
      <w:r w:rsidRPr="00AF12FD">
        <w:rPr>
          <w:rFonts w:ascii="Times New Roman" w:eastAsia="Times New Roman" w:hAnsi="Times New Roman" w:cs="Times New Roman"/>
          <w:i/>
          <w:iCs/>
          <w:sz w:val="24"/>
          <w:szCs w:val="24"/>
        </w:rPr>
        <w:t>Frontiers in Forests and Global Change</w:t>
      </w:r>
      <w:r w:rsidRPr="00AF12FD">
        <w:rPr>
          <w:rFonts w:ascii="Times New Roman" w:eastAsia="Times New Roman" w:hAnsi="Times New Roman" w:cs="Times New Roman"/>
          <w:sz w:val="24"/>
          <w:szCs w:val="24"/>
        </w:rPr>
        <w:t>.</w:t>
      </w:r>
    </w:p>
    <w:p w14:paraId="197FF7F5"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Asante, E. A., </w:t>
      </w:r>
      <w:proofErr w:type="spellStart"/>
      <w:r w:rsidRPr="00AF12FD">
        <w:rPr>
          <w:rFonts w:ascii="Times New Roman" w:eastAsia="Times New Roman" w:hAnsi="Times New Roman" w:cs="Times New Roman"/>
          <w:sz w:val="24"/>
          <w:szCs w:val="24"/>
        </w:rPr>
        <w:t>Ababio</w:t>
      </w:r>
      <w:proofErr w:type="spellEnd"/>
      <w:r w:rsidRPr="00AF12FD">
        <w:rPr>
          <w:rFonts w:ascii="Times New Roman" w:eastAsia="Times New Roman" w:hAnsi="Times New Roman" w:cs="Times New Roman"/>
          <w:sz w:val="24"/>
          <w:szCs w:val="24"/>
        </w:rPr>
        <w:t xml:space="preserve">, S., &amp; </w:t>
      </w:r>
      <w:proofErr w:type="spellStart"/>
      <w:r w:rsidRPr="00AF12FD">
        <w:rPr>
          <w:rFonts w:ascii="Times New Roman" w:eastAsia="Times New Roman" w:hAnsi="Times New Roman" w:cs="Times New Roman"/>
          <w:sz w:val="24"/>
          <w:szCs w:val="24"/>
        </w:rPr>
        <w:t>Boadu</w:t>
      </w:r>
      <w:proofErr w:type="spellEnd"/>
      <w:r w:rsidRPr="00AF12FD">
        <w:rPr>
          <w:rFonts w:ascii="Times New Roman" w:eastAsia="Times New Roman" w:hAnsi="Times New Roman" w:cs="Times New Roman"/>
          <w:sz w:val="24"/>
          <w:szCs w:val="24"/>
        </w:rPr>
        <w:t xml:space="preserve">, K. B. (2017). The use of indigenous cultural practices by the </w:t>
      </w:r>
      <w:proofErr w:type="spellStart"/>
      <w:r w:rsidRPr="00AF12FD">
        <w:rPr>
          <w:rFonts w:ascii="Times New Roman" w:eastAsia="Times New Roman" w:hAnsi="Times New Roman" w:cs="Times New Roman"/>
          <w:sz w:val="24"/>
          <w:szCs w:val="24"/>
        </w:rPr>
        <w:t>Ashantis</w:t>
      </w:r>
      <w:proofErr w:type="spellEnd"/>
      <w:r w:rsidRPr="00AF12FD">
        <w:rPr>
          <w:rFonts w:ascii="Times New Roman" w:eastAsia="Times New Roman" w:hAnsi="Times New Roman" w:cs="Times New Roman"/>
          <w:sz w:val="24"/>
          <w:szCs w:val="24"/>
        </w:rPr>
        <w:t xml:space="preserve"> for the conservation of forests in Ghana. </w:t>
      </w:r>
      <w:r w:rsidRPr="00AF12FD">
        <w:rPr>
          <w:rFonts w:ascii="Times New Roman" w:eastAsia="Times New Roman" w:hAnsi="Times New Roman" w:cs="Times New Roman"/>
          <w:i/>
          <w:iCs/>
          <w:sz w:val="24"/>
          <w:szCs w:val="24"/>
        </w:rPr>
        <w:t>SAGE Open</w:t>
      </w:r>
      <w:r w:rsidRPr="00AF12FD">
        <w:rPr>
          <w:rFonts w:ascii="Times New Roman" w:eastAsia="Times New Roman" w:hAnsi="Times New Roman" w:cs="Times New Roman"/>
          <w:sz w:val="24"/>
          <w:szCs w:val="24"/>
        </w:rPr>
        <w:t xml:space="preserve">. </w:t>
      </w:r>
      <w:hyperlink r:id="rId10" w:tgtFrame="_new" w:history="1">
        <w:r w:rsidRPr="00AF12FD">
          <w:rPr>
            <w:rFonts w:ascii="Times New Roman" w:eastAsia="Times New Roman" w:hAnsi="Times New Roman" w:cs="Times New Roman"/>
            <w:color w:val="0000FF"/>
            <w:sz w:val="24"/>
            <w:szCs w:val="24"/>
            <w:u w:val="single"/>
          </w:rPr>
          <w:t>https://doi.org/10.1177/2158244016687611</w:t>
        </w:r>
      </w:hyperlink>
    </w:p>
    <w:p w14:paraId="5D582D1F"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Baruah, M. (2017). </w:t>
      </w:r>
      <w:proofErr w:type="spellStart"/>
      <w:r w:rsidRPr="00AF12FD">
        <w:rPr>
          <w:rFonts w:ascii="Times New Roman" w:eastAsia="Times New Roman" w:hAnsi="Times New Roman" w:cs="Times New Roman"/>
          <w:sz w:val="24"/>
          <w:szCs w:val="24"/>
        </w:rPr>
        <w:t>Facipulation</w:t>
      </w:r>
      <w:proofErr w:type="spellEnd"/>
      <w:r w:rsidRPr="00AF12FD">
        <w:rPr>
          <w:rFonts w:ascii="Times New Roman" w:eastAsia="Times New Roman" w:hAnsi="Times New Roman" w:cs="Times New Roman"/>
          <w:sz w:val="24"/>
          <w:szCs w:val="24"/>
        </w:rPr>
        <w:t xml:space="preserve"> and elite formation: Community forestry and conservation in Ghana. </w:t>
      </w:r>
      <w:r w:rsidRPr="00AF12FD">
        <w:rPr>
          <w:rFonts w:ascii="Times New Roman" w:eastAsia="Times New Roman" w:hAnsi="Times New Roman" w:cs="Times New Roman"/>
          <w:i/>
          <w:iCs/>
          <w:sz w:val="24"/>
          <w:szCs w:val="24"/>
        </w:rPr>
        <w:t>Conservation and Society, 15</w:t>
      </w:r>
      <w:r w:rsidRPr="00AF12FD">
        <w:rPr>
          <w:rFonts w:ascii="Times New Roman" w:eastAsia="Times New Roman" w:hAnsi="Times New Roman" w:cs="Times New Roman"/>
          <w:sz w:val="24"/>
          <w:szCs w:val="24"/>
        </w:rPr>
        <w:t>(2), 179–192.</w:t>
      </w:r>
    </w:p>
    <w:p w14:paraId="1AC7E42B"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Cleaver, F. (2012). </w:t>
      </w:r>
      <w:r w:rsidRPr="00AF12FD">
        <w:rPr>
          <w:rFonts w:ascii="Times New Roman" w:eastAsia="Times New Roman" w:hAnsi="Times New Roman" w:cs="Times New Roman"/>
          <w:i/>
          <w:iCs/>
          <w:sz w:val="24"/>
          <w:szCs w:val="24"/>
        </w:rPr>
        <w:t>Development through bricolage: Rethinking institutions for natural resource management</w:t>
      </w:r>
      <w:r w:rsidRPr="00AF12FD">
        <w:rPr>
          <w:rFonts w:ascii="Times New Roman" w:eastAsia="Times New Roman" w:hAnsi="Times New Roman" w:cs="Times New Roman"/>
          <w:sz w:val="24"/>
          <w:szCs w:val="24"/>
        </w:rPr>
        <w:t>. Routledge.</w:t>
      </w:r>
    </w:p>
    <w:p w14:paraId="0188FA4D"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F12FD">
        <w:rPr>
          <w:rFonts w:ascii="Times New Roman" w:eastAsia="Times New Roman" w:hAnsi="Times New Roman" w:cs="Times New Roman"/>
          <w:sz w:val="24"/>
          <w:szCs w:val="24"/>
        </w:rPr>
        <w:t>Essougong</w:t>
      </w:r>
      <w:proofErr w:type="spellEnd"/>
      <w:r w:rsidRPr="00AF12FD">
        <w:rPr>
          <w:rFonts w:ascii="Times New Roman" w:eastAsia="Times New Roman" w:hAnsi="Times New Roman" w:cs="Times New Roman"/>
          <w:sz w:val="24"/>
          <w:szCs w:val="24"/>
        </w:rPr>
        <w:t xml:space="preserve">, U. P. K., </w:t>
      </w:r>
      <w:proofErr w:type="spellStart"/>
      <w:r w:rsidRPr="00AF12FD">
        <w:rPr>
          <w:rFonts w:ascii="Times New Roman" w:eastAsia="Times New Roman" w:hAnsi="Times New Roman" w:cs="Times New Roman"/>
          <w:sz w:val="24"/>
          <w:szCs w:val="24"/>
        </w:rPr>
        <w:t>Foundjem-Tita</w:t>
      </w:r>
      <w:proofErr w:type="spellEnd"/>
      <w:r w:rsidRPr="00AF12FD">
        <w:rPr>
          <w:rFonts w:ascii="Times New Roman" w:eastAsia="Times New Roman" w:hAnsi="Times New Roman" w:cs="Times New Roman"/>
          <w:sz w:val="24"/>
          <w:szCs w:val="24"/>
        </w:rPr>
        <w:t xml:space="preserve">, D., &amp; </w:t>
      </w:r>
      <w:proofErr w:type="spellStart"/>
      <w:r w:rsidRPr="00AF12FD">
        <w:rPr>
          <w:rFonts w:ascii="Times New Roman" w:eastAsia="Times New Roman" w:hAnsi="Times New Roman" w:cs="Times New Roman"/>
          <w:sz w:val="24"/>
          <w:szCs w:val="24"/>
        </w:rPr>
        <w:t>Minang</w:t>
      </w:r>
      <w:proofErr w:type="spellEnd"/>
      <w:r w:rsidRPr="00AF12FD">
        <w:rPr>
          <w:rFonts w:ascii="Times New Roman" w:eastAsia="Times New Roman" w:hAnsi="Times New Roman" w:cs="Times New Roman"/>
          <w:sz w:val="24"/>
          <w:szCs w:val="24"/>
        </w:rPr>
        <w:t xml:space="preserve">, P. A. (2019). Addressing equity in community forestry: Lessons from Cameroon. </w:t>
      </w:r>
      <w:r w:rsidRPr="00AF12FD">
        <w:rPr>
          <w:rFonts w:ascii="Times New Roman" w:eastAsia="Times New Roman" w:hAnsi="Times New Roman" w:cs="Times New Roman"/>
          <w:i/>
          <w:iCs/>
          <w:sz w:val="24"/>
          <w:szCs w:val="24"/>
        </w:rPr>
        <w:t>Ecology and Society, 24</w:t>
      </w:r>
      <w:r w:rsidRPr="00AF12FD">
        <w:rPr>
          <w:rFonts w:ascii="Times New Roman" w:eastAsia="Times New Roman" w:hAnsi="Times New Roman" w:cs="Times New Roman"/>
          <w:sz w:val="24"/>
          <w:szCs w:val="24"/>
        </w:rPr>
        <w:t xml:space="preserve">(1). </w:t>
      </w:r>
      <w:hyperlink r:id="rId11" w:tgtFrame="_new" w:history="1">
        <w:r w:rsidRPr="00AF12FD">
          <w:rPr>
            <w:rFonts w:ascii="Times New Roman" w:eastAsia="Times New Roman" w:hAnsi="Times New Roman" w:cs="Times New Roman"/>
            <w:color w:val="0000FF"/>
            <w:sz w:val="24"/>
            <w:szCs w:val="24"/>
            <w:u w:val="single"/>
          </w:rPr>
          <w:t>https://doi.org/10.5751/ES-10753-240102</w:t>
        </w:r>
      </w:hyperlink>
    </w:p>
    <w:p w14:paraId="7EF703AE"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Forestry Commission of Ghana. (2023). </w:t>
      </w:r>
      <w:r w:rsidRPr="00AF12FD">
        <w:rPr>
          <w:rFonts w:ascii="Times New Roman" w:eastAsia="Times New Roman" w:hAnsi="Times New Roman" w:cs="Times New Roman"/>
          <w:i/>
          <w:iCs/>
          <w:sz w:val="24"/>
          <w:szCs w:val="24"/>
        </w:rPr>
        <w:t>Community Resource Management Areas (CREMAs) and sustainable forest governance in Ghana</w:t>
      </w:r>
      <w:r w:rsidRPr="00AF12FD">
        <w:rPr>
          <w:rFonts w:ascii="Times New Roman" w:eastAsia="Times New Roman" w:hAnsi="Times New Roman" w:cs="Times New Roman"/>
          <w:sz w:val="24"/>
          <w:szCs w:val="24"/>
        </w:rPr>
        <w:t>. Government of Ghana.</w:t>
      </w:r>
    </w:p>
    <w:p w14:paraId="655534C1"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Forestry Commission of Ghana. (2023). </w:t>
      </w:r>
      <w:r w:rsidRPr="00AF12FD">
        <w:rPr>
          <w:rFonts w:ascii="Times New Roman" w:eastAsia="Times New Roman" w:hAnsi="Times New Roman" w:cs="Times New Roman"/>
          <w:i/>
          <w:iCs/>
          <w:sz w:val="24"/>
          <w:szCs w:val="24"/>
        </w:rPr>
        <w:t>Annual report on forest and wildlife management in Ghana</w:t>
      </w:r>
      <w:r w:rsidRPr="00AF12FD">
        <w:rPr>
          <w:rFonts w:ascii="Times New Roman" w:eastAsia="Times New Roman" w:hAnsi="Times New Roman" w:cs="Times New Roman"/>
          <w:sz w:val="24"/>
          <w:szCs w:val="24"/>
        </w:rPr>
        <w:t>. Government of Ghana.</w:t>
      </w:r>
    </w:p>
    <w:p w14:paraId="10D5AFF3"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Larson, A. M., &amp; Soto, F. (2008). Decentralization of natural resource governance regimes. </w:t>
      </w:r>
      <w:r w:rsidRPr="00AF12FD">
        <w:rPr>
          <w:rFonts w:ascii="Times New Roman" w:eastAsia="Times New Roman" w:hAnsi="Times New Roman" w:cs="Times New Roman"/>
          <w:i/>
          <w:iCs/>
          <w:sz w:val="24"/>
          <w:szCs w:val="24"/>
        </w:rPr>
        <w:t>Annual Review of Environment and Resources, 33</w:t>
      </w:r>
      <w:r w:rsidRPr="00AF12FD">
        <w:rPr>
          <w:rFonts w:ascii="Times New Roman" w:eastAsia="Times New Roman" w:hAnsi="Times New Roman" w:cs="Times New Roman"/>
          <w:sz w:val="24"/>
          <w:szCs w:val="24"/>
        </w:rPr>
        <w:t xml:space="preserve">, 213–239. </w:t>
      </w:r>
      <w:hyperlink r:id="rId12" w:tgtFrame="_new" w:history="1">
        <w:r w:rsidRPr="00AF12FD">
          <w:rPr>
            <w:rFonts w:ascii="Times New Roman" w:eastAsia="Times New Roman" w:hAnsi="Times New Roman" w:cs="Times New Roman"/>
            <w:color w:val="0000FF"/>
            <w:sz w:val="24"/>
            <w:szCs w:val="24"/>
            <w:u w:val="single"/>
          </w:rPr>
          <w:t>https://doi.org/10.1146/annurev.environ.33.020607.095522</w:t>
        </w:r>
      </w:hyperlink>
    </w:p>
    <w:p w14:paraId="70CBBCF7"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Larson, A. M., … (2023). Community forestry, tenure security, and governance effectiveness. </w:t>
      </w:r>
      <w:r w:rsidRPr="00AF12FD">
        <w:rPr>
          <w:rFonts w:ascii="Times New Roman" w:eastAsia="Times New Roman" w:hAnsi="Times New Roman" w:cs="Times New Roman"/>
          <w:i/>
          <w:iCs/>
          <w:sz w:val="24"/>
          <w:szCs w:val="24"/>
        </w:rPr>
        <w:t>(Full publication details needed for completion).</w:t>
      </w:r>
    </w:p>
    <w:p w14:paraId="531D38B4"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F12FD">
        <w:rPr>
          <w:rFonts w:ascii="Times New Roman" w:eastAsia="Times New Roman" w:hAnsi="Times New Roman" w:cs="Times New Roman"/>
          <w:sz w:val="24"/>
          <w:szCs w:val="24"/>
        </w:rPr>
        <w:t>Mawutor</w:t>
      </w:r>
      <w:proofErr w:type="spellEnd"/>
      <w:r w:rsidRPr="00AF12FD">
        <w:rPr>
          <w:rFonts w:ascii="Times New Roman" w:eastAsia="Times New Roman" w:hAnsi="Times New Roman" w:cs="Times New Roman"/>
          <w:sz w:val="24"/>
          <w:szCs w:val="24"/>
        </w:rPr>
        <w:t xml:space="preserve">, S., &amp; Hajjar, R. (2022). Gender and participation in community-based forest management in Ghana. </w:t>
      </w:r>
      <w:r w:rsidRPr="00AF12FD">
        <w:rPr>
          <w:rFonts w:ascii="Times New Roman" w:eastAsia="Times New Roman" w:hAnsi="Times New Roman" w:cs="Times New Roman"/>
          <w:i/>
          <w:iCs/>
          <w:sz w:val="24"/>
          <w:szCs w:val="24"/>
        </w:rPr>
        <w:t>Forests, 13</w:t>
      </w:r>
      <w:r w:rsidRPr="00AF12FD">
        <w:rPr>
          <w:rFonts w:ascii="Times New Roman" w:eastAsia="Times New Roman" w:hAnsi="Times New Roman" w:cs="Times New Roman"/>
          <w:sz w:val="24"/>
          <w:szCs w:val="24"/>
        </w:rPr>
        <w:t>(5), 1–18.</w:t>
      </w:r>
    </w:p>
    <w:p w14:paraId="23153DAA"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F12FD">
        <w:rPr>
          <w:rFonts w:ascii="Times New Roman" w:eastAsia="Times New Roman" w:hAnsi="Times New Roman" w:cs="Times New Roman"/>
          <w:sz w:val="24"/>
          <w:szCs w:val="24"/>
        </w:rPr>
        <w:t>Ribot</w:t>
      </w:r>
      <w:proofErr w:type="spellEnd"/>
      <w:r w:rsidRPr="00AF12FD">
        <w:rPr>
          <w:rFonts w:ascii="Times New Roman" w:eastAsia="Times New Roman" w:hAnsi="Times New Roman" w:cs="Times New Roman"/>
          <w:sz w:val="24"/>
          <w:szCs w:val="24"/>
        </w:rPr>
        <w:t xml:space="preserve">, J. C. (2002). Democratic decentralization of natural resources: Institutionalizing popular participation. </w:t>
      </w:r>
      <w:r w:rsidRPr="00AF12FD">
        <w:rPr>
          <w:rFonts w:ascii="Times New Roman" w:eastAsia="Times New Roman" w:hAnsi="Times New Roman" w:cs="Times New Roman"/>
          <w:i/>
          <w:iCs/>
          <w:sz w:val="24"/>
          <w:szCs w:val="24"/>
        </w:rPr>
        <w:t>World Resources Institute</w:t>
      </w:r>
      <w:r w:rsidRPr="00AF12FD">
        <w:rPr>
          <w:rFonts w:ascii="Times New Roman" w:eastAsia="Times New Roman" w:hAnsi="Times New Roman" w:cs="Times New Roman"/>
          <w:sz w:val="24"/>
          <w:szCs w:val="24"/>
        </w:rPr>
        <w:t>.</w:t>
      </w:r>
    </w:p>
    <w:p w14:paraId="00EB684C"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F12FD">
        <w:rPr>
          <w:rFonts w:ascii="Times New Roman" w:eastAsia="Times New Roman" w:hAnsi="Times New Roman" w:cs="Times New Roman"/>
          <w:sz w:val="24"/>
          <w:szCs w:val="24"/>
        </w:rPr>
        <w:t>Ribot</w:t>
      </w:r>
      <w:proofErr w:type="spellEnd"/>
      <w:r w:rsidRPr="00AF12FD">
        <w:rPr>
          <w:rFonts w:ascii="Times New Roman" w:eastAsia="Times New Roman" w:hAnsi="Times New Roman" w:cs="Times New Roman"/>
          <w:sz w:val="24"/>
          <w:szCs w:val="24"/>
        </w:rPr>
        <w:t xml:space="preserve">, J. C., Agrawal, A., &amp; Larson, A. M. (2006). Recentralizing while decentralizing: How national governments </w:t>
      </w:r>
      <w:proofErr w:type="spellStart"/>
      <w:r w:rsidRPr="00AF12FD">
        <w:rPr>
          <w:rFonts w:ascii="Times New Roman" w:eastAsia="Times New Roman" w:hAnsi="Times New Roman" w:cs="Times New Roman"/>
          <w:sz w:val="24"/>
          <w:szCs w:val="24"/>
        </w:rPr>
        <w:t>reappropriate</w:t>
      </w:r>
      <w:proofErr w:type="spellEnd"/>
      <w:r w:rsidRPr="00AF12FD">
        <w:rPr>
          <w:rFonts w:ascii="Times New Roman" w:eastAsia="Times New Roman" w:hAnsi="Times New Roman" w:cs="Times New Roman"/>
          <w:sz w:val="24"/>
          <w:szCs w:val="24"/>
        </w:rPr>
        <w:t xml:space="preserve"> forest resources. </w:t>
      </w:r>
      <w:r w:rsidRPr="00AF12FD">
        <w:rPr>
          <w:rFonts w:ascii="Times New Roman" w:eastAsia="Times New Roman" w:hAnsi="Times New Roman" w:cs="Times New Roman"/>
          <w:i/>
          <w:iCs/>
          <w:sz w:val="24"/>
          <w:szCs w:val="24"/>
        </w:rPr>
        <w:t>World Development, 34</w:t>
      </w:r>
      <w:r w:rsidRPr="00AF12FD">
        <w:rPr>
          <w:rFonts w:ascii="Times New Roman" w:eastAsia="Times New Roman" w:hAnsi="Times New Roman" w:cs="Times New Roman"/>
          <w:sz w:val="24"/>
          <w:szCs w:val="24"/>
        </w:rPr>
        <w:t>(11), 1864–1886.</w:t>
      </w:r>
    </w:p>
    <w:p w14:paraId="620CCE4D"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Sarfo-</w:t>
      </w:r>
      <w:proofErr w:type="spellStart"/>
      <w:r w:rsidRPr="00AF12FD">
        <w:rPr>
          <w:rFonts w:ascii="Times New Roman" w:eastAsia="Times New Roman" w:hAnsi="Times New Roman" w:cs="Times New Roman"/>
          <w:sz w:val="24"/>
          <w:szCs w:val="24"/>
        </w:rPr>
        <w:t>Adu</w:t>
      </w:r>
      <w:proofErr w:type="spellEnd"/>
      <w:r w:rsidRPr="00AF12FD">
        <w:rPr>
          <w:rFonts w:ascii="Times New Roman" w:eastAsia="Times New Roman" w:hAnsi="Times New Roman" w:cs="Times New Roman"/>
          <w:sz w:val="24"/>
          <w:szCs w:val="24"/>
        </w:rPr>
        <w:t xml:space="preserve">, M., … (2022). Sacred groves and biodiversity conservation in Ghana. </w:t>
      </w:r>
      <w:r w:rsidRPr="00AF12FD">
        <w:rPr>
          <w:rFonts w:ascii="Times New Roman" w:eastAsia="Times New Roman" w:hAnsi="Times New Roman" w:cs="Times New Roman"/>
          <w:i/>
          <w:iCs/>
          <w:sz w:val="24"/>
          <w:szCs w:val="24"/>
        </w:rPr>
        <w:t>(Full publication details needed).</w:t>
      </w:r>
    </w:p>
    <w:p w14:paraId="20533DA3"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Sarfo-Mensah, P., Oduro, W., &amp; </w:t>
      </w:r>
      <w:proofErr w:type="spellStart"/>
      <w:r w:rsidRPr="00AF12FD">
        <w:rPr>
          <w:rFonts w:ascii="Times New Roman" w:eastAsia="Times New Roman" w:hAnsi="Times New Roman" w:cs="Times New Roman"/>
          <w:sz w:val="24"/>
          <w:szCs w:val="24"/>
        </w:rPr>
        <w:t>Amissah</w:t>
      </w:r>
      <w:proofErr w:type="spellEnd"/>
      <w:r w:rsidRPr="00AF12FD">
        <w:rPr>
          <w:rFonts w:ascii="Times New Roman" w:eastAsia="Times New Roman" w:hAnsi="Times New Roman" w:cs="Times New Roman"/>
          <w:sz w:val="24"/>
          <w:szCs w:val="24"/>
        </w:rPr>
        <w:t xml:space="preserve">, L. (2010). Traditional conservation practices and biodiversity in Ghana. </w:t>
      </w:r>
      <w:r w:rsidRPr="00AF12FD">
        <w:rPr>
          <w:rFonts w:ascii="Times New Roman" w:eastAsia="Times New Roman" w:hAnsi="Times New Roman" w:cs="Times New Roman"/>
          <w:i/>
          <w:iCs/>
          <w:sz w:val="24"/>
          <w:szCs w:val="24"/>
        </w:rPr>
        <w:t>Journal of Sustainable Forestry, 29</w:t>
      </w:r>
      <w:r w:rsidRPr="00AF12FD">
        <w:rPr>
          <w:rFonts w:ascii="Times New Roman" w:eastAsia="Times New Roman" w:hAnsi="Times New Roman" w:cs="Times New Roman"/>
          <w:sz w:val="24"/>
          <w:szCs w:val="24"/>
        </w:rPr>
        <w:t>(8), 1–20.</w:t>
      </w:r>
    </w:p>
    <w:p w14:paraId="3470571B"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Tole, L. (2010). Reforms from the ground up: A review of community-based forest management in tropical developing countries. </w:t>
      </w:r>
      <w:r w:rsidRPr="00AF12FD">
        <w:rPr>
          <w:rFonts w:ascii="Times New Roman" w:eastAsia="Times New Roman" w:hAnsi="Times New Roman" w:cs="Times New Roman"/>
          <w:i/>
          <w:iCs/>
          <w:sz w:val="24"/>
          <w:szCs w:val="24"/>
        </w:rPr>
        <w:t>Environmental Management, 45</w:t>
      </w:r>
      <w:r w:rsidRPr="00AF12FD">
        <w:rPr>
          <w:rFonts w:ascii="Times New Roman" w:eastAsia="Times New Roman" w:hAnsi="Times New Roman" w:cs="Times New Roman"/>
          <w:sz w:val="24"/>
          <w:szCs w:val="24"/>
        </w:rPr>
        <w:t xml:space="preserve">(6), 1312–1331. </w:t>
      </w:r>
      <w:hyperlink r:id="rId13" w:tgtFrame="_new" w:history="1">
        <w:r w:rsidRPr="00AF12FD">
          <w:rPr>
            <w:rFonts w:ascii="Times New Roman" w:eastAsia="Times New Roman" w:hAnsi="Times New Roman" w:cs="Times New Roman"/>
            <w:color w:val="0000FF"/>
            <w:sz w:val="24"/>
            <w:szCs w:val="24"/>
            <w:u w:val="single"/>
          </w:rPr>
          <w:t>https://doi.org/10.1007/s00267-010-9489-z</w:t>
        </w:r>
      </w:hyperlink>
    </w:p>
    <w:p w14:paraId="54CA65D3" w14:textId="77777777" w:rsidR="005A54C5" w:rsidRPr="00AF12FD"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t xml:space="preserve">World Bank. (2024). </w:t>
      </w:r>
      <w:r w:rsidRPr="00AF12FD">
        <w:rPr>
          <w:rFonts w:ascii="Times New Roman" w:eastAsia="Times New Roman" w:hAnsi="Times New Roman" w:cs="Times New Roman"/>
          <w:i/>
          <w:iCs/>
          <w:sz w:val="24"/>
          <w:szCs w:val="24"/>
        </w:rPr>
        <w:t>Strengthening community-based natural resource governance in Ghana</w:t>
      </w:r>
      <w:r w:rsidRPr="00AF12FD">
        <w:rPr>
          <w:rFonts w:ascii="Times New Roman" w:eastAsia="Times New Roman" w:hAnsi="Times New Roman" w:cs="Times New Roman"/>
          <w:sz w:val="24"/>
          <w:szCs w:val="24"/>
        </w:rPr>
        <w:t xml:space="preserve">. World Bank Group. </w:t>
      </w:r>
      <w:hyperlink r:id="rId14" w:tgtFrame="_new" w:history="1">
        <w:r w:rsidRPr="00AF12FD">
          <w:rPr>
            <w:rFonts w:ascii="Times New Roman" w:eastAsia="Times New Roman" w:hAnsi="Times New Roman" w:cs="Times New Roman"/>
            <w:color w:val="0000FF"/>
            <w:sz w:val="24"/>
            <w:szCs w:val="24"/>
            <w:u w:val="single"/>
          </w:rPr>
          <w:t>https://www.worldbank.org</w:t>
        </w:r>
      </w:hyperlink>
    </w:p>
    <w:p w14:paraId="73B12046" w14:textId="70C7FB1C" w:rsidR="005A54C5" w:rsidRDefault="005A54C5"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F12FD">
        <w:rPr>
          <w:rFonts w:ascii="Times New Roman" w:eastAsia="Times New Roman" w:hAnsi="Times New Roman" w:cs="Times New Roman"/>
          <w:sz w:val="24"/>
          <w:szCs w:val="24"/>
        </w:rPr>
        <w:lastRenderedPageBreak/>
        <w:t xml:space="preserve">Yahaya, I. (2016). Customary institutions and forest governance in Ghana. </w:t>
      </w:r>
      <w:r w:rsidRPr="00AF12FD">
        <w:rPr>
          <w:rFonts w:ascii="Times New Roman" w:eastAsia="Times New Roman" w:hAnsi="Times New Roman" w:cs="Times New Roman"/>
          <w:i/>
          <w:iCs/>
          <w:sz w:val="24"/>
          <w:szCs w:val="24"/>
        </w:rPr>
        <w:t>Ghana Journal of Forestry, 28</w:t>
      </w:r>
      <w:r w:rsidRPr="00AF12FD">
        <w:rPr>
          <w:rFonts w:ascii="Times New Roman" w:eastAsia="Times New Roman" w:hAnsi="Times New Roman" w:cs="Times New Roman"/>
          <w:sz w:val="24"/>
          <w:szCs w:val="24"/>
        </w:rPr>
        <w:t>(2), 45–60.</w:t>
      </w:r>
    </w:p>
    <w:p w14:paraId="42F955AF" w14:textId="2FF7CE6C" w:rsidR="006B6860" w:rsidRPr="006B6860" w:rsidRDefault="006B6860"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Arial" w:hAnsi="Arial" w:cs="Arial"/>
          <w:color w:val="222222"/>
          <w:sz w:val="20"/>
          <w:szCs w:val="20"/>
          <w:shd w:val="clear" w:color="auto" w:fill="FFFFFF"/>
        </w:rPr>
        <w:t>Fagan, J., &amp; Meares, T. L. (2008). Punishment, deterrence and social control: The paradox of punishment in minority communities. </w:t>
      </w:r>
      <w:r>
        <w:rPr>
          <w:rFonts w:ascii="Arial" w:hAnsi="Arial" w:cs="Arial"/>
          <w:i/>
          <w:iCs/>
          <w:color w:val="222222"/>
          <w:sz w:val="20"/>
          <w:szCs w:val="20"/>
          <w:shd w:val="clear" w:color="auto" w:fill="FFFFFF"/>
        </w:rPr>
        <w:t>Ohio St. J. Crim. 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 173.</w:t>
      </w:r>
    </w:p>
    <w:p w14:paraId="50B6C4B3" w14:textId="6F47EA9A" w:rsidR="006B6860" w:rsidRPr="00AF12FD" w:rsidRDefault="006B6860" w:rsidP="00AF12F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Hunde</w:t>
      </w:r>
      <w:proofErr w:type="spellEnd"/>
      <w:r>
        <w:rPr>
          <w:rFonts w:ascii="Arial" w:hAnsi="Arial" w:cs="Arial"/>
          <w:color w:val="222222"/>
          <w:sz w:val="20"/>
          <w:szCs w:val="20"/>
          <w:shd w:val="clear" w:color="auto" w:fill="FFFFFF"/>
        </w:rPr>
        <w:t>, T. A. (2025). The potential and transformation of beekeeping for natural resource conservation and poverty reduction in the case of Ethiopia: A review. </w:t>
      </w:r>
      <w:r>
        <w:rPr>
          <w:rFonts w:ascii="Arial" w:hAnsi="Arial" w:cs="Arial"/>
          <w:i/>
          <w:iCs/>
          <w:color w:val="222222"/>
          <w:sz w:val="20"/>
          <w:szCs w:val="20"/>
          <w:shd w:val="clear" w:color="auto" w:fill="FFFFFF"/>
        </w:rPr>
        <w:t>Int. J</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1-13.</w:t>
      </w:r>
    </w:p>
    <w:p w14:paraId="75002D07" w14:textId="53EBA960" w:rsidR="00645389" w:rsidRDefault="005A54C5" w:rsidP="00EB593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2E74A7C" w14:textId="4E2144D2" w:rsidR="00645389" w:rsidRDefault="00645389" w:rsidP="00BD36C9">
      <w:pPr>
        <w:spacing w:line="360" w:lineRule="auto"/>
        <w:rPr>
          <w:rFonts w:ascii="Times New Roman" w:hAnsi="Times New Roman" w:cs="Times New Roman"/>
          <w:b/>
          <w:sz w:val="24"/>
          <w:szCs w:val="24"/>
        </w:rPr>
      </w:pPr>
    </w:p>
    <w:sectPr w:rsidR="006453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4136" w14:textId="77777777" w:rsidR="007B7EE9" w:rsidRDefault="007B7EE9" w:rsidP="007F3D73">
      <w:pPr>
        <w:spacing w:after="0" w:line="240" w:lineRule="auto"/>
      </w:pPr>
      <w:r>
        <w:separator/>
      </w:r>
    </w:p>
  </w:endnote>
  <w:endnote w:type="continuationSeparator" w:id="0">
    <w:p w14:paraId="429B02BE" w14:textId="77777777" w:rsidR="007B7EE9" w:rsidRDefault="007B7EE9" w:rsidP="007F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29778" w14:textId="77777777" w:rsidR="007B7EE9" w:rsidRDefault="007B7EE9" w:rsidP="007F3D73">
      <w:pPr>
        <w:spacing w:after="0" w:line="240" w:lineRule="auto"/>
      </w:pPr>
      <w:r>
        <w:separator/>
      </w:r>
    </w:p>
  </w:footnote>
  <w:footnote w:type="continuationSeparator" w:id="0">
    <w:p w14:paraId="5FFC1BA6" w14:textId="77777777" w:rsidR="007B7EE9" w:rsidRDefault="007B7EE9" w:rsidP="007F3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B392B"/>
    <w:multiLevelType w:val="multilevel"/>
    <w:tmpl w:val="DD20CA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AA11933"/>
    <w:multiLevelType w:val="multilevel"/>
    <w:tmpl w:val="BBB0D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290968"/>
    <w:multiLevelType w:val="hybridMultilevel"/>
    <w:tmpl w:val="1F88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tbQwNTY2MjGzMDNX0lEKTi0uzszPAykwrAUAoPQvyiwAAAA="/>
  </w:docVars>
  <w:rsids>
    <w:rsidRoot w:val="000E2ACD"/>
    <w:rsid w:val="00071D94"/>
    <w:rsid w:val="00077AFA"/>
    <w:rsid w:val="00082014"/>
    <w:rsid w:val="000A0B5F"/>
    <w:rsid w:val="000B3C8E"/>
    <w:rsid w:val="000E2ACD"/>
    <w:rsid w:val="000F1234"/>
    <w:rsid w:val="000F155C"/>
    <w:rsid w:val="00110D4B"/>
    <w:rsid w:val="00115EFA"/>
    <w:rsid w:val="0011695C"/>
    <w:rsid w:val="00133A35"/>
    <w:rsid w:val="0013504D"/>
    <w:rsid w:val="0015012D"/>
    <w:rsid w:val="00184C2F"/>
    <w:rsid w:val="001936F7"/>
    <w:rsid w:val="001A58FB"/>
    <w:rsid w:val="001A5A0A"/>
    <w:rsid w:val="001D4CCB"/>
    <w:rsid w:val="001E1272"/>
    <w:rsid w:val="001F339E"/>
    <w:rsid w:val="001F51E1"/>
    <w:rsid w:val="00227243"/>
    <w:rsid w:val="00227DB6"/>
    <w:rsid w:val="002358B8"/>
    <w:rsid w:val="00244B2B"/>
    <w:rsid w:val="00274E9B"/>
    <w:rsid w:val="002A1DF9"/>
    <w:rsid w:val="002D0540"/>
    <w:rsid w:val="002D2E58"/>
    <w:rsid w:val="002E3463"/>
    <w:rsid w:val="00307E46"/>
    <w:rsid w:val="003179FD"/>
    <w:rsid w:val="00320816"/>
    <w:rsid w:val="00323D70"/>
    <w:rsid w:val="003255B6"/>
    <w:rsid w:val="0034508E"/>
    <w:rsid w:val="0038306C"/>
    <w:rsid w:val="003A308A"/>
    <w:rsid w:val="003F7DAE"/>
    <w:rsid w:val="004338C0"/>
    <w:rsid w:val="004666AB"/>
    <w:rsid w:val="0047161C"/>
    <w:rsid w:val="0048125F"/>
    <w:rsid w:val="004D70A4"/>
    <w:rsid w:val="00536947"/>
    <w:rsid w:val="00552BD4"/>
    <w:rsid w:val="00566AD2"/>
    <w:rsid w:val="005A3912"/>
    <w:rsid w:val="005A54C5"/>
    <w:rsid w:val="005B2757"/>
    <w:rsid w:val="006309E2"/>
    <w:rsid w:val="00636FFC"/>
    <w:rsid w:val="00645389"/>
    <w:rsid w:val="0068321B"/>
    <w:rsid w:val="006833D1"/>
    <w:rsid w:val="00687E79"/>
    <w:rsid w:val="00687F41"/>
    <w:rsid w:val="006B3DAF"/>
    <w:rsid w:val="006B6860"/>
    <w:rsid w:val="006C0926"/>
    <w:rsid w:val="006D297C"/>
    <w:rsid w:val="006E1127"/>
    <w:rsid w:val="006E15F0"/>
    <w:rsid w:val="006E1E06"/>
    <w:rsid w:val="006F0D81"/>
    <w:rsid w:val="007004ED"/>
    <w:rsid w:val="00731C1A"/>
    <w:rsid w:val="007428D9"/>
    <w:rsid w:val="00743F69"/>
    <w:rsid w:val="00744C1E"/>
    <w:rsid w:val="0074606F"/>
    <w:rsid w:val="00752EC0"/>
    <w:rsid w:val="00762844"/>
    <w:rsid w:val="00764F56"/>
    <w:rsid w:val="00785EF3"/>
    <w:rsid w:val="007A0CD1"/>
    <w:rsid w:val="007B7EE9"/>
    <w:rsid w:val="007D3F14"/>
    <w:rsid w:val="007D674A"/>
    <w:rsid w:val="007F3D73"/>
    <w:rsid w:val="008033C8"/>
    <w:rsid w:val="00811007"/>
    <w:rsid w:val="00814639"/>
    <w:rsid w:val="00816B56"/>
    <w:rsid w:val="008664E5"/>
    <w:rsid w:val="008769B9"/>
    <w:rsid w:val="008C1B1B"/>
    <w:rsid w:val="008C60A8"/>
    <w:rsid w:val="008E2C3B"/>
    <w:rsid w:val="008F3328"/>
    <w:rsid w:val="009119CA"/>
    <w:rsid w:val="00955AB6"/>
    <w:rsid w:val="0099479E"/>
    <w:rsid w:val="009A3C73"/>
    <w:rsid w:val="009B4E88"/>
    <w:rsid w:val="009C1734"/>
    <w:rsid w:val="00A02382"/>
    <w:rsid w:val="00A21817"/>
    <w:rsid w:val="00A52772"/>
    <w:rsid w:val="00A6344E"/>
    <w:rsid w:val="00AB5CAB"/>
    <w:rsid w:val="00AD2067"/>
    <w:rsid w:val="00AD2315"/>
    <w:rsid w:val="00AF12FD"/>
    <w:rsid w:val="00B90229"/>
    <w:rsid w:val="00BA7278"/>
    <w:rsid w:val="00BB7C50"/>
    <w:rsid w:val="00BD36C9"/>
    <w:rsid w:val="00BF3F79"/>
    <w:rsid w:val="00C25C26"/>
    <w:rsid w:val="00C25CA3"/>
    <w:rsid w:val="00C74D37"/>
    <w:rsid w:val="00CC1F05"/>
    <w:rsid w:val="00CD4F78"/>
    <w:rsid w:val="00CE0E49"/>
    <w:rsid w:val="00CE2806"/>
    <w:rsid w:val="00CE608A"/>
    <w:rsid w:val="00CE61EB"/>
    <w:rsid w:val="00D21AA6"/>
    <w:rsid w:val="00D321CC"/>
    <w:rsid w:val="00D446BE"/>
    <w:rsid w:val="00D75740"/>
    <w:rsid w:val="00E07B13"/>
    <w:rsid w:val="00E95530"/>
    <w:rsid w:val="00EB593C"/>
    <w:rsid w:val="00EC5C25"/>
    <w:rsid w:val="00F0231D"/>
    <w:rsid w:val="00F3064D"/>
    <w:rsid w:val="00F7032F"/>
    <w:rsid w:val="00F811C3"/>
    <w:rsid w:val="00FB7734"/>
    <w:rsid w:val="00FE6DEF"/>
    <w:rsid w:val="00FE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5A2F"/>
  <w15:chartTrackingRefBased/>
  <w15:docId w15:val="{8E38EC2F-D520-456E-9271-7E5CAE1E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E4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autoRedefine/>
    <w:uiPriority w:val="9"/>
    <w:unhideWhenUsed/>
    <w:qFormat/>
    <w:rsid w:val="001D4CCB"/>
    <w:pPr>
      <w:keepNext/>
      <w:keepLines/>
      <w:spacing w:before="40" w:after="0" w:line="36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428D9"/>
    <w:pPr>
      <w:keepNext/>
      <w:keepLines/>
      <w:numPr>
        <w:ilvl w:val="2"/>
        <w:numId w:val="2"/>
      </w:numPr>
      <w:spacing w:before="40" w:after="0" w:line="360" w:lineRule="auto"/>
      <w:outlineLvl w:val="2"/>
    </w:pPr>
    <w:rPr>
      <w:rFonts w:ascii="Times New Roman" w:eastAsiaTheme="majorEastAsia" w:hAnsi="Times New Roman" w:cs="Times New Roman"/>
      <w:b/>
      <w:bCs/>
      <w:sz w:val="24"/>
      <w:szCs w:val="24"/>
    </w:rPr>
  </w:style>
  <w:style w:type="paragraph" w:styleId="Heading4">
    <w:name w:val="heading 4"/>
    <w:basedOn w:val="Normal"/>
    <w:next w:val="Normal"/>
    <w:link w:val="Heading4Char"/>
    <w:uiPriority w:val="9"/>
    <w:semiHidden/>
    <w:unhideWhenUsed/>
    <w:qFormat/>
    <w:rsid w:val="007428D9"/>
    <w:pPr>
      <w:keepNext/>
      <w:keepLines/>
      <w:numPr>
        <w:ilvl w:val="3"/>
        <w:numId w:val="2"/>
      </w:numPr>
      <w:spacing w:before="40" w:after="0" w:line="256" w:lineRule="auto"/>
      <w:outlineLvl w:val="3"/>
    </w:pPr>
    <w:rPr>
      <w:rFonts w:ascii="Times New Roman" w:eastAsiaTheme="majorEastAsia" w:hAnsi="Times New Roman" w:cs="Times New Roman"/>
      <w:b/>
      <w:bCs/>
      <w:sz w:val="24"/>
      <w:szCs w:val="24"/>
    </w:rPr>
  </w:style>
  <w:style w:type="paragraph" w:styleId="Heading5">
    <w:name w:val="heading 5"/>
    <w:basedOn w:val="Normal"/>
    <w:next w:val="Normal"/>
    <w:link w:val="Heading5Char"/>
    <w:uiPriority w:val="9"/>
    <w:semiHidden/>
    <w:unhideWhenUsed/>
    <w:qFormat/>
    <w:rsid w:val="007428D9"/>
    <w:pPr>
      <w:keepNext/>
      <w:keepLines/>
      <w:numPr>
        <w:ilvl w:val="4"/>
        <w:numId w:val="2"/>
      </w:numPr>
      <w:spacing w:before="40" w:after="0" w:line="25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28D9"/>
    <w:pPr>
      <w:keepNext/>
      <w:keepLines/>
      <w:numPr>
        <w:ilvl w:val="5"/>
        <w:numId w:val="2"/>
      </w:numPr>
      <w:spacing w:before="40" w:after="0" w:line="25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28D9"/>
    <w:pPr>
      <w:keepNext/>
      <w:keepLines/>
      <w:numPr>
        <w:ilvl w:val="6"/>
        <w:numId w:val="2"/>
      </w:numPr>
      <w:spacing w:before="40" w:after="0" w:line="256"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28D9"/>
    <w:pPr>
      <w:keepNext/>
      <w:keepLines/>
      <w:numPr>
        <w:ilvl w:val="7"/>
        <w:numId w:val="2"/>
      </w:numPr>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28D9"/>
    <w:pPr>
      <w:keepNext/>
      <w:keepLines/>
      <w:numPr>
        <w:ilvl w:val="8"/>
        <w:numId w:val="2"/>
      </w:numPr>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023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344E"/>
    <w:rPr>
      <w:b/>
      <w:bCs/>
    </w:rPr>
  </w:style>
  <w:style w:type="character" w:styleId="Emphasis">
    <w:name w:val="Emphasis"/>
    <w:basedOn w:val="DefaultParagraphFont"/>
    <w:uiPriority w:val="20"/>
    <w:qFormat/>
    <w:rsid w:val="00F811C3"/>
    <w:rPr>
      <w:i/>
      <w:iCs/>
    </w:rPr>
  </w:style>
  <w:style w:type="paragraph" w:styleId="Caption">
    <w:name w:val="caption"/>
    <w:basedOn w:val="Normal"/>
    <w:next w:val="Normal"/>
    <w:uiPriority w:val="35"/>
    <w:unhideWhenUsed/>
    <w:qFormat/>
    <w:rsid w:val="001A58FB"/>
    <w:pPr>
      <w:spacing w:after="200" w:line="240" w:lineRule="auto"/>
    </w:pPr>
    <w:rPr>
      <w:rFonts w:ascii="Times New Roman" w:hAnsi="Times New Roman" w:cs="Times New Roman"/>
      <w:b/>
      <w:bCs/>
      <w:i/>
      <w:iCs/>
      <w:sz w:val="24"/>
      <w:szCs w:val="24"/>
    </w:rPr>
  </w:style>
  <w:style w:type="table" w:styleId="TableGrid">
    <w:name w:val="Table Grid"/>
    <w:basedOn w:val="TableNormal"/>
    <w:uiPriority w:val="39"/>
    <w:rsid w:val="007428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D4C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428D9"/>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semiHidden/>
    <w:rsid w:val="007428D9"/>
    <w:rPr>
      <w:rFonts w:ascii="Times New Roman" w:eastAsiaTheme="majorEastAsia" w:hAnsi="Times New Roman" w:cs="Times New Roman"/>
      <w:b/>
      <w:bCs/>
      <w:sz w:val="24"/>
      <w:szCs w:val="24"/>
    </w:rPr>
  </w:style>
  <w:style w:type="character" w:customStyle="1" w:styleId="Heading5Char">
    <w:name w:val="Heading 5 Char"/>
    <w:basedOn w:val="DefaultParagraphFont"/>
    <w:link w:val="Heading5"/>
    <w:uiPriority w:val="9"/>
    <w:semiHidden/>
    <w:rsid w:val="007428D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28D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428D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428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28D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7161C"/>
    <w:rPr>
      <w:color w:val="0563C1" w:themeColor="hyperlink"/>
      <w:u w:val="single"/>
    </w:rPr>
  </w:style>
  <w:style w:type="paragraph" w:styleId="Revision">
    <w:name w:val="Revision"/>
    <w:hidden/>
    <w:uiPriority w:val="99"/>
    <w:semiHidden/>
    <w:rsid w:val="008C60A8"/>
    <w:pPr>
      <w:spacing w:after="0" w:line="240" w:lineRule="auto"/>
    </w:pPr>
  </w:style>
  <w:style w:type="character" w:styleId="CommentReference">
    <w:name w:val="annotation reference"/>
    <w:basedOn w:val="DefaultParagraphFont"/>
    <w:uiPriority w:val="99"/>
    <w:semiHidden/>
    <w:unhideWhenUsed/>
    <w:rsid w:val="0015012D"/>
    <w:rPr>
      <w:sz w:val="16"/>
      <w:szCs w:val="16"/>
    </w:rPr>
  </w:style>
  <w:style w:type="paragraph" w:styleId="CommentText">
    <w:name w:val="annotation text"/>
    <w:basedOn w:val="Normal"/>
    <w:link w:val="CommentTextChar"/>
    <w:uiPriority w:val="99"/>
    <w:semiHidden/>
    <w:unhideWhenUsed/>
    <w:rsid w:val="0015012D"/>
    <w:pPr>
      <w:spacing w:line="240" w:lineRule="auto"/>
    </w:pPr>
    <w:rPr>
      <w:sz w:val="20"/>
      <w:szCs w:val="20"/>
    </w:rPr>
  </w:style>
  <w:style w:type="character" w:customStyle="1" w:styleId="CommentTextChar">
    <w:name w:val="Comment Text Char"/>
    <w:basedOn w:val="DefaultParagraphFont"/>
    <w:link w:val="CommentText"/>
    <w:uiPriority w:val="99"/>
    <w:semiHidden/>
    <w:rsid w:val="0015012D"/>
    <w:rPr>
      <w:sz w:val="20"/>
      <w:szCs w:val="20"/>
    </w:rPr>
  </w:style>
  <w:style w:type="paragraph" w:styleId="CommentSubject">
    <w:name w:val="annotation subject"/>
    <w:basedOn w:val="CommentText"/>
    <w:next w:val="CommentText"/>
    <w:link w:val="CommentSubjectChar"/>
    <w:uiPriority w:val="99"/>
    <w:semiHidden/>
    <w:unhideWhenUsed/>
    <w:rsid w:val="0015012D"/>
    <w:rPr>
      <w:b/>
      <w:bCs/>
    </w:rPr>
  </w:style>
  <w:style w:type="character" w:customStyle="1" w:styleId="CommentSubjectChar">
    <w:name w:val="Comment Subject Char"/>
    <w:basedOn w:val="CommentTextChar"/>
    <w:link w:val="CommentSubject"/>
    <w:uiPriority w:val="99"/>
    <w:semiHidden/>
    <w:rsid w:val="0015012D"/>
    <w:rPr>
      <w:b/>
      <w:bCs/>
      <w:sz w:val="20"/>
      <w:szCs w:val="20"/>
    </w:rPr>
  </w:style>
  <w:style w:type="paragraph" w:styleId="Header">
    <w:name w:val="header"/>
    <w:basedOn w:val="Normal"/>
    <w:link w:val="HeaderChar"/>
    <w:uiPriority w:val="99"/>
    <w:unhideWhenUsed/>
    <w:rsid w:val="007F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D73"/>
  </w:style>
  <w:style w:type="paragraph" w:styleId="Footer">
    <w:name w:val="footer"/>
    <w:basedOn w:val="Normal"/>
    <w:link w:val="FooterChar"/>
    <w:uiPriority w:val="99"/>
    <w:unhideWhenUsed/>
    <w:rsid w:val="007F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D73"/>
  </w:style>
  <w:style w:type="character" w:customStyle="1" w:styleId="Heading1Char">
    <w:name w:val="Heading 1 Char"/>
    <w:basedOn w:val="DefaultParagraphFont"/>
    <w:link w:val="Heading1"/>
    <w:uiPriority w:val="9"/>
    <w:rsid w:val="00CE0E49"/>
    <w:rPr>
      <w:rFonts w:asciiTheme="majorHAnsi" w:eastAsiaTheme="majorEastAsia" w:hAnsiTheme="majorHAnsi" w:cstheme="majorBidi"/>
      <w:color w:val="2E74B5" w:themeColor="accent1" w:themeShade="BF"/>
      <w:kern w:val="2"/>
      <w:sz w:val="40"/>
      <w:szCs w:val="40"/>
      <w14:ligatures w14:val="standardContextual"/>
    </w:rPr>
  </w:style>
  <w:style w:type="paragraph" w:customStyle="1" w:styleId="isselectedend">
    <w:name w:val="isselectedend"/>
    <w:basedOn w:val="Normal"/>
    <w:rsid w:val="00BB7C5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45389"/>
    <w:pPr>
      <w:spacing w:after="0" w:line="240" w:lineRule="auto"/>
      <w:jc w:val="both"/>
    </w:pPr>
    <w:rPr>
      <w:rFonts w:ascii="Helvetica" w:eastAsia="MS Mincho" w:hAnsi="Helvetica" w:cs="Times New Roman"/>
      <w:sz w:val="24"/>
      <w:szCs w:val="24"/>
      <w:lang w:val="fr-FR" w:eastAsia="x-none"/>
    </w:rPr>
  </w:style>
  <w:style w:type="character" w:customStyle="1" w:styleId="BodyTextChar">
    <w:name w:val="Body Text Char"/>
    <w:basedOn w:val="DefaultParagraphFont"/>
    <w:link w:val="BodyText"/>
    <w:rsid w:val="00645389"/>
    <w:rPr>
      <w:rFonts w:ascii="Helvetica" w:eastAsia="MS Mincho" w:hAnsi="Helvetica" w:cs="Times New Roman"/>
      <w:sz w:val="24"/>
      <w:szCs w:val="24"/>
      <w:lang w:val="fr-FR" w:eastAsia="x-none"/>
    </w:rPr>
  </w:style>
  <w:style w:type="paragraph" w:styleId="ListParagraph">
    <w:name w:val="List Paragraph"/>
    <w:basedOn w:val="Normal"/>
    <w:uiPriority w:val="34"/>
    <w:qFormat/>
    <w:rsid w:val="00AF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4415">
      <w:bodyDiv w:val="1"/>
      <w:marLeft w:val="0"/>
      <w:marRight w:val="0"/>
      <w:marTop w:val="0"/>
      <w:marBottom w:val="0"/>
      <w:divBdr>
        <w:top w:val="none" w:sz="0" w:space="0" w:color="auto"/>
        <w:left w:val="none" w:sz="0" w:space="0" w:color="auto"/>
        <w:bottom w:val="none" w:sz="0" w:space="0" w:color="auto"/>
        <w:right w:val="none" w:sz="0" w:space="0" w:color="auto"/>
      </w:divBdr>
    </w:div>
    <w:div w:id="202139130">
      <w:bodyDiv w:val="1"/>
      <w:marLeft w:val="0"/>
      <w:marRight w:val="0"/>
      <w:marTop w:val="0"/>
      <w:marBottom w:val="0"/>
      <w:divBdr>
        <w:top w:val="none" w:sz="0" w:space="0" w:color="auto"/>
        <w:left w:val="none" w:sz="0" w:space="0" w:color="auto"/>
        <w:bottom w:val="none" w:sz="0" w:space="0" w:color="auto"/>
        <w:right w:val="none" w:sz="0" w:space="0" w:color="auto"/>
      </w:divBdr>
    </w:div>
    <w:div w:id="387069675">
      <w:bodyDiv w:val="1"/>
      <w:marLeft w:val="0"/>
      <w:marRight w:val="0"/>
      <w:marTop w:val="0"/>
      <w:marBottom w:val="0"/>
      <w:divBdr>
        <w:top w:val="none" w:sz="0" w:space="0" w:color="auto"/>
        <w:left w:val="none" w:sz="0" w:space="0" w:color="auto"/>
        <w:bottom w:val="none" w:sz="0" w:space="0" w:color="auto"/>
        <w:right w:val="none" w:sz="0" w:space="0" w:color="auto"/>
      </w:divBdr>
    </w:div>
    <w:div w:id="435174995">
      <w:bodyDiv w:val="1"/>
      <w:marLeft w:val="0"/>
      <w:marRight w:val="0"/>
      <w:marTop w:val="0"/>
      <w:marBottom w:val="0"/>
      <w:divBdr>
        <w:top w:val="none" w:sz="0" w:space="0" w:color="auto"/>
        <w:left w:val="none" w:sz="0" w:space="0" w:color="auto"/>
        <w:bottom w:val="none" w:sz="0" w:space="0" w:color="auto"/>
        <w:right w:val="none" w:sz="0" w:space="0" w:color="auto"/>
      </w:divBdr>
    </w:div>
    <w:div w:id="455948289">
      <w:bodyDiv w:val="1"/>
      <w:marLeft w:val="0"/>
      <w:marRight w:val="0"/>
      <w:marTop w:val="0"/>
      <w:marBottom w:val="0"/>
      <w:divBdr>
        <w:top w:val="none" w:sz="0" w:space="0" w:color="auto"/>
        <w:left w:val="none" w:sz="0" w:space="0" w:color="auto"/>
        <w:bottom w:val="none" w:sz="0" w:space="0" w:color="auto"/>
        <w:right w:val="none" w:sz="0" w:space="0" w:color="auto"/>
      </w:divBdr>
    </w:div>
    <w:div w:id="505291411">
      <w:bodyDiv w:val="1"/>
      <w:marLeft w:val="0"/>
      <w:marRight w:val="0"/>
      <w:marTop w:val="0"/>
      <w:marBottom w:val="0"/>
      <w:divBdr>
        <w:top w:val="none" w:sz="0" w:space="0" w:color="auto"/>
        <w:left w:val="none" w:sz="0" w:space="0" w:color="auto"/>
        <w:bottom w:val="none" w:sz="0" w:space="0" w:color="auto"/>
        <w:right w:val="none" w:sz="0" w:space="0" w:color="auto"/>
      </w:divBdr>
    </w:div>
    <w:div w:id="630205618">
      <w:bodyDiv w:val="1"/>
      <w:marLeft w:val="0"/>
      <w:marRight w:val="0"/>
      <w:marTop w:val="0"/>
      <w:marBottom w:val="0"/>
      <w:divBdr>
        <w:top w:val="none" w:sz="0" w:space="0" w:color="auto"/>
        <w:left w:val="none" w:sz="0" w:space="0" w:color="auto"/>
        <w:bottom w:val="none" w:sz="0" w:space="0" w:color="auto"/>
        <w:right w:val="none" w:sz="0" w:space="0" w:color="auto"/>
      </w:divBdr>
    </w:div>
    <w:div w:id="634336701">
      <w:bodyDiv w:val="1"/>
      <w:marLeft w:val="0"/>
      <w:marRight w:val="0"/>
      <w:marTop w:val="0"/>
      <w:marBottom w:val="0"/>
      <w:divBdr>
        <w:top w:val="none" w:sz="0" w:space="0" w:color="auto"/>
        <w:left w:val="none" w:sz="0" w:space="0" w:color="auto"/>
        <w:bottom w:val="none" w:sz="0" w:space="0" w:color="auto"/>
        <w:right w:val="none" w:sz="0" w:space="0" w:color="auto"/>
      </w:divBdr>
    </w:div>
    <w:div w:id="640310595">
      <w:bodyDiv w:val="1"/>
      <w:marLeft w:val="0"/>
      <w:marRight w:val="0"/>
      <w:marTop w:val="0"/>
      <w:marBottom w:val="0"/>
      <w:divBdr>
        <w:top w:val="none" w:sz="0" w:space="0" w:color="auto"/>
        <w:left w:val="none" w:sz="0" w:space="0" w:color="auto"/>
        <w:bottom w:val="none" w:sz="0" w:space="0" w:color="auto"/>
        <w:right w:val="none" w:sz="0" w:space="0" w:color="auto"/>
      </w:divBdr>
    </w:div>
    <w:div w:id="718866444">
      <w:bodyDiv w:val="1"/>
      <w:marLeft w:val="0"/>
      <w:marRight w:val="0"/>
      <w:marTop w:val="0"/>
      <w:marBottom w:val="0"/>
      <w:divBdr>
        <w:top w:val="none" w:sz="0" w:space="0" w:color="auto"/>
        <w:left w:val="none" w:sz="0" w:space="0" w:color="auto"/>
        <w:bottom w:val="none" w:sz="0" w:space="0" w:color="auto"/>
        <w:right w:val="none" w:sz="0" w:space="0" w:color="auto"/>
      </w:divBdr>
    </w:div>
    <w:div w:id="845830760">
      <w:bodyDiv w:val="1"/>
      <w:marLeft w:val="0"/>
      <w:marRight w:val="0"/>
      <w:marTop w:val="0"/>
      <w:marBottom w:val="0"/>
      <w:divBdr>
        <w:top w:val="none" w:sz="0" w:space="0" w:color="auto"/>
        <w:left w:val="none" w:sz="0" w:space="0" w:color="auto"/>
        <w:bottom w:val="none" w:sz="0" w:space="0" w:color="auto"/>
        <w:right w:val="none" w:sz="0" w:space="0" w:color="auto"/>
      </w:divBdr>
    </w:div>
    <w:div w:id="846292999">
      <w:bodyDiv w:val="1"/>
      <w:marLeft w:val="0"/>
      <w:marRight w:val="0"/>
      <w:marTop w:val="0"/>
      <w:marBottom w:val="0"/>
      <w:divBdr>
        <w:top w:val="none" w:sz="0" w:space="0" w:color="auto"/>
        <w:left w:val="none" w:sz="0" w:space="0" w:color="auto"/>
        <w:bottom w:val="none" w:sz="0" w:space="0" w:color="auto"/>
        <w:right w:val="none" w:sz="0" w:space="0" w:color="auto"/>
      </w:divBdr>
    </w:div>
    <w:div w:id="908733810">
      <w:bodyDiv w:val="1"/>
      <w:marLeft w:val="0"/>
      <w:marRight w:val="0"/>
      <w:marTop w:val="0"/>
      <w:marBottom w:val="0"/>
      <w:divBdr>
        <w:top w:val="none" w:sz="0" w:space="0" w:color="auto"/>
        <w:left w:val="none" w:sz="0" w:space="0" w:color="auto"/>
        <w:bottom w:val="none" w:sz="0" w:space="0" w:color="auto"/>
        <w:right w:val="none" w:sz="0" w:space="0" w:color="auto"/>
      </w:divBdr>
    </w:div>
    <w:div w:id="923225400">
      <w:bodyDiv w:val="1"/>
      <w:marLeft w:val="0"/>
      <w:marRight w:val="0"/>
      <w:marTop w:val="0"/>
      <w:marBottom w:val="0"/>
      <w:divBdr>
        <w:top w:val="none" w:sz="0" w:space="0" w:color="auto"/>
        <w:left w:val="none" w:sz="0" w:space="0" w:color="auto"/>
        <w:bottom w:val="none" w:sz="0" w:space="0" w:color="auto"/>
        <w:right w:val="none" w:sz="0" w:space="0" w:color="auto"/>
      </w:divBdr>
    </w:div>
    <w:div w:id="956790687">
      <w:bodyDiv w:val="1"/>
      <w:marLeft w:val="0"/>
      <w:marRight w:val="0"/>
      <w:marTop w:val="0"/>
      <w:marBottom w:val="0"/>
      <w:divBdr>
        <w:top w:val="none" w:sz="0" w:space="0" w:color="auto"/>
        <w:left w:val="none" w:sz="0" w:space="0" w:color="auto"/>
        <w:bottom w:val="none" w:sz="0" w:space="0" w:color="auto"/>
        <w:right w:val="none" w:sz="0" w:space="0" w:color="auto"/>
      </w:divBdr>
    </w:div>
    <w:div w:id="1018389415">
      <w:bodyDiv w:val="1"/>
      <w:marLeft w:val="0"/>
      <w:marRight w:val="0"/>
      <w:marTop w:val="0"/>
      <w:marBottom w:val="0"/>
      <w:divBdr>
        <w:top w:val="none" w:sz="0" w:space="0" w:color="auto"/>
        <w:left w:val="none" w:sz="0" w:space="0" w:color="auto"/>
        <w:bottom w:val="none" w:sz="0" w:space="0" w:color="auto"/>
        <w:right w:val="none" w:sz="0" w:space="0" w:color="auto"/>
      </w:divBdr>
    </w:div>
    <w:div w:id="1018461991">
      <w:bodyDiv w:val="1"/>
      <w:marLeft w:val="0"/>
      <w:marRight w:val="0"/>
      <w:marTop w:val="0"/>
      <w:marBottom w:val="0"/>
      <w:divBdr>
        <w:top w:val="none" w:sz="0" w:space="0" w:color="auto"/>
        <w:left w:val="none" w:sz="0" w:space="0" w:color="auto"/>
        <w:bottom w:val="none" w:sz="0" w:space="0" w:color="auto"/>
        <w:right w:val="none" w:sz="0" w:space="0" w:color="auto"/>
      </w:divBdr>
    </w:div>
    <w:div w:id="1084033558">
      <w:bodyDiv w:val="1"/>
      <w:marLeft w:val="0"/>
      <w:marRight w:val="0"/>
      <w:marTop w:val="0"/>
      <w:marBottom w:val="0"/>
      <w:divBdr>
        <w:top w:val="none" w:sz="0" w:space="0" w:color="auto"/>
        <w:left w:val="none" w:sz="0" w:space="0" w:color="auto"/>
        <w:bottom w:val="none" w:sz="0" w:space="0" w:color="auto"/>
        <w:right w:val="none" w:sz="0" w:space="0" w:color="auto"/>
      </w:divBdr>
    </w:div>
    <w:div w:id="1098062645">
      <w:bodyDiv w:val="1"/>
      <w:marLeft w:val="0"/>
      <w:marRight w:val="0"/>
      <w:marTop w:val="0"/>
      <w:marBottom w:val="0"/>
      <w:divBdr>
        <w:top w:val="none" w:sz="0" w:space="0" w:color="auto"/>
        <w:left w:val="none" w:sz="0" w:space="0" w:color="auto"/>
        <w:bottom w:val="none" w:sz="0" w:space="0" w:color="auto"/>
        <w:right w:val="none" w:sz="0" w:space="0" w:color="auto"/>
      </w:divBdr>
    </w:div>
    <w:div w:id="1122648310">
      <w:bodyDiv w:val="1"/>
      <w:marLeft w:val="0"/>
      <w:marRight w:val="0"/>
      <w:marTop w:val="0"/>
      <w:marBottom w:val="0"/>
      <w:divBdr>
        <w:top w:val="none" w:sz="0" w:space="0" w:color="auto"/>
        <w:left w:val="none" w:sz="0" w:space="0" w:color="auto"/>
        <w:bottom w:val="none" w:sz="0" w:space="0" w:color="auto"/>
        <w:right w:val="none" w:sz="0" w:space="0" w:color="auto"/>
      </w:divBdr>
    </w:div>
    <w:div w:id="1194610303">
      <w:bodyDiv w:val="1"/>
      <w:marLeft w:val="0"/>
      <w:marRight w:val="0"/>
      <w:marTop w:val="0"/>
      <w:marBottom w:val="0"/>
      <w:divBdr>
        <w:top w:val="none" w:sz="0" w:space="0" w:color="auto"/>
        <w:left w:val="none" w:sz="0" w:space="0" w:color="auto"/>
        <w:bottom w:val="none" w:sz="0" w:space="0" w:color="auto"/>
        <w:right w:val="none" w:sz="0" w:space="0" w:color="auto"/>
      </w:divBdr>
    </w:div>
    <w:div w:id="1227181390">
      <w:bodyDiv w:val="1"/>
      <w:marLeft w:val="0"/>
      <w:marRight w:val="0"/>
      <w:marTop w:val="0"/>
      <w:marBottom w:val="0"/>
      <w:divBdr>
        <w:top w:val="none" w:sz="0" w:space="0" w:color="auto"/>
        <w:left w:val="none" w:sz="0" w:space="0" w:color="auto"/>
        <w:bottom w:val="none" w:sz="0" w:space="0" w:color="auto"/>
        <w:right w:val="none" w:sz="0" w:space="0" w:color="auto"/>
      </w:divBdr>
    </w:div>
    <w:div w:id="1323504166">
      <w:bodyDiv w:val="1"/>
      <w:marLeft w:val="0"/>
      <w:marRight w:val="0"/>
      <w:marTop w:val="0"/>
      <w:marBottom w:val="0"/>
      <w:divBdr>
        <w:top w:val="none" w:sz="0" w:space="0" w:color="auto"/>
        <w:left w:val="none" w:sz="0" w:space="0" w:color="auto"/>
        <w:bottom w:val="none" w:sz="0" w:space="0" w:color="auto"/>
        <w:right w:val="none" w:sz="0" w:space="0" w:color="auto"/>
      </w:divBdr>
    </w:div>
    <w:div w:id="1379282372">
      <w:bodyDiv w:val="1"/>
      <w:marLeft w:val="0"/>
      <w:marRight w:val="0"/>
      <w:marTop w:val="0"/>
      <w:marBottom w:val="0"/>
      <w:divBdr>
        <w:top w:val="none" w:sz="0" w:space="0" w:color="auto"/>
        <w:left w:val="none" w:sz="0" w:space="0" w:color="auto"/>
        <w:bottom w:val="none" w:sz="0" w:space="0" w:color="auto"/>
        <w:right w:val="none" w:sz="0" w:space="0" w:color="auto"/>
      </w:divBdr>
    </w:div>
    <w:div w:id="1517891546">
      <w:bodyDiv w:val="1"/>
      <w:marLeft w:val="0"/>
      <w:marRight w:val="0"/>
      <w:marTop w:val="0"/>
      <w:marBottom w:val="0"/>
      <w:divBdr>
        <w:top w:val="none" w:sz="0" w:space="0" w:color="auto"/>
        <w:left w:val="none" w:sz="0" w:space="0" w:color="auto"/>
        <w:bottom w:val="none" w:sz="0" w:space="0" w:color="auto"/>
        <w:right w:val="none" w:sz="0" w:space="0" w:color="auto"/>
      </w:divBdr>
    </w:div>
    <w:div w:id="1532495296">
      <w:bodyDiv w:val="1"/>
      <w:marLeft w:val="0"/>
      <w:marRight w:val="0"/>
      <w:marTop w:val="0"/>
      <w:marBottom w:val="0"/>
      <w:divBdr>
        <w:top w:val="none" w:sz="0" w:space="0" w:color="auto"/>
        <w:left w:val="none" w:sz="0" w:space="0" w:color="auto"/>
        <w:bottom w:val="none" w:sz="0" w:space="0" w:color="auto"/>
        <w:right w:val="none" w:sz="0" w:space="0" w:color="auto"/>
      </w:divBdr>
    </w:div>
    <w:div w:id="1638953536">
      <w:bodyDiv w:val="1"/>
      <w:marLeft w:val="0"/>
      <w:marRight w:val="0"/>
      <w:marTop w:val="0"/>
      <w:marBottom w:val="0"/>
      <w:divBdr>
        <w:top w:val="none" w:sz="0" w:space="0" w:color="auto"/>
        <w:left w:val="none" w:sz="0" w:space="0" w:color="auto"/>
        <w:bottom w:val="none" w:sz="0" w:space="0" w:color="auto"/>
        <w:right w:val="none" w:sz="0" w:space="0" w:color="auto"/>
      </w:divBdr>
    </w:div>
    <w:div w:id="1703242724">
      <w:bodyDiv w:val="1"/>
      <w:marLeft w:val="0"/>
      <w:marRight w:val="0"/>
      <w:marTop w:val="0"/>
      <w:marBottom w:val="0"/>
      <w:divBdr>
        <w:top w:val="none" w:sz="0" w:space="0" w:color="auto"/>
        <w:left w:val="none" w:sz="0" w:space="0" w:color="auto"/>
        <w:bottom w:val="none" w:sz="0" w:space="0" w:color="auto"/>
        <w:right w:val="none" w:sz="0" w:space="0" w:color="auto"/>
      </w:divBdr>
    </w:div>
    <w:div w:id="1859543245">
      <w:bodyDiv w:val="1"/>
      <w:marLeft w:val="0"/>
      <w:marRight w:val="0"/>
      <w:marTop w:val="0"/>
      <w:marBottom w:val="0"/>
      <w:divBdr>
        <w:top w:val="none" w:sz="0" w:space="0" w:color="auto"/>
        <w:left w:val="none" w:sz="0" w:space="0" w:color="auto"/>
        <w:bottom w:val="none" w:sz="0" w:space="0" w:color="auto"/>
        <w:right w:val="none" w:sz="0" w:space="0" w:color="auto"/>
      </w:divBdr>
    </w:div>
    <w:div w:id="1875337774">
      <w:bodyDiv w:val="1"/>
      <w:marLeft w:val="0"/>
      <w:marRight w:val="0"/>
      <w:marTop w:val="0"/>
      <w:marBottom w:val="0"/>
      <w:divBdr>
        <w:top w:val="none" w:sz="0" w:space="0" w:color="auto"/>
        <w:left w:val="none" w:sz="0" w:space="0" w:color="auto"/>
        <w:bottom w:val="none" w:sz="0" w:space="0" w:color="auto"/>
        <w:right w:val="none" w:sz="0" w:space="0" w:color="auto"/>
      </w:divBdr>
    </w:div>
    <w:div w:id="1960918560">
      <w:bodyDiv w:val="1"/>
      <w:marLeft w:val="0"/>
      <w:marRight w:val="0"/>
      <w:marTop w:val="0"/>
      <w:marBottom w:val="0"/>
      <w:divBdr>
        <w:top w:val="none" w:sz="0" w:space="0" w:color="auto"/>
        <w:left w:val="none" w:sz="0" w:space="0" w:color="auto"/>
        <w:bottom w:val="none" w:sz="0" w:space="0" w:color="auto"/>
        <w:right w:val="none" w:sz="0" w:space="0" w:color="auto"/>
      </w:divBdr>
    </w:div>
    <w:div w:id="2038040349">
      <w:bodyDiv w:val="1"/>
      <w:marLeft w:val="0"/>
      <w:marRight w:val="0"/>
      <w:marTop w:val="0"/>
      <w:marBottom w:val="0"/>
      <w:divBdr>
        <w:top w:val="none" w:sz="0" w:space="0" w:color="auto"/>
        <w:left w:val="none" w:sz="0" w:space="0" w:color="auto"/>
        <w:bottom w:val="none" w:sz="0" w:space="0" w:color="auto"/>
        <w:right w:val="none" w:sz="0" w:space="0" w:color="auto"/>
      </w:divBdr>
    </w:div>
    <w:div w:id="2086343202">
      <w:bodyDiv w:val="1"/>
      <w:marLeft w:val="0"/>
      <w:marRight w:val="0"/>
      <w:marTop w:val="0"/>
      <w:marBottom w:val="0"/>
      <w:divBdr>
        <w:top w:val="none" w:sz="0" w:space="0" w:color="auto"/>
        <w:left w:val="none" w:sz="0" w:space="0" w:color="auto"/>
        <w:bottom w:val="none" w:sz="0" w:space="0" w:color="auto"/>
        <w:right w:val="none" w:sz="0" w:space="0" w:color="auto"/>
      </w:divBdr>
    </w:div>
    <w:div w:id="2104181973">
      <w:bodyDiv w:val="1"/>
      <w:marLeft w:val="0"/>
      <w:marRight w:val="0"/>
      <w:marTop w:val="0"/>
      <w:marBottom w:val="0"/>
      <w:divBdr>
        <w:top w:val="none" w:sz="0" w:space="0" w:color="auto"/>
        <w:left w:val="none" w:sz="0" w:space="0" w:color="auto"/>
        <w:bottom w:val="none" w:sz="0" w:space="0" w:color="auto"/>
        <w:right w:val="none" w:sz="0" w:space="0" w:color="auto"/>
      </w:divBdr>
    </w:div>
    <w:div w:id="21283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07/s00267-010-9489-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46/annurev.environ.33.020607.0955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751/ES-10753-2401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77/2158244016687611" TargetMode="External"/><Relationship Id="rId4" Type="http://schemas.openxmlformats.org/officeDocument/2006/relationships/webSettings" Target="webSettings.xml"/><Relationship Id="rId9" Type="http://schemas.openxmlformats.org/officeDocument/2006/relationships/hyperlink" Target="https://doi.org/10.1016/S0305-750X(98)00161-2" TargetMode="External"/><Relationship Id="rId14" Type="http://schemas.openxmlformats.org/officeDocument/2006/relationships/hyperlink" Target="https://www.worldbank.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Sheet1!$E$43</c:f>
              <c:strCache>
                <c:ptCount val="1"/>
                <c:pt idx="0">
                  <c:v>Percentage (%)</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Sheet1!$D$44:$D$48</c:f>
              <c:strCache>
                <c:ptCount val="5"/>
                <c:pt idx="0">
                  <c:v>133</c:v>
                </c:pt>
                <c:pt idx="1">
                  <c:v>41</c:v>
                </c:pt>
                <c:pt idx="2">
                  <c:v>135</c:v>
                </c:pt>
                <c:pt idx="3">
                  <c:v>35</c:v>
                </c:pt>
                <c:pt idx="4">
                  <c:v>—</c:v>
                </c:pt>
              </c:strCache>
            </c:strRef>
          </c:cat>
          <c:val>
            <c:numRef>
              <c:f>Sheet1!$E$44:$E$48</c:f>
              <c:numCache>
                <c:formatCode>0.00%</c:formatCode>
                <c:ptCount val="5"/>
                <c:pt idx="0">
                  <c:v>0.76400000000000001</c:v>
                </c:pt>
                <c:pt idx="1">
                  <c:v>0.23599999999999999</c:v>
                </c:pt>
                <c:pt idx="2">
                  <c:v>0.79400000000000004</c:v>
                </c:pt>
                <c:pt idx="3">
                  <c:v>0.20599999999999999</c:v>
                </c:pt>
                <c:pt idx="4" formatCode="0%">
                  <c:v>1</c:v>
                </c:pt>
              </c:numCache>
            </c:numRef>
          </c:val>
          <c:extLst>
            <c:ext xmlns:c16="http://schemas.microsoft.com/office/drawing/2014/chart" uri="{C3380CC4-5D6E-409C-BE32-E72D297353CC}">
              <c16:uniqueId val="{00000000-2E41-4FEA-9DA6-B074DDE1B645}"/>
            </c:ext>
          </c:extLst>
        </c:ser>
        <c:dLbls>
          <c:dLblPos val="inEnd"/>
          <c:showLegendKey val="0"/>
          <c:showVal val="1"/>
          <c:showCatName val="0"/>
          <c:showSerName val="0"/>
          <c:showPercent val="0"/>
          <c:showBubbleSize val="0"/>
        </c:dLbls>
        <c:gapWidth val="41"/>
        <c:axId val="389303456"/>
        <c:axId val="389303128"/>
      </c:barChart>
      <c:catAx>
        <c:axId val="389303456"/>
        <c:scaling>
          <c:orientation val="minMax"/>
        </c:scaling>
        <c:delete val="1"/>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Nchumuru</a:t>
                </a:r>
                <a:r>
                  <a:rPr lang="en-US" baseline="0"/>
                  <a:t> Commu.                         Adele Communities      </a:t>
                </a:r>
                <a:endParaRPr lang="en-US"/>
              </a:p>
            </c:rich>
          </c:tx>
          <c:layout>
            <c:manualLayout>
              <c:xMode val="edge"/>
              <c:yMode val="edge"/>
              <c:x val="4.0129483814523186E-2"/>
              <c:y val="0.898217410323709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89303128"/>
        <c:crosses val="autoZero"/>
        <c:auto val="1"/>
        <c:lblAlgn val="ctr"/>
        <c:lblOffset val="100"/>
        <c:noMultiLvlLbl val="1"/>
      </c:catAx>
      <c:valAx>
        <c:axId val="389303128"/>
        <c:scaling>
          <c:orientation val="minMax"/>
        </c:scaling>
        <c:delete val="1"/>
        <c:axPos val="l"/>
        <c:numFmt formatCode="0.00%" sourceLinked="1"/>
        <c:majorTickMark val="none"/>
        <c:minorTickMark val="none"/>
        <c:tickLblPos val="nextTo"/>
        <c:crossAx val="389303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22</Pages>
  <Words>6767</Words>
  <Characters>38578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Editor-1183</cp:lastModifiedBy>
  <cp:revision>20</cp:revision>
  <dcterms:created xsi:type="dcterms:W3CDTF">2026-04-20T22:08:00Z</dcterms:created>
  <dcterms:modified xsi:type="dcterms:W3CDTF">2026-05-12T12:15:00Z</dcterms:modified>
</cp:coreProperties>
</file>