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49B55" w14:textId="09E621F6" w:rsidR="00B62E7E" w:rsidRPr="00B62E7E" w:rsidRDefault="00B62E7E" w:rsidP="00B62E7E">
      <w:pPr>
        <w:spacing w:line="240"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 xml:space="preserve"> Assessment of the Level of </w:t>
      </w:r>
      <w:r w:rsidR="008A38D5">
        <w:rPr>
          <w:rFonts w:ascii="Times New Roman" w:hAnsi="Times New Roman" w:cs="Times New Roman"/>
          <w:b/>
          <w:bCs/>
          <w:sz w:val="24"/>
          <w:szCs w:val="24"/>
        </w:rPr>
        <w:t xml:space="preserve">Antibiotics and </w:t>
      </w:r>
      <w:r w:rsidRPr="00B62E7E">
        <w:rPr>
          <w:rFonts w:ascii="Times New Roman" w:hAnsi="Times New Roman" w:cs="Times New Roman"/>
          <w:b/>
          <w:bCs/>
          <w:sz w:val="24"/>
          <w:szCs w:val="24"/>
        </w:rPr>
        <w:t xml:space="preserve">Biocide Residues in </w:t>
      </w:r>
      <w:proofErr w:type="spellStart"/>
      <w:r w:rsidRPr="00B62E7E">
        <w:rPr>
          <w:rFonts w:ascii="Times New Roman" w:hAnsi="Times New Roman" w:cs="Times New Roman"/>
          <w:b/>
          <w:bCs/>
          <w:sz w:val="24"/>
          <w:szCs w:val="24"/>
        </w:rPr>
        <w:t>Atavu</w:t>
      </w:r>
      <w:proofErr w:type="spellEnd"/>
      <w:r w:rsidRPr="00B62E7E">
        <w:rPr>
          <w:rFonts w:ascii="Times New Roman" w:hAnsi="Times New Roman" w:cs="Times New Roman"/>
          <w:b/>
          <w:bCs/>
          <w:sz w:val="24"/>
          <w:szCs w:val="24"/>
        </w:rPr>
        <w:t xml:space="preserve"> River Stretch Passing through </w:t>
      </w:r>
      <w:proofErr w:type="spellStart"/>
      <w:r w:rsidRPr="00B62E7E">
        <w:rPr>
          <w:rFonts w:ascii="Times New Roman" w:hAnsi="Times New Roman" w:cs="Times New Roman"/>
          <w:b/>
          <w:bCs/>
          <w:sz w:val="24"/>
          <w:szCs w:val="24"/>
        </w:rPr>
        <w:t>Akpugo</w:t>
      </w:r>
      <w:proofErr w:type="spellEnd"/>
      <w:r w:rsidRPr="00B62E7E">
        <w:rPr>
          <w:rFonts w:ascii="Times New Roman" w:hAnsi="Times New Roman" w:cs="Times New Roman"/>
          <w:b/>
          <w:bCs/>
          <w:sz w:val="24"/>
          <w:szCs w:val="24"/>
        </w:rPr>
        <w:t xml:space="preserve"> and </w:t>
      </w:r>
      <w:proofErr w:type="spellStart"/>
      <w:r w:rsidRPr="00B62E7E">
        <w:rPr>
          <w:rFonts w:ascii="Times New Roman" w:hAnsi="Times New Roman" w:cs="Times New Roman"/>
          <w:b/>
          <w:bCs/>
          <w:sz w:val="24"/>
          <w:szCs w:val="24"/>
        </w:rPr>
        <w:t>Amodu</w:t>
      </w:r>
      <w:proofErr w:type="spellEnd"/>
      <w:r w:rsidRPr="00B62E7E">
        <w:rPr>
          <w:rFonts w:ascii="Times New Roman" w:hAnsi="Times New Roman" w:cs="Times New Roman"/>
          <w:b/>
          <w:bCs/>
          <w:sz w:val="24"/>
          <w:szCs w:val="24"/>
        </w:rPr>
        <w:t>, Nigeria</w:t>
      </w:r>
    </w:p>
    <w:p w14:paraId="7D8B51EB" w14:textId="77777777" w:rsidR="00B62E7E" w:rsidRPr="00B62E7E" w:rsidRDefault="00B62E7E" w:rsidP="00B62E7E">
      <w:pPr>
        <w:spacing w:line="240" w:lineRule="auto"/>
        <w:jc w:val="both"/>
        <w:rPr>
          <w:rFonts w:ascii="Times New Roman" w:hAnsi="Times New Roman" w:cs="Times New Roman"/>
          <w:sz w:val="24"/>
          <w:szCs w:val="24"/>
        </w:rPr>
      </w:pPr>
    </w:p>
    <w:p w14:paraId="64D292BD" w14:textId="77777777" w:rsidR="00B62E7E" w:rsidRPr="00B62E7E" w:rsidRDefault="00B62E7E" w:rsidP="00B62E7E">
      <w:pPr>
        <w:spacing w:line="240"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Abstract</w:t>
      </w:r>
    </w:p>
    <w:p w14:paraId="5CBEEA25" w14:textId="37D3FA26" w:rsidR="00836412" w:rsidRDefault="00836412" w:rsidP="00B62E7E">
      <w:pPr>
        <w:spacing w:line="240" w:lineRule="auto"/>
        <w:jc w:val="both"/>
        <w:rPr>
          <w:rFonts w:ascii="Times New Roman" w:hAnsi="Times New Roman" w:cs="Times New Roman"/>
          <w:sz w:val="24"/>
          <w:szCs w:val="24"/>
        </w:rPr>
      </w:pPr>
      <w:r w:rsidRPr="00836412">
        <w:rPr>
          <w:rFonts w:ascii="Times New Roman" w:hAnsi="Times New Roman" w:cs="Times New Roman"/>
          <w:sz w:val="24"/>
          <w:szCs w:val="24"/>
        </w:rPr>
        <w:t xml:space="preserve">The presence of </w:t>
      </w:r>
      <w:r w:rsidR="008A38D5">
        <w:rPr>
          <w:rFonts w:ascii="Times New Roman" w:hAnsi="Times New Roman" w:cs="Times New Roman"/>
          <w:sz w:val="24"/>
          <w:szCs w:val="24"/>
        </w:rPr>
        <w:t xml:space="preserve">antibiotics and </w:t>
      </w:r>
      <w:r w:rsidRPr="00836412">
        <w:rPr>
          <w:rFonts w:ascii="Times New Roman" w:hAnsi="Times New Roman" w:cs="Times New Roman"/>
          <w:sz w:val="24"/>
          <w:szCs w:val="24"/>
        </w:rPr>
        <w:t xml:space="preserve">biocidal agents in aquatic environments raises significant concerns due to their potential impacts on water quality and human health. This study aimed to detect residues of various </w:t>
      </w:r>
      <w:r w:rsidR="008A38D5">
        <w:rPr>
          <w:rFonts w:ascii="Times New Roman" w:hAnsi="Times New Roman" w:cs="Times New Roman"/>
          <w:sz w:val="24"/>
          <w:szCs w:val="24"/>
        </w:rPr>
        <w:t xml:space="preserve">antibiotics and </w:t>
      </w:r>
      <w:r w:rsidRPr="00836412">
        <w:rPr>
          <w:rFonts w:ascii="Times New Roman" w:hAnsi="Times New Roman" w:cs="Times New Roman"/>
          <w:sz w:val="24"/>
          <w:szCs w:val="24"/>
        </w:rPr>
        <w:t xml:space="preserve">biocides, in the </w:t>
      </w:r>
      <w:proofErr w:type="spellStart"/>
      <w:r w:rsidRPr="00836412">
        <w:rPr>
          <w:rFonts w:ascii="Times New Roman" w:hAnsi="Times New Roman" w:cs="Times New Roman"/>
          <w:sz w:val="24"/>
          <w:szCs w:val="24"/>
        </w:rPr>
        <w:t>Atavu</w:t>
      </w:r>
      <w:proofErr w:type="spellEnd"/>
      <w:r w:rsidRPr="00836412">
        <w:rPr>
          <w:rFonts w:ascii="Times New Roman" w:hAnsi="Times New Roman" w:cs="Times New Roman"/>
          <w:sz w:val="24"/>
          <w:szCs w:val="24"/>
        </w:rPr>
        <w:t xml:space="preserve"> River. Samples were collected from two distinct communities, </w:t>
      </w:r>
      <w:proofErr w:type="spellStart"/>
      <w:r w:rsidRPr="00836412">
        <w:rPr>
          <w:rFonts w:ascii="Times New Roman" w:hAnsi="Times New Roman" w:cs="Times New Roman"/>
          <w:sz w:val="24"/>
          <w:szCs w:val="24"/>
        </w:rPr>
        <w:t>Akpugo</w:t>
      </w:r>
      <w:proofErr w:type="spellEnd"/>
      <w:r w:rsidRPr="00836412">
        <w:rPr>
          <w:rFonts w:ascii="Times New Roman" w:hAnsi="Times New Roman" w:cs="Times New Roman"/>
          <w:sz w:val="24"/>
          <w:szCs w:val="24"/>
        </w:rPr>
        <w:t xml:space="preserve"> and </w:t>
      </w:r>
      <w:proofErr w:type="spellStart"/>
      <w:r w:rsidRPr="00836412">
        <w:rPr>
          <w:rFonts w:ascii="Times New Roman" w:hAnsi="Times New Roman" w:cs="Times New Roman"/>
          <w:sz w:val="24"/>
          <w:szCs w:val="24"/>
        </w:rPr>
        <w:t>Amodu</w:t>
      </w:r>
      <w:proofErr w:type="spellEnd"/>
      <w:r w:rsidRPr="00836412">
        <w:rPr>
          <w:rFonts w:ascii="Times New Roman" w:hAnsi="Times New Roman" w:cs="Times New Roman"/>
          <w:sz w:val="24"/>
          <w:szCs w:val="24"/>
        </w:rPr>
        <w:t xml:space="preserve">, along the river stretch, as well as from a spring water source located on the same river site at </w:t>
      </w:r>
      <w:proofErr w:type="spellStart"/>
      <w:r w:rsidRPr="00836412">
        <w:rPr>
          <w:rFonts w:ascii="Times New Roman" w:hAnsi="Times New Roman" w:cs="Times New Roman"/>
          <w:sz w:val="24"/>
          <w:szCs w:val="24"/>
        </w:rPr>
        <w:t>Akpugo</w:t>
      </w:r>
      <w:proofErr w:type="spellEnd"/>
      <w:r w:rsidRPr="00836412">
        <w:rPr>
          <w:rFonts w:ascii="Times New Roman" w:hAnsi="Times New Roman" w:cs="Times New Roman"/>
          <w:sz w:val="24"/>
          <w:szCs w:val="24"/>
        </w:rPr>
        <w:t xml:space="preserve">, Enugu. Fourteen (14) </w:t>
      </w:r>
      <w:r w:rsidR="008A38D5">
        <w:rPr>
          <w:rFonts w:ascii="Times New Roman" w:hAnsi="Times New Roman" w:cs="Times New Roman"/>
          <w:sz w:val="24"/>
          <w:szCs w:val="24"/>
        </w:rPr>
        <w:t xml:space="preserve">antimicrobial (antibiotics and </w:t>
      </w:r>
      <w:r w:rsidRPr="00836412">
        <w:rPr>
          <w:rFonts w:ascii="Times New Roman" w:hAnsi="Times New Roman" w:cs="Times New Roman"/>
          <w:sz w:val="24"/>
          <w:szCs w:val="24"/>
        </w:rPr>
        <w:t>biocides</w:t>
      </w:r>
      <w:r w:rsidR="008A38D5">
        <w:rPr>
          <w:rFonts w:ascii="Times New Roman" w:hAnsi="Times New Roman" w:cs="Times New Roman"/>
          <w:sz w:val="24"/>
          <w:szCs w:val="24"/>
        </w:rPr>
        <w:t>)</w:t>
      </w:r>
      <w:r w:rsidRPr="00836412">
        <w:rPr>
          <w:rFonts w:ascii="Times New Roman" w:hAnsi="Times New Roman" w:cs="Times New Roman"/>
          <w:sz w:val="24"/>
          <w:szCs w:val="24"/>
        </w:rPr>
        <w:t xml:space="preserve"> from the rivers randomly collected from the head, mid, and tail regions and spring water were analyzed using a Gas Chromatography Flame Ionization Detector (GC-FID). Different levels of </w:t>
      </w:r>
      <w:r w:rsidR="00133AA7">
        <w:rPr>
          <w:rFonts w:ascii="Times New Roman" w:hAnsi="Times New Roman" w:cs="Times New Roman"/>
          <w:sz w:val="24"/>
          <w:szCs w:val="24"/>
        </w:rPr>
        <w:t xml:space="preserve">antibiotics and </w:t>
      </w:r>
      <w:r w:rsidRPr="00836412">
        <w:rPr>
          <w:rFonts w:ascii="Times New Roman" w:hAnsi="Times New Roman" w:cs="Times New Roman"/>
          <w:sz w:val="24"/>
          <w:szCs w:val="24"/>
        </w:rPr>
        <w:t xml:space="preserve">biocides were recorded in the head, mid and tail regions of the river within both communities. Notably, concentration of tetracycline among all detected biocides in the river samples from </w:t>
      </w:r>
      <w:proofErr w:type="spellStart"/>
      <w:r w:rsidRPr="00836412">
        <w:rPr>
          <w:rFonts w:ascii="Times New Roman" w:hAnsi="Times New Roman" w:cs="Times New Roman"/>
          <w:sz w:val="24"/>
          <w:szCs w:val="24"/>
        </w:rPr>
        <w:t>Akpugo</w:t>
      </w:r>
      <w:proofErr w:type="spellEnd"/>
      <w:r w:rsidRPr="00836412">
        <w:rPr>
          <w:rFonts w:ascii="Times New Roman" w:hAnsi="Times New Roman" w:cs="Times New Roman"/>
          <w:sz w:val="24"/>
          <w:szCs w:val="24"/>
        </w:rPr>
        <w:t xml:space="preserve">, and </w:t>
      </w:r>
      <w:proofErr w:type="spellStart"/>
      <w:r w:rsidRPr="00836412">
        <w:rPr>
          <w:rFonts w:ascii="Times New Roman" w:hAnsi="Times New Roman" w:cs="Times New Roman"/>
          <w:sz w:val="24"/>
          <w:szCs w:val="24"/>
        </w:rPr>
        <w:t>Amodu</w:t>
      </w:r>
      <w:proofErr w:type="spellEnd"/>
      <w:r w:rsidRPr="00836412">
        <w:rPr>
          <w:rFonts w:ascii="Times New Roman" w:hAnsi="Times New Roman" w:cs="Times New Roman"/>
          <w:sz w:val="24"/>
          <w:szCs w:val="24"/>
        </w:rPr>
        <w:t xml:space="preserve"> ranges from 0.10-0.19ug/ml and 0.50 -0.65ug/ml, respectively. Other biocides which include penicillin, dicloxacillin, oxacillin, </w:t>
      </w:r>
      <w:proofErr w:type="spellStart"/>
      <w:r w:rsidRPr="00836412">
        <w:rPr>
          <w:rFonts w:ascii="Times New Roman" w:hAnsi="Times New Roman" w:cs="Times New Roman"/>
          <w:sz w:val="24"/>
          <w:szCs w:val="24"/>
        </w:rPr>
        <w:t>Amoxacillin</w:t>
      </w:r>
      <w:proofErr w:type="spellEnd"/>
      <w:r w:rsidRPr="00836412">
        <w:rPr>
          <w:rFonts w:ascii="Times New Roman" w:hAnsi="Times New Roman" w:cs="Times New Roman"/>
          <w:sz w:val="24"/>
          <w:szCs w:val="24"/>
        </w:rPr>
        <w:t xml:space="preserve">, Ampicillin, </w:t>
      </w:r>
      <w:proofErr w:type="spellStart"/>
      <w:r w:rsidRPr="00836412">
        <w:rPr>
          <w:rFonts w:ascii="Times New Roman" w:hAnsi="Times New Roman" w:cs="Times New Roman"/>
          <w:sz w:val="24"/>
          <w:szCs w:val="24"/>
        </w:rPr>
        <w:t>Avilamycin</w:t>
      </w:r>
      <w:proofErr w:type="spellEnd"/>
      <w:r w:rsidRPr="00836412">
        <w:rPr>
          <w:rFonts w:ascii="Times New Roman" w:hAnsi="Times New Roman" w:cs="Times New Roman"/>
          <w:sz w:val="24"/>
          <w:szCs w:val="24"/>
        </w:rPr>
        <w:t xml:space="preserve">, Gentamycin, Colistin, Lincomycin and </w:t>
      </w:r>
      <w:proofErr w:type="spellStart"/>
      <w:r w:rsidRPr="00836412">
        <w:rPr>
          <w:rFonts w:ascii="Times New Roman" w:hAnsi="Times New Roman" w:cs="Times New Roman"/>
          <w:sz w:val="24"/>
          <w:szCs w:val="24"/>
        </w:rPr>
        <w:t>Tylosin</w:t>
      </w:r>
      <w:proofErr w:type="spellEnd"/>
      <w:r w:rsidRPr="00836412">
        <w:rPr>
          <w:rFonts w:ascii="Times New Roman" w:hAnsi="Times New Roman" w:cs="Times New Roman"/>
          <w:sz w:val="24"/>
          <w:szCs w:val="24"/>
        </w:rPr>
        <w:t xml:space="preserve"> gave a concentration range of 0.01 – 0.18ug/ml. The pesticide aldrin (0.01ug/ml) and an antimalarial parent compound, quinoline (0.03ug/ml) was detected in mid region of </w:t>
      </w:r>
      <w:proofErr w:type="spellStart"/>
      <w:r w:rsidRPr="00836412">
        <w:rPr>
          <w:rFonts w:ascii="Times New Roman" w:hAnsi="Times New Roman" w:cs="Times New Roman"/>
          <w:sz w:val="24"/>
          <w:szCs w:val="24"/>
        </w:rPr>
        <w:t>Akpugo</w:t>
      </w:r>
      <w:proofErr w:type="spellEnd"/>
      <w:r w:rsidRPr="00836412">
        <w:rPr>
          <w:rFonts w:ascii="Times New Roman" w:hAnsi="Times New Roman" w:cs="Times New Roman"/>
          <w:sz w:val="24"/>
          <w:szCs w:val="24"/>
        </w:rPr>
        <w:t xml:space="preserve"> and head and downstream region of Amodu rivers respectively. Lincomycin and quinoline (0.01ug/ml) were detected in the spring water from Amodu respectively. The pervasive presence of </w:t>
      </w:r>
      <w:r w:rsidR="00133AA7">
        <w:rPr>
          <w:rFonts w:ascii="Times New Roman" w:hAnsi="Times New Roman" w:cs="Times New Roman"/>
          <w:sz w:val="24"/>
          <w:szCs w:val="24"/>
        </w:rPr>
        <w:t xml:space="preserve">antibiotics and </w:t>
      </w:r>
      <w:r w:rsidRPr="00836412">
        <w:rPr>
          <w:rFonts w:ascii="Times New Roman" w:hAnsi="Times New Roman" w:cs="Times New Roman"/>
          <w:sz w:val="24"/>
          <w:szCs w:val="24"/>
        </w:rPr>
        <w:t>biocidal residues in both the river and spring water is a considerable concern, as the river serves as a crucial source of drinking water and is utilized for agricultural activities, while the spring water is the primary source of potable water for the community. This persistent exposure to</w:t>
      </w:r>
      <w:r w:rsidR="00133AA7">
        <w:rPr>
          <w:rFonts w:ascii="Times New Roman" w:hAnsi="Times New Roman" w:cs="Times New Roman"/>
          <w:sz w:val="24"/>
          <w:szCs w:val="24"/>
        </w:rPr>
        <w:t xml:space="preserve"> antibiotics </w:t>
      </w:r>
      <w:proofErr w:type="gramStart"/>
      <w:r w:rsidR="00133AA7">
        <w:rPr>
          <w:rFonts w:ascii="Times New Roman" w:hAnsi="Times New Roman" w:cs="Times New Roman"/>
          <w:sz w:val="24"/>
          <w:szCs w:val="24"/>
        </w:rPr>
        <w:t xml:space="preserve">and </w:t>
      </w:r>
      <w:r w:rsidRPr="00836412">
        <w:rPr>
          <w:rFonts w:ascii="Times New Roman" w:hAnsi="Times New Roman" w:cs="Times New Roman"/>
          <w:sz w:val="24"/>
          <w:szCs w:val="24"/>
        </w:rPr>
        <w:t xml:space="preserve"> biocide</w:t>
      </w:r>
      <w:proofErr w:type="gramEnd"/>
      <w:r w:rsidRPr="00836412">
        <w:rPr>
          <w:rFonts w:ascii="Times New Roman" w:hAnsi="Times New Roman" w:cs="Times New Roman"/>
          <w:sz w:val="24"/>
          <w:szCs w:val="24"/>
        </w:rPr>
        <w:t>-laden waters suggests a potential for adverse health effects and the development of resistance in microbial populations, highlighting an urgent need for intervention.</w:t>
      </w:r>
    </w:p>
    <w:p w14:paraId="34FB89B2" w14:textId="51EE9E8D" w:rsidR="00217499" w:rsidRPr="00B62E7E" w:rsidRDefault="00217499" w:rsidP="00B62E7E">
      <w:pPr>
        <w:spacing w:line="240" w:lineRule="auto"/>
        <w:jc w:val="both"/>
        <w:rPr>
          <w:rFonts w:ascii="Times New Roman" w:hAnsi="Times New Roman" w:cs="Times New Roman"/>
          <w:sz w:val="24"/>
          <w:szCs w:val="24"/>
        </w:rPr>
      </w:pPr>
      <w:r w:rsidRPr="00217499">
        <w:rPr>
          <w:rFonts w:ascii="Times New Roman" w:hAnsi="Times New Roman" w:cs="Times New Roman"/>
          <w:b/>
          <w:bCs/>
          <w:sz w:val="24"/>
          <w:szCs w:val="24"/>
        </w:rPr>
        <w:t>KEY WORDS</w:t>
      </w:r>
      <w:r>
        <w:rPr>
          <w:rFonts w:ascii="Times New Roman" w:hAnsi="Times New Roman" w:cs="Times New Roman"/>
          <w:sz w:val="24"/>
          <w:szCs w:val="24"/>
        </w:rPr>
        <w:t xml:space="preserve">: </w:t>
      </w:r>
      <w:r w:rsidR="0018734B">
        <w:rPr>
          <w:rFonts w:ascii="Times New Roman" w:hAnsi="Times New Roman" w:cs="Times New Roman"/>
          <w:sz w:val="24"/>
          <w:szCs w:val="24"/>
        </w:rPr>
        <w:t xml:space="preserve">Antibiotics, </w:t>
      </w:r>
      <w:r w:rsidRPr="00217499">
        <w:rPr>
          <w:rFonts w:ascii="Times New Roman" w:hAnsi="Times New Roman" w:cs="Times New Roman"/>
          <w:sz w:val="24"/>
          <w:szCs w:val="24"/>
        </w:rPr>
        <w:t>Biocide</w:t>
      </w:r>
      <w:r>
        <w:rPr>
          <w:rFonts w:ascii="Times New Roman" w:hAnsi="Times New Roman" w:cs="Times New Roman"/>
          <w:sz w:val="24"/>
          <w:szCs w:val="24"/>
        </w:rPr>
        <w:t xml:space="preserve">, </w:t>
      </w:r>
      <w:proofErr w:type="spellStart"/>
      <w:r w:rsidRPr="00217499">
        <w:rPr>
          <w:rFonts w:ascii="Times New Roman" w:hAnsi="Times New Roman" w:cs="Times New Roman"/>
          <w:sz w:val="24"/>
          <w:szCs w:val="24"/>
        </w:rPr>
        <w:t>Atavu</w:t>
      </w:r>
      <w:proofErr w:type="spellEnd"/>
      <w:r w:rsidRPr="00217499">
        <w:rPr>
          <w:rFonts w:ascii="Times New Roman" w:hAnsi="Times New Roman" w:cs="Times New Roman"/>
          <w:sz w:val="24"/>
          <w:szCs w:val="24"/>
        </w:rPr>
        <w:t xml:space="preserve"> Rive</w:t>
      </w:r>
      <w:r w:rsidR="002A2EDF">
        <w:rPr>
          <w:rFonts w:ascii="Times New Roman" w:hAnsi="Times New Roman" w:cs="Times New Roman"/>
          <w:sz w:val="24"/>
          <w:szCs w:val="24"/>
        </w:rPr>
        <w:t>r</w:t>
      </w:r>
      <w:r w:rsidR="0018734B">
        <w:rPr>
          <w:rFonts w:ascii="Times New Roman" w:hAnsi="Times New Roman" w:cs="Times New Roman"/>
          <w:sz w:val="24"/>
          <w:szCs w:val="24"/>
        </w:rPr>
        <w:t xml:space="preserve">, </w:t>
      </w:r>
      <w:r w:rsidRPr="00217499">
        <w:rPr>
          <w:rFonts w:ascii="Times New Roman" w:hAnsi="Times New Roman" w:cs="Times New Roman"/>
          <w:sz w:val="24"/>
          <w:szCs w:val="24"/>
        </w:rPr>
        <w:t>Water Quality</w:t>
      </w:r>
      <w:r w:rsidR="0018734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17499">
        <w:rPr>
          <w:rFonts w:ascii="Times New Roman" w:hAnsi="Times New Roman" w:cs="Times New Roman"/>
          <w:sz w:val="24"/>
          <w:szCs w:val="24"/>
        </w:rPr>
        <w:t>GC-FID</w:t>
      </w:r>
    </w:p>
    <w:p w14:paraId="455A241A" w14:textId="16F11714" w:rsidR="00B62E7E" w:rsidRPr="00B62E7E" w:rsidRDefault="00217499" w:rsidP="00B62E7E">
      <w:pPr>
        <w:spacing w:line="240"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INTRODUCTION</w:t>
      </w:r>
    </w:p>
    <w:p w14:paraId="4BB2E8BB" w14:textId="512EEC95"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Water bodies worldwide, including rivers, lakes, and streams, are increasingly threatened by pollution from various anthropogenic activities. Among these, the contamination of water resources by biocides, such as pesticides, fungicides, and antimicrobial agents, has emerged as a significant environmental and public health concern. </w:t>
      </w:r>
      <w:r w:rsidR="002A2EDF">
        <w:rPr>
          <w:rFonts w:ascii="Times New Roman" w:hAnsi="Times New Roman" w:cs="Times New Roman"/>
          <w:sz w:val="24"/>
          <w:szCs w:val="24"/>
        </w:rPr>
        <w:t xml:space="preserve">Antibiotics and </w:t>
      </w:r>
      <w:r w:rsidR="00BD5353">
        <w:rPr>
          <w:rFonts w:ascii="Times New Roman" w:hAnsi="Times New Roman" w:cs="Times New Roman"/>
          <w:sz w:val="24"/>
          <w:szCs w:val="24"/>
        </w:rPr>
        <w:t>b</w:t>
      </w:r>
      <w:r w:rsidRPr="00B62E7E">
        <w:rPr>
          <w:rFonts w:ascii="Times New Roman" w:hAnsi="Times New Roman" w:cs="Times New Roman"/>
          <w:sz w:val="24"/>
          <w:szCs w:val="24"/>
        </w:rPr>
        <w:t>iocides are widely used in agriculture, industry, and domestic settings to control pests, diseases, and microbial growth. However, their indiscriminate use and improper disposal have led to their accumulation in the environment, particularly in water bodies, through runoff, leaching, and effluent discharge (</w:t>
      </w:r>
      <w:r w:rsidR="000A7FEC" w:rsidRPr="000A7FEC">
        <w:rPr>
          <w:rFonts w:ascii="Times New Roman" w:hAnsi="Times New Roman" w:cs="Times New Roman"/>
          <w:sz w:val="24"/>
          <w:szCs w:val="24"/>
        </w:rPr>
        <w:t>Acharya</w:t>
      </w:r>
      <w:r w:rsidR="000A7FEC">
        <w:rPr>
          <w:rFonts w:ascii="Times New Roman" w:hAnsi="Times New Roman" w:cs="Times New Roman"/>
          <w:sz w:val="24"/>
          <w:szCs w:val="24"/>
        </w:rPr>
        <w:t xml:space="preserve"> et al., 2025;</w:t>
      </w:r>
      <w:r w:rsidR="000A7FEC" w:rsidRPr="000A7FEC">
        <w:rPr>
          <w:rFonts w:ascii="Times New Roman" w:hAnsi="Times New Roman" w:cs="Times New Roman"/>
          <w:sz w:val="24"/>
          <w:szCs w:val="24"/>
        </w:rPr>
        <w:t xml:space="preserve"> </w:t>
      </w:r>
      <w:proofErr w:type="spellStart"/>
      <w:r w:rsidRPr="00B62E7E">
        <w:rPr>
          <w:rFonts w:ascii="Times New Roman" w:hAnsi="Times New Roman" w:cs="Times New Roman"/>
          <w:sz w:val="24"/>
          <w:szCs w:val="24"/>
        </w:rPr>
        <w:t>Akhta</w:t>
      </w:r>
      <w:proofErr w:type="spellEnd"/>
      <w:r w:rsidRPr="00B62E7E">
        <w:rPr>
          <w:rFonts w:ascii="Times New Roman" w:hAnsi="Times New Roman" w:cs="Times New Roman"/>
          <w:sz w:val="24"/>
          <w:szCs w:val="24"/>
        </w:rPr>
        <w:t xml:space="preserve"> et al., 2021</w:t>
      </w:r>
      <w:r w:rsidR="00872C65">
        <w:rPr>
          <w:rFonts w:ascii="Times New Roman" w:hAnsi="Times New Roman" w:cs="Times New Roman"/>
          <w:sz w:val="24"/>
          <w:szCs w:val="24"/>
        </w:rPr>
        <w:t>)</w:t>
      </w:r>
      <w:r w:rsidRPr="00B62E7E">
        <w:rPr>
          <w:rFonts w:ascii="Times New Roman" w:hAnsi="Times New Roman" w:cs="Times New Roman"/>
          <w:sz w:val="24"/>
          <w:szCs w:val="24"/>
        </w:rPr>
        <w:t>.</w:t>
      </w:r>
    </w:p>
    <w:p w14:paraId="270306EC" w14:textId="13482241"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The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River stretch passing through </w:t>
      </w:r>
      <w:proofErr w:type="spellStart"/>
      <w:r w:rsidRPr="00B62E7E">
        <w:rPr>
          <w:rFonts w:ascii="Times New Roman" w:hAnsi="Times New Roman" w:cs="Times New Roman"/>
          <w:sz w:val="24"/>
          <w:szCs w:val="24"/>
        </w:rPr>
        <w:t>Akpugo</w:t>
      </w:r>
      <w:proofErr w:type="spellEnd"/>
      <w:r w:rsidRPr="00B62E7E">
        <w:rPr>
          <w:rFonts w:ascii="Times New Roman" w:hAnsi="Times New Roman" w:cs="Times New Roman"/>
          <w:sz w:val="24"/>
          <w:szCs w:val="24"/>
        </w:rPr>
        <w:t xml:space="preserve"> and </w:t>
      </w:r>
      <w:proofErr w:type="spellStart"/>
      <w:r w:rsidRPr="00B62E7E">
        <w:rPr>
          <w:rFonts w:ascii="Times New Roman" w:hAnsi="Times New Roman" w:cs="Times New Roman"/>
          <w:sz w:val="24"/>
          <w:szCs w:val="24"/>
        </w:rPr>
        <w:t>Amodu</w:t>
      </w:r>
      <w:proofErr w:type="spellEnd"/>
      <w:r w:rsidRPr="00B62E7E">
        <w:rPr>
          <w:rFonts w:ascii="Times New Roman" w:hAnsi="Times New Roman" w:cs="Times New Roman"/>
          <w:sz w:val="24"/>
          <w:szCs w:val="24"/>
        </w:rPr>
        <w:t xml:space="preserve"> in Nigeria is a vital water resource supporting local communities, agriculture, and ecosystems. Despite its importance, this river stretch is potentially vulnerable to pollution from agricultural runoff, industrial effluents, and domestic waste, which may contain residues of biocides. The presence of these residues in water </w:t>
      </w:r>
      <w:r w:rsidRPr="00B62E7E">
        <w:rPr>
          <w:rFonts w:ascii="Times New Roman" w:hAnsi="Times New Roman" w:cs="Times New Roman"/>
          <w:sz w:val="24"/>
          <w:szCs w:val="24"/>
        </w:rPr>
        <w:lastRenderedPageBreak/>
        <w:t>bodies can have detrimental effects on aquatic life, human health, and the overall ecosystem balance (</w:t>
      </w:r>
      <w:proofErr w:type="gramStart"/>
      <w:r w:rsidR="00113054" w:rsidRPr="00113054">
        <w:rPr>
          <w:rFonts w:ascii="Times New Roman" w:hAnsi="Times New Roman" w:cs="Times New Roman"/>
          <w:sz w:val="24"/>
          <w:szCs w:val="24"/>
        </w:rPr>
        <w:t xml:space="preserve">Jimenez </w:t>
      </w:r>
      <w:r w:rsidR="00113054">
        <w:rPr>
          <w:rFonts w:ascii="Times New Roman" w:hAnsi="Times New Roman" w:cs="Times New Roman"/>
          <w:sz w:val="24"/>
          <w:szCs w:val="24"/>
        </w:rPr>
        <w:t xml:space="preserve"> et al.</w:t>
      </w:r>
      <w:proofErr w:type="gramEnd"/>
      <w:r w:rsidR="00113054">
        <w:rPr>
          <w:rFonts w:ascii="Times New Roman" w:hAnsi="Times New Roman" w:cs="Times New Roman"/>
          <w:sz w:val="24"/>
          <w:szCs w:val="24"/>
        </w:rPr>
        <w:t xml:space="preserve">, 2023; </w:t>
      </w:r>
      <w:r w:rsidRPr="00B62E7E">
        <w:rPr>
          <w:rFonts w:ascii="Times New Roman" w:hAnsi="Times New Roman" w:cs="Times New Roman"/>
          <w:sz w:val="24"/>
          <w:szCs w:val="24"/>
        </w:rPr>
        <w:t>Kübler-Ross, 2014).</w:t>
      </w:r>
    </w:p>
    <w:p w14:paraId="46CEFB6A" w14:textId="3E38B8CE" w:rsidR="00696469"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Given the critical role of water quality in sustaining life and the environment, it is essential to monitor and assess the levels of biocide residues in water resources. Recent studies emphasize the importance of understanding the environmental and health implications of biocide use (Tomasello et al., 2003). This study aims to evaluate the extent of</w:t>
      </w:r>
      <w:r w:rsidR="002A2EDF">
        <w:rPr>
          <w:rFonts w:ascii="Times New Roman" w:hAnsi="Times New Roman" w:cs="Times New Roman"/>
          <w:sz w:val="24"/>
          <w:szCs w:val="24"/>
        </w:rPr>
        <w:t xml:space="preserve"> antibiotics and</w:t>
      </w:r>
      <w:r w:rsidRPr="00B62E7E">
        <w:rPr>
          <w:rFonts w:ascii="Times New Roman" w:hAnsi="Times New Roman" w:cs="Times New Roman"/>
          <w:sz w:val="24"/>
          <w:szCs w:val="24"/>
        </w:rPr>
        <w:t xml:space="preserve"> biocide contamination in the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River stretch and a spring water, providing valuable insights into the environmental and health implications of biocide use in the region.</w:t>
      </w:r>
    </w:p>
    <w:p w14:paraId="0322BF77" w14:textId="6F7D98F5" w:rsidR="00B62E7E" w:rsidRPr="00B62E7E" w:rsidRDefault="00217499" w:rsidP="00B62E7E">
      <w:pPr>
        <w:spacing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 xml:space="preserve">METHODOLOGY </w:t>
      </w:r>
    </w:p>
    <w:p w14:paraId="6717F632" w14:textId="77777777" w:rsidR="00B62E7E" w:rsidRPr="00B62E7E" w:rsidRDefault="00B62E7E" w:rsidP="000853F4">
      <w:pPr>
        <w:spacing w:after="0" w:line="276" w:lineRule="auto"/>
        <w:jc w:val="both"/>
        <w:rPr>
          <w:rFonts w:ascii="Times New Roman" w:hAnsi="Times New Roman" w:cs="Times New Roman"/>
          <w:b/>
          <w:bCs/>
          <w:sz w:val="24"/>
          <w:szCs w:val="24"/>
        </w:rPr>
      </w:pPr>
      <w:r w:rsidRPr="00B62E7E">
        <w:rPr>
          <w:rFonts w:ascii="Times New Roman" w:hAnsi="Times New Roman" w:cs="Times New Roman"/>
          <w:b/>
          <w:bCs/>
          <w:sz w:val="24"/>
          <w:szCs w:val="24"/>
        </w:rPr>
        <w:t>Study Area and Sampling Design</w:t>
      </w:r>
    </w:p>
    <w:p w14:paraId="1D4CBE53" w14:textId="3B9FA73C" w:rsidR="00B62E7E" w:rsidRPr="00B62E7E" w:rsidRDefault="00B62E7E" w:rsidP="000853F4">
      <w:pPr>
        <w:spacing w:after="0"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Water samples were collected in May 2024 during a single sampling campaign conducted in the wet season, a period characteristic of tropical regions. The first part of the experiment was carried out on the water samples gotten from river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located at </w:t>
      </w:r>
      <w:proofErr w:type="spellStart"/>
      <w:r w:rsidRPr="00B62E7E">
        <w:rPr>
          <w:rFonts w:ascii="Times New Roman" w:hAnsi="Times New Roman" w:cs="Times New Roman"/>
          <w:sz w:val="24"/>
          <w:szCs w:val="24"/>
        </w:rPr>
        <w:t>Akpugo</w:t>
      </w:r>
      <w:proofErr w:type="spellEnd"/>
      <w:r w:rsidRPr="00B62E7E">
        <w:rPr>
          <w:rFonts w:ascii="Times New Roman" w:hAnsi="Times New Roman" w:cs="Times New Roman"/>
          <w:sz w:val="24"/>
          <w:szCs w:val="24"/>
        </w:rPr>
        <w:t xml:space="preserve">, while the second phase consists of the water samples gotten from the same river </w:t>
      </w:r>
      <w:proofErr w:type="spellStart"/>
      <w:r w:rsidRPr="00B62E7E">
        <w:rPr>
          <w:rFonts w:ascii="Times New Roman" w:hAnsi="Times New Roman" w:cs="Times New Roman"/>
          <w:sz w:val="24"/>
          <w:szCs w:val="24"/>
        </w:rPr>
        <w:t>atavu</w:t>
      </w:r>
      <w:proofErr w:type="spellEnd"/>
      <w:r w:rsidRPr="00B62E7E">
        <w:rPr>
          <w:rFonts w:ascii="Times New Roman" w:hAnsi="Times New Roman" w:cs="Times New Roman"/>
          <w:sz w:val="24"/>
          <w:szCs w:val="24"/>
        </w:rPr>
        <w:t xml:space="preserve"> but located at Amodu both in Nkanu west LGA, Enugu State, </w:t>
      </w:r>
      <w:proofErr w:type="gramStart"/>
      <w:r w:rsidRPr="00B62E7E">
        <w:rPr>
          <w:rFonts w:ascii="Times New Roman" w:hAnsi="Times New Roman" w:cs="Times New Roman"/>
          <w:sz w:val="24"/>
          <w:szCs w:val="24"/>
        </w:rPr>
        <w:t>Nigeria .</w:t>
      </w:r>
      <w:proofErr w:type="gramEnd"/>
      <w:r w:rsidRPr="00B62E7E">
        <w:rPr>
          <w:rFonts w:ascii="Times New Roman" w:hAnsi="Times New Roman" w:cs="Times New Roman"/>
          <w:sz w:val="24"/>
          <w:szCs w:val="24"/>
        </w:rPr>
        <w:t xml:space="preserve"> This season was intentionally chosen because it coincides with increased water flow, agricultural runoff, and variations in antibiotic consumption patterns due to changes in disease incidence and tourism activity.</w:t>
      </w:r>
    </w:p>
    <w:p w14:paraId="242E3EAF" w14:textId="0EF1B69F"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The study covered four sampling points in total — three from the river and one from a spring water source used for drinking. The river sampling points included: Upstream: representing areas with minimal anthropogenic influence, located away from residential or agricultural activities, Midstream: representing areas moderately influenced by human and agricultural activities, and Downstream: representing areas of higher anthropogenic pressure, located near settlements and livestock farms. The spring water sample was obtained from a local drinking-water source situated within the same hydrological catchment.</w:t>
      </w:r>
    </w:p>
    <w:p w14:paraId="1D2792D2" w14:textId="77777777" w:rsidR="00B62E7E" w:rsidRPr="00404A25" w:rsidRDefault="00B62E7E" w:rsidP="00B62E7E">
      <w:pPr>
        <w:spacing w:line="276" w:lineRule="auto"/>
        <w:jc w:val="both"/>
        <w:rPr>
          <w:rFonts w:ascii="Times New Roman" w:hAnsi="Times New Roman" w:cs="Times New Roman"/>
          <w:sz w:val="24"/>
          <w:szCs w:val="24"/>
        </w:rPr>
      </w:pPr>
      <w:r w:rsidRPr="00404A25">
        <w:rPr>
          <w:rFonts w:ascii="Times New Roman" w:hAnsi="Times New Roman" w:cs="Times New Roman"/>
          <w:sz w:val="24"/>
          <w:szCs w:val="24"/>
        </w:rPr>
        <w:t xml:space="preserve">These sites were selected to reflect a gradient of anthropogenic impact, ranging from low (upstream) to high (downstream), enabling comparison of antibiotic concentrations under varying levels of human, agricultural, and livestock pressure.  </w:t>
      </w:r>
    </w:p>
    <w:p w14:paraId="747FB55F" w14:textId="77777777" w:rsidR="00B62E7E" w:rsidRPr="00404A25" w:rsidRDefault="00B62E7E" w:rsidP="000853F4">
      <w:pPr>
        <w:spacing w:after="0" w:line="276" w:lineRule="auto"/>
        <w:jc w:val="both"/>
        <w:rPr>
          <w:rFonts w:ascii="Times New Roman" w:hAnsi="Times New Roman" w:cs="Times New Roman"/>
          <w:b/>
          <w:bCs/>
          <w:sz w:val="24"/>
          <w:szCs w:val="24"/>
        </w:rPr>
      </w:pPr>
      <w:r w:rsidRPr="00404A25">
        <w:rPr>
          <w:rFonts w:ascii="Times New Roman" w:hAnsi="Times New Roman" w:cs="Times New Roman"/>
          <w:b/>
          <w:bCs/>
          <w:sz w:val="24"/>
          <w:szCs w:val="24"/>
        </w:rPr>
        <w:t>Field Measurements</w:t>
      </w:r>
    </w:p>
    <w:p w14:paraId="4C1A38F2" w14:textId="306B98E5" w:rsidR="00B62E7E" w:rsidRPr="00404A25" w:rsidRDefault="00B62E7E" w:rsidP="000853F4">
      <w:pPr>
        <w:spacing w:after="0" w:line="276" w:lineRule="auto"/>
        <w:jc w:val="both"/>
        <w:rPr>
          <w:rFonts w:ascii="Times New Roman" w:hAnsi="Times New Roman" w:cs="Times New Roman"/>
          <w:sz w:val="24"/>
          <w:szCs w:val="24"/>
        </w:rPr>
      </w:pPr>
      <w:r w:rsidRPr="00404A25">
        <w:rPr>
          <w:rFonts w:ascii="Times New Roman" w:hAnsi="Times New Roman" w:cs="Times New Roman"/>
          <w:sz w:val="24"/>
          <w:szCs w:val="24"/>
        </w:rPr>
        <w:t>At each sampling location, in-situ measurements of key physicochemical parameters were taken immediately after sample collection: Water Temperature (°C) and Electrolytic Conductivity (EC at 25°C) were measured using a handheld multiparameter probe. pH was determined on-site using a calibrated digital pH meter.</w:t>
      </w:r>
    </w:p>
    <w:p w14:paraId="2507862A" w14:textId="77777777" w:rsidR="00B62E7E" w:rsidRPr="00404A25" w:rsidRDefault="00B62E7E" w:rsidP="000853F4">
      <w:pPr>
        <w:spacing w:after="0" w:line="276" w:lineRule="auto"/>
        <w:jc w:val="both"/>
        <w:rPr>
          <w:rFonts w:ascii="Times New Roman" w:hAnsi="Times New Roman" w:cs="Times New Roman"/>
          <w:b/>
          <w:bCs/>
          <w:sz w:val="24"/>
          <w:szCs w:val="24"/>
        </w:rPr>
      </w:pPr>
      <w:r w:rsidRPr="00404A25">
        <w:rPr>
          <w:rFonts w:ascii="Times New Roman" w:hAnsi="Times New Roman" w:cs="Times New Roman"/>
          <w:b/>
          <w:bCs/>
          <w:sz w:val="24"/>
          <w:szCs w:val="24"/>
        </w:rPr>
        <w:t>Sample Collection and Preservation</w:t>
      </w:r>
    </w:p>
    <w:p w14:paraId="60DB1476" w14:textId="2AD55BB0" w:rsidR="00B62E7E" w:rsidRDefault="00B62E7E" w:rsidP="000853F4">
      <w:pPr>
        <w:spacing w:after="0" w:line="276" w:lineRule="auto"/>
        <w:jc w:val="both"/>
        <w:rPr>
          <w:rFonts w:ascii="Times New Roman" w:hAnsi="Times New Roman" w:cs="Times New Roman"/>
          <w:sz w:val="24"/>
          <w:szCs w:val="24"/>
        </w:rPr>
      </w:pPr>
      <w:r w:rsidRPr="00404A25">
        <w:rPr>
          <w:rFonts w:ascii="Times New Roman" w:hAnsi="Times New Roman" w:cs="Times New Roman"/>
          <w:sz w:val="24"/>
          <w:szCs w:val="24"/>
        </w:rPr>
        <w:t xml:space="preserve">Water samples were collected in transparent, sterile polypropylene bottles (1 L capacity). Each bottle was filled completely to avoid headspace, minimizing the risk of oxidation or UV degradation of antibiotic residues. To prevent contamination, bottles were rinsed three times with the water from the respective sampling site before final collection. Samples were labeled clearly with the date, time, and site code. Immediately after collection, samples were placed in insulated </w:t>
      </w:r>
      <w:r w:rsidRPr="00404A25">
        <w:rPr>
          <w:rFonts w:ascii="Times New Roman" w:hAnsi="Times New Roman" w:cs="Times New Roman"/>
          <w:sz w:val="24"/>
          <w:szCs w:val="24"/>
        </w:rPr>
        <w:lastRenderedPageBreak/>
        <w:t>coolers containing ice packs and transported to the laboratory for analysis. Some analyses were performed on the same day of sampling while others samples were stored at −20°C until further analysis to prevent degradation of antibiotic compounds.</w:t>
      </w:r>
    </w:p>
    <w:p w14:paraId="040C5B10" w14:textId="77777777" w:rsidR="000853F4" w:rsidRPr="00404A25" w:rsidRDefault="000853F4" w:rsidP="000853F4">
      <w:pPr>
        <w:spacing w:after="0" w:line="276" w:lineRule="auto"/>
        <w:jc w:val="both"/>
        <w:rPr>
          <w:rFonts w:ascii="Times New Roman" w:hAnsi="Times New Roman" w:cs="Times New Roman"/>
          <w:sz w:val="24"/>
          <w:szCs w:val="24"/>
        </w:rPr>
      </w:pPr>
    </w:p>
    <w:p w14:paraId="3634A33A" w14:textId="25288A9A" w:rsidR="00404A25" w:rsidRPr="00404A25" w:rsidRDefault="00F72D32" w:rsidP="000853F4">
      <w:pPr>
        <w:spacing w:after="0" w:line="276" w:lineRule="auto"/>
        <w:jc w:val="both"/>
        <w:rPr>
          <w:rFonts w:ascii="Times New Roman" w:eastAsia="Calibri" w:hAnsi="Times New Roman" w:cs="Times New Roman"/>
          <w:b/>
          <w:kern w:val="0"/>
          <w:sz w:val="24"/>
          <w:szCs w:val="24"/>
          <w14:ligatures w14:val="none"/>
        </w:rPr>
      </w:pPr>
      <w:r w:rsidRPr="00404A25">
        <w:rPr>
          <w:rFonts w:ascii="Times New Roman" w:eastAsia="Calibri" w:hAnsi="Times New Roman" w:cs="Times New Roman"/>
          <w:b/>
          <w:kern w:val="0"/>
          <w:sz w:val="24"/>
          <w:szCs w:val="24"/>
          <w14:ligatures w14:val="none"/>
        </w:rPr>
        <w:t>Soxhlet Extraction Method</w:t>
      </w:r>
    </w:p>
    <w:p w14:paraId="1C66B0FA" w14:textId="77777777" w:rsidR="00404A25" w:rsidRPr="00404A25" w:rsidRDefault="00404A25" w:rsidP="000853F4">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100ml of sample was extracted with 30ml of methanol for 3hrs.</w:t>
      </w:r>
    </w:p>
    <w:p w14:paraId="2AA0368C" w14:textId="77777777" w:rsidR="00404A25" w:rsidRPr="00404A25" w:rsidRDefault="00404A25" w:rsidP="000853F4">
      <w:pPr>
        <w:numPr>
          <w:ilvl w:val="0"/>
          <w:numId w:val="2"/>
        </w:numPr>
        <w:spacing w:after="0" w:line="276" w:lineRule="auto"/>
        <w:contextualSpacing/>
        <w:jc w:val="both"/>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Crude extract obtained is evaporated using a rotary vacuum evaporator at 40</w:t>
      </w:r>
      <w:r w:rsidRPr="00404A25">
        <w:rPr>
          <w:rFonts w:ascii="Times New Roman" w:eastAsia="Calibri" w:hAnsi="Times New Roman" w:cs="Times New Roman"/>
          <w:kern w:val="0"/>
          <w:sz w:val="24"/>
          <w:szCs w:val="24"/>
          <w:vertAlign w:val="superscript"/>
          <w14:ligatures w14:val="none"/>
        </w:rPr>
        <w:t>0</w:t>
      </w:r>
      <w:r w:rsidRPr="00404A25">
        <w:rPr>
          <w:rFonts w:ascii="Times New Roman" w:eastAsia="Calibri" w:hAnsi="Times New Roman" w:cs="Times New Roman"/>
          <w:kern w:val="0"/>
          <w:sz w:val="24"/>
          <w:szCs w:val="24"/>
          <w14:ligatures w14:val="none"/>
        </w:rPr>
        <w:t>c, just to dryness.</w:t>
      </w:r>
    </w:p>
    <w:p w14:paraId="5F595686" w14:textId="77777777" w:rsidR="00404A25" w:rsidRDefault="00404A25" w:rsidP="00404A25">
      <w:pPr>
        <w:numPr>
          <w:ilvl w:val="0"/>
          <w:numId w:val="2"/>
        </w:numPr>
        <w:spacing w:after="200" w:line="276" w:lineRule="auto"/>
        <w:contextualSpacing/>
        <w:jc w:val="both"/>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Residue re-dissolved in an ammonium acetate buffer to a final volume of 2ml for cleanup.</w:t>
      </w:r>
    </w:p>
    <w:p w14:paraId="039C6D02" w14:textId="77777777" w:rsidR="000853F4" w:rsidRPr="00404A25" w:rsidRDefault="000853F4" w:rsidP="000853F4">
      <w:pPr>
        <w:spacing w:after="200" w:line="276" w:lineRule="auto"/>
        <w:contextualSpacing/>
        <w:jc w:val="both"/>
        <w:rPr>
          <w:rFonts w:ascii="Times New Roman" w:eastAsia="Calibri" w:hAnsi="Times New Roman" w:cs="Times New Roman"/>
          <w:kern w:val="0"/>
          <w:sz w:val="24"/>
          <w:szCs w:val="24"/>
          <w14:ligatures w14:val="none"/>
        </w:rPr>
      </w:pPr>
    </w:p>
    <w:p w14:paraId="01593F54" w14:textId="2C2903C4" w:rsidR="00404A25" w:rsidRPr="00404A25" w:rsidRDefault="00F72D32" w:rsidP="000853F4">
      <w:pPr>
        <w:spacing w:after="0" w:line="276" w:lineRule="auto"/>
        <w:ind w:left="360"/>
        <w:jc w:val="both"/>
        <w:rPr>
          <w:rFonts w:ascii="Times New Roman" w:eastAsia="Calibri" w:hAnsi="Times New Roman" w:cs="Times New Roman"/>
          <w:b/>
          <w:kern w:val="0"/>
          <w:sz w:val="24"/>
          <w:szCs w:val="24"/>
          <w14:ligatures w14:val="none"/>
        </w:rPr>
      </w:pPr>
      <w:proofErr w:type="spellStart"/>
      <w:r w:rsidRPr="00404A25">
        <w:rPr>
          <w:rFonts w:ascii="Times New Roman" w:eastAsia="Calibri" w:hAnsi="Times New Roman" w:cs="Times New Roman"/>
          <w:b/>
          <w:kern w:val="0"/>
          <w:sz w:val="24"/>
          <w:szCs w:val="24"/>
          <w14:ligatures w14:val="none"/>
        </w:rPr>
        <w:t>Florisil</w:t>
      </w:r>
      <w:proofErr w:type="spellEnd"/>
      <w:r w:rsidRPr="00404A25">
        <w:rPr>
          <w:rFonts w:ascii="Times New Roman" w:eastAsia="Calibri" w:hAnsi="Times New Roman" w:cs="Times New Roman"/>
          <w:b/>
          <w:kern w:val="0"/>
          <w:sz w:val="24"/>
          <w:szCs w:val="24"/>
          <w14:ligatures w14:val="none"/>
        </w:rPr>
        <w:t xml:space="preserve"> Clean Up</w:t>
      </w:r>
    </w:p>
    <w:p w14:paraId="29FB84DC" w14:textId="36F94FF0" w:rsidR="00404A25" w:rsidRDefault="00404A25" w:rsidP="000853F4">
      <w:pPr>
        <w:numPr>
          <w:ilvl w:val="0"/>
          <w:numId w:val="3"/>
        </w:numPr>
        <w:spacing w:after="0" w:line="276" w:lineRule="auto"/>
        <w:contextualSpacing/>
        <w:jc w:val="both"/>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Packed column filled with 1 mL of ethanol, 1 mL of water and 1 mL of the ammonium acetate buffer, sequentially. Target compounds were eluted with 4 mL methanol and ammonium hydroxide solution 1 M (75:25, v/v). The eluates were evaporated to dryness at 37 ˝C, and the residue was re-dissolved in 300 µL of formic acid solution for chromatographic analysis</w:t>
      </w:r>
      <w:r w:rsidR="00840009">
        <w:rPr>
          <w:rFonts w:ascii="Times New Roman" w:eastAsia="Calibri" w:hAnsi="Times New Roman" w:cs="Times New Roman"/>
          <w:kern w:val="0"/>
          <w:sz w:val="24"/>
          <w:szCs w:val="24"/>
          <w14:ligatures w14:val="none"/>
        </w:rPr>
        <w:t>.</w:t>
      </w:r>
    </w:p>
    <w:p w14:paraId="05A8C77A" w14:textId="77777777" w:rsidR="00840009" w:rsidRPr="00404A25" w:rsidRDefault="00840009" w:rsidP="00840009">
      <w:pPr>
        <w:spacing w:after="200" w:line="276" w:lineRule="auto"/>
        <w:ind w:left="720"/>
        <w:contextualSpacing/>
        <w:jc w:val="both"/>
        <w:rPr>
          <w:rFonts w:ascii="Times New Roman" w:eastAsia="Calibri" w:hAnsi="Times New Roman" w:cs="Times New Roman"/>
          <w:kern w:val="0"/>
          <w:sz w:val="24"/>
          <w:szCs w:val="24"/>
          <w14:ligatures w14:val="none"/>
        </w:rPr>
      </w:pPr>
    </w:p>
    <w:p w14:paraId="3124B08F" w14:textId="77777777" w:rsidR="00404A25" w:rsidRPr="00404A25" w:rsidRDefault="00404A25" w:rsidP="000853F4">
      <w:pPr>
        <w:spacing w:after="0" w:line="360" w:lineRule="auto"/>
        <w:jc w:val="both"/>
        <w:rPr>
          <w:rFonts w:ascii="Times New Roman" w:eastAsia="Calibri" w:hAnsi="Times New Roman" w:cs="Times New Roman"/>
          <w:b/>
          <w:kern w:val="0"/>
          <w:sz w:val="24"/>
          <w:szCs w:val="24"/>
          <w:vertAlign w:val="subscript"/>
          <w14:ligatures w14:val="none"/>
        </w:rPr>
      </w:pPr>
      <w:r w:rsidRPr="00404A25">
        <w:rPr>
          <w:rFonts w:ascii="Times New Roman" w:eastAsia="Calibri" w:hAnsi="Times New Roman" w:cs="Times New Roman"/>
          <w:b/>
          <w:kern w:val="0"/>
          <w:sz w:val="24"/>
          <w:szCs w:val="24"/>
          <w14:ligatures w14:val="none"/>
        </w:rPr>
        <w:t>Gas Chromatographic conditions for Antibiotics determination</w:t>
      </w:r>
    </w:p>
    <w:p w14:paraId="055ABAED" w14:textId="0516AD9A" w:rsidR="00404A25" w:rsidRPr="00404A25" w:rsidRDefault="00404A25" w:rsidP="000853F4">
      <w:pPr>
        <w:spacing w:after="0" w:line="360" w:lineRule="auto"/>
        <w:jc w:val="both"/>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 xml:space="preserve">The eluent </w:t>
      </w:r>
      <w:proofErr w:type="gramStart"/>
      <w:r w:rsidRPr="00404A25">
        <w:rPr>
          <w:rFonts w:ascii="Times New Roman" w:eastAsia="Calibri" w:hAnsi="Times New Roman" w:cs="Times New Roman"/>
          <w:kern w:val="0"/>
          <w:sz w:val="24"/>
          <w:szCs w:val="24"/>
          <w14:ligatures w14:val="none"/>
        </w:rPr>
        <w:t>were</w:t>
      </w:r>
      <w:proofErr w:type="gramEnd"/>
      <w:r w:rsidRPr="00404A25">
        <w:rPr>
          <w:rFonts w:ascii="Times New Roman" w:eastAsia="Calibri" w:hAnsi="Times New Roman" w:cs="Times New Roman"/>
          <w:kern w:val="0"/>
          <w:sz w:val="24"/>
          <w:szCs w:val="24"/>
          <w14:ligatures w14:val="none"/>
        </w:rPr>
        <w:t xml:space="preserve"> analyzed by Gas Chromatograph-Buck M910 scientific gas chromatography equipped with Flame ionization detector that allowed the detection of contaminants even at trace level concentrations (in the lower </w:t>
      </w:r>
      <w:proofErr w:type="spellStart"/>
      <w:r w:rsidRPr="00404A25">
        <w:rPr>
          <w:rFonts w:ascii="Times New Roman" w:eastAsia="Calibri" w:hAnsi="Times New Roman" w:cs="Times New Roman"/>
          <w:kern w:val="0"/>
          <w:sz w:val="24"/>
          <w:szCs w:val="24"/>
          <w14:ligatures w14:val="none"/>
        </w:rPr>
        <w:t>μg</w:t>
      </w:r>
      <w:proofErr w:type="spellEnd"/>
      <w:r w:rsidRPr="00404A25">
        <w:rPr>
          <w:rFonts w:ascii="Times New Roman" w:eastAsia="Calibri" w:hAnsi="Times New Roman" w:cs="Times New Roman"/>
          <w:kern w:val="0"/>
          <w:sz w:val="24"/>
          <w:szCs w:val="24"/>
          <w14:ligatures w14:val="none"/>
        </w:rPr>
        <w:t xml:space="preserve">/kg range) from the matrix to which other detectors do not respond. The GC conditions used for the analysis </w:t>
      </w:r>
      <w:proofErr w:type="gramStart"/>
      <w:r w:rsidRPr="00404A25">
        <w:rPr>
          <w:rFonts w:ascii="Times New Roman" w:eastAsia="Calibri" w:hAnsi="Times New Roman" w:cs="Times New Roman"/>
          <w:kern w:val="0"/>
          <w:sz w:val="24"/>
          <w:szCs w:val="24"/>
          <w14:ligatures w14:val="none"/>
        </w:rPr>
        <w:t>were .capillary</w:t>
      </w:r>
      <w:proofErr w:type="gramEnd"/>
      <w:r w:rsidRPr="00404A25">
        <w:rPr>
          <w:rFonts w:ascii="Times New Roman" w:eastAsia="Calibri" w:hAnsi="Times New Roman" w:cs="Times New Roman"/>
          <w:kern w:val="0"/>
          <w:sz w:val="24"/>
          <w:szCs w:val="24"/>
          <w14:ligatures w14:val="none"/>
        </w:rPr>
        <w:t xml:space="preserve"> column coated with DB-5ms (30 m + 10 m EZ guard column x 0.25 mm internal diameter, 0.25 </w:t>
      </w:r>
      <w:proofErr w:type="spellStart"/>
      <w:r w:rsidRPr="00404A25">
        <w:rPr>
          <w:rFonts w:ascii="Times New Roman" w:eastAsia="Calibri" w:hAnsi="Times New Roman" w:cs="Times New Roman"/>
          <w:kern w:val="0"/>
          <w:sz w:val="24"/>
          <w:szCs w:val="24"/>
          <w14:ligatures w14:val="none"/>
        </w:rPr>
        <w:t>μm</w:t>
      </w:r>
      <w:proofErr w:type="spellEnd"/>
      <w:r w:rsidRPr="00404A25">
        <w:rPr>
          <w:rFonts w:ascii="Times New Roman" w:eastAsia="Calibri" w:hAnsi="Times New Roman" w:cs="Times New Roman"/>
          <w:kern w:val="0"/>
          <w:sz w:val="24"/>
          <w:szCs w:val="24"/>
          <w14:ligatures w14:val="none"/>
        </w:rPr>
        <w:t xml:space="preserve"> film thickness). The injector and detector temperature were set at 250 ºC and 280ºC respectively. The oven temperature was programmed as follows: 120 ºC held for 4 min, ramp at 10 ºC/ min to 180 ºC, held for 2 min, and finally ramp at 5 ºC/ min to 300 ºC. Nitrogen was used as carrier gas at a flow rate of 1.0 mL/ min and detector make-up gas of 29 </w:t>
      </w:r>
      <w:proofErr w:type="spellStart"/>
      <w:r w:rsidRPr="00404A25">
        <w:rPr>
          <w:rFonts w:ascii="Times New Roman" w:eastAsia="Calibri" w:hAnsi="Times New Roman" w:cs="Times New Roman"/>
          <w:kern w:val="0"/>
          <w:sz w:val="24"/>
          <w:szCs w:val="24"/>
          <w14:ligatures w14:val="none"/>
        </w:rPr>
        <w:t>Ml</w:t>
      </w:r>
      <w:proofErr w:type="spellEnd"/>
      <w:r w:rsidRPr="00404A25">
        <w:rPr>
          <w:rFonts w:ascii="Times New Roman" w:eastAsia="Calibri" w:hAnsi="Times New Roman" w:cs="Times New Roman"/>
          <w:kern w:val="0"/>
          <w:sz w:val="24"/>
          <w:szCs w:val="24"/>
          <w14:ligatures w14:val="none"/>
        </w:rPr>
        <w:t xml:space="preserve"> min-1. The injection volume of the GC was 10.0 </w:t>
      </w:r>
      <w:proofErr w:type="spellStart"/>
      <w:r w:rsidRPr="00404A25">
        <w:rPr>
          <w:rFonts w:ascii="Times New Roman" w:eastAsia="Calibri" w:hAnsi="Times New Roman" w:cs="Times New Roman"/>
          <w:kern w:val="0"/>
          <w:sz w:val="24"/>
          <w:szCs w:val="24"/>
          <w14:ligatures w14:val="none"/>
        </w:rPr>
        <w:t>μL</w:t>
      </w:r>
      <w:proofErr w:type="spellEnd"/>
      <w:r w:rsidRPr="00404A25">
        <w:rPr>
          <w:rFonts w:ascii="Times New Roman" w:eastAsia="Calibri" w:hAnsi="Times New Roman" w:cs="Times New Roman"/>
          <w:kern w:val="0"/>
          <w:sz w:val="24"/>
          <w:szCs w:val="24"/>
          <w14:ligatures w14:val="none"/>
        </w:rPr>
        <w:t xml:space="preserve">. The total run time for a sample was 43 min. </w:t>
      </w:r>
    </w:p>
    <w:p w14:paraId="04C1C708" w14:textId="45CAC844" w:rsidR="00404A25" w:rsidRDefault="00404A25" w:rsidP="00404A25">
      <w:pPr>
        <w:spacing w:after="200" w:line="360" w:lineRule="auto"/>
        <w:jc w:val="both"/>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 xml:space="preserve">The limit of quantification (LOQ) defined as the limit of detection divided by the sampling volume was of 0.0001 and 0.0003 %. The recovery efficiency of the method was evaluated by the analysis of filters spiked with known concentration of standard ANTIBIOTIC compounds. Most of the compounds provided high recoveries with mean values ranging between80 to 90%. Field and laboratory blanks were routinely analyzed for quality control. Blanks levels of individual analyses were normally very low </w:t>
      </w:r>
      <w:proofErr w:type="gramStart"/>
      <w:r w:rsidRPr="00404A25">
        <w:rPr>
          <w:rFonts w:ascii="Times New Roman" w:eastAsia="Calibri" w:hAnsi="Times New Roman" w:cs="Times New Roman"/>
          <w:kern w:val="0"/>
          <w:sz w:val="24"/>
          <w:szCs w:val="24"/>
          <w14:ligatures w14:val="none"/>
        </w:rPr>
        <w:t>and in most cases</w:t>
      </w:r>
      <w:proofErr w:type="gramEnd"/>
      <w:r w:rsidRPr="00404A25">
        <w:rPr>
          <w:rFonts w:ascii="Times New Roman" w:eastAsia="Calibri" w:hAnsi="Times New Roman" w:cs="Times New Roman"/>
          <w:kern w:val="0"/>
          <w:sz w:val="24"/>
          <w:szCs w:val="24"/>
          <w14:ligatures w14:val="none"/>
        </w:rPr>
        <w:t xml:space="preserve"> not detectab</w:t>
      </w:r>
      <w:r w:rsidR="000853F4">
        <w:rPr>
          <w:rFonts w:ascii="Times New Roman" w:eastAsia="Calibri" w:hAnsi="Times New Roman" w:cs="Times New Roman"/>
          <w:kern w:val="0"/>
          <w:sz w:val="24"/>
          <w:szCs w:val="24"/>
          <w14:ligatures w14:val="none"/>
        </w:rPr>
        <w:t>l</w:t>
      </w:r>
      <w:r w:rsidRPr="00404A25">
        <w:rPr>
          <w:rFonts w:ascii="Times New Roman" w:eastAsia="Calibri" w:hAnsi="Times New Roman" w:cs="Times New Roman"/>
          <w:kern w:val="0"/>
          <w:sz w:val="24"/>
          <w:szCs w:val="24"/>
          <w14:ligatures w14:val="none"/>
        </w:rPr>
        <w:t xml:space="preserve">e </w:t>
      </w:r>
    </w:p>
    <w:p w14:paraId="6D95C709" w14:textId="77777777" w:rsidR="000853F4" w:rsidRPr="00404A25" w:rsidRDefault="000853F4" w:rsidP="00404A25">
      <w:pPr>
        <w:spacing w:after="200" w:line="360" w:lineRule="auto"/>
        <w:jc w:val="both"/>
        <w:rPr>
          <w:rFonts w:ascii="Times New Roman" w:eastAsia="Calibri" w:hAnsi="Times New Roman" w:cs="Times New Roman"/>
          <w:kern w:val="0"/>
          <w:sz w:val="24"/>
          <w:szCs w:val="24"/>
          <w14:ligatures w14:val="none"/>
        </w:rPr>
      </w:pPr>
    </w:p>
    <w:p w14:paraId="18FD2279" w14:textId="77777777" w:rsidR="00404A25" w:rsidRPr="00404A25" w:rsidRDefault="00404A25" w:rsidP="00404A25">
      <w:pPr>
        <w:spacing w:after="0" w:line="360" w:lineRule="auto"/>
        <w:jc w:val="both"/>
        <w:rPr>
          <w:rFonts w:ascii="Times New Roman" w:eastAsia="Calibri" w:hAnsi="Times New Roman" w:cs="Times New Roman"/>
          <w:b/>
          <w:kern w:val="0"/>
          <w:sz w:val="24"/>
          <w:szCs w:val="24"/>
          <w14:ligatures w14:val="none"/>
        </w:rPr>
      </w:pPr>
      <w:r w:rsidRPr="00404A25">
        <w:rPr>
          <w:rFonts w:ascii="Times New Roman" w:eastAsia="Calibri" w:hAnsi="Times New Roman" w:cs="Times New Roman"/>
          <w:b/>
          <w:kern w:val="0"/>
          <w:sz w:val="24"/>
          <w:szCs w:val="24"/>
          <w14:ligatures w14:val="none"/>
        </w:rPr>
        <w:lastRenderedPageBreak/>
        <w:t>Quantification of PAH residues.</w:t>
      </w:r>
    </w:p>
    <w:p w14:paraId="42204802" w14:textId="77777777" w:rsidR="00404A25" w:rsidRPr="00404A25" w:rsidRDefault="00404A25" w:rsidP="00404A25">
      <w:pPr>
        <w:spacing w:after="0" w:line="360" w:lineRule="auto"/>
        <w:jc w:val="both"/>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 xml:space="preserve"> The residue levels of antibiotics were quantitatively determined by the external standard method using peak area. Measurement was carried out within the linear range of the detector. The peak areas whose retention times coincided with the standards were extrapolated on their corresponding calibration curves to obtain the concentration</w:t>
      </w:r>
    </w:p>
    <w:p w14:paraId="6B775C93" w14:textId="77777777" w:rsidR="00404A25" w:rsidRPr="00404A25" w:rsidRDefault="00404A25" w:rsidP="00404A25">
      <w:pPr>
        <w:spacing w:after="0" w:line="240" w:lineRule="auto"/>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Preparation of standard</w:t>
      </w:r>
    </w:p>
    <w:p w14:paraId="5D276A2A" w14:textId="77777777" w:rsidR="00404A25" w:rsidRPr="00404A25" w:rsidRDefault="00404A25" w:rsidP="00404A25">
      <w:pPr>
        <w:spacing w:after="0" w:line="240" w:lineRule="auto"/>
        <w:rPr>
          <w:rFonts w:ascii="Times New Roman" w:eastAsia="Calibri" w:hAnsi="Times New Roman" w:cs="Times New Roman"/>
          <w:kern w:val="0"/>
          <w:sz w:val="24"/>
          <w:szCs w:val="24"/>
          <w14:ligatures w14:val="none"/>
        </w:rPr>
      </w:pPr>
      <w:r w:rsidRPr="00404A25">
        <w:rPr>
          <w:rFonts w:ascii="Times New Roman" w:eastAsia="Calibri" w:hAnsi="Times New Roman" w:cs="Times New Roman"/>
          <w:kern w:val="0"/>
          <w:sz w:val="24"/>
          <w:szCs w:val="24"/>
          <w14:ligatures w14:val="none"/>
        </w:rPr>
        <w:t>10ul and 20ul of Accu standard was injected in the chromatography and the retention time compared with retention time of standard.</w:t>
      </w:r>
    </w:p>
    <w:p w14:paraId="35D7FA90" w14:textId="0493AF31" w:rsidR="00B62E7E" w:rsidRPr="00404A25" w:rsidRDefault="00DE1431" w:rsidP="00DE1431">
      <w:pPr>
        <w:spacing w:line="276" w:lineRule="auto"/>
        <w:jc w:val="both"/>
        <w:rPr>
          <w:rFonts w:ascii="Times New Roman" w:hAnsi="Times New Roman" w:cs="Times New Roman"/>
          <w:b/>
          <w:bCs/>
          <w:sz w:val="24"/>
          <w:szCs w:val="24"/>
        </w:rPr>
      </w:pPr>
      <w:r w:rsidRPr="00404A25">
        <w:rPr>
          <w:rFonts w:ascii="Times New Roman" w:eastAsia="Calibri" w:hAnsi="Times New Roman" w:cs="Times New Roman"/>
          <w:kern w:val="0"/>
          <w:sz w:val="24"/>
          <w:szCs w:val="24"/>
          <w14:ligatures w14:val="none"/>
        </w:rPr>
        <w:br/>
      </w:r>
      <w:r w:rsidR="00B62E7E" w:rsidRPr="00404A25">
        <w:rPr>
          <w:rFonts w:ascii="Times New Roman" w:hAnsi="Times New Roman" w:cs="Times New Roman"/>
          <w:b/>
          <w:bCs/>
          <w:sz w:val="24"/>
          <w:szCs w:val="24"/>
        </w:rPr>
        <w:t>RESULT</w:t>
      </w:r>
    </w:p>
    <w:p w14:paraId="4E18EC11" w14:textId="77777777" w:rsid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noProof/>
          <w:sz w:val="24"/>
          <w:szCs w:val="24"/>
        </w:rPr>
        <w:drawing>
          <wp:inline distT="0" distB="0" distL="0" distR="0" wp14:anchorId="508A8491" wp14:editId="6D0C9660">
            <wp:extent cx="4743450" cy="2257149"/>
            <wp:effectExtent l="0" t="0" r="0" b="0"/>
            <wp:docPr id="91095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51006" name=""/>
                    <pic:cNvPicPr/>
                  </pic:nvPicPr>
                  <pic:blipFill>
                    <a:blip r:embed="rId7"/>
                    <a:stretch>
                      <a:fillRect/>
                    </a:stretch>
                  </pic:blipFill>
                  <pic:spPr>
                    <a:xfrm>
                      <a:off x="0" y="0"/>
                      <a:ext cx="4752887" cy="2261640"/>
                    </a:xfrm>
                    <a:prstGeom prst="rect">
                      <a:avLst/>
                    </a:prstGeom>
                  </pic:spPr>
                </pic:pic>
              </a:graphicData>
            </a:graphic>
          </wp:inline>
        </w:drawing>
      </w:r>
      <w:bookmarkStart w:id="0" w:name="_Hlk214565840"/>
    </w:p>
    <w:p w14:paraId="0095A552" w14:textId="4379311C"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eastAsia="SimSun" w:hAnsi="Times New Roman" w:cs="Times New Roman"/>
          <w:kern w:val="0"/>
          <w:sz w:val="24"/>
          <w:szCs w:val="24"/>
          <w14:ligatures w14:val="none"/>
        </w:rPr>
        <w:t>Figure 1:</w:t>
      </w:r>
      <w:bookmarkStart w:id="1" w:name="_Hlk214566074"/>
      <w:r w:rsidR="001D6E64">
        <w:rPr>
          <w:rFonts w:ascii="Times New Roman" w:eastAsia="SimSun" w:hAnsi="Times New Roman" w:cs="Times New Roman"/>
          <w:kern w:val="0"/>
          <w:sz w:val="24"/>
          <w:szCs w:val="24"/>
          <w14:ligatures w14:val="none"/>
        </w:rPr>
        <w:t xml:space="preserve"> </w:t>
      </w:r>
      <w:r w:rsidRPr="00B62E7E">
        <w:rPr>
          <w:rFonts w:ascii="Times New Roman" w:eastAsia="SimSun" w:hAnsi="Times New Roman" w:cs="Times New Roman"/>
          <w:kern w:val="0"/>
          <w:sz w:val="24"/>
          <w:szCs w:val="24"/>
          <w14:ligatures w14:val="none"/>
        </w:rPr>
        <w:t xml:space="preserve">Google based </w:t>
      </w:r>
      <w:bookmarkEnd w:id="1"/>
      <w:r w:rsidRPr="00B62E7E">
        <w:rPr>
          <w:rFonts w:ascii="Times New Roman" w:eastAsia="SimSun" w:hAnsi="Times New Roman" w:cs="Times New Roman"/>
          <w:kern w:val="0"/>
          <w:sz w:val="24"/>
          <w:szCs w:val="24"/>
          <w14:ligatures w14:val="none"/>
        </w:rPr>
        <w:t xml:space="preserve">map of </w:t>
      </w:r>
      <w:proofErr w:type="spellStart"/>
      <w:r w:rsidRPr="00B62E7E">
        <w:rPr>
          <w:rFonts w:ascii="Times New Roman" w:eastAsia="SimSun" w:hAnsi="Times New Roman" w:cs="Times New Roman"/>
          <w:kern w:val="0"/>
          <w:sz w:val="24"/>
          <w:szCs w:val="24"/>
          <w14:ligatures w14:val="none"/>
        </w:rPr>
        <w:t>Atavo</w:t>
      </w:r>
      <w:proofErr w:type="spellEnd"/>
      <w:r w:rsidRPr="00B62E7E">
        <w:rPr>
          <w:rFonts w:ascii="Times New Roman" w:eastAsia="SimSun" w:hAnsi="Times New Roman" w:cs="Times New Roman"/>
          <w:kern w:val="0"/>
          <w:sz w:val="24"/>
          <w:szCs w:val="24"/>
          <w14:ligatures w14:val="none"/>
        </w:rPr>
        <w:t xml:space="preserve"> River </w:t>
      </w:r>
      <w:proofErr w:type="spellStart"/>
      <w:r w:rsidRPr="00B62E7E">
        <w:rPr>
          <w:rFonts w:ascii="Times New Roman" w:eastAsia="SimSun" w:hAnsi="Times New Roman" w:cs="Times New Roman"/>
          <w:kern w:val="0"/>
          <w:sz w:val="24"/>
          <w:szCs w:val="24"/>
          <w14:ligatures w14:val="none"/>
        </w:rPr>
        <w:t>Akpugo</w:t>
      </w:r>
      <w:proofErr w:type="spellEnd"/>
      <w:r w:rsidRPr="00B62E7E">
        <w:rPr>
          <w:rFonts w:ascii="Times New Roman" w:eastAsia="SimSun" w:hAnsi="Times New Roman" w:cs="Times New Roman"/>
          <w:kern w:val="0"/>
          <w:sz w:val="24"/>
          <w:szCs w:val="24"/>
          <w14:ligatures w14:val="none"/>
        </w:rPr>
        <w:t xml:space="preserve"> generated in 2025</w:t>
      </w:r>
    </w:p>
    <w:bookmarkEnd w:id="0"/>
    <w:p w14:paraId="07F3FB62" w14:textId="77777777" w:rsidR="00B62E7E" w:rsidRPr="00B62E7E" w:rsidRDefault="00B62E7E" w:rsidP="00B62E7E">
      <w:pPr>
        <w:keepNext/>
        <w:keepLines/>
        <w:spacing w:after="240" w:line="276" w:lineRule="auto"/>
        <w:ind w:left="432" w:hanging="432"/>
        <w:jc w:val="both"/>
        <w:outlineLvl w:val="0"/>
        <w:rPr>
          <w:rFonts w:ascii="Times New Roman" w:eastAsia="SimSun" w:hAnsi="Times New Roman" w:cs="Times New Roman"/>
          <w:b/>
          <w:bCs/>
          <w:kern w:val="0"/>
          <w:sz w:val="24"/>
          <w:szCs w:val="24"/>
          <w14:ligatures w14:val="none"/>
        </w:rPr>
      </w:pPr>
      <w:r w:rsidRPr="00B62E7E">
        <w:rPr>
          <w:rFonts w:ascii="Times New Roman" w:hAnsi="Times New Roman" w:cs="Times New Roman"/>
          <w:noProof/>
          <w:sz w:val="24"/>
          <w:szCs w:val="24"/>
        </w:rPr>
        <w:drawing>
          <wp:inline distT="0" distB="0" distL="0" distR="0" wp14:anchorId="35017812" wp14:editId="3F34FBFF">
            <wp:extent cx="5104130" cy="1952625"/>
            <wp:effectExtent l="0" t="0" r="1270" b="9525"/>
            <wp:docPr id="155340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04698" name=""/>
                    <pic:cNvPicPr/>
                  </pic:nvPicPr>
                  <pic:blipFill>
                    <a:blip r:embed="rId8"/>
                    <a:stretch>
                      <a:fillRect/>
                    </a:stretch>
                  </pic:blipFill>
                  <pic:spPr>
                    <a:xfrm>
                      <a:off x="0" y="0"/>
                      <a:ext cx="5178924" cy="1981238"/>
                    </a:xfrm>
                    <a:prstGeom prst="rect">
                      <a:avLst/>
                    </a:prstGeom>
                  </pic:spPr>
                </pic:pic>
              </a:graphicData>
            </a:graphic>
          </wp:inline>
        </w:drawing>
      </w:r>
    </w:p>
    <w:p w14:paraId="35FF81BF" w14:textId="77777777" w:rsidR="00B62E7E" w:rsidRPr="00B62E7E" w:rsidRDefault="00B62E7E" w:rsidP="00B62E7E">
      <w:pPr>
        <w:keepNext/>
        <w:keepLines/>
        <w:spacing w:after="240" w:line="276" w:lineRule="auto"/>
        <w:ind w:left="432" w:hanging="432"/>
        <w:jc w:val="both"/>
        <w:outlineLvl w:val="0"/>
        <w:rPr>
          <w:rFonts w:ascii="Times New Roman" w:eastAsia="SimSun" w:hAnsi="Times New Roman" w:cs="Times New Roman"/>
          <w:kern w:val="0"/>
          <w:sz w:val="24"/>
          <w:szCs w:val="24"/>
          <w14:ligatures w14:val="none"/>
        </w:rPr>
      </w:pPr>
      <w:r w:rsidRPr="00B62E7E">
        <w:rPr>
          <w:rFonts w:ascii="Times New Roman" w:eastAsia="SimSun" w:hAnsi="Times New Roman" w:cs="Times New Roman"/>
          <w:kern w:val="0"/>
          <w:sz w:val="24"/>
          <w:szCs w:val="24"/>
          <w14:ligatures w14:val="none"/>
        </w:rPr>
        <w:t xml:space="preserve">Figure 2: Google based map of </w:t>
      </w:r>
      <w:proofErr w:type="spellStart"/>
      <w:r w:rsidRPr="00B62E7E">
        <w:rPr>
          <w:rFonts w:ascii="Times New Roman" w:eastAsia="SimSun" w:hAnsi="Times New Roman" w:cs="Times New Roman"/>
          <w:kern w:val="0"/>
          <w:sz w:val="24"/>
          <w:szCs w:val="24"/>
          <w14:ligatures w14:val="none"/>
        </w:rPr>
        <w:t>Atavo</w:t>
      </w:r>
      <w:proofErr w:type="spellEnd"/>
      <w:r w:rsidRPr="00B62E7E">
        <w:rPr>
          <w:rFonts w:ascii="Times New Roman" w:eastAsia="SimSun" w:hAnsi="Times New Roman" w:cs="Times New Roman"/>
          <w:kern w:val="0"/>
          <w:sz w:val="24"/>
          <w:szCs w:val="24"/>
          <w14:ligatures w14:val="none"/>
        </w:rPr>
        <w:t xml:space="preserve"> River </w:t>
      </w:r>
      <w:proofErr w:type="spellStart"/>
      <w:r w:rsidRPr="00B62E7E">
        <w:rPr>
          <w:rFonts w:ascii="Times New Roman" w:eastAsia="SimSun" w:hAnsi="Times New Roman" w:cs="Times New Roman"/>
          <w:kern w:val="0"/>
          <w:sz w:val="24"/>
          <w:szCs w:val="24"/>
          <w14:ligatures w14:val="none"/>
        </w:rPr>
        <w:t>Amodu</w:t>
      </w:r>
      <w:proofErr w:type="spellEnd"/>
      <w:r w:rsidRPr="00B62E7E">
        <w:rPr>
          <w:rFonts w:ascii="Times New Roman" w:eastAsia="SimSun" w:hAnsi="Times New Roman" w:cs="Times New Roman"/>
          <w:kern w:val="0"/>
          <w:sz w:val="24"/>
          <w:szCs w:val="24"/>
          <w14:ligatures w14:val="none"/>
        </w:rPr>
        <w:t xml:space="preserve"> generated in 2025</w:t>
      </w:r>
    </w:p>
    <w:p w14:paraId="43DBA5B8" w14:textId="1E2B43A1" w:rsidR="00B62E7E" w:rsidRPr="00B62E7E" w:rsidRDefault="00B62E7E" w:rsidP="00B62E7E">
      <w:pPr>
        <w:spacing w:line="276" w:lineRule="auto"/>
        <w:jc w:val="both"/>
        <w:rPr>
          <w:rFonts w:ascii="Times New Roman" w:hAnsi="Times New Roman" w:cs="Times New Roman"/>
          <w:sz w:val="24"/>
          <w:szCs w:val="24"/>
        </w:rPr>
      </w:pPr>
      <w:r w:rsidRPr="00B62E7E">
        <w:rPr>
          <w:rFonts w:ascii="Times New Roman" w:hAnsi="Times New Roman" w:cs="Times New Roman"/>
          <w:sz w:val="24"/>
          <w:szCs w:val="24"/>
        </w:rPr>
        <w:t xml:space="preserve">The concentrations of antibiotics detected in the head region of the river water samples are presented in Table 1. A total of seven antibiotics—penicillin, tetracycline, dicloxacillin, oxacillin, ampicillin, amoxicillin, and </w:t>
      </w:r>
      <w:proofErr w:type="spellStart"/>
      <w:r w:rsidRPr="00B62E7E">
        <w:rPr>
          <w:rFonts w:ascii="Times New Roman" w:hAnsi="Times New Roman" w:cs="Times New Roman"/>
          <w:sz w:val="24"/>
          <w:szCs w:val="24"/>
        </w:rPr>
        <w:t>avilamycin</w:t>
      </w:r>
      <w:proofErr w:type="spellEnd"/>
      <w:r w:rsidRPr="00B62E7E">
        <w:rPr>
          <w:rFonts w:ascii="Times New Roman" w:hAnsi="Times New Roman" w:cs="Times New Roman"/>
          <w:sz w:val="24"/>
          <w:szCs w:val="24"/>
        </w:rPr>
        <w:t xml:space="preserve"> were detected in this section of the river. Among the </w:t>
      </w:r>
      <w:r w:rsidRPr="00B62E7E">
        <w:rPr>
          <w:rFonts w:ascii="Times New Roman" w:hAnsi="Times New Roman" w:cs="Times New Roman"/>
          <w:sz w:val="24"/>
          <w:szCs w:val="24"/>
        </w:rPr>
        <w:lastRenderedPageBreak/>
        <w:t xml:space="preserve">antibiotics detected, penicillin exhibited the highest concentration (0.18 µg/ml), indicating a relatively high level of contamination in the upstream portion of the river. Amoxicillin recorded the second-highest concentration at 0.14 µg/ml, followed closely by tetracycline with 0.13 µg/ml. Dicloxacillin and </w:t>
      </w:r>
      <w:proofErr w:type="spellStart"/>
      <w:r w:rsidRPr="00B62E7E">
        <w:rPr>
          <w:rFonts w:ascii="Times New Roman" w:hAnsi="Times New Roman" w:cs="Times New Roman"/>
          <w:sz w:val="24"/>
          <w:szCs w:val="24"/>
        </w:rPr>
        <w:t>avilamycin</w:t>
      </w:r>
      <w:proofErr w:type="spellEnd"/>
      <w:r w:rsidRPr="00B62E7E">
        <w:rPr>
          <w:rFonts w:ascii="Times New Roman" w:hAnsi="Times New Roman" w:cs="Times New Roman"/>
          <w:sz w:val="24"/>
          <w:szCs w:val="24"/>
        </w:rPr>
        <w:t xml:space="preserve"> were both present at 0.04 µg/ml, suggesting moderate contamination levels. In contrast, ampicillin and oxacillin were detected at relatively low concentrations of 0.01 µg/ml each.</w:t>
      </w:r>
    </w:p>
    <w:p w14:paraId="482A6D71" w14:textId="1B5DDF02" w:rsidR="00B62E7E" w:rsidRPr="00901FD3" w:rsidRDefault="00B62E7E" w:rsidP="00901FD3">
      <w:pPr>
        <w:spacing w:after="0" w:line="276" w:lineRule="auto"/>
        <w:jc w:val="both"/>
        <w:rPr>
          <w:rFonts w:ascii="Times New Roman" w:eastAsia="Calibri" w:hAnsi="Times New Roman" w:cs="Times New Roman"/>
          <w:kern w:val="0"/>
          <w:sz w:val="24"/>
          <w:szCs w:val="24"/>
          <w14:ligatures w14:val="none"/>
        </w:rPr>
        <w:sectPr w:rsidR="00B62E7E" w:rsidRPr="00901FD3" w:rsidSect="00B62E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r w:rsidRPr="00B62E7E">
        <w:rPr>
          <w:rFonts w:ascii="Times New Roman" w:eastAsia="Calibri" w:hAnsi="Times New Roman" w:cs="Times New Roman"/>
          <w:b/>
          <w:bCs/>
          <w:kern w:val="0"/>
          <w:sz w:val="24"/>
          <w:szCs w:val="24"/>
          <w14:ligatures w14:val="none"/>
        </w:rPr>
        <w:t>Table 1</w:t>
      </w:r>
      <w:r w:rsidRPr="00B62E7E">
        <w:rPr>
          <w:rFonts w:ascii="Times New Roman" w:eastAsia="Calibri" w:hAnsi="Times New Roman" w:cs="Times New Roman"/>
          <w:kern w:val="0"/>
          <w:sz w:val="24"/>
          <w:szCs w:val="24"/>
          <w14:ligatures w14:val="none"/>
        </w:rPr>
        <w:t>:</w:t>
      </w:r>
      <w:r w:rsidR="001D6E64">
        <w:rPr>
          <w:rFonts w:ascii="Times New Roman" w:eastAsia="Calibri" w:hAnsi="Times New Roman" w:cs="Times New Roman"/>
          <w:kern w:val="0"/>
          <w:sz w:val="24"/>
          <w:szCs w:val="24"/>
          <w14:ligatures w14:val="none"/>
        </w:rPr>
        <w:t xml:space="preserve"> </w:t>
      </w:r>
      <w:r w:rsidRPr="00B62E7E">
        <w:rPr>
          <w:rFonts w:ascii="Times New Roman" w:eastAsia="Calibri" w:hAnsi="Times New Roman" w:cs="Times New Roman"/>
          <w:kern w:val="0"/>
          <w:sz w:val="24"/>
          <w:szCs w:val="24"/>
          <w14:ligatures w14:val="none"/>
        </w:rPr>
        <w:t>Concentration (</w:t>
      </w:r>
      <w:r w:rsid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head surface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102"/>
      </w:tblGrid>
      <w:tr w:rsidR="00B62E7E" w:rsidRPr="00B62E7E" w14:paraId="6EA38F8D" w14:textId="77777777" w:rsidTr="00901FD3">
        <w:trPr>
          <w:trHeight w:val="368"/>
        </w:trPr>
        <w:tc>
          <w:tcPr>
            <w:tcW w:w="4254" w:type="dxa"/>
            <w:tcBorders>
              <w:top w:val="single" w:sz="4" w:space="0" w:color="auto"/>
              <w:bottom w:val="single" w:sz="4" w:space="0" w:color="auto"/>
            </w:tcBorders>
          </w:tcPr>
          <w:p w14:paraId="1EB553B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5102" w:type="dxa"/>
            <w:tcBorders>
              <w:top w:val="single" w:sz="4" w:space="0" w:color="auto"/>
              <w:bottom w:val="single" w:sz="4" w:space="0" w:color="auto"/>
            </w:tcBorders>
          </w:tcPr>
          <w:p w14:paraId="2D59F1F2"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78A67FA2" w14:textId="77777777" w:rsidTr="00901FD3">
        <w:trPr>
          <w:trHeight w:val="305"/>
        </w:trPr>
        <w:tc>
          <w:tcPr>
            <w:tcW w:w="4254" w:type="dxa"/>
            <w:tcBorders>
              <w:top w:val="single" w:sz="4" w:space="0" w:color="auto"/>
            </w:tcBorders>
          </w:tcPr>
          <w:p w14:paraId="13C70EBC"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5102" w:type="dxa"/>
            <w:tcBorders>
              <w:top w:val="single" w:sz="4" w:space="0" w:color="auto"/>
            </w:tcBorders>
          </w:tcPr>
          <w:p w14:paraId="568CF52C"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0.18</w:t>
            </w:r>
          </w:p>
        </w:tc>
      </w:tr>
      <w:tr w:rsidR="00B62E7E" w:rsidRPr="00B62E7E" w14:paraId="7707C443" w14:textId="77777777" w:rsidTr="00901FD3">
        <w:trPr>
          <w:trHeight w:val="320"/>
        </w:trPr>
        <w:tc>
          <w:tcPr>
            <w:tcW w:w="4254" w:type="dxa"/>
          </w:tcPr>
          <w:p w14:paraId="267B6436"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5102" w:type="dxa"/>
          </w:tcPr>
          <w:p w14:paraId="66C036E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0.13</w:t>
            </w:r>
          </w:p>
        </w:tc>
      </w:tr>
      <w:tr w:rsidR="00B62E7E" w:rsidRPr="00B62E7E" w14:paraId="3A7EC081" w14:textId="77777777" w:rsidTr="00901FD3">
        <w:trPr>
          <w:trHeight w:val="275"/>
        </w:trPr>
        <w:tc>
          <w:tcPr>
            <w:tcW w:w="4254" w:type="dxa"/>
          </w:tcPr>
          <w:p w14:paraId="000137F4"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5102" w:type="dxa"/>
          </w:tcPr>
          <w:p w14:paraId="49CC37A0"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6A474D10" w14:textId="77777777" w:rsidTr="00901FD3">
        <w:trPr>
          <w:trHeight w:val="358"/>
        </w:trPr>
        <w:tc>
          <w:tcPr>
            <w:tcW w:w="4254" w:type="dxa"/>
          </w:tcPr>
          <w:p w14:paraId="2BABF23A"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5102" w:type="dxa"/>
          </w:tcPr>
          <w:p w14:paraId="7E785AF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4BF26A3F" w14:textId="77777777" w:rsidTr="00901FD3">
        <w:trPr>
          <w:trHeight w:val="358"/>
        </w:trPr>
        <w:tc>
          <w:tcPr>
            <w:tcW w:w="4254" w:type="dxa"/>
          </w:tcPr>
          <w:p w14:paraId="4C643EA5" w14:textId="77777777" w:rsidR="00B62E7E" w:rsidRPr="00B62E7E" w:rsidRDefault="00B62E7E" w:rsidP="00901FD3">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5102" w:type="dxa"/>
          </w:tcPr>
          <w:p w14:paraId="3CC425FF"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835F420" w14:textId="77777777" w:rsidTr="00901FD3">
        <w:trPr>
          <w:trHeight w:val="358"/>
        </w:trPr>
        <w:tc>
          <w:tcPr>
            <w:tcW w:w="4254" w:type="dxa"/>
          </w:tcPr>
          <w:p w14:paraId="2DE2DF16"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5102" w:type="dxa"/>
          </w:tcPr>
          <w:p w14:paraId="73950D8E"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0.14</w:t>
            </w:r>
          </w:p>
        </w:tc>
      </w:tr>
      <w:tr w:rsidR="00B62E7E" w:rsidRPr="00B62E7E" w14:paraId="6D82F10F" w14:textId="77777777" w:rsidTr="00901FD3">
        <w:trPr>
          <w:trHeight w:val="358"/>
        </w:trPr>
        <w:tc>
          <w:tcPr>
            <w:tcW w:w="4254" w:type="dxa"/>
          </w:tcPr>
          <w:p w14:paraId="08E34D10" w14:textId="77777777" w:rsidR="00B62E7E" w:rsidRPr="00B62E7E" w:rsidRDefault="00B62E7E" w:rsidP="00901FD3">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5102" w:type="dxa"/>
          </w:tcPr>
          <w:p w14:paraId="131025B3"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3AC8E7AF" w14:textId="77777777" w:rsidTr="00901FD3">
        <w:trPr>
          <w:trHeight w:val="358"/>
        </w:trPr>
        <w:tc>
          <w:tcPr>
            <w:tcW w:w="4254" w:type="dxa"/>
          </w:tcPr>
          <w:p w14:paraId="5366ACA8"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5102" w:type="dxa"/>
          </w:tcPr>
          <w:p w14:paraId="24FA8B90"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FC2768F" w14:textId="77777777" w:rsidTr="00901FD3">
        <w:trPr>
          <w:trHeight w:val="358"/>
        </w:trPr>
        <w:tc>
          <w:tcPr>
            <w:tcW w:w="4254" w:type="dxa"/>
          </w:tcPr>
          <w:p w14:paraId="486CEC48"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5102" w:type="dxa"/>
          </w:tcPr>
          <w:p w14:paraId="15B1597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5A7A15DA" w14:textId="77777777" w:rsidTr="00901FD3">
        <w:trPr>
          <w:trHeight w:val="358"/>
        </w:trPr>
        <w:tc>
          <w:tcPr>
            <w:tcW w:w="4254" w:type="dxa"/>
          </w:tcPr>
          <w:p w14:paraId="724B3299"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5102" w:type="dxa"/>
          </w:tcPr>
          <w:p w14:paraId="49E111F1"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5954A38" w14:textId="77777777" w:rsidTr="00901FD3">
        <w:trPr>
          <w:trHeight w:val="358"/>
        </w:trPr>
        <w:tc>
          <w:tcPr>
            <w:tcW w:w="4254" w:type="dxa"/>
          </w:tcPr>
          <w:p w14:paraId="18A53B18"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5102" w:type="dxa"/>
          </w:tcPr>
          <w:p w14:paraId="15D8B49B"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18C380D" w14:textId="77777777" w:rsidTr="00901FD3">
        <w:trPr>
          <w:trHeight w:val="358"/>
        </w:trPr>
        <w:tc>
          <w:tcPr>
            <w:tcW w:w="4254" w:type="dxa"/>
          </w:tcPr>
          <w:p w14:paraId="3B4D0AC1"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5102" w:type="dxa"/>
          </w:tcPr>
          <w:p w14:paraId="15A261BC"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4188546" w14:textId="77777777" w:rsidTr="00901FD3">
        <w:trPr>
          <w:trHeight w:val="358"/>
        </w:trPr>
        <w:tc>
          <w:tcPr>
            <w:tcW w:w="4254" w:type="dxa"/>
          </w:tcPr>
          <w:p w14:paraId="4B4EFA87"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5102" w:type="dxa"/>
          </w:tcPr>
          <w:p w14:paraId="2FEDE28A"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641EFCD" w14:textId="77777777" w:rsidTr="00901FD3">
        <w:trPr>
          <w:trHeight w:val="90"/>
        </w:trPr>
        <w:tc>
          <w:tcPr>
            <w:tcW w:w="4254" w:type="dxa"/>
            <w:tcBorders>
              <w:bottom w:val="single" w:sz="4" w:space="0" w:color="auto"/>
            </w:tcBorders>
          </w:tcPr>
          <w:p w14:paraId="4BBDB0A9"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5102" w:type="dxa"/>
            <w:tcBorders>
              <w:bottom w:val="single" w:sz="4" w:space="0" w:color="auto"/>
            </w:tcBorders>
          </w:tcPr>
          <w:p w14:paraId="472F2241" w14:textId="77777777" w:rsidR="00B62E7E" w:rsidRPr="00B62E7E" w:rsidRDefault="00B62E7E" w:rsidP="00901FD3">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5A9983A8" w14:textId="77777777" w:rsidR="00B62E7E" w:rsidRPr="00B62E7E" w:rsidRDefault="00B62E7E" w:rsidP="00B62E7E">
      <w:pPr>
        <w:pBdr>
          <w:top w:val="single" w:sz="4" w:space="0" w:color="auto"/>
          <w:left w:val="single" w:sz="4" w:space="0" w:color="auto"/>
          <w:bottom w:val="single" w:sz="4" w:space="0" w:color="auto"/>
          <w:right w:val="single" w:sz="4" w:space="0" w:color="auto"/>
        </w:pBdr>
        <w:spacing w:line="276" w:lineRule="auto"/>
        <w:jc w:val="both"/>
        <w:rPr>
          <w:rFonts w:ascii="Times New Roman" w:eastAsia="Calibri" w:hAnsi="Times New Roman" w:cs="Times New Roman"/>
          <w:b/>
          <w:bCs/>
          <w:kern w:val="0"/>
          <w:sz w:val="24"/>
          <w:szCs w:val="24"/>
          <w14:ligatures w14:val="none"/>
        </w:rPr>
        <w:sectPr w:rsidR="00B62E7E" w:rsidRPr="00B62E7E" w:rsidSect="00B62E7E">
          <w:type w:val="continuous"/>
          <w:pgSz w:w="12240" w:h="15840"/>
          <w:pgMar w:top="1440" w:right="1440" w:bottom="1440" w:left="1440" w:header="708" w:footer="708" w:gutter="0"/>
          <w:cols w:space="425"/>
          <w:docGrid w:linePitch="360"/>
        </w:sectPr>
      </w:pPr>
    </w:p>
    <w:p w14:paraId="4E5CAB5B" w14:textId="77777777" w:rsidR="00B62E7E" w:rsidRPr="00B62E7E" w:rsidRDefault="00B62E7E" w:rsidP="00B62E7E">
      <w:pPr>
        <w:spacing w:line="276" w:lineRule="auto"/>
        <w:jc w:val="both"/>
        <w:rPr>
          <w:rFonts w:ascii="Times New Roman" w:eastAsia="Calibri" w:hAnsi="Times New Roman" w:cs="Times New Roman"/>
          <w:bCs/>
          <w:kern w:val="0"/>
          <w:sz w:val="24"/>
          <w:szCs w:val="24"/>
          <w14:ligatures w14:val="none"/>
        </w:rPr>
        <w:sectPr w:rsidR="00B62E7E" w:rsidRPr="00B62E7E" w:rsidSect="00B62E7E">
          <w:type w:val="continuous"/>
          <w:pgSz w:w="12240" w:h="15840"/>
          <w:pgMar w:top="1440" w:right="1440" w:bottom="1440" w:left="1440" w:header="708" w:footer="708" w:gutter="0"/>
          <w:cols w:space="425"/>
          <w:docGrid w:linePitch="360"/>
        </w:sectPr>
      </w:pPr>
    </w:p>
    <w:p w14:paraId="4182EB9D" w14:textId="21175932" w:rsidR="00B62E7E" w:rsidRPr="00B62E7E" w:rsidRDefault="00B62E7E" w:rsidP="00901FD3">
      <w:pPr>
        <w:spacing w:line="276" w:lineRule="auto"/>
        <w:jc w:val="both"/>
        <w:rPr>
          <w:rFonts w:ascii="Times New Roman" w:eastAsia="Calibri" w:hAnsi="Times New Roman" w:cs="Times New Roman"/>
          <w:b/>
          <w:bCs/>
          <w:kern w:val="0"/>
          <w:sz w:val="24"/>
          <w:szCs w:val="24"/>
          <w14:ligatures w14:val="none"/>
        </w:rPr>
      </w:pPr>
      <w:r w:rsidRPr="00B62E7E">
        <w:rPr>
          <w:rFonts w:ascii="Times New Roman" w:eastAsia="Calibri" w:hAnsi="Times New Roman" w:cs="Times New Roman"/>
          <w:kern w:val="0"/>
          <w:sz w:val="24"/>
          <w:szCs w:val="24"/>
          <w14:ligatures w14:val="none"/>
        </w:rPr>
        <w:t xml:space="preserve">The concentration of antibiotics detected in the mid-section of the river water samples is presented in [Table 2]. Among the antibiotics analyzed, tetracycline exhibited the highest concentration, measured at 0.10 µg/ml. This indicates that tetracycline is the most dominant antibiotic residue within this region of the river. The second highest concentration was recorded for lincomycin at 0.04 µg/ml, followed by colistin, which showed a concentration of 0.03 µg/ml. Both aldrin and gentamicin were detected at relatively low but equal concentrations of 0.01 µg/ml each. In total, five antibiotics were detected in the midstream samples. Notably, penicillin, dicloxacillin, oxacillin, ampicillin, amoxicillin, quinoline,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and macrolide were not detected in the mid-section of the river</w:t>
      </w:r>
      <w:r w:rsidR="00901FD3">
        <w:rPr>
          <w:rFonts w:ascii="Times New Roman" w:eastAsia="Calibri" w:hAnsi="Times New Roman" w:cs="Times New Roman"/>
          <w:kern w:val="0"/>
          <w:sz w:val="24"/>
          <w:szCs w:val="24"/>
          <w14:ligatures w14:val="none"/>
        </w:rPr>
        <w:t>.</w:t>
      </w:r>
    </w:p>
    <w:p w14:paraId="49C687DB" w14:textId="4DCE662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bCs/>
          <w:kern w:val="0"/>
          <w:sz w:val="24"/>
          <w:szCs w:val="24"/>
          <w14:ligatures w14:val="none"/>
        </w:rPr>
        <w:t>Table 2</w:t>
      </w:r>
      <w:r w:rsidRPr="00B62E7E">
        <w:rPr>
          <w:rFonts w:ascii="Times New Roman" w:eastAsia="Calibri" w:hAnsi="Times New Roman" w:cs="Times New Roman"/>
          <w:kern w:val="0"/>
          <w:sz w:val="24"/>
          <w:szCs w:val="24"/>
          <w14:ligatures w14:val="none"/>
        </w:rPr>
        <w:t>: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mid surface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0" w:type="auto"/>
        <w:tblLook w:val="04A0" w:firstRow="1" w:lastRow="0" w:firstColumn="1" w:lastColumn="0" w:noHBand="0" w:noVBand="1"/>
      </w:tblPr>
      <w:tblGrid>
        <w:gridCol w:w="4219"/>
        <w:gridCol w:w="5137"/>
      </w:tblGrid>
      <w:tr w:rsidR="00B62E7E" w:rsidRPr="00B62E7E" w14:paraId="1FFD4D69" w14:textId="77777777" w:rsidTr="00901FD3">
        <w:trPr>
          <w:trHeight w:val="342"/>
        </w:trPr>
        <w:tc>
          <w:tcPr>
            <w:tcW w:w="4219" w:type="dxa"/>
            <w:tcBorders>
              <w:top w:val="single" w:sz="2" w:space="0" w:color="auto"/>
              <w:left w:val="nil"/>
              <w:bottom w:val="single" w:sz="2" w:space="0" w:color="auto"/>
              <w:right w:val="nil"/>
            </w:tcBorders>
          </w:tcPr>
          <w:p w14:paraId="6056C94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5137" w:type="dxa"/>
            <w:tcBorders>
              <w:top w:val="single" w:sz="2" w:space="0" w:color="auto"/>
              <w:left w:val="nil"/>
              <w:bottom w:val="single" w:sz="2" w:space="0" w:color="auto"/>
              <w:right w:val="nil"/>
            </w:tcBorders>
          </w:tcPr>
          <w:p w14:paraId="7C749822" w14:textId="77777777" w:rsidR="00B62E7E" w:rsidRPr="00B62E7E" w:rsidRDefault="00B62E7E" w:rsidP="00B62E7E">
            <w:pPr>
              <w:tabs>
                <w:tab w:val="right" w:pos="2334"/>
              </w:tabs>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r w:rsidRPr="00B62E7E">
              <w:rPr>
                <w:rFonts w:ascii="Times New Roman" w:eastAsia="Calibri" w:hAnsi="Times New Roman" w:cs="Times New Roman"/>
                <w:sz w:val="24"/>
                <w:szCs w:val="24"/>
              </w:rPr>
              <w:tab/>
            </w:r>
          </w:p>
        </w:tc>
      </w:tr>
      <w:tr w:rsidR="00B62E7E" w:rsidRPr="00B62E7E" w14:paraId="4DD9FFBF" w14:textId="77777777" w:rsidTr="00901FD3">
        <w:trPr>
          <w:trHeight w:val="302"/>
        </w:trPr>
        <w:tc>
          <w:tcPr>
            <w:tcW w:w="4219" w:type="dxa"/>
            <w:tcBorders>
              <w:top w:val="single" w:sz="2" w:space="0" w:color="auto"/>
              <w:left w:val="nil"/>
              <w:bottom w:val="nil"/>
              <w:right w:val="nil"/>
            </w:tcBorders>
          </w:tcPr>
          <w:p w14:paraId="538F6EC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5137" w:type="dxa"/>
            <w:tcBorders>
              <w:top w:val="single" w:sz="2" w:space="0" w:color="auto"/>
              <w:left w:val="nil"/>
              <w:bottom w:val="nil"/>
              <w:right w:val="nil"/>
            </w:tcBorders>
          </w:tcPr>
          <w:p w14:paraId="409922D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5C80288" w14:textId="77777777" w:rsidTr="00901FD3">
        <w:trPr>
          <w:trHeight w:val="291"/>
        </w:trPr>
        <w:tc>
          <w:tcPr>
            <w:tcW w:w="4219" w:type="dxa"/>
            <w:tcBorders>
              <w:top w:val="nil"/>
              <w:left w:val="nil"/>
              <w:bottom w:val="nil"/>
              <w:right w:val="nil"/>
            </w:tcBorders>
          </w:tcPr>
          <w:p w14:paraId="3F352F5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lastRenderedPageBreak/>
              <w:t>Tetracycline</w:t>
            </w:r>
          </w:p>
        </w:tc>
        <w:tc>
          <w:tcPr>
            <w:tcW w:w="5137" w:type="dxa"/>
            <w:tcBorders>
              <w:top w:val="nil"/>
              <w:left w:val="nil"/>
              <w:bottom w:val="nil"/>
              <w:right w:val="nil"/>
            </w:tcBorders>
          </w:tcPr>
          <w:p w14:paraId="7665ADC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r w:rsidR="00B62E7E" w:rsidRPr="00B62E7E" w14:paraId="698A53D7" w14:textId="77777777" w:rsidTr="00901FD3">
        <w:trPr>
          <w:trHeight w:val="309"/>
        </w:trPr>
        <w:tc>
          <w:tcPr>
            <w:tcW w:w="4219" w:type="dxa"/>
            <w:tcBorders>
              <w:top w:val="nil"/>
              <w:left w:val="nil"/>
              <w:bottom w:val="nil"/>
              <w:right w:val="nil"/>
            </w:tcBorders>
          </w:tcPr>
          <w:p w14:paraId="5515FC7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5137" w:type="dxa"/>
            <w:tcBorders>
              <w:top w:val="nil"/>
              <w:left w:val="nil"/>
              <w:bottom w:val="nil"/>
              <w:right w:val="nil"/>
            </w:tcBorders>
          </w:tcPr>
          <w:p w14:paraId="4782372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8F55B6D" w14:textId="77777777" w:rsidTr="00901FD3">
        <w:trPr>
          <w:trHeight w:val="301"/>
        </w:trPr>
        <w:tc>
          <w:tcPr>
            <w:tcW w:w="4219" w:type="dxa"/>
            <w:tcBorders>
              <w:top w:val="nil"/>
              <w:left w:val="nil"/>
              <w:bottom w:val="nil"/>
              <w:right w:val="nil"/>
            </w:tcBorders>
          </w:tcPr>
          <w:p w14:paraId="7ABF514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5137" w:type="dxa"/>
            <w:tcBorders>
              <w:top w:val="nil"/>
              <w:left w:val="nil"/>
              <w:bottom w:val="nil"/>
              <w:right w:val="nil"/>
            </w:tcBorders>
          </w:tcPr>
          <w:p w14:paraId="189EA38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1D0A5D8" w14:textId="77777777" w:rsidTr="00901FD3">
        <w:trPr>
          <w:trHeight w:val="288"/>
        </w:trPr>
        <w:tc>
          <w:tcPr>
            <w:tcW w:w="4219" w:type="dxa"/>
            <w:tcBorders>
              <w:top w:val="nil"/>
              <w:left w:val="nil"/>
              <w:bottom w:val="nil"/>
              <w:right w:val="nil"/>
            </w:tcBorders>
          </w:tcPr>
          <w:p w14:paraId="17C11A1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5137" w:type="dxa"/>
            <w:tcBorders>
              <w:top w:val="nil"/>
              <w:left w:val="nil"/>
              <w:bottom w:val="nil"/>
              <w:right w:val="nil"/>
            </w:tcBorders>
          </w:tcPr>
          <w:p w14:paraId="6612FF1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B805811" w14:textId="77777777" w:rsidTr="00901FD3">
        <w:trPr>
          <w:trHeight w:val="308"/>
        </w:trPr>
        <w:tc>
          <w:tcPr>
            <w:tcW w:w="4219" w:type="dxa"/>
            <w:tcBorders>
              <w:top w:val="nil"/>
              <w:left w:val="nil"/>
              <w:bottom w:val="nil"/>
              <w:right w:val="nil"/>
            </w:tcBorders>
          </w:tcPr>
          <w:p w14:paraId="3C77017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5137" w:type="dxa"/>
            <w:tcBorders>
              <w:top w:val="nil"/>
              <w:left w:val="nil"/>
              <w:bottom w:val="nil"/>
              <w:right w:val="nil"/>
            </w:tcBorders>
          </w:tcPr>
          <w:p w14:paraId="3C7F522D"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CB93B08" w14:textId="77777777" w:rsidTr="00901FD3">
        <w:trPr>
          <w:trHeight w:val="298"/>
        </w:trPr>
        <w:tc>
          <w:tcPr>
            <w:tcW w:w="4219" w:type="dxa"/>
            <w:tcBorders>
              <w:top w:val="nil"/>
              <w:left w:val="nil"/>
              <w:bottom w:val="nil"/>
              <w:right w:val="nil"/>
            </w:tcBorders>
          </w:tcPr>
          <w:p w14:paraId="05BF8E92"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5137" w:type="dxa"/>
            <w:tcBorders>
              <w:top w:val="nil"/>
              <w:left w:val="nil"/>
              <w:bottom w:val="nil"/>
              <w:right w:val="nil"/>
            </w:tcBorders>
          </w:tcPr>
          <w:p w14:paraId="20CD3D6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6CC60152" w14:textId="77777777" w:rsidTr="00901FD3">
        <w:trPr>
          <w:trHeight w:val="287"/>
        </w:trPr>
        <w:tc>
          <w:tcPr>
            <w:tcW w:w="4219" w:type="dxa"/>
            <w:tcBorders>
              <w:top w:val="nil"/>
              <w:left w:val="nil"/>
              <w:bottom w:val="nil"/>
              <w:right w:val="nil"/>
            </w:tcBorders>
          </w:tcPr>
          <w:p w14:paraId="691A9EF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5137" w:type="dxa"/>
            <w:tcBorders>
              <w:top w:val="nil"/>
              <w:left w:val="nil"/>
              <w:bottom w:val="nil"/>
              <w:right w:val="nil"/>
            </w:tcBorders>
          </w:tcPr>
          <w:p w14:paraId="3D51235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2AF5561A" w14:textId="77777777" w:rsidTr="00901FD3">
        <w:trPr>
          <w:trHeight w:val="307"/>
        </w:trPr>
        <w:tc>
          <w:tcPr>
            <w:tcW w:w="4219" w:type="dxa"/>
            <w:tcBorders>
              <w:top w:val="nil"/>
              <w:left w:val="nil"/>
              <w:bottom w:val="nil"/>
              <w:right w:val="nil"/>
            </w:tcBorders>
          </w:tcPr>
          <w:p w14:paraId="032D8787"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5137" w:type="dxa"/>
            <w:tcBorders>
              <w:top w:val="nil"/>
              <w:left w:val="nil"/>
              <w:bottom w:val="nil"/>
              <w:right w:val="nil"/>
            </w:tcBorders>
          </w:tcPr>
          <w:p w14:paraId="04B4E65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369B400" w14:textId="77777777" w:rsidTr="00901FD3">
        <w:trPr>
          <w:trHeight w:val="297"/>
        </w:trPr>
        <w:tc>
          <w:tcPr>
            <w:tcW w:w="4219" w:type="dxa"/>
            <w:tcBorders>
              <w:top w:val="nil"/>
              <w:left w:val="nil"/>
              <w:bottom w:val="nil"/>
              <w:right w:val="nil"/>
            </w:tcBorders>
          </w:tcPr>
          <w:p w14:paraId="20F4DA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5137" w:type="dxa"/>
            <w:tcBorders>
              <w:top w:val="nil"/>
              <w:left w:val="nil"/>
              <w:bottom w:val="nil"/>
              <w:right w:val="nil"/>
            </w:tcBorders>
          </w:tcPr>
          <w:p w14:paraId="6C66EB9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56EF1AC" w14:textId="77777777" w:rsidTr="00901FD3">
        <w:trPr>
          <w:trHeight w:val="300"/>
        </w:trPr>
        <w:tc>
          <w:tcPr>
            <w:tcW w:w="4219" w:type="dxa"/>
            <w:tcBorders>
              <w:top w:val="nil"/>
              <w:left w:val="nil"/>
              <w:bottom w:val="nil"/>
              <w:right w:val="nil"/>
            </w:tcBorders>
          </w:tcPr>
          <w:p w14:paraId="492B2AA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5137" w:type="dxa"/>
            <w:tcBorders>
              <w:top w:val="nil"/>
              <w:left w:val="nil"/>
              <w:bottom w:val="nil"/>
              <w:right w:val="nil"/>
            </w:tcBorders>
          </w:tcPr>
          <w:p w14:paraId="181053E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14AD3100" w14:textId="77777777" w:rsidTr="00901FD3">
        <w:trPr>
          <w:trHeight w:val="300"/>
        </w:trPr>
        <w:tc>
          <w:tcPr>
            <w:tcW w:w="4219" w:type="dxa"/>
            <w:tcBorders>
              <w:top w:val="nil"/>
              <w:left w:val="nil"/>
              <w:bottom w:val="nil"/>
              <w:right w:val="nil"/>
            </w:tcBorders>
          </w:tcPr>
          <w:p w14:paraId="4C3A34E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5137" w:type="dxa"/>
            <w:tcBorders>
              <w:top w:val="nil"/>
              <w:left w:val="nil"/>
              <w:bottom w:val="nil"/>
              <w:right w:val="nil"/>
            </w:tcBorders>
          </w:tcPr>
          <w:p w14:paraId="700BEDC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6D0182C" w14:textId="77777777" w:rsidTr="00901FD3">
        <w:trPr>
          <w:trHeight w:val="305"/>
        </w:trPr>
        <w:tc>
          <w:tcPr>
            <w:tcW w:w="4219" w:type="dxa"/>
            <w:tcBorders>
              <w:top w:val="nil"/>
              <w:left w:val="nil"/>
              <w:bottom w:val="nil"/>
              <w:right w:val="nil"/>
            </w:tcBorders>
          </w:tcPr>
          <w:p w14:paraId="533D9AD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5137" w:type="dxa"/>
            <w:tcBorders>
              <w:top w:val="nil"/>
              <w:left w:val="nil"/>
              <w:bottom w:val="nil"/>
              <w:right w:val="nil"/>
            </w:tcBorders>
          </w:tcPr>
          <w:p w14:paraId="7D6A6C7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5F76C6C7" w14:textId="77777777" w:rsidTr="00901FD3">
        <w:trPr>
          <w:trHeight w:val="300"/>
        </w:trPr>
        <w:tc>
          <w:tcPr>
            <w:tcW w:w="4219" w:type="dxa"/>
            <w:tcBorders>
              <w:top w:val="nil"/>
              <w:left w:val="nil"/>
              <w:bottom w:val="single" w:sz="2" w:space="0" w:color="auto"/>
              <w:right w:val="nil"/>
            </w:tcBorders>
          </w:tcPr>
          <w:p w14:paraId="283C556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5137" w:type="dxa"/>
            <w:tcBorders>
              <w:top w:val="nil"/>
              <w:left w:val="nil"/>
              <w:bottom w:val="single" w:sz="2" w:space="0" w:color="auto"/>
              <w:right w:val="nil"/>
            </w:tcBorders>
          </w:tcPr>
          <w:p w14:paraId="2DA64A2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bl>
    <w:p w14:paraId="6AB4A49F"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kern w:val="0"/>
          <w:sz w:val="24"/>
          <w:szCs w:val="24"/>
          <w14:ligatures w14:val="none"/>
        </w:rPr>
        <w:t>*Aldrin is not an antibiotic but a pesticide it was detected during analysis of the sample. This means a total of 12 antibiotics were studied with 4 antibiotics being detected and 1 pesticide detected.</w:t>
      </w:r>
    </w:p>
    <w:p w14:paraId="2F1C49EB"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6B4C9442"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10550D0C" w14:textId="77777777" w:rsid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kern w:val="0"/>
          <w:sz w:val="24"/>
          <w:szCs w:val="24"/>
          <w14:ligatures w14:val="none"/>
        </w:rPr>
        <w:t>In the downstream region of the river, a total of seven antibiotics were detected</w:t>
      </w:r>
      <w:r w:rsidRPr="00B62E7E">
        <w:rPr>
          <w:rFonts w:ascii="Times New Roman" w:hAnsi="Times New Roman" w:cs="Times New Roman"/>
          <w:sz w:val="24"/>
          <w:szCs w:val="24"/>
        </w:rPr>
        <w:t xml:space="preserve"> </w:t>
      </w:r>
      <w:r w:rsidRPr="00B62E7E">
        <w:rPr>
          <w:rFonts w:ascii="Times New Roman" w:eastAsia="Calibri" w:hAnsi="Times New Roman" w:cs="Times New Roman"/>
          <w:kern w:val="0"/>
          <w:sz w:val="24"/>
          <w:szCs w:val="24"/>
          <w14:ligatures w14:val="none"/>
        </w:rPr>
        <w:t xml:space="preserve">as shown in [Table 3]. Among these, tetracycline recorded the highest concentration at 0.19 µg/ml, representing the most significant level of contamination observed. The concentrations of the detected antibiotics in descending order were as follows: tetracycline (0.19 µg/ml), penicillin (0.08 µg/ml), amoxicillin (0.05 µg/ml), dicloxacillin (0.04 µg/ml), ampicillin (0.03 µg/ml),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(0.03 µg/ml), and oxacillin (0.01 µg/ml). Other antibiotics, including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macrolide, gentamicin, colistin, and lincomycin, were not detected in the downstream samples.</w:t>
      </w:r>
    </w:p>
    <w:p w14:paraId="65B40689" w14:textId="77777777" w:rsidR="00901FD3" w:rsidRDefault="00901FD3" w:rsidP="00B62E7E">
      <w:pPr>
        <w:spacing w:after="0" w:line="276" w:lineRule="auto"/>
        <w:jc w:val="both"/>
        <w:rPr>
          <w:rFonts w:ascii="Times New Roman" w:eastAsia="Calibri" w:hAnsi="Times New Roman" w:cs="Times New Roman"/>
          <w:kern w:val="0"/>
          <w:sz w:val="24"/>
          <w:szCs w:val="24"/>
          <w14:ligatures w14:val="none"/>
        </w:rPr>
      </w:pPr>
    </w:p>
    <w:p w14:paraId="3BB278E4" w14:textId="77777777" w:rsidR="00901FD3" w:rsidRDefault="00901FD3" w:rsidP="00B62E7E">
      <w:pPr>
        <w:spacing w:after="0" w:line="276" w:lineRule="auto"/>
        <w:jc w:val="both"/>
        <w:rPr>
          <w:rFonts w:ascii="Times New Roman" w:eastAsia="Calibri" w:hAnsi="Times New Roman" w:cs="Times New Roman"/>
          <w:kern w:val="0"/>
          <w:sz w:val="24"/>
          <w:szCs w:val="24"/>
          <w14:ligatures w14:val="none"/>
        </w:rPr>
      </w:pPr>
    </w:p>
    <w:p w14:paraId="1D8894F2" w14:textId="77777777" w:rsidR="00901FD3" w:rsidRDefault="00901FD3" w:rsidP="00B62E7E">
      <w:pPr>
        <w:spacing w:after="0" w:line="276" w:lineRule="auto"/>
        <w:jc w:val="both"/>
        <w:rPr>
          <w:rFonts w:ascii="Times New Roman" w:eastAsia="Calibri" w:hAnsi="Times New Roman" w:cs="Times New Roman"/>
          <w:kern w:val="0"/>
          <w:sz w:val="24"/>
          <w:szCs w:val="24"/>
          <w14:ligatures w14:val="none"/>
        </w:rPr>
      </w:pPr>
    </w:p>
    <w:p w14:paraId="73E0AAA6" w14:textId="77777777" w:rsidR="00901FD3" w:rsidRPr="00B62E7E" w:rsidRDefault="00901FD3" w:rsidP="00B62E7E">
      <w:pPr>
        <w:spacing w:after="0" w:line="276" w:lineRule="auto"/>
        <w:jc w:val="both"/>
        <w:rPr>
          <w:rFonts w:ascii="Times New Roman" w:eastAsia="Calibri" w:hAnsi="Times New Roman" w:cs="Times New Roman"/>
          <w:b/>
          <w:kern w:val="0"/>
          <w:sz w:val="24"/>
          <w:szCs w:val="24"/>
          <w14:ligatures w14:val="none"/>
        </w:rPr>
        <w:sectPr w:rsidR="00901FD3" w:rsidRPr="00B62E7E" w:rsidSect="00B62E7E">
          <w:type w:val="continuous"/>
          <w:pgSz w:w="12240" w:h="15840"/>
          <w:pgMar w:top="1440" w:right="1440" w:bottom="1440" w:left="1440" w:header="708" w:footer="708" w:gutter="0"/>
          <w:cols w:space="708"/>
          <w:docGrid w:linePitch="360"/>
        </w:sectPr>
      </w:pPr>
    </w:p>
    <w:p w14:paraId="0CFF9A1E" w14:textId="77777777" w:rsidR="00B62E7E" w:rsidRPr="00B62E7E" w:rsidRDefault="00B62E7E" w:rsidP="00B62E7E">
      <w:pPr>
        <w:spacing w:after="0" w:line="276" w:lineRule="auto"/>
        <w:jc w:val="both"/>
        <w:rPr>
          <w:rFonts w:ascii="Times New Roman" w:eastAsia="Calibri" w:hAnsi="Times New Roman" w:cs="Times New Roman"/>
          <w:b/>
          <w:kern w:val="0"/>
          <w:sz w:val="24"/>
          <w:szCs w:val="24"/>
          <w14:ligatures w14:val="none"/>
        </w:rPr>
      </w:pPr>
    </w:p>
    <w:p w14:paraId="4FB7AB0F" w14:textId="6AA1412A"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kern w:val="0"/>
          <w:sz w:val="24"/>
          <w:szCs w:val="24"/>
          <w14:ligatures w14:val="none"/>
        </w:rPr>
        <w:t>Table 3</w:t>
      </w:r>
      <w:r w:rsidRPr="00B62E7E">
        <w:rPr>
          <w:rFonts w:ascii="Times New Roman" w:eastAsia="Calibri" w:hAnsi="Times New Roman" w:cs="Times New Roman"/>
          <w:kern w:val="0"/>
          <w:sz w:val="24"/>
          <w:szCs w:val="24"/>
          <w14:ligatures w14:val="none"/>
        </w:rPr>
        <w:t>: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downstream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9498" w:type="dxa"/>
        <w:tblLook w:val="04A0" w:firstRow="1" w:lastRow="0" w:firstColumn="1" w:lastColumn="0" w:noHBand="0" w:noVBand="1"/>
      </w:tblPr>
      <w:tblGrid>
        <w:gridCol w:w="4421"/>
        <w:gridCol w:w="5077"/>
      </w:tblGrid>
      <w:tr w:rsidR="00B62E7E" w:rsidRPr="00B62E7E" w14:paraId="719C7133" w14:textId="77777777" w:rsidTr="00901FD3">
        <w:trPr>
          <w:trHeight w:val="340"/>
        </w:trPr>
        <w:tc>
          <w:tcPr>
            <w:tcW w:w="4421" w:type="dxa"/>
            <w:tcBorders>
              <w:top w:val="single" w:sz="4" w:space="0" w:color="auto"/>
              <w:left w:val="nil"/>
              <w:bottom w:val="single" w:sz="4" w:space="0" w:color="auto"/>
              <w:right w:val="nil"/>
            </w:tcBorders>
          </w:tcPr>
          <w:p w14:paraId="542A4B5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5077" w:type="dxa"/>
            <w:tcBorders>
              <w:top w:val="single" w:sz="4" w:space="0" w:color="auto"/>
              <w:left w:val="nil"/>
              <w:bottom w:val="single" w:sz="4" w:space="0" w:color="auto"/>
              <w:right w:val="nil"/>
            </w:tcBorders>
          </w:tcPr>
          <w:p w14:paraId="75985FB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19D41583" w14:textId="77777777" w:rsidTr="00901FD3">
        <w:trPr>
          <w:trHeight w:val="303"/>
        </w:trPr>
        <w:tc>
          <w:tcPr>
            <w:tcW w:w="4421" w:type="dxa"/>
            <w:tcBorders>
              <w:top w:val="single" w:sz="4" w:space="0" w:color="auto"/>
              <w:left w:val="nil"/>
              <w:bottom w:val="nil"/>
              <w:right w:val="nil"/>
            </w:tcBorders>
          </w:tcPr>
          <w:p w14:paraId="19AFB8A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5077" w:type="dxa"/>
            <w:tcBorders>
              <w:top w:val="single" w:sz="4" w:space="0" w:color="auto"/>
              <w:left w:val="nil"/>
              <w:bottom w:val="nil"/>
              <w:right w:val="nil"/>
            </w:tcBorders>
          </w:tcPr>
          <w:p w14:paraId="054A98C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0.08</w:t>
            </w:r>
          </w:p>
        </w:tc>
      </w:tr>
      <w:tr w:rsidR="00B62E7E" w:rsidRPr="00B62E7E" w14:paraId="7F03B5E2" w14:textId="77777777" w:rsidTr="00901FD3">
        <w:trPr>
          <w:trHeight w:val="255"/>
        </w:trPr>
        <w:tc>
          <w:tcPr>
            <w:tcW w:w="4421" w:type="dxa"/>
            <w:tcBorders>
              <w:top w:val="nil"/>
              <w:left w:val="nil"/>
              <w:bottom w:val="nil"/>
              <w:right w:val="nil"/>
            </w:tcBorders>
          </w:tcPr>
          <w:p w14:paraId="784A08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5077" w:type="dxa"/>
            <w:tcBorders>
              <w:top w:val="nil"/>
              <w:left w:val="nil"/>
              <w:bottom w:val="nil"/>
              <w:right w:val="nil"/>
            </w:tcBorders>
          </w:tcPr>
          <w:p w14:paraId="4B405B8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0.19</w:t>
            </w:r>
          </w:p>
        </w:tc>
      </w:tr>
      <w:tr w:rsidR="00B62E7E" w:rsidRPr="00B62E7E" w14:paraId="4EFA5518" w14:textId="77777777" w:rsidTr="00901FD3">
        <w:trPr>
          <w:trHeight w:val="271"/>
        </w:trPr>
        <w:tc>
          <w:tcPr>
            <w:tcW w:w="4421" w:type="dxa"/>
            <w:tcBorders>
              <w:top w:val="nil"/>
              <w:left w:val="nil"/>
              <w:bottom w:val="nil"/>
              <w:right w:val="nil"/>
            </w:tcBorders>
          </w:tcPr>
          <w:p w14:paraId="4C65A4A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5077" w:type="dxa"/>
            <w:tcBorders>
              <w:top w:val="nil"/>
              <w:left w:val="nil"/>
              <w:bottom w:val="nil"/>
              <w:right w:val="nil"/>
            </w:tcBorders>
          </w:tcPr>
          <w:p w14:paraId="72695BF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4B9CC93E" w14:textId="77777777" w:rsidTr="00901FD3">
        <w:trPr>
          <w:trHeight w:val="271"/>
        </w:trPr>
        <w:tc>
          <w:tcPr>
            <w:tcW w:w="4421" w:type="dxa"/>
            <w:tcBorders>
              <w:top w:val="nil"/>
              <w:left w:val="nil"/>
              <w:bottom w:val="nil"/>
              <w:right w:val="nil"/>
            </w:tcBorders>
          </w:tcPr>
          <w:p w14:paraId="749F5A7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5077" w:type="dxa"/>
            <w:tcBorders>
              <w:top w:val="nil"/>
              <w:left w:val="nil"/>
              <w:bottom w:val="nil"/>
              <w:right w:val="nil"/>
            </w:tcBorders>
          </w:tcPr>
          <w:p w14:paraId="205DDAB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7BC40030" w14:textId="77777777" w:rsidTr="00901FD3">
        <w:trPr>
          <w:trHeight w:val="232"/>
        </w:trPr>
        <w:tc>
          <w:tcPr>
            <w:tcW w:w="4421" w:type="dxa"/>
            <w:tcBorders>
              <w:top w:val="nil"/>
              <w:left w:val="nil"/>
              <w:bottom w:val="nil"/>
              <w:right w:val="nil"/>
            </w:tcBorders>
          </w:tcPr>
          <w:p w14:paraId="58E127C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5077" w:type="dxa"/>
            <w:tcBorders>
              <w:top w:val="nil"/>
              <w:left w:val="nil"/>
              <w:bottom w:val="nil"/>
              <w:right w:val="nil"/>
            </w:tcBorders>
          </w:tcPr>
          <w:p w14:paraId="50C0492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4A04EEF0" w14:textId="77777777" w:rsidTr="00901FD3">
        <w:trPr>
          <w:trHeight w:val="232"/>
        </w:trPr>
        <w:tc>
          <w:tcPr>
            <w:tcW w:w="4421" w:type="dxa"/>
            <w:tcBorders>
              <w:top w:val="nil"/>
              <w:left w:val="nil"/>
              <w:bottom w:val="nil"/>
              <w:right w:val="nil"/>
            </w:tcBorders>
          </w:tcPr>
          <w:p w14:paraId="29481E2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5077" w:type="dxa"/>
            <w:tcBorders>
              <w:top w:val="nil"/>
              <w:left w:val="nil"/>
              <w:bottom w:val="nil"/>
              <w:right w:val="nil"/>
            </w:tcBorders>
          </w:tcPr>
          <w:p w14:paraId="4EB9D3F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0.05</w:t>
            </w:r>
          </w:p>
        </w:tc>
      </w:tr>
      <w:tr w:rsidR="00B62E7E" w:rsidRPr="00B62E7E" w14:paraId="79E33D86" w14:textId="77777777" w:rsidTr="00901FD3">
        <w:trPr>
          <w:trHeight w:val="232"/>
        </w:trPr>
        <w:tc>
          <w:tcPr>
            <w:tcW w:w="4421" w:type="dxa"/>
            <w:tcBorders>
              <w:top w:val="nil"/>
              <w:left w:val="nil"/>
              <w:bottom w:val="nil"/>
              <w:right w:val="nil"/>
            </w:tcBorders>
          </w:tcPr>
          <w:p w14:paraId="3A4F48FA"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5077" w:type="dxa"/>
            <w:tcBorders>
              <w:top w:val="nil"/>
              <w:left w:val="nil"/>
              <w:bottom w:val="nil"/>
              <w:right w:val="nil"/>
            </w:tcBorders>
          </w:tcPr>
          <w:p w14:paraId="0EAF65D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791465CA" w14:textId="77777777" w:rsidTr="00901FD3">
        <w:trPr>
          <w:trHeight w:val="232"/>
        </w:trPr>
        <w:tc>
          <w:tcPr>
            <w:tcW w:w="4421" w:type="dxa"/>
            <w:tcBorders>
              <w:top w:val="nil"/>
              <w:left w:val="nil"/>
              <w:bottom w:val="nil"/>
              <w:right w:val="nil"/>
            </w:tcBorders>
          </w:tcPr>
          <w:p w14:paraId="1DBC3C0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5077" w:type="dxa"/>
            <w:tcBorders>
              <w:top w:val="nil"/>
              <w:left w:val="nil"/>
              <w:bottom w:val="nil"/>
              <w:right w:val="nil"/>
            </w:tcBorders>
          </w:tcPr>
          <w:p w14:paraId="5956FC2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EF73D2F" w14:textId="77777777" w:rsidTr="00901FD3">
        <w:trPr>
          <w:trHeight w:val="271"/>
        </w:trPr>
        <w:tc>
          <w:tcPr>
            <w:tcW w:w="4421" w:type="dxa"/>
            <w:tcBorders>
              <w:top w:val="nil"/>
              <w:left w:val="nil"/>
              <w:bottom w:val="nil"/>
              <w:right w:val="nil"/>
            </w:tcBorders>
          </w:tcPr>
          <w:p w14:paraId="1E91FFBB"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5077" w:type="dxa"/>
            <w:tcBorders>
              <w:top w:val="nil"/>
              <w:left w:val="nil"/>
              <w:bottom w:val="nil"/>
              <w:right w:val="nil"/>
            </w:tcBorders>
          </w:tcPr>
          <w:p w14:paraId="620C5A7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2E41FD4" w14:textId="77777777" w:rsidTr="00901FD3">
        <w:trPr>
          <w:trHeight w:val="239"/>
        </w:trPr>
        <w:tc>
          <w:tcPr>
            <w:tcW w:w="4421" w:type="dxa"/>
            <w:tcBorders>
              <w:top w:val="nil"/>
              <w:left w:val="nil"/>
              <w:bottom w:val="nil"/>
              <w:right w:val="nil"/>
            </w:tcBorders>
          </w:tcPr>
          <w:p w14:paraId="3DF2DF2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5077" w:type="dxa"/>
            <w:tcBorders>
              <w:top w:val="nil"/>
              <w:left w:val="nil"/>
              <w:bottom w:val="nil"/>
              <w:right w:val="nil"/>
            </w:tcBorders>
          </w:tcPr>
          <w:p w14:paraId="2967EC6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B609905" w14:textId="77777777" w:rsidTr="00901FD3">
        <w:trPr>
          <w:trHeight w:val="271"/>
        </w:trPr>
        <w:tc>
          <w:tcPr>
            <w:tcW w:w="4421" w:type="dxa"/>
            <w:tcBorders>
              <w:top w:val="nil"/>
              <w:left w:val="nil"/>
              <w:bottom w:val="nil"/>
              <w:right w:val="nil"/>
            </w:tcBorders>
          </w:tcPr>
          <w:p w14:paraId="54A5D2A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lastRenderedPageBreak/>
              <w:t>*Quinoline</w:t>
            </w:r>
          </w:p>
        </w:tc>
        <w:tc>
          <w:tcPr>
            <w:tcW w:w="5077" w:type="dxa"/>
            <w:tcBorders>
              <w:top w:val="nil"/>
              <w:left w:val="nil"/>
              <w:bottom w:val="nil"/>
              <w:right w:val="nil"/>
            </w:tcBorders>
          </w:tcPr>
          <w:p w14:paraId="788EDA7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E1AA687" w14:textId="77777777" w:rsidTr="00901FD3">
        <w:trPr>
          <w:trHeight w:val="239"/>
        </w:trPr>
        <w:tc>
          <w:tcPr>
            <w:tcW w:w="4421" w:type="dxa"/>
            <w:tcBorders>
              <w:top w:val="nil"/>
              <w:left w:val="nil"/>
              <w:bottom w:val="nil"/>
              <w:right w:val="nil"/>
            </w:tcBorders>
          </w:tcPr>
          <w:p w14:paraId="63DB23DD"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5077" w:type="dxa"/>
            <w:tcBorders>
              <w:top w:val="nil"/>
              <w:left w:val="nil"/>
              <w:bottom w:val="nil"/>
              <w:right w:val="nil"/>
            </w:tcBorders>
          </w:tcPr>
          <w:p w14:paraId="68FBC75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6A33E415" w14:textId="77777777" w:rsidTr="00901FD3">
        <w:trPr>
          <w:trHeight w:val="255"/>
        </w:trPr>
        <w:tc>
          <w:tcPr>
            <w:tcW w:w="4421" w:type="dxa"/>
            <w:tcBorders>
              <w:top w:val="nil"/>
              <w:left w:val="nil"/>
              <w:bottom w:val="nil"/>
              <w:right w:val="nil"/>
            </w:tcBorders>
          </w:tcPr>
          <w:p w14:paraId="7F7347A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5077" w:type="dxa"/>
            <w:tcBorders>
              <w:top w:val="nil"/>
              <w:left w:val="nil"/>
              <w:bottom w:val="nil"/>
              <w:right w:val="nil"/>
            </w:tcBorders>
          </w:tcPr>
          <w:p w14:paraId="0491D8B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9B3E966" w14:textId="77777777" w:rsidTr="00901FD3">
        <w:trPr>
          <w:trHeight w:val="258"/>
        </w:trPr>
        <w:tc>
          <w:tcPr>
            <w:tcW w:w="4421" w:type="dxa"/>
            <w:tcBorders>
              <w:top w:val="nil"/>
              <w:left w:val="nil"/>
              <w:bottom w:val="single" w:sz="4" w:space="0" w:color="auto"/>
              <w:right w:val="nil"/>
            </w:tcBorders>
          </w:tcPr>
          <w:p w14:paraId="63C1E04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5077" w:type="dxa"/>
            <w:tcBorders>
              <w:top w:val="nil"/>
              <w:left w:val="nil"/>
              <w:bottom w:val="single" w:sz="4" w:space="0" w:color="auto"/>
              <w:right w:val="nil"/>
            </w:tcBorders>
          </w:tcPr>
          <w:p w14:paraId="1FC5FE2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661717C3"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1EF78C1A"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70911019" w14:textId="32179C36" w:rsidR="00B62E7E" w:rsidRPr="00B62E7E" w:rsidRDefault="00B62E7E" w:rsidP="00B62E7E">
      <w:pPr>
        <w:spacing w:after="0" w:line="276" w:lineRule="auto"/>
        <w:jc w:val="both"/>
        <w:rPr>
          <w:rFonts w:ascii="Times New Roman" w:eastAsia="Calibri" w:hAnsi="Times New Roman" w:cs="Times New Roman"/>
          <w:b/>
          <w:bCs/>
          <w:kern w:val="0"/>
          <w:sz w:val="24"/>
          <w:szCs w:val="24"/>
          <w14:ligatures w14:val="none"/>
        </w:rPr>
      </w:pPr>
      <w:r w:rsidRPr="00B62E7E">
        <w:rPr>
          <w:rFonts w:ascii="Times New Roman" w:eastAsia="Calibri" w:hAnsi="Times New Roman" w:cs="Times New Roman"/>
          <w:kern w:val="0"/>
          <w:sz w:val="24"/>
          <w:szCs w:val="24"/>
          <w14:ligatures w14:val="none"/>
        </w:rPr>
        <w:t xml:space="preserve">The spring water sample contained little to no detectable levels of antibiotics. Among all the antibiotics analyzed, only lincomycin showed a measurable concentration of 0.01 mg/ml, as presented in [Table 4]. Other antibiotics, including tetracycline, macrolide,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colistin,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penicillin, and ampicillin, were not detected. Additionally, an impurity identified as quinoline was detected in the sample at a concentration of 0.01 mg/ml, identical to that of lincomycin</w:t>
      </w:r>
      <w:r w:rsidR="00901FD3">
        <w:rPr>
          <w:rFonts w:ascii="Times New Roman" w:eastAsia="Calibri" w:hAnsi="Times New Roman" w:cs="Times New Roman"/>
          <w:kern w:val="0"/>
          <w:sz w:val="24"/>
          <w:szCs w:val="24"/>
          <w14:ligatures w14:val="none"/>
        </w:rPr>
        <w:t>.</w:t>
      </w:r>
    </w:p>
    <w:p w14:paraId="554B6BB7" w14:textId="329A75AD"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bCs/>
          <w:kern w:val="0"/>
          <w:sz w:val="24"/>
          <w:szCs w:val="24"/>
          <w14:ligatures w14:val="none"/>
        </w:rPr>
        <w:t>Table 4</w:t>
      </w:r>
      <w:r w:rsidRPr="00B62E7E">
        <w:rPr>
          <w:rFonts w:ascii="Times New Roman" w:eastAsia="Calibri" w:hAnsi="Times New Roman" w:cs="Times New Roman"/>
          <w:kern w:val="0"/>
          <w:sz w:val="24"/>
          <w:szCs w:val="24"/>
          <w14:ligatures w14:val="none"/>
        </w:rPr>
        <w:t>: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spring water sample (</w:t>
      </w:r>
      <w:proofErr w:type="spellStart"/>
      <w:r w:rsidRPr="00B62E7E">
        <w:rPr>
          <w:rFonts w:ascii="Times New Roman" w:eastAsia="Calibri" w:hAnsi="Times New Roman" w:cs="Times New Roman"/>
          <w:kern w:val="0"/>
          <w:sz w:val="24"/>
          <w:szCs w:val="24"/>
          <w14:ligatures w14:val="none"/>
        </w:rPr>
        <w:t>Akpugo</w:t>
      </w:r>
      <w:proofErr w:type="spellEnd"/>
      <w:r w:rsidRPr="00B62E7E">
        <w:rPr>
          <w:rFonts w:ascii="Times New Roman" w:eastAsia="Calibri" w:hAnsi="Times New Roman" w:cs="Times New Roman"/>
          <w:kern w:val="0"/>
          <w:sz w:val="24"/>
          <w:szCs w:val="24"/>
          <w14:ligatures w14:val="none"/>
        </w:rPr>
        <w:t>)</w:t>
      </w:r>
    </w:p>
    <w:tbl>
      <w:tblPr>
        <w:tblStyle w:val="TableGrid"/>
        <w:tblW w:w="0" w:type="auto"/>
        <w:jc w:val="center"/>
        <w:tblLook w:val="04A0" w:firstRow="1" w:lastRow="0" w:firstColumn="1" w:lastColumn="0" w:noHBand="0" w:noVBand="1"/>
      </w:tblPr>
      <w:tblGrid>
        <w:gridCol w:w="4113"/>
        <w:gridCol w:w="4676"/>
      </w:tblGrid>
      <w:tr w:rsidR="00B62E7E" w:rsidRPr="00B62E7E" w14:paraId="0589BDDE" w14:textId="77777777" w:rsidTr="00004BD0">
        <w:trPr>
          <w:trHeight w:val="300"/>
          <w:jc w:val="center"/>
        </w:trPr>
        <w:tc>
          <w:tcPr>
            <w:tcW w:w="4113" w:type="dxa"/>
            <w:tcBorders>
              <w:top w:val="single" w:sz="4" w:space="0" w:color="auto"/>
              <w:left w:val="nil"/>
              <w:bottom w:val="single" w:sz="4" w:space="0" w:color="auto"/>
              <w:right w:val="nil"/>
            </w:tcBorders>
          </w:tcPr>
          <w:p w14:paraId="497022D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4676" w:type="dxa"/>
            <w:tcBorders>
              <w:top w:val="single" w:sz="4" w:space="0" w:color="auto"/>
              <w:left w:val="nil"/>
              <w:bottom w:val="single" w:sz="4" w:space="0" w:color="auto"/>
              <w:right w:val="nil"/>
            </w:tcBorders>
          </w:tcPr>
          <w:p w14:paraId="6DF5B0B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10241A02" w14:textId="77777777" w:rsidTr="00004BD0">
        <w:trPr>
          <w:trHeight w:val="300"/>
          <w:jc w:val="center"/>
        </w:trPr>
        <w:tc>
          <w:tcPr>
            <w:tcW w:w="4113" w:type="dxa"/>
            <w:tcBorders>
              <w:top w:val="single" w:sz="4" w:space="0" w:color="auto"/>
              <w:left w:val="nil"/>
              <w:bottom w:val="nil"/>
              <w:right w:val="nil"/>
            </w:tcBorders>
          </w:tcPr>
          <w:p w14:paraId="1045AF8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4676" w:type="dxa"/>
            <w:tcBorders>
              <w:top w:val="single" w:sz="4" w:space="0" w:color="auto"/>
              <w:left w:val="nil"/>
              <w:bottom w:val="nil"/>
              <w:right w:val="nil"/>
            </w:tcBorders>
          </w:tcPr>
          <w:p w14:paraId="5C6B017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0097CDAC" w14:textId="77777777" w:rsidTr="00004BD0">
        <w:trPr>
          <w:trHeight w:val="300"/>
          <w:jc w:val="center"/>
        </w:trPr>
        <w:tc>
          <w:tcPr>
            <w:tcW w:w="4113" w:type="dxa"/>
            <w:tcBorders>
              <w:top w:val="nil"/>
              <w:left w:val="nil"/>
              <w:bottom w:val="nil"/>
              <w:right w:val="nil"/>
            </w:tcBorders>
          </w:tcPr>
          <w:p w14:paraId="5406882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4676" w:type="dxa"/>
            <w:tcBorders>
              <w:top w:val="nil"/>
              <w:left w:val="nil"/>
              <w:bottom w:val="nil"/>
              <w:right w:val="nil"/>
            </w:tcBorders>
          </w:tcPr>
          <w:p w14:paraId="19A240A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13947E33" w14:textId="77777777" w:rsidTr="00004BD0">
        <w:trPr>
          <w:trHeight w:val="300"/>
          <w:jc w:val="center"/>
        </w:trPr>
        <w:tc>
          <w:tcPr>
            <w:tcW w:w="4113" w:type="dxa"/>
            <w:tcBorders>
              <w:top w:val="nil"/>
              <w:left w:val="nil"/>
              <w:bottom w:val="nil"/>
              <w:right w:val="nil"/>
            </w:tcBorders>
          </w:tcPr>
          <w:p w14:paraId="5AB9E20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4676" w:type="dxa"/>
            <w:tcBorders>
              <w:top w:val="nil"/>
              <w:left w:val="nil"/>
              <w:bottom w:val="nil"/>
              <w:right w:val="nil"/>
            </w:tcBorders>
          </w:tcPr>
          <w:p w14:paraId="2820F64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17768EB" w14:textId="77777777" w:rsidTr="00004BD0">
        <w:trPr>
          <w:trHeight w:val="300"/>
          <w:jc w:val="center"/>
        </w:trPr>
        <w:tc>
          <w:tcPr>
            <w:tcW w:w="4113" w:type="dxa"/>
            <w:tcBorders>
              <w:top w:val="nil"/>
              <w:left w:val="nil"/>
              <w:bottom w:val="nil"/>
              <w:right w:val="nil"/>
            </w:tcBorders>
          </w:tcPr>
          <w:p w14:paraId="42BA28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4676" w:type="dxa"/>
            <w:tcBorders>
              <w:top w:val="nil"/>
              <w:left w:val="nil"/>
              <w:bottom w:val="nil"/>
              <w:right w:val="nil"/>
            </w:tcBorders>
          </w:tcPr>
          <w:p w14:paraId="7ABBCB6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F2C845A" w14:textId="77777777" w:rsidTr="00004BD0">
        <w:trPr>
          <w:trHeight w:val="300"/>
          <w:jc w:val="center"/>
        </w:trPr>
        <w:tc>
          <w:tcPr>
            <w:tcW w:w="4113" w:type="dxa"/>
            <w:tcBorders>
              <w:top w:val="nil"/>
              <w:left w:val="nil"/>
              <w:bottom w:val="nil"/>
              <w:right w:val="nil"/>
            </w:tcBorders>
          </w:tcPr>
          <w:p w14:paraId="2D00B6E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4676" w:type="dxa"/>
            <w:tcBorders>
              <w:top w:val="nil"/>
              <w:left w:val="nil"/>
              <w:bottom w:val="nil"/>
              <w:right w:val="nil"/>
            </w:tcBorders>
          </w:tcPr>
          <w:p w14:paraId="0F75398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786900D8" w14:textId="77777777" w:rsidTr="00004BD0">
        <w:trPr>
          <w:trHeight w:val="300"/>
          <w:jc w:val="center"/>
        </w:trPr>
        <w:tc>
          <w:tcPr>
            <w:tcW w:w="4113" w:type="dxa"/>
            <w:tcBorders>
              <w:top w:val="nil"/>
              <w:left w:val="nil"/>
              <w:bottom w:val="nil"/>
              <w:right w:val="nil"/>
            </w:tcBorders>
          </w:tcPr>
          <w:p w14:paraId="09DE2C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4676" w:type="dxa"/>
            <w:tcBorders>
              <w:top w:val="nil"/>
              <w:left w:val="nil"/>
              <w:bottom w:val="nil"/>
              <w:right w:val="nil"/>
            </w:tcBorders>
          </w:tcPr>
          <w:p w14:paraId="2B690EC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6A6EAFEC" w14:textId="77777777" w:rsidTr="00004BD0">
        <w:trPr>
          <w:trHeight w:val="300"/>
          <w:jc w:val="center"/>
        </w:trPr>
        <w:tc>
          <w:tcPr>
            <w:tcW w:w="4113" w:type="dxa"/>
            <w:tcBorders>
              <w:top w:val="nil"/>
              <w:left w:val="nil"/>
              <w:bottom w:val="nil"/>
              <w:right w:val="nil"/>
            </w:tcBorders>
          </w:tcPr>
          <w:p w14:paraId="6F5257C6"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4676" w:type="dxa"/>
            <w:tcBorders>
              <w:top w:val="nil"/>
              <w:left w:val="nil"/>
              <w:bottom w:val="nil"/>
              <w:right w:val="nil"/>
            </w:tcBorders>
          </w:tcPr>
          <w:p w14:paraId="44FE4A2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7439066A" w14:textId="77777777" w:rsidTr="00004BD0">
        <w:trPr>
          <w:trHeight w:val="300"/>
          <w:jc w:val="center"/>
        </w:trPr>
        <w:tc>
          <w:tcPr>
            <w:tcW w:w="4113" w:type="dxa"/>
            <w:tcBorders>
              <w:top w:val="nil"/>
              <w:left w:val="nil"/>
              <w:bottom w:val="nil"/>
              <w:right w:val="nil"/>
            </w:tcBorders>
          </w:tcPr>
          <w:p w14:paraId="335FEC1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676" w:type="dxa"/>
            <w:tcBorders>
              <w:top w:val="nil"/>
              <w:left w:val="nil"/>
              <w:bottom w:val="nil"/>
              <w:right w:val="nil"/>
            </w:tcBorders>
          </w:tcPr>
          <w:p w14:paraId="01F0214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36B9BE92" w14:textId="77777777" w:rsidTr="00004BD0">
        <w:trPr>
          <w:trHeight w:val="300"/>
          <w:jc w:val="center"/>
        </w:trPr>
        <w:tc>
          <w:tcPr>
            <w:tcW w:w="4113" w:type="dxa"/>
            <w:tcBorders>
              <w:top w:val="nil"/>
              <w:left w:val="nil"/>
              <w:bottom w:val="nil"/>
              <w:right w:val="nil"/>
            </w:tcBorders>
          </w:tcPr>
          <w:p w14:paraId="4AB8131C"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676" w:type="dxa"/>
            <w:tcBorders>
              <w:top w:val="nil"/>
              <w:left w:val="nil"/>
              <w:bottom w:val="nil"/>
              <w:right w:val="nil"/>
            </w:tcBorders>
          </w:tcPr>
          <w:p w14:paraId="12C1FAA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4767B8C9" w14:textId="77777777" w:rsidTr="00004BD0">
        <w:trPr>
          <w:trHeight w:val="300"/>
          <w:jc w:val="center"/>
        </w:trPr>
        <w:tc>
          <w:tcPr>
            <w:tcW w:w="4113" w:type="dxa"/>
            <w:tcBorders>
              <w:top w:val="nil"/>
              <w:left w:val="nil"/>
              <w:bottom w:val="nil"/>
              <w:right w:val="nil"/>
            </w:tcBorders>
          </w:tcPr>
          <w:p w14:paraId="0ED0C21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4676" w:type="dxa"/>
            <w:tcBorders>
              <w:top w:val="nil"/>
              <w:left w:val="nil"/>
              <w:bottom w:val="nil"/>
              <w:right w:val="nil"/>
            </w:tcBorders>
          </w:tcPr>
          <w:p w14:paraId="79B2475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10DC59B4" w14:textId="77777777" w:rsidTr="00004BD0">
        <w:trPr>
          <w:trHeight w:val="300"/>
          <w:jc w:val="center"/>
        </w:trPr>
        <w:tc>
          <w:tcPr>
            <w:tcW w:w="4113" w:type="dxa"/>
            <w:tcBorders>
              <w:top w:val="nil"/>
              <w:left w:val="nil"/>
              <w:bottom w:val="nil"/>
              <w:right w:val="nil"/>
            </w:tcBorders>
          </w:tcPr>
          <w:p w14:paraId="7128CB5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4676" w:type="dxa"/>
            <w:tcBorders>
              <w:top w:val="nil"/>
              <w:left w:val="nil"/>
              <w:bottom w:val="nil"/>
              <w:right w:val="nil"/>
            </w:tcBorders>
          </w:tcPr>
          <w:p w14:paraId="450CA32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7D7F89AC" w14:textId="77777777" w:rsidTr="00004BD0">
        <w:trPr>
          <w:trHeight w:val="300"/>
          <w:jc w:val="center"/>
        </w:trPr>
        <w:tc>
          <w:tcPr>
            <w:tcW w:w="4113" w:type="dxa"/>
            <w:tcBorders>
              <w:top w:val="nil"/>
              <w:left w:val="nil"/>
              <w:bottom w:val="nil"/>
              <w:right w:val="nil"/>
            </w:tcBorders>
          </w:tcPr>
          <w:p w14:paraId="706A00E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4676" w:type="dxa"/>
            <w:tcBorders>
              <w:top w:val="nil"/>
              <w:left w:val="nil"/>
              <w:bottom w:val="nil"/>
              <w:right w:val="nil"/>
            </w:tcBorders>
          </w:tcPr>
          <w:p w14:paraId="2DB1150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1DDA1F3" w14:textId="77777777" w:rsidTr="00004BD0">
        <w:trPr>
          <w:trHeight w:val="300"/>
          <w:jc w:val="center"/>
        </w:trPr>
        <w:tc>
          <w:tcPr>
            <w:tcW w:w="4113" w:type="dxa"/>
            <w:tcBorders>
              <w:top w:val="nil"/>
              <w:left w:val="nil"/>
              <w:bottom w:val="nil"/>
              <w:right w:val="nil"/>
            </w:tcBorders>
          </w:tcPr>
          <w:p w14:paraId="20D1822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4676" w:type="dxa"/>
            <w:tcBorders>
              <w:top w:val="nil"/>
              <w:left w:val="nil"/>
              <w:bottom w:val="nil"/>
              <w:right w:val="nil"/>
            </w:tcBorders>
          </w:tcPr>
          <w:p w14:paraId="207BA10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0.00</w:t>
            </w:r>
          </w:p>
        </w:tc>
      </w:tr>
      <w:tr w:rsidR="00B62E7E" w:rsidRPr="00B62E7E" w14:paraId="58D455D3" w14:textId="77777777" w:rsidTr="00004BD0">
        <w:trPr>
          <w:trHeight w:val="348"/>
          <w:jc w:val="center"/>
        </w:trPr>
        <w:tc>
          <w:tcPr>
            <w:tcW w:w="4113" w:type="dxa"/>
            <w:tcBorders>
              <w:top w:val="nil"/>
              <w:left w:val="nil"/>
              <w:bottom w:val="single" w:sz="4" w:space="0" w:color="auto"/>
              <w:right w:val="nil"/>
            </w:tcBorders>
          </w:tcPr>
          <w:p w14:paraId="6E9AAC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4676" w:type="dxa"/>
            <w:tcBorders>
              <w:top w:val="nil"/>
              <w:left w:val="nil"/>
              <w:bottom w:val="single" w:sz="4" w:space="0" w:color="auto"/>
              <w:right w:val="nil"/>
            </w:tcBorders>
          </w:tcPr>
          <w:p w14:paraId="3ED0518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bl>
    <w:p w14:paraId="0075299D"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kern w:val="0"/>
          <w:sz w:val="24"/>
          <w:szCs w:val="24"/>
          <w14:ligatures w14:val="none"/>
        </w:rPr>
        <w:t>*Quinoline is not an antibiotic but a major compound present in antimalarial drugs; it was detected in the sample during analysis.</w:t>
      </w:r>
    </w:p>
    <w:p w14:paraId="29CA1DCA"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49E5993D"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11A97272" w14:textId="16283742" w:rsidR="00B62E7E" w:rsidRDefault="00B62E7E" w:rsidP="00B62E7E">
      <w:pPr>
        <w:spacing w:after="0" w:line="276" w:lineRule="auto"/>
        <w:jc w:val="both"/>
        <w:rPr>
          <w:rFonts w:ascii="Times New Roman" w:eastAsia="Calibri" w:hAnsi="Times New Roman" w:cs="Times New Roman"/>
          <w:kern w:val="0"/>
          <w:sz w:val="24"/>
          <w:szCs w:val="24"/>
          <w14:ligatures w14:val="none"/>
        </w:rPr>
      </w:pPr>
      <w:bookmarkStart w:id="2" w:name="_Hlk211496668"/>
      <w:r w:rsidRPr="00B62E7E">
        <w:rPr>
          <w:rFonts w:ascii="Times New Roman" w:eastAsia="Calibri" w:hAnsi="Times New Roman" w:cs="Times New Roman"/>
          <w:kern w:val="0"/>
          <w:sz w:val="24"/>
          <w:szCs w:val="24"/>
          <w14:ligatures w14:val="none"/>
        </w:rPr>
        <w:t xml:space="preserve">In the head region of the river (upstream), a total of six different antibiotic residues were detected in the analyzed water sample, as presented in [Table 5]. Among these, tetracycline exhibited the highest concentration at 0.50 µg/ml, representing the most dominant antibiotic detected in this region. Several other antibiotics selected for this study were not detected in the sample. The antibiotics identified in the head region, arranged in descending order of their concentrations, include: tetracycline (0.50 µg/ml), colistin (0.10 µg/ml),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(0.04 µg/ml),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xml:space="preserve"> (0.04 µg/ml), and ampicillin (0.01 µg/ml)</w:t>
      </w:r>
      <w:bookmarkEnd w:id="2"/>
      <w:r w:rsidR="00901FD3">
        <w:rPr>
          <w:rFonts w:ascii="Times New Roman" w:eastAsia="Calibri" w:hAnsi="Times New Roman" w:cs="Times New Roman"/>
          <w:kern w:val="0"/>
          <w:sz w:val="24"/>
          <w:szCs w:val="24"/>
          <w14:ligatures w14:val="none"/>
        </w:rPr>
        <w:t>.</w:t>
      </w:r>
    </w:p>
    <w:p w14:paraId="6CBA3480" w14:textId="77777777" w:rsidR="00901FD3" w:rsidRPr="00B62E7E" w:rsidRDefault="00901FD3" w:rsidP="00B62E7E">
      <w:pPr>
        <w:spacing w:after="0" w:line="276" w:lineRule="auto"/>
        <w:jc w:val="both"/>
        <w:rPr>
          <w:rFonts w:ascii="Times New Roman" w:eastAsia="Calibri" w:hAnsi="Times New Roman" w:cs="Times New Roman"/>
          <w:b/>
          <w:kern w:val="0"/>
          <w:sz w:val="24"/>
          <w:szCs w:val="24"/>
          <w14:ligatures w14:val="none"/>
        </w:rPr>
      </w:pPr>
    </w:p>
    <w:p w14:paraId="66274386" w14:textId="5DBD63B0" w:rsidR="00B62E7E" w:rsidRPr="00901FD3" w:rsidRDefault="00B62E7E" w:rsidP="00B62E7E">
      <w:pPr>
        <w:spacing w:after="0" w:line="276" w:lineRule="auto"/>
        <w:jc w:val="both"/>
        <w:rPr>
          <w:rFonts w:ascii="Times New Roman" w:eastAsia="Calibri" w:hAnsi="Times New Roman" w:cs="Times New Roman"/>
          <w:b/>
          <w:kern w:val="0"/>
          <w:sz w:val="24"/>
          <w:szCs w:val="24"/>
          <w14:ligatures w14:val="none"/>
        </w:rPr>
      </w:pPr>
      <w:r w:rsidRPr="00B62E7E">
        <w:rPr>
          <w:rFonts w:ascii="Times New Roman" w:eastAsia="Calibri" w:hAnsi="Times New Roman" w:cs="Times New Roman"/>
          <w:b/>
          <w:kern w:val="0"/>
          <w:sz w:val="24"/>
          <w:szCs w:val="24"/>
          <w14:ligatures w14:val="none"/>
        </w:rPr>
        <w:t>Table 5:</w:t>
      </w:r>
      <w:r w:rsidRPr="00B62E7E">
        <w:rPr>
          <w:rFonts w:ascii="Times New Roman" w:eastAsia="Calibri" w:hAnsi="Times New Roman" w:cs="Times New Roman"/>
          <w:kern w:val="0"/>
          <w:sz w:val="24"/>
          <w:szCs w:val="24"/>
          <w14:ligatures w14:val="none"/>
        </w:rPr>
        <w:t xml:space="preserve"> 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 xml:space="preserve">g/ml) of antibiotics in the examined </w:t>
      </w:r>
      <w:bookmarkStart w:id="3" w:name="_Hlk211496493"/>
      <w:r w:rsidRPr="00B62E7E">
        <w:rPr>
          <w:rFonts w:ascii="Times New Roman" w:eastAsia="Calibri" w:hAnsi="Times New Roman" w:cs="Times New Roman"/>
          <w:kern w:val="0"/>
          <w:sz w:val="24"/>
          <w:szCs w:val="24"/>
          <w14:ligatures w14:val="none"/>
        </w:rPr>
        <w:t>Upstream</w:t>
      </w:r>
      <w:bookmarkEnd w:id="3"/>
      <w:r w:rsidRPr="00B62E7E">
        <w:rPr>
          <w:rFonts w:ascii="Times New Roman" w:eastAsia="Calibri" w:hAnsi="Times New Roman" w:cs="Times New Roman"/>
          <w:kern w:val="0"/>
          <w:sz w:val="24"/>
          <w:szCs w:val="24"/>
          <w14:ligatures w14:val="none"/>
        </w:rPr>
        <w:t xml:space="preserve"> (Amodu) </w:t>
      </w:r>
      <w:r w:rsidRPr="00B62E7E">
        <w:rPr>
          <w:rFonts w:ascii="Times New Roman" w:eastAsia="Calibri" w:hAnsi="Times New Roman" w:cs="Times New Roman"/>
          <w:b/>
          <w:kern w:val="0"/>
          <w:sz w:val="24"/>
          <w:szCs w:val="24"/>
          <w14:ligatures w14:val="none"/>
        </w:rPr>
        <w:t xml:space="preserve"> </w:t>
      </w:r>
    </w:p>
    <w:tbl>
      <w:tblPr>
        <w:tblStyle w:val="TableGrid"/>
        <w:tblW w:w="0" w:type="auto"/>
        <w:tblLook w:val="04A0" w:firstRow="1" w:lastRow="0" w:firstColumn="1" w:lastColumn="0" w:noHBand="0" w:noVBand="1"/>
      </w:tblPr>
      <w:tblGrid>
        <w:gridCol w:w="3888"/>
        <w:gridCol w:w="4192"/>
      </w:tblGrid>
      <w:tr w:rsidR="00B62E7E" w:rsidRPr="00B62E7E" w14:paraId="0C02F054" w14:textId="77777777" w:rsidTr="00901FD3">
        <w:trPr>
          <w:trHeight w:val="265"/>
        </w:trPr>
        <w:tc>
          <w:tcPr>
            <w:tcW w:w="3888" w:type="dxa"/>
            <w:tcBorders>
              <w:left w:val="nil"/>
              <w:bottom w:val="single" w:sz="4" w:space="0" w:color="auto"/>
              <w:right w:val="nil"/>
            </w:tcBorders>
          </w:tcPr>
          <w:p w14:paraId="0B56596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Antibiotics </w:t>
            </w:r>
          </w:p>
        </w:tc>
        <w:tc>
          <w:tcPr>
            <w:tcW w:w="4192" w:type="dxa"/>
            <w:tcBorders>
              <w:left w:val="nil"/>
              <w:bottom w:val="single" w:sz="4" w:space="0" w:color="auto"/>
              <w:right w:val="nil"/>
            </w:tcBorders>
          </w:tcPr>
          <w:p w14:paraId="0AAF8EB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Concentration </w:t>
            </w:r>
          </w:p>
        </w:tc>
      </w:tr>
      <w:tr w:rsidR="00B62E7E" w:rsidRPr="00B62E7E" w14:paraId="2E893F57" w14:textId="77777777" w:rsidTr="00901FD3">
        <w:trPr>
          <w:trHeight w:val="252"/>
        </w:trPr>
        <w:tc>
          <w:tcPr>
            <w:tcW w:w="3888" w:type="dxa"/>
            <w:tcBorders>
              <w:top w:val="single" w:sz="4" w:space="0" w:color="auto"/>
              <w:left w:val="nil"/>
              <w:bottom w:val="nil"/>
              <w:right w:val="nil"/>
            </w:tcBorders>
          </w:tcPr>
          <w:p w14:paraId="67CA84E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lastRenderedPageBreak/>
              <w:t xml:space="preserve">Penicillin                                                             </w:t>
            </w:r>
          </w:p>
        </w:tc>
        <w:tc>
          <w:tcPr>
            <w:tcW w:w="4192" w:type="dxa"/>
            <w:tcBorders>
              <w:top w:val="single" w:sz="4" w:space="0" w:color="auto"/>
              <w:left w:val="nil"/>
              <w:bottom w:val="nil"/>
              <w:right w:val="nil"/>
            </w:tcBorders>
          </w:tcPr>
          <w:p w14:paraId="5F5A841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85B957E" w14:textId="77777777" w:rsidTr="00901FD3">
        <w:trPr>
          <w:trHeight w:val="262"/>
        </w:trPr>
        <w:tc>
          <w:tcPr>
            <w:tcW w:w="3888" w:type="dxa"/>
            <w:tcBorders>
              <w:top w:val="nil"/>
              <w:left w:val="nil"/>
              <w:bottom w:val="nil"/>
              <w:right w:val="nil"/>
            </w:tcBorders>
          </w:tcPr>
          <w:p w14:paraId="624FCB2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Tetracycline </w:t>
            </w:r>
          </w:p>
        </w:tc>
        <w:tc>
          <w:tcPr>
            <w:tcW w:w="4192" w:type="dxa"/>
            <w:tcBorders>
              <w:top w:val="nil"/>
              <w:left w:val="nil"/>
              <w:bottom w:val="nil"/>
              <w:right w:val="nil"/>
            </w:tcBorders>
          </w:tcPr>
          <w:p w14:paraId="2A31ECF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0.50</w:t>
            </w:r>
          </w:p>
        </w:tc>
      </w:tr>
      <w:tr w:rsidR="00B62E7E" w:rsidRPr="00B62E7E" w14:paraId="1B98DBA7" w14:textId="77777777" w:rsidTr="00901FD3">
        <w:trPr>
          <w:trHeight w:val="262"/>
        </w:trPr>
        <w:tc>
          <w:tcPr>
            <w:tcW w:w="3888" w:type="dxa"/>
            <w:tcBorders>
              <w:top w:val="nil"/>
              <w:left w:val="nil"/>
              <w:bottom w:val="nil"/>
              <w:right w:val="nil"/>
            </w:tcBorders>
          </w:tcPr>
          <w:p w14:paraId="4C82E89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Dicloxacillin </w:t>
            </w:r>
          </w:p>
        </w:tc>
        <w:tc>
          <w:tcPr>
            <w:tcW w:w="4192" w:type="dxa"/>
            <w:tcBorders>
              <w:top w:val="nil"/>
              <w:left w:val="nil"/>
              <w:bottom w:val="nil"/>
              <w:right w:val="nil"/>
            </w:tcBorders>
          </w:tcPr>
          <w:p w14:paraId="5522300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C254F62" w14:textId="77777777" w:rsidTr="00901FD3">
        <w:trPr>
          <w:trHeight w:val="262"/>
        </w:trPr>
        <w:tc>
          <w:tcPr>
            <w:tcW w:w="3888" w:type="dxa"/>
            <w:tcBorders>
              <w:top w:val="nil"/>
              <w:left w:val="nil"/>
              <w:bottom w:val="nil"/>
              <w:right w:val="nil"/>
            </w:tcBorders>
          </w:tcPr>
          <w:p w14:paraId="522F531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Oxacillin </w:t>
            </w:r>
          </w:p>
        </w:tc>
        <w:tc>
          <w:tcPr>
            <w:tcW w:w="4192" w:type="dxa"/>
            <w:tcBorders>
              <w:top w:val="nil"/>
              <w:left w:val="nil"/>
              <w:bottom w:val="nil"/>
              <w:right w:val="nil"/>
            </w:tcBorders>
          </w:tcPr>
          <w:p w14:paraId="7C9430E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2AD6E99" w14:textId="77777777" w:rsidTr="00901FD3">
        <w:trPr>
          <w:trHeight w:val="262"/>
        </w:trPr>
        <w:tc>
          <w:tcPr>
            <w:tcW w:w="3888" w:type="dxa"/>
            <w:tcBorders>
              <w:top w:val="nil"/>
              <w:left w:val="nil"/>
              <w:bottom w:val="nil"/>
              <w:right w:val="nil"/>
            </w:tcBorders>
          </w:tcPr>
          <w:p w14:paraId="1E633C7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Ampicillin </w:t>
            </w:r>
          </w:p>
        </w:tc>
        <w:tc>
          <w:tcPr>
            <w:tcW w:w="4192" w:type="dxa"/>
            <w:tcBorders>
              <w:top w:val="nil"/>
              <w:left w:val="nil"/>
              <w:bottom w:val="nil"/>
              <w:right w:val="nil"/>
            </w:tcBorders>
          </w:tcPr>
          <w:p w14:paraId="60128CB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256BE59F" w14:textId="77777777" w:rsidTr="00901FD3">
        <w:trPr>
          <w:trHeight w:val="262"/>
        </w:trPr>
        <w:tc>
          <w:tcPr>
            <w:tcW w:w="3888" w:type="dxa"/>
            <w:tcBorders>
              <w:top w:val="nil"/>
              <w:left w:val="nil"/>
              <w:bottom w:val="nil"/>
              <w:right w:val="nil"/>
            </w:tcBorders>
          </w:tcPr>
          <w:p w14:paraId="1278B1C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Amoxicillin </w:t>
            </w:r>
          </w:p>
        </w:tc>
        <w:tc>
          <w:tcPr>
            <w:tcW w:w="4192" w:type="dxa"/>
            <w:tcBorders>
              <w:top w:val="nil"/>
              <w:left w:val="nil"/>
              <w:bottom w:val="nil"/>
              <w:right w:val="nil"/>
            </w:tcBorders>
          </w:tcPr>
          <w:p w14:paraId="3B4A1DF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7BC1F7D" w14:textId="77777777" w:rsidTr="00901FD3">
        <w:trPr>
          <w:trHeight w:val="262"/>
        </w:trPr>
        <w:tc>
          <w:tcPr>
            <w:tcW w:w="3888" w:type="dxa"/>
            <w:tcBorders>
              <w:top w:val="nil"/>
              <w:left w:val="nil"/>
              <w:bottom w:val="nil"/>
              <w:right w:val="nil"/>
            </w:tcBorders>
          </w:tcPr>
          <w:p w14:paraId="3754BF48"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r w:rsidRPr="00B62E7E">
              <w:rPr>
                <w:rFonts w:ascii="Times New Roman" w:eastAsia="Calibri" w:hAnsi="Times New Roman" w:cs="Times New Roman"/>
                <w:sz w:val="24"/>
                <w:szCs w:val="24"/>
              </w:rPr>
              <w:t xml:space="preserve"> </w:t>
            </w:r>
          </w:p>
        </w:tc>
        <w:tc>
          <w:tcPr>
            <w:tcW w:w="4192" w:type="dxa"/>
            <w:tcBorders>
              <w:top w:val="nil"/>
              <w:left w:val="nil"/>
              <w:bottom w:val="nil"/>
              <w:right w:val="nil"/>
            </w:tcBorders>
          </w:tcPr>
          <w:p w14:paraId="493B01AD"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1A1FA26D" w14:textId="77777777" w:rsidTr="00901FD3">
        <w:trPr>
          <w:trHeight w:val="262"/>
        </w:trPr>
        <w:tc>
          <w:tcPr>
            <w:tcW w:w="3888" w:type="dxa"/>
            <w:tcBorders>
              <w:top w:val="nil"/>
              <w:left w:val="nil"/>
              <w:bottom w:val="nil"/>
              <w:right w:val="nil"/>
            </w:tcBorders>
          </w:tcPr>
          <w:p w14:paraId="0710EFDB"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192" w:type="dxa"/>
            <w:tcBorders>
              <w:top w:val="nil"/>
              <w:left w:val="nil"/>
              <w:bottom w:val="nil"/>
              <w:right w:val="nil"/>
            </w:tcBorders>
          </w:tcPr>
          <w:p w14:paraId="2FCE585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25592A86" w14:textId="77777777" w:rsidTr="00901FD3">
        <w:trPr>
          <w:trHeight w:val="262"/>
        </w:trPr>
        <w:tc>
          <w:tcPr>
            <w:tcW w:w="3888" w:type="dxa"/>
            <w:tcBorders>
              <w:top w:val="nil"/>
              <w:left w:val="nil"/>
              <w:bottom w:val="nil"/>
              <w:right w:val="nil"/>
            </w:tcBorders>
          </w:tcPr>
          <w:p w14:paraId="4AA6F88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192" w:type="dxa"/>
            <w:tcBorders>
              <w:top w:val="nil"/>
              <w:left w:val="nil"/>
              <w:bottom w:val="nil"/>
              <w:right w:val="nil"/>
            </w:tcBorders>
          </w:tcPr>
          <w:p w14:paraId="02983C9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8395923" w14:textId="77777777" w:rsidTr="00901FD3">
        <w:trPr>
          <w:trHeight w:val="262"/>
        </w:trPr>
        <w:tc>
          <w:tcPr>
            <w:tcW w:w="3888" w:type="dxa"/>
            <w:tcBorders>
              <w:top w:val="nil"/>
              <w:left w:val="nil"/>
              <w:bottom w:val="nil"/>
              <w:right w:val="nil"/>
            </w:tcBorders>
          </w:tcPr>
          <w:p w14:paraId="68C11CF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Gentamicin </w:t>
            </w:r>
          </w:p>
        </w:tc>
        <w:tc>
          <w:tcPr>
            <w:tcW w:w="4192" w:type="dxa"/>
            <w:tcBorders>
              <w:top w:val="nil"/>
              <w:left w:val="nil"/>
              <w:bottom w:val="nil"/>
              <w:right w:val="nil"/>
            </w:tcBorders>
          </w:tcPr>
          <w:p w14:paraId="538108B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9DD9BE9" w14:textId="77777777" w:rsidTr="00901FD3">
        <w:trPr>
          <w:trHeight w:val="262"/>
        </w:trPr>
        <w:tc>
          <w:tcPr>
            <w:tcW w:w="3888" w:type="dxa"/>
            <w:tcBorders>
              <w:top w:val="nil"/>
              <w:left w:val="nil"/>
              <w:bottom w:val="nil"/>
              <w:right w:val="nil"/>
            </w:tcBorders>
          </w:tcPr>
          <w:p w14:paraId="6B1D4DB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Colistin </w:t>
            </w:r>
          </w:p>
        </w:tc>
        <w:tc>
          <w:tcPr>
            <w:tcW w:w="4192" w:type="dxa"/>
            <w:tcBorders>
              <w:top w:val="nil"/>
              <w:left w:val="nil"/>
              <w:bottom w:val="nil"/>
              <w:right w:val="nil"/>
            </w:tcBorders>
          </w:tcPr>
          <w:p w14:paraId="5E3B093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r w:rsidR="00B62E7E" w:rsidRPr="00B62E7E" w14:paraId="7A19E66E" w14:textId="77777777" w:rsidTr="00901FD3">
        <w:trPr>
          <w:trHeight w:val="262"/>
        </w:trPr>
        <w:tc>
          <w:tcPr>
            <w:tcW w:w="3888" w:type="dxa"/>
            <w:tcBorders>
              <w:top w:val="nil"/>
              <w:left w:val="nil"/>
              <w:bottom w:val="nil"/>
              <w:right w:val="nil"/>
            </w:tcBorders>
          </w:tcPr>
          <w:p w14:paraId="65B3091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Macrolide </w:t>
            </w:r>
          </w:p>
        </w:tc>
        <w:tc>
          <w:tcPr>
            <w:tcW w:w="4192" w:type="dxa"/>
            <w:tcBorders>
              <w:top w:val="nil"/>
              <w:left w:val="nil"/>
              <w:bottom w:val="nil"/>
              <w:right w:val="nil"/>
            </w:tcBorders>
          </w:tcPr>
          <w:p w14:paraId="206FBFB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1389AAD" w14:textId="77777777" w:rsidTr="00901FD3">
        <w:trPr>
          <w:trHeight w:val="262"/>
        </w:trPr>
        <w:tc>
          <w:tcPr>
            <w:tcW w:w="3888" w:type="dxa"/>
            <w:tcBorders>
              <w:top w:val="nil"/>
              <w:left w:val="nil"/>
              <w:bottom w:val="nil"/>
              <w:right w:val="nil"/>
            </w:tcBorders>
          </w:tcPr>
          <w:p w14:paraId="4EA9F0D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 xml:space="preserve">*Quinoline </w:t>
            </w:r>
          </w:p>
        </w:tc>
        <w:tc>
          <w:tcPr>
            <w:tcW w:w="4192" w:type="dxa"/>
            <w:tcBorders>
              <w:top w:val="nil"/>
              <w:left w:val="nil"/>
              <w:bottom w:val="nil"/>
              <w:right w:val="nil"/>
            </w:tcBorders>
          </w:tcPr>
          <w:p w14:paraId="68892AB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126996C1" w14:textId="77777777" w:rsidTr="00901FD3">
        <w:trPr>
          <w:trHeight w:val="262"/>
        </w:trPr>
        <w:tc>
          <w:tcPr>
            <w:tcW w:w="3888" w:type="dxa"/>
            <w:tcBorders>
              <w:top w:val="nil"/>
              <w:left w:val="nil"/>
              <w:bottom w:val="single" w:sz="4" w:space="0" w:color="auto"/>
              <w:right w:val="nil"/>
            </w:tcBorders>
          </w:tcPr>
          <w:p w14:paraId="2392C3C7"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Lycomycin</w:t>
            </w:r>
            <w:proofErr w:type="spellEnd"/>
            <w:r w:rsidRPr="00B62E7E">
              <w:rPr>
                <w:rFonts w:ascii="Times New Roman" w:eastAsia="Calibri" w:hAnsi="Times New Roman" w:cs="Times New Roman"/>
                <w:sz w:val="24"/>
                <w:szCs w:val="24"/>
              </w:rPr>
              <w:t xml:space="preserve"> </w:t>
            </w:r>
          </w:p>
        </w:tc>
        <w:tc>
          <w:tcPr>
            <w:tcW w:w="4192" w:type="dxa"/>
            <w:tcBorders>
              <w:top w:val="nil"/>
              <w:left w:val="nil"/>
              <w:bottom w:val="single" w:sz="4" w:space="0" w:color="auto"/>
              <w:right w:val="nil"/>
            </w:tcBorders>
          </w:tcPr>
          <w:p w14:paraId="506D768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77C91EEF"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79B4B932"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bookmarkStart w:id="4" w:name="_Hlk211497603"/>
      <w:r w:rsidRPr="00B62E7E">
        <w:rPr>
          <w:rFonts w:ascii="Times New Roman" w:eastAsia="Calibri" w:hAnsi="Times New Roman" w:cs="Times New Roman"/>
          <w:kern w:val="0"/>
          <w:sz w:val="24"/>
          <w:szCs w:val="24"/>
          <w14:ligatures w14:val="none"/>
        </w:rPr>
        <w:t xml:space="preserve">The concentration of antibiotics in the midstream region of the river is presented in Table 6. A total of five antibiotics were detected in this section, representing the lowest number of antibiotics found among all the sampled regions. Penicillin recorded the highest concentration at 0.13 µg/ml, followed by lincomycin (0.10 µg/ml), colistin (0.03 µg/ml), amoxicillin (0.02 µg/ml), and gentamicin (0.01 µg/ml). Antibiotics such as tetracycline, dicloxacillin, oxacillin, ampicillin,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xml:space="preserve">,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and macrolide were not detected in this region.</w:t>
      </w:r>
    </w:p>
    <w:p w14:paraId="2531B577"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bookmarkEnd w:id="4"/>
    <w:p w14:paraId="625BE781" w14:textId="27D4B31E"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r w:rsidRPr="00B62E7E">
        <w:rPr>
          <w:rFonts w:ascii="Times New Roman" w:eastAsia="Calibri" w:hAnsi="Times New Roman" w:cs="Times New Roman"/>
          <w:b/>
          <w:kern w:val="0"/>
          <w:sz w:val="24"/>
          <w:szCs w:val="24"/>
          <w14:ligatures w14:val="none"/>
        </w:rPr>
        <w:t xml:space="preserve">Table 6: </w:t>
      </w:r>
      <w:r w:rsidRPr="00B62E7E">
        <w:rPr>
          <w:rFonts w:ascii="Times New Roman" w:eastAsia="Calibri" w:hAnsi="Times New Roman" w:cs="Times New Roman"/>
          <w:kern w:val="0"/>
          <w:sz w:val="24"/>
          <w:szCs w:val="24"/>
          <w14:ligatures w14:val="none"/>
        </w:rPr>
        <w:t>Concentration (</w:t>
      </w:r>
      <w:bookmarkStart w:id="5" w:name="_Hlk211497241"/>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w:t>
      </w:r>
      <w:bookmarkEnd w:id="5"/>
      <w:r w:rsidRPr="00B62E7E">
        <w:rPr>
          <w:rFonts w:ascii="Times New Roman" w:eastAsia="Calibri" w:hAnsi="Times New Roman" w:cs="Times New Roman"/>
          <w:kern w:val="0"/>
          <w:sz w:val="24"/>
          <w:szCs w:val="24"/>
          <w14:ligatures w14:val="none"/>
        </w:rPr>
        <w:t xml:space="preserve">) of antibiotics in the examined mid region (Amodu) </w:t>
      </w:r>
    </w:p>
    <w:tbl>
      <w:tblPr>
        <w:tblStyle w:val="TableGrid"/>
        <w:tblW w:w="0" w:type="auto"/>
        <w:tblLook w:val="04A0" w:firstRow="1" w:lastRow="0" w:firstColumn="1" w:lastColumn="0" w:noHBand="0" w:noVBand="1"/>
      </w:tblPr>
      <w:tblGrid>
        <w:gridCol w:w="4204"/>
        <w:gridCol w:w="4160"/>
      </w:tblGrid>
      <w:tr w:rsidR="00B62E7E" w:rsidRPr="00B62E7E" w14:paraId="0F445F44" w14:textId="77777777" w:rsidTr="00605681">
        <w:trPr>
          <w:trHeight w:val="283"/>
        </w:trPr>
        <w:tc>
          <w:tcPr>
            <w:tcW w:w="4204" w:type="dxa"/>
            <w:tcBorders>
              <w:top w:val="single" w:sz="4" w:space="0" w:color="auto"/>
              <w:left w:val="nil"/>
              <w:bottom w:val="single" w:sz="4" w:space="0" w:color="auto"/>
              <w:right w:val="nil"/>
            </w:tcBorders>
          </w:tcPr>
          <w:p w14:paraId="7ACD1DD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4160" w:type="dxa"/>
            <w:tcBorders>
              <w:top w:val="single" w:sz="4" w:space="0" w:color="auto"/>
              <w:left w:val="nil"/>
              <w:bottom w:val="single" w:sz="4" w:space="0" w:color="auto"/>
              <w:right w:val="nil"/>
            </w:tcBorders>
          </w:tcPr>
          <w:p w14:paraId="29FDF8F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69B9A0B3" w14:textId="77777777" w:rsidTr="00605681">
        <w:trPr>
          <w:trHeight w:val="283"/>
        </w:trPr>
        <w:tc>
          <w:tcPr>
            <w:tcW w:w="4204" w:type="dxa"/>
            <w:tcBorders>
              <w:top w:val="single" w:sz="4" w:space="0" w:color="auto"/>
              <w:left w:val="nil"/>
              <w:bottom w:val="nil"/>
              <w:right w:val="nil"/>
            </w:tcBorders>
          </w:tcPr>
          <w:p w14:paraId="4D07772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4160" w:type="dxa"/>
            <w:tcBorders>
              <w:top w:val="single" w:sz="4" w:space="0" w:color="auto"/>
              <w:left w:val="nil"/>
              <w:bottom w:val="nil"/>
              <w:right w:val="nil"/>
            </w:tcBorders>
          </w:tcPr>
          <w:p w14:paraId="327265D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0.13</w:t>
            </w:r>
          </w:p>
        </w:tc>
      </w:tr>
      <w:tr w:rsidR="00B62E7E" w:rsidRPr="00B62E7E" w14:paraId="2955EDAA" w14:textId="77777777" w:rsidTr="00605681">
        <w:trPr>
          <w:trHeight w:val="283"/>
        </w:trPr>
        <w:tc>
          <w:tcPr>
            <w:tcW w:w="4204" w:type="dxa"/>
            <w:tcBorders>
              <w:top w:val="nil"/>
              <w:left w:val="nil"/>
              <w:bottom w:val="nil"/>
              <w:right w:val="nil"/>
            </w:tcBorders>
          </w:tcPr>
          <w:p w14:paraId="1156EAB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4160" w:type="dxa"/>
            <w:tcBorders>
              <w:top w:val="nil"/>
              <w:left w:val="nil"/>
              <w:bottom w:val="nil"/>
              <w:right w:val="nil"/>
            </w:tcBorders>
          </w:tcPr>
          <w:p w14:paraId="4E763ED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50AAB4A" w14:textId="77777777" w:rsidTr="00605681">
        <w:trPr>
          <w:trHeight w:val="283"/>
        </w:trPr>
        <w:tc>
          <w:tcPr>
            <w:tcW w:w="4204" w:type="dxa"/>
            <w:tcBorders>
              <w:top w:val="nil"/>
              <w:left w:val="nil"/>
              <w:bottom w:val="nil"/>
              <w:right w:val="nil"/>
            </w:tcBorders>
          </w:tcPr>
          <w:p w14:paraId="608B5CA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4160" w:type="dxa"/>
            <w:tcBorders>
              <w:top w:val="nil"/>
              <w:left w:val="nil"/>
              <w:bottom w:val="nil"/>
              <w:right w:val="nil"/>
            </w:tcBorders>
          </w:tcPr>
          <w:p w14:paraId="5D6DB6C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E182F95" w14:textId="77777777" w:rsidTr="00605681">
        <w:trPr>
          <w:trHeight w:val="283"/>
        </w:trPr>
        <w:tc>
          <w:tcPr>
            <w:tcW w:w="4204" w:type="dxa"/>
            <w:tcBorders>
              <w:top w:val="nil"/>
              <w:left w:val="nil"/>
              <w:bottom w:val="nil"/>
              <w:right w:val="nil"/>
            </w:tcBorders>
          </w:tcPr>
          <w:p w14:paraId="155A276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4160" w:type="dxa"/>
            <w:tcBorders>
              <w:top w:val="nil"/>
              <w:left w:val="nil"/>
              <w:bottom w:val="nil"/>
              <w:right w:val="nil"/>
            </w:tcBorders>
          </w:tcPr>
          <w:p w14:paraId="3EA65503"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C40F5B6" w14:textId="77777777" w:rsidTr="00605681">
        <w:trPr>
          <w:trHeight w:val="283"/>
        </w:trPr>
        <w:tc>
          <w:tcPr>
            <w:tcW w:w="4204" w:type="dxa"/>
            <w:tcBorders>
              <w:top w:val="nil"/>
              <w:left w:val="nil"/>
              <w:bottom w:val="nil"/>
              <w:right w:val="nil"/>
            </w:tcBorders>
          </w:tcPr>
          <w:p w14:paraId="50E612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4160" w:type="dxa"/>
            <w:tcBorders>
              <w:top w:val="nil"/>
              <w:left w:val="nil"/>
              <w:bottom w:val="nil"/>
              <w:right w:val="nil"/>
            </w:tcBorders>
          </w:tcPr>
          <w:p w14:paraId="25586C5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9EF67E3" w14:textId="77777777" w:rsidTr="00605681">
        <w:trPr>
          <w:trHeight w:val="283"/>
        </w:trPr>
        <w:tc>
          <w:tcPr>
            <w:tcW w:w="4204" w:type="dxa"/>
            <w:tcBorders>
              <w:top w:val="nil"/>
              <w:left w:val="nil"/>
              <w:bottom w:val="nil"/>
              <w:right w:val="nil"/>
            </w:tcBorders>
          </w:tcPr>
          <w:p w14:paraId="731F121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4160" w:type="dxa"/>
            <w:tcBorders>
              <w:top w:val="nil"/>
              <w:left w:val="nil"/>
              <w:bottom w:val="nil"/>
              <w:right w:val="nil"/>
            </w:tcBorders>
          </w:tcPr>
          <w:p w14:paraId="0A07024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0.02</w:t>
            </w:r>
          </w:p>
        </w:tc>
      </w:tr>
      <w:tr w:rsidR="00B62E7E" w:rsidRPr="00B62E7E" w14:paraId="69CFA458" w14:textId="77777777" w:rsidTr="00605681">
        <w:trPr>
          <w:trHeight w:val="283"/>
        </w:trPr>
        <w:tc>
          <w:tcPr>
            <w:tcW w:w="4204" w:type="dxa"/>
            <w:tcBorders>
              <w:top w:val="nil"/>
              <w:left w:val="nil"/>
              <w:bottom w:val="nil"/>
              <w:right w:val="nil"/>
            </w:tcBorders>
          </w:tcPr>
          <w:p w14:paraId="0071403E"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4160" w:type="dxa"/>
            <w:tcBorders>
              <w:top w:val="nil"/>
              <w:left w:val="nil"/>
              <w:bottom w:val="nil"/>
              <w:right w:val="nil"/>
            </w:tcBorders>
          </w:tcPr>
          <w:p w14:paraId="13BA36A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7FFA68AF" w14:textId="77777777" w:rsidTr="00605681">
        <w:trPr>
          <w:trHeight w:val="283"/>
        </w:trPr>
        <w:tc>
          <w:tcPr>
            <w:tcW w:w="4204" w:type="dxa"/>
            <w:tcBorders>
              <w:top w:val="nil"/>
              <w:left w:val="nil"/>
              <w:bottom w:val="nil"/>
              <w:right w:val="nil"/>
            </w:tcBorders>
          </w:tcPr>
          <w:p w14:paraId="5DE0BD1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160" w:type="dxa"/>
            <w:tcBorders>
              <w:top w:val="nil"/>
              <w:left w:val="nil"/>
              <w:bottom w:val="nil"/>
              <w:right w:val="nil"/>
            </w:tcBorders>
          </w:tcPr>
          <w:p w14:paraId="11C2F9E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21FA9AC4" w14:textId="77777777" w:rsidTr="00605681">
        <w:trPr>
          <w:trHeight w:val="283"/>
        </w:trPr>
        <w:tc>
          <w:tcPr>
            <w:tcW w:w="4204" w:type="dxa"/>
            <w:tcBorders>
              <w:top w:val="nil"/>
              <w:left w:val="nil"/>
              <w:bottom w:val="nil"/>
              <w:right w:val="nil"/>
            </w:tcBorders>
          </w:tcPr>
          <w:p w14:paraId="448F0A3E"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160" w:type="dxa"/>
            <w:tcBorders>
              <w:top w:val="nil"/>
              <w:left w:val="nil"/>
              <w:bottom w:val="nil"/>
              <w:right w:val="nil"/>
            </w:tcBorders>
          </w:tcPr>
          <w:p w14:paraId="3E88D25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C7446AB" w14:textId="77777777" w:rsidTr="00605681">
        <w:trPr>
          <w:trHeight w:val="283"/>
        </w:trPr>
        <w:tc>
          <w:tcPr>
            <w:tcW w:w="4204" w:type="dxa"/>
            <w:tcBorders>
              <w:top w:val="nil"/>
              <w:left w:val="nil"/>
              <w:bottom w:val="nil"/>
              <w:right w:val="nil"/>
            </w:tcBorders>
          </w:tcPr>
          <w:p w14:paraId="2610236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4160" w:type="dxa"/>
            <w:tcBorders>
              <w:top w:val="nil"/>
              <w:left w:val="nil"/>
              <w:bottom w:val="nil"/>
              <w:right w:val="nil"/>
            </w:tcBorders>
          </w:tcPr>
          <w:p w14:paraId="542AE3D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2DAB39BC" w14:textId="77777777" w:rsidTr="00605681">
        <w:trPr>
          <w:trHeight w:val="283"/>
        </w:trPr>
        <w:tc>
          <w:tcPr>
            <w:tcW w:w="4204" w:type="dxa"/>
            <w:tcBorders>
              <w:top w:val="nil"/>
              <w:left w:val="nil"/>
              <w:bottom w:val="nil"/>
              <w:right w:val="nil"/>
            </w:tcBorders>
          </w:tcPr>
          <w:p w14:paraId="63C7B622"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4160" w:type="dxa"/>
            <w:tcBorders>
              <w:top w:val="nil"/>
              <w:left w:val="nil"/>
              <w:bottom w:val="nil"/>
              <w:right w:val="nil"/>
            </w:tcBorders>
          </w:tcPr>
          <w:p w14:paraId="7FA3100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9568EF7" w14:textId="77777777" w:rsidTr="00605681">
        <w:trPr>
          <w:trHeight w:val="283"/>
        </w:trPr>
        <w:tc>
          <w:tcPr>
            <w:tcW w:w="4204" w:type="dxa"/>
            <w:tcBorders>
              <w:top w:val="nil"/>
              <w:left w:val="nil"/>
              <w:bottom w:val="nil"/>
              <w:right w:val="nil"/>
            </w:tcBorders>
          </w:tcPr>
          <w:p w14:paraId="1CD29C9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4160" w:type="dxa"/>
            <w:tcBorders>
              <w:top w:val="nil"/>
              <w:left w:val="nil"/>
              <w:bottom w:val="nil"/>
              <w:right w:val="nil"/>
            </w:tcBorders>
          </w:tcPr>
          <w:p w14:paraId="56CD342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0.01</w:t>
            </w:r>
          </w:p>
        </w:tc>
      </w:tr>
      <w:tr w:rsidR="00B62E7E" w:rsidRPr="00B62E7E" w14:paraId="7FB04693" w14:textId="77777777" w:rsidTr="00605681">
        <w:trPr>
          <w:trHeight w:val="303"/>
        </w:trPr>
        <w:tc>
          <w:tcPr>
            <w:tcW w:w="4204" w:type="dxa"/>
            <w:tcBorders>
              <w:top w:val="nil"/>
              <w:left w:val="nil"/>
              <w:bottom w:val="nil"/>
              <w:right w:val="nil"/>
            </w:tcBorders>
          </w:tcPr>
          <w:p w14:paraId="28B7688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4160" w:type="dxa"/>
            <w:tcBorders>
              <w:top w:val="nil"/>
              <w:left w:val="nil"/>
              <w:bottom w:val="nil"/>
              <w:right w:val="nil"/>
            </w:tcBorders>
          </w:tcPr>
          <w:p w14:paraId="1F32ECB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54979FCB" w14:textId="77777777" w:rsidTr="00605681">
        <w:trPr>
          <w:trHeight w:val="303"/>
        </w:trPr>
        <w:tc>
          <w:tcPr>
            <w:tcW w:w="4204" w:type="dxa"/>
            <w:tcBorders>
              <w:top w:val="nil"/>
              <w:left w:val="nil"/>
              <w:bottom w:val="single" w:sz="4" w:space="0" w:color="auto"/>
              <w:right w:val="nil"/>
            </w:tcBorders>
          </w:tcPr>
          <w:p w14:paraId="28907FA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4160" w:type="dxa"/>
            <w:tcBorders>
              <w:top w:val="nil"/>
              <w:left w:val="nil"/>
              <w:bottom w:val="single" w:sz="4" w:space="0" w:color="auto"/>
              <w:right w:val="nil"/>
            </w:tcBorders>
          </w:tcPr>
          <w:p w14:paraId="4A7DBBB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bl>
    <w:p w14:paraId="57DA04B0"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61F2BAE3"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37F88655"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bookmarkStart w:id="6" w:name="_Hlk211498123"/>
      <w:r w:rsidRPr="00B62E7E">
        <w:rPr>
          <w:rFonts w:ascii="Times New Roman" w:eastAsia="Calibri" w:hAnsi="Times New Roman" w:cs="Times New Roman"/>
          <w:kern w:val="0"/>
          <w:sz w:val="24"/>
          <w:szCs w:val="24"/>
          <w14:ligatures w14:val="none"/>
        </w:rPr>
        <w:lastRenderedPageBreak/>
        <w:t xml:space="preserve">The final sample collected from the tail region (downstream) of the river contained six different antibiotics, as presented in Table 7. Interestingly, the antibiotics detected in this section were identical to those found in the head region, though their concentrations varied. Tetracycline recorded the highest concentration at 0.65 µg/ml, followed by colistin at 0.10 µg/ml. </w:t>
      </w:r>
      <w:proofErr w:type="spellStart"/>
      <w:r w:rsidRPr="00B62E7E">
        <w:rPr>
          <w:rFonts w:ascii="Times New Roman" w:eastAsia="Calibri" w:hAnsi="Times New Roman" w:cs="Times New Roman"/>
          <w:kern w:val="0"/>
          <w:sz w:val="24"/>
          <w:szCs w:val="24"/>
          <w14:ligatures w14:val="none"/>
        </w:rPr>
        <w:t>Tylosin</w:t>
      </w:r>
      <w:proofErr w:type="spellEnd"/>
      <w:r w:rsidRPr="00B62E7E">
        <w:rPr>
          <w:rFonts w:ascii="Times New Roman" w:eastAsia="Calibri" w:hAnsi="Times New Roman" w:cs="Times New Roman"/>
          <w:kern w:val="0"/>
          <w:sz w:val="24"/>
          <w:szCs w:val="24"/>
          <w14:ligatures w14:val="none"/>
        </w:rPr>
        <w:t xml:space="preserve">, </w:t>
      </w:r>
      <w:proofErr w:type="spellStart"/>
      <w:r w:rsidRPr="00B62E7E">
        <w:rPr>
          <w:rFonts w:ascii="Times New Roman" w:eastAsia="Calibri" w:hAnsi="Times New Roman" w:cs="Times New Roman"/>
          <w:kern w:val="0"/>
          <w:sz w:val="24"/>
          <w:szCs w:val="24"/>
          <w14:ligatures w14:val="none"/>
        </w:rPr>
        <w:t>avilamycin</w:t>
      </w:r>
      <w:proofErr w:type="spellEnd"/>
      <w:r w:rsidRPr="00B62E7E">
        <w:rPr>
          <w:rFonts w:ascii="Times New Roman" w:eastAsia="Calibri" w:hAnsi="Times New Roman" w:cs="Times New Roman"/>
          <w:kern w:val="0"/>
          <w:sz w:val="24"/>
          <w:szCs w:val="24"/>
          <w14:ligatures w14:val="none"/>
        </w:rPr>
        <w:t>, and quinoline were detected at concentrations of 0.06 µg/ml, 0.04 µg/ml, and 0.03 µg/ml, respectively, while ampicillin had the lowest concentration of 0.02 µg/ml.</w:t>
      </w:r>
    </w:p>
    <w:bookmarkEnd w:id="6"/>
    <w:p w14:paraId="54464BFC"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sectPr w:rsidR="00B62E7E" w:rsidRPr="00B62E7E" w:rsidSect="00B62E7E">
          <w:type w:val="continuous"/>
          <w:pgSz w:w="12240" w:h="15840"/>
          <w:pgMar w:top="1440" w:right="1440" w:bottom="1440" w:left="1440" w:header="708" w:footer="708" w:gutter="0"/>
          <w:cols w:space="708"/>
          <w:docGrid w:linePitch="360"/>
        </w:sectPr>
      </w:pPr>
    </w:p>
    <w:p w14:paraId="27DDEBF9" w14:textId="77777777" w:rsidR="00B62E7E" w:rsidRPr="00B62E7E" w:rsidRDefault="00B62E7E" w:rsidP="00B62E7E">
      <w:pPr>
        <w:spacing w:after="0" w:line="276" w:lineRule="auto"/>
        <w:jc w:val="both"/>
        <w:rPr>
          <w:rFonts w:ascii="Times New Roman" w:eastAsia="Calibri" w:hAnsi="Times New Roman" w:cs="Times New Roman"/>
          <w:kern w:val="0"/>
          <w:sz w:val="24"/>
          <w:szCs w:val="24"/>
          <w14:ligatures w14:val="none"/>
        </w:rPr>
      </w:pPr>
    </w:p>
    <w:p w14:paraId="64CEB6DC" w14:textId="25E84D88" w:rsidR="00B62E7E" w:rsidRPr="00B62E7E" w:rsidRDefault="00B62E7E" w:rsidP="00B62E7E">
      <w:pPr>
        <w:spacing w:after="0" w:line="276" w:lineRule="auto"/>
        <w:jc w:val="both"/>
        <w:rPr>
          <w:rFonts w:ascii="Times New Roman" w:eastAsia="Calibri" w:hAnsi="Times New Roman" w:cs="Times New Roman"/>
          <w:b/>
          <w:kern w:val="0"/>
          <w:sz w:val="24"/>
          <w:szCs w:val="24"/>
          <w14:ligatures w14:val="none"/>
        </w:rPr>
      </w:pPr>
      <w:r w:rsidRPr="00B62E7E">
        <w:rPr>
          <w:rFonts w:ascii="Times New Roman" w:eastAsia="Calibri" w:hAnsi="Times New Roman" w:cs="Times New Roman"/>
          <w:b/>
          <w:kern w:val="0"/>
          <w:sz w:val="24"/>
          <w:szCs w:val="24"/>
          <w14:ligatures w14:val="none"/>
        </w:rPr>
        <w:t xml:space="preserve">Table 7: </w:t>
      </w:r>
      <w:r w:rsidRPr="00B62E7E">
        <w:rPr>
          <w:rFonts w:ascii="Times New Roman" w:eastAsia="Calibri" w:hAnsi="Times New Roman" w:cs="Times New Roman"/>
          <w:kern w:val="0"/>
          <w:sz w:val="24"/>
          <w:szCs w:val="24"/>
          <w14:ligatures w14:val="none"/>
        </w:rPr>
        <w:t>Concentration (</w:t>
      </w:r>
      <w:r w:rsidR="00F11E4D" w:rsidRPr="00F11E4D">
        <w:rPr>
          <w:rFonts w:ascii="Times New Roman" w:eastAsia="Calibri" w:hAnsi="Times New Roman" w:cs="Times New Roman"/>
          <w:kern w:val="0"/>
          <w:sz w:val="24"/>
          <w:szCs w:val="24"/>
          <w14:ligatures w14:val="none"/>
        </w:rPr>
        <w:t>µ</w:t>
      </w:r>
      <w:r w:rsidRPr="00B62E7E">
        <w:rPr>
          <w:rFonts w:ascii="Times New Roman" w:eastAsia="Calibri" w:hAnsi="Times New Roman" w:cs="Times New Roman"/>
          <w:kern w:val="0"/>
          <w:sz w:val="24"/>
          <w:szCs w:val="24"/>
          <w14:ligatures w14:val="none"/>
        </w:rPr>
        <w:t>g/ml) of antibiotics in the examined tail region (Amodu)</w:t>
      </w:r>
    </w:p>
    <w:tbl>
      <w:tblPr>
        <w:tblStyle w:val="TableGrid"/>
        <w:tblW w:w="0" w:type="auto"/>
        <w:tblLook w:val="04A0" w:firstRow="1" w:lastRow="0" w:firstColumn="1" w:lastColumn="0" w:noHBand="0" w:noVBand="1"/>
      </w:tblPr>
      <w:tblGrid>
        <w:gridCol w:w="4233"/>
        <w:gridCol w:w="4131"/>
      </w:tblGrid>
      <w:tr w:rsidR="00B62E7E" w:rsidRPr="00B62E7E" w14:paraId="74FA0D32" w14:textId="77777777" w:rsidTr="00605681">
        <w:trPr>
          <w:trHeight w:val="248"/>
        </w:trPr>
        <w:tc>
          <w:tcPr>
            <w:tcW w:w="4233" w:type="dxa"/>
            <w:tcBorders>
              <w:top w:val="single" w:sz="4" w:space="0" w:color="auto"/>
              <w:left w:val="nil"/>
              <w:bottom w:val="single" w:sz="4" w:space="0" w:color="auto"/>
              <w:right w:val="nil"/>
            </w:tcBorders>
          </w:tcPr>
          <w:p w14:paraId="694A0BB5"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Antibiotics</w:t>
            </w:r>
          </w:p>
        </w:tc>
        <w:tc>
          <w:tcPr>
            <w:tcW w:w="4131" w:type="dxa"/>
            <w:tcBorders>
              <w:top w:val="single" w:sz="4" w:space="0" w:color="auto"/>
              <w:left w:val="nil"/>
              <w:bottom w:val="single" w:sz="4" w:space="0" w:color="auto"/>
              <w:right w:val="nil"/>
            </w:tcBorders>
          </w:tcPr>
          <w:p w14:paraId="58B00D4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Concentration</w:t>
            </w:r>
          </w:p>
        </w:tc>
      </w:tr>
      <w:tr w:rsidR="00B62E7E" w:rsidRPr="00B62E7E" w14:paraId="196E7C82" w14:textId="77777777" w:rsidTr="00605681">
        <w:trPr>
          <w:trHeight w:val="248"/>
        </w:trPr>
        <w:tc>
          <w:tcPr>
            <w:tcW w:w="4233" w:type="dxa"/>
            <w:tcBorders>
              <w:top w:val="single" w:sz="4" w:space="0" w:color="auto"/>
              <w:left w:val="nil"/>
              <w:bottom w:val="nil"/>
              <w:right w:val="nil"/>
            </w:tcBorders>
          </w:tcPr>
          <w:p w14:paraId="37D91E0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Penicillin</w:t>
            </w:r>
          </w:p>
        </w:tc>
        <w:tc>
          <w:tcPr>
            <w:tcW w:w="4131" w:type="dxa"/>
            <w:tcBorders>
              <w:top w:val="single" w:sz="4" w:space="0" w:color="auto"/>
              <w:left w:val="nil"/>
              <w:bottom w:val="nil"/>
              <w:right w:val="nil"/>
            </w:tcBorders>
          </w:tcPr>
          <w:p w14:paraId="1F624E9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59DC006" w14:textId="77777777" w:rsidTr="00605681">
        <w:trPr>
          <w:trHeight w:val="248"/>
        </w:trPr>
        <w:tc>
          <w:tcPr>
            <w:tcW w:w="4233" w:type="dxa"/>
            <w:tcBorders>
              <w:top w:val="nil"/>
              <w:left w:val="nil"/>
              <w:bottom w:val="nil"/>
              <w:right w:val="nil"/>
            </w:tcBorders>
          </w:tcPr>
          <w:p w14:paraId="3EAB45C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Tetracycline</w:t>
            </w:r>
          </w:p>
        </w:tc>
        <w:tc>
          <w:tcPr>
            <w:tcW w:w="4131" w:type="dxa"/>
            <w:tcBorders>
              <w:top w:val="nil"/>
              <w:left w:val="nil"/>
              <w:bottom w:val="nil"/>
              <w:right w:val="nil"/>
            </w:tcBorders>
          </w:tcPr>
          <w:p w14:paraId="4BA149E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0.65</w:t>
            </w:r>
          </w:p>
        </w:tc>
      </w:tr>
      <w:tr w:rsidR="00B62E7E" w:rsidRPr="00B62E7E" w14:paraId="16742BCD" w14:textId="77777777" w:rsidTr="00605681">
        <w:trPr>
          <w:trHeight w:val="248"/>
        </w:trPr>
        <w:tc>
          <w:tcPr>
            <w:tcW w:w="4233" w:type="dxa"/>
            <w:tcBorders>
              <w:top w:val="nil"/>
              <w:left w:val="nil"/>
              <w:bottom w:val="nil"/>
              <w:right w:val="nil"/>
            </w:tcBorders>
          </w:tcPr>
          <w:p w14:paraId="0FDC5F21"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Dicloxacillin</w:t>
            </w:r>
          </w:p>
        </w:tc>
        <w:tc>
          <w:tcPr>
            <w:tcW w:w="4131" w:type="dxa"/>
            <w:tcBorders>
              <w:top w:val="nil"/>
              <w:left w:val="nil"/>
              <w:bottom w:val="nil"/>
              <w:right w:val="nil"/>
            </w:tcBorders>
          </w:tcPr>
          <w:p w14:paraId="143A2A4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1B8B69B6" w14:textId="77777777" w:rsidTr="00605681">
        <w:trPr>
          <w:trHeight w:val="248"/>
        </w:trPr>
        <w:tc>
          <w:tcPr>
            <w:tcW w:w="4233" w:type="dxa"/>
            <w:tcBorders>
              <w:top w:val="nil"/>
              <w:left w:val="nil"/>
              <w:bottom w:val="nil"/>
              <w:right w:val="nil"/>
            </w:tcBorders>
          </w:tcPr>
          <w:p w14:paraId="01C11AB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Oxacillin</w:t>
            </w:r>
          </w:p>
        </w:tc>
        <w:tc>
          <w:tcPr>
            <w:tcW w:w="4131" w:type="dxa"/>
            <w:tcBorders>
              <w:top w:val="nil"/>
              <w:left w:val="nil"/>
              <w:bottom w:val="nil"/>
              <w:right w:val="nil"/>
            </w:tcBorders>
          </w:tcPr>
          <w:p w14:paraId="682982C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079B6AC2" w14:textId="77777777" w:rsidTr="00605681">
        <w:trPr>
          <w:trHeight w:val="248"/>
        </w:trPr>
        <w:tc>
          <w:tcPr>
            <w:tcW w:w="4233" w:type="dxa"/>
            <w:tcBorders>
              <w:top w:val="nil"/>
              <w:left w:val="nil"/>
              <w:bottom w:val="nil"/>
              <w:right w:val="nil"/>
            </w:tcBorders>
          </w:tcPr>
          <w:p w14:paraId="4E632BE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Ampicillin</w:t>
            </w:r>
          </w:p>
        </w:tc>
        <w:tc>
          <w:tcPr>
            <w:tcW w:w="4131" w:type="dxa"/>
            <w:tcBorders>
              <w:top w:val="nil"/>
              <w:left w:val="nil"/>
              <w:bottom w:val="nil"/>
              <w:right w:val="nil"/>
            </w:tcBorders>
          </w:tcPr>
          <w:p w14:paraId="4D9927D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0.02</w:t>
            </w:r>
          </w:p>
        </w:tc>
      </w:tr>
      <w:tr w:rsidR="00B62E7E" w:rsidRPr="00B62E7E" w14:paraId="74016D24" w14:textId="77777777" w:rsidTr="00605681">
        <w:trPr>
          <w:trHeight w:val="248"/>
        </w:trPr>
        <w:tc>
          <w:tcPr>
            <w:tcW w:w="4233" w:type="dxa"/>
            <w:tcBorders>
              <w:top w:val="nil"/>
              <w:left w:val="nil"/>
              <w:bottom w:val="nil"/>
              <w:right w:val="nil"/>
            </w:tcBorders>
          </w:tcPr>
          <w:p w14:paraId="705B58A9"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Amoxicillin</w:t>
            </w:r>
          </w:p>
        </w:tc>
        <w:tc>
          <w:tcPr>
            <w:tcW w:w="4131" w:type="dxa"/>
            <w:tcBorders>
              <w:top w:val="nil"/>
              <w:left w:val="nil"/>
              <w:bottom w:val="nil"/>
              <w:right w:val="nil"/>
            </w:tcBorders>
          </w:tcPr>
          <w:p w14:paraId="7B65307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4936A412" w14:textId="77777777" w:rsidTr="00605681">
        <w:trPr>
          <w:trHeight w:val="248"/>
        </w:trPr>
        <w:tc>
          <w:tcPr>
            <w:tcW w:w="4233" w:type="dxa"/>
            <w:tcBorders>
              <w:top w:val="nil"/>
              <w:left w:val="nil"/>
              <w:bottom w:val="nil"/>
              <w:right w:val="nil"/>
            </w:tcBorders>
          </w:tcPr>
          <w:p w14:paraId="75C50086"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Avilamycin</w:t>
            </w:r>
            <w:proofErr w:type="spellEnd"/>
          </w:p>
        </w:tc>
        <w:tc>
          <w:tcPr>
            <w:tcW w:w="4131" w:type="dxa"/>
            <w:tcBorders>
              <w:top w:val="nil"/>
              <w:left w:val="nil"/>
              <w:bottom w:val="nil"/>
              <w:right w:val="nil"/>
            </w:tcBorders>
          </w:tcPr>
          <w:p w14:paraId="21B21E0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0.04</w:t>
            </w:r>
          </w:p>
        </w:tc>
      </w:tr>
      <w:tr w:rsidR="00B62E7E" w:rsidRPr="00B62E7E" w14:paraId="32513C6D" w14:textId="77777777" w:rsidTr="00605681">
        <w:trPr>
          <w:trHeight w:val="248"/>
        </w:trPr>
        <w:tc>
          <w:tcPr>
            <w:tcW w:w="4233" w:type="dxa"/>
            <w:tcBorders>
              <w:top w:val="nil"/>
              <w:left w:val="nil"/>
              <w:bottom w:val="nil"/>
              <w:right w:val="nil"/>
            </w:tcBorders>
          </w:tcPr>
          <w:p w14:paraId="504122DA"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*Aldrin</w:t>
            </w:r>
          </w:p>
        </w:tc>
        <w:tc>
          <w:tcPr>
            <w:tcW w:w="4131" w:type="dxa"/>
            <w:tcBorders>
              <w:top w:val="nil"/>
              <w:left w:val="nil"/>
              <w:bottom w:val="nil"/>
              <w:right w:val="nil"/>
            </w:tcBorders>
          </w:tcPr>
          <w:p w14:paraId="6DE2D6A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2179EA6" w14:textId="77777777" w:rsidTr="00605681">
        <w:trPr>
          <w:trHeight w:val="248"/>
        </w:trPr>
        <w:tc>
          <w:tcPr>
            <w:tcW w:w="4233" w:type="dxa"/>
            <w:tcBorders>
              <w:top w:val="nil"/>
              <w:left w:val="nil"/>
              <w:bottom w:val="nil"/>
              <w:right w:val="nil"/>
            </w:tcBorders>
          </w:tcPr>
          <w:p w14:paraId="7187FC55" w14:textId="77777777" w:rsidR="00B62E7E" w:rsidRPr="00B62E7E" w:rsidRDefault="00B62E7E" w:rsidP="00B62E7E">
            <w:pPr>
              <w:spacing w:line="276" w:lineRule="auto"/>
              <w:jc w:val="both"/>
              <w:rPr>
                <w:rFonts w:ascii="Times New Roman" w:eastAsia="Calibri" w:hAnsi="Times New Roman" w:cs="Times New Roman"/>
                <w:sz w:val="24"/>
                <w:szCs w:val="24"/>
              </w:rPr>
            </w:pPr>
            <w:proofErr w:type="spellStart"/>
            <w:r w:rsidRPr="00B62E7E">
              <w:rPr>
                <w:rFonts w:ascii="Times New Roman" w:eastAsia="Calibri" w:hAnsi="Times New Roman" w:cs="Times New Roman"/>
                <w:sz w:val="24"/>
                <w:szCs w:val="24"/>
              </w:rPr>
              <w:t>Tylosin</w:t>
            </w:r>
            <w:proofErr w:type="spellEnd"/>
          </w:p>
        </w:tc>
        <w:tc>
          <w:tcPr>
            <w:tcW w:w="4131" w:type="dxa"/>
            <w:tcBorders>
              <w:top w:val="nil"/>
              <w:left w:val="nil"/>
              <w:bottom w:val="nil"/>
              <w:right w:val="nil"/>
            </w:tcBorders>
          </w:tcPr>
          <w:p w14:paraId="08E847D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0.06</w:t>
            </w:r>
          </w:p>
        </w:tc>
      </w:tr>
      <w:tr w:rsidR="00B62E7E" w:rsidRPr="00B62E7E" w14:paraId="1669BF0E" w14:textId="77777777" w:rsidTr="00605681">
        <w:trPr>
          <w:trHeight w:val="248"/>
        </w:trPr>
        <w:tc>
          <w:tcPr>
            <w:tcW w:w="4233" w:type="dxa"/>
            <w:tcBorders>
              <w:top w:val="nil"/>
              <w:left w:val="nil"/>
              <w:bottom w:val="nil"/>
              <w:right w:val="nil"/>
            </w:tcBorders>
          </w:tcPr>
          <w:p w14:paraId="6F2E26F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Macrolide</w:t>
            </w:r>
          </w:p>
        </w:tc>
        <w:tc>
          <w:tcPr>
            <w:tcW w:w="4131" w:type="dxa"/>
            <w:tcBorders>
              <w:top w:val="nil"/>
              <w:left w:val="nil"/>
              <w:bottom w:val="nil"/>
              <w:right w:val="nil"/>
            </w:tcBorders>
          </w:tcPr>
          <w:p w14:paraId="58999158"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2876FC06" w14:textId="77777777" w:rsidTr="00605681">
        <w:trPr>
          <w:trHeight w:val="248"/>
        </w:trPr>
        <w:tc>
          <w:tcPr>
            <w:tcW w:w="4233" w:type="dxa"/>
            <w:tcBorders>
              <w:top w:val="nil"/>
              <w:left w:val="nil"/>
              <w:bottom w:val="nil"/>
              <w:right w:val="nil"/>
            </w:tcBorders>
          </w:tcPr>
          <w:p w14:paraId="71D326A4"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*Quinoline</w:t>
            </w:r>
          </w:p>
        </w:tc>
        <w:tc>
          <w:tcPr>
            <w:tcW w:w="4131" w:type="dxa"/>
            <w:tcBorders>
              <w:top w:val="nil"/>
              <w:left w:val="nil"/>
              <w:bottom w:val="nil"/>
              <w:right w:val="nil"/>
            </w:tcBorders>
          </w:tcPr>
          <w:p w14:paraId="4C7E6860"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0.03</w:t>
            </w:r>
          </w:p>
        </w:tc>
      </w:tr>
      <w:tr w:rsidR="00B62E7E" w:rsidRPr="00B62E7E" w14:paraId="146FF3BB" w14:textId="77777777" w:rsidTr="00605681">
        <w:trPr>
          <w:trHeight w:val="248"/>
        </w:trPr>
        <w:tc>
          <w:tcPr>
            <w:tcW w:w="4233" w:type="dxa"/>
            <w:tcBorders>
              <w:top w:val="nil"/>
              <w:left w:val="nil"/>
              <w:bottom w:val="nil"/>
              <w:right w:val="nil"/>
            </w:tcBorders>
          </w:tcPr>
          <w:p w14:paraId="77AF4127"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Gentamicin</w:t>
            </w:r>
          </w:p>
        </w:tc>
        <w:tc>
          <w:tcPr>
            <w:tcW w:w="4131" w:type="dxa"/>
            <w:tcBorders>
              <w:top w:val="nil"/>
              <w:left w:val="nil"/>
              <w:bottom w:val="nil"/>
              <w:right w:val="nil"/>
            </w:tcBorders>
          </w:tcPr>
          <w:p w14:paraId="1963603E"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r w:rsidR="00B62E7E" w:rsidRPr="00B62E7E" w14:paraId="583F6C67" w14:textId="77777777" w:rsidTr="00605681">
        <w:trPr>
          <w:trHeight w:val="248"/>
        </w:trPr>
        <w:tc>
          <w:tcPr>
            <w:tcW w:w="4233" w:type="dxa"/>
            <w:tcBorders>
              <w:top w:val="nil"/>
              <w:left w:val="nil"/>
              <w:bottom w:val="nil"/>
              <w:right w:val="nil"/>
            </w:tcBorders>
          </w:tcPr>
          <w:p w14:paraId="25E6122B"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Colistin</w:t>
            </w:r>
          </w:p>
        </w:tc>
        <w:tc>
          <w:tcPr>
            <w:tcW w:w="4131" w:type="dxa"/>
            <w:tcBorders>
              <w:top w:val="nil"/>
              <w:left w:val="nil"/>
              <w:bottom w:val="nil"/>
              <w:right w:val="nil"/>
            </w:tcBorders>
          </w:tcPr>
          <w:p w14:paraId="0653CF2C"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0.10</w:t>
            </w:r>
          </w:p>
        </w:tc>
      </w:tr>
      <w:tr w:rsidR="00B62E7E" w:rsidRPr="00B62E7E" w14:paraId="52A1630A" w14:textId="77777777" w:rsidTr="00605681">
        <w:trPr>
          <w:trHeight w:val="259"/>
        </w:trPr>
        <w:tc>
          <w:tcPr>
            <w:tcW w:w="4233" w:type="dxa"/>
            <w:tcBorders>
              <w:top w:val="nil"/>
              <w:left w:val="nil"/>
              <w:bottom w:val="single" w:sz="4" w:space="0" w:color="auto"/>
              <w:right w:val="nil"/>
            </w:tcBorders>
          </w:tcPr>
          <w:p w14:paraId="142E85B6"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Lincomycin</w:t>
            </w:r>
          </w:p>
        </w:tc>
        <w:tc>
          <w:tcPr>
            <w:tcW w:w="4131" w:type="dxa"/>
            <w:tcBorders>
              <w:top w:val="nil"/>
              <w:left w:val="nil"/>
              <w:bottom w:val="single" w:sz="4" w:space="0" w:color="auto"/>
              <w:right w:val="nil"/>
            </w:tcBorders>
          </w:tcPr>
          <w:p w14:paraId="57CC45DF" w14:textId="77777777" w:rsidR="00B62E7E" w:rsidRPr="00B62E7E" w:rsidRDefault="00B62E7E" w:rsidP="00B62E7E">
            <w:pPr>
              <w:spacing w:line="276" w:lineRule="auto"/>
              <w:jc w:val="both"/>
              <w:rPr>
                <w:rFonts w:ascii="Times New Roman" w:eastAsia="Calibri" w:hAnsi="Times New Roman" w:cs="Times New Roman"/>
                <w:sz w:val="24"/>
                <w:szCs w:val="24"/>
              </w:rPr>
            </w:pPr>
            <w:r w:rsidRPr="00B62E7E">
              <w:rPr>
                <w:rFonts w:ascii="Times New Roman" w:eastAsia="Calibri" w:hAnsi="Times New Roman" w:cs="Times New Roman"/>
                <w:sz w:val="24"/>
                <w:szCs w:val="24"/>
              </w:rPr>
              <w:t>-</w:t>
            </w:r>
          </w:p>
        </w:tc>
      </w:tr>
    </w:tbl>
    <w:p w14:paraId="08B28328" w14:textId="77777777" w:rsidR="005C4DFC" w:rsidRDefault="005C4DFC" w:rsidP="00B62E7E">
      <w:pPr>
        <w:spacing w:after="0" w:line="276" w:lineRule="auto"/>
        <w:jc w:val="both"/>
        <w:rPr>
          <w:rFonts w:ascii="Times New Roman" w:eastAsia="Calibri" w:hAnsi="Times New Roman" w:cs="Times New Roman"/>
          <w:kern w:val="0"/>
          <w:sz w:val="24"/>
          <w:szCs w:val="24"/>
          <w14:ligatures w14:val="none"/>
        </w:rPr>
      </w:pPr>
    </w:p>
    <w:p w14:paraId="6AF3EE3E" w14:textId="77777777" w:rsidR="00C132F3" w:rsidRDefault="00C132F3" w:rsidP="005C4DFC">
      <w:pPr>
        <w:spacing w:after="0" w:line="276" w:lineRule="auto"/>
        <w:jc w:val="both"/>
        <w:rPr>
          <w:rFonts w:ascii="Times New Roman" w:eastAsia="Calibri" w:hAnsi="Times New Roman" w:cs="Times New Roman"/>
          <w:kern w:val="0"/>
          <w:sz w:val="24"/>
          <w:szCs w:val="24"/>
          <w14:ligatures w14:val="none"/>
        </w:rPr>
      </w:pPr>
    </w:p>
    <w:p w14:paraId="5E9CC963" w14:textId="77777777" w:rsidR="00C132F3" w:rsidRDefault="00C132F3" w:rsidP="005C4DFC">
      <w:pPr>
        <w:spacing w:after="0" w:line="276" w:lineRule="auto"/>
        <w:jc w:val="both"/>
        <w:rPr>
          <w:rFonts w:ascii="Times New Roman" w:eastAsia="Calibri" w:hAnsi="Times New Roman" w:cs="Times New Roman"/>
          <w:kern w:val="0"/>
          <w:sz w:val="24"/>
          <w:szCs w:val="24"/>
          <w14:ligatures w14:val="none"/>
        </w:rPr>
      </w:pPr>
    </w:p>
    <w:p w14:paraId="7D25F970" w14:textId="2B07A049" w:rsidR="005C4DFC" w:rsidRDefault="00217499" w:rsidP="005C4DFC">
      <w:pPr>
        <w:spacing w:after="0" w:line="276" w:lineRule="auto"/>
        <w:jc w:val="both"/>
        <w:rPr>
          <w:rFonts w:ascii="Times New Roman" w:eastAsia="Calibri" w:hAnsi="Times New Roman" w:cs="Times New Roman"/>
          <w:b/>
          <w:bCs/>
          <w:kern w:val="0"/>
          <w:sz w:val="24"/>
          <w:szCs w:val="24"/>
          <w14:ligatures w14:val="none"/>
        </w:rPr>
      </w:pPr>
      <w:r w:rsidRPr="00230BF4">
        <w:rPr>
          <w:rFonts w:ascii="Times New Roman" w:eastAsia="Calibri" w:hAnsi="Times New Roman" w:cs="Times New Roman"/>
          <w:b/>
          <w:bCs/>
          <w:kern w:val="0"/>
          <w:sz w:val="24"/>
          <w:szCs w:val="24"/>
          <w14:ligatures w14:val="none"/>
        </w:rPr>
        <w:t>DISCUSSIO</w:t>
      </w:r>
      <w:r>
        <w:rPr>
          <w:rFonts w:ascii="Times New Roman" w:eastAsia="Calibri" w:hAnsi="Times New Roman" w:cs="Times New Roman"/>
          <w:b/>
          <w:bCs/>
          <w:kern w:val="0"/>
          <w:sz w:val="24"/>
          <w:szCs w:val="24"/>
          <w14:ligatures w14:val="none"/>
        </w:rPr>
        <w:t>N</w:t>
      </w:r>
    </w:p>
    <w:p w14:paraId="70CF62BF" w14:textId="77777777" w:rsidR="005C4DFC" w:rsidRDefault="005C4DFC" w:rsidP="005C4DFC">
      <w:pPr>
        <w:spacing w:after="0" w:line="276" w:lineRule="auto"/>
        <w:jc w:val="both"/>
        <w:rPr>
          <w:rFonts w:ascii="Times New Roman" w:eastAsia="Calibri" w:hAnsi="Times New Roman" w:cs="Times New Roman"/>
          <w:b/>
          <w:bCs/>
          <w:kern w:val="0"/>
          <w:sz w:val="24"/>
          <w:szCs w:val="24"/>
          <w14:ligatures w14:val="none"/>
        </w:rPr>
      </w:pPr>
    </w:p>
    <w:p w14:paraId="7DFD3A8F" w14:textId="0D52FCB3" w:rsidR="00230BF4" w:rsidRPr="00230BF4" w:rsidRDefault="00230BF4" w:rsidP="005C4DFC">
      <w:pPr>
        <w:spacing w:after="0"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Antibiotics are natural, semi-synthetic, or synthetic compounds capable of combating bacterial infections by either killing the bacteria (bactericidal) or inhibiting their growth and reproduction (bacteriostatic), thereby aiding the body’s natural defense mechanisms in eliminating them (Bansal, 2022). They have been widely used across the world in the prevention and treatment of diseases in both humans and animals (</w:t>
      </w:r>
      <w:proofErr w:type="spellStart"/>
      <w:r w:rsidRPr="00230BF4">
        <w:rPr>
          <w:rFonts w:ascii="Times New Roman" w:eastAsia="Calibri" w:hAnsi="Times New Roman" w:cs="Times New Roman"/>
          <w:kern w:val="0"/>
          <w:sz w:val="24"/>
          <w:szCs w:val="24"/>
          <w14:ligatures w14:val="none"/>
        </w:rPr>
        <w:t>Baralla</w:t>
      </w:r>
      <w:proofErr w:type="spellEnd"/>
      <w:r w:rsidRPr="00230BF4">
        <w:rPr>
          <w:rFonts w:ascii="Times New Roman" w:eastAsia="Calibri" w:hAnsi="Times New Roman" w:cs="Times New Roman"/>
          <w:kern w:val="0"/>
          <w:sz w:val="24"/>
          <w:szCs w:val="24"/>
          <w14:ligatures w14:val="none"/>
        </w:rPr>
        <w:t xml:space="preserve"> et al., 2021). However, the presence of antibiotics in environmental or spring water poses a significant threat to human health. Water is considered a vital natural resource essential for various human activities, including drinking, irrigation of food crops, and recreational purposes, among others (Felis et al., 2020, </w:t>
      </w:r>
      <w:proofErr w:type="spellStart"/>
      <w:r w:rsidRPr="00230BF4">
        <w:rPr>
          <w:rFonts w:ascii="Times New Roman" w:eastAsia="Calibri" w:hAnsi="Times New Roman" w:cs="Times New Roman"/>
          <w:kern w:val="0"/>
          <w:sz w:val="24"/>
          <w:szCs w:val="24"/>
          <w14:ligatures w14:val="none"/>
        </w:rPr>
        <w:t>Emamgholizadeh</w:t>
      </w:r>
      <w:proofErr w:type="spellEnd"/>
      <w:r w:rsidRPr="00230BF4">
        <w:rPr>
          <w:rFonts w:ascii="Times New Roman" w:eastAsia="Calibri" w:hAnsi="Times New Roman" w:cs="Times New Roman"/>
          <w:kern w:val="0"/>
          <w:sz w:val="24"/>
          <w:szCs w:val="24"/>
          <w14:ligatures w14:val="none"/>
        </w:rPr>
        <w:t>, 2014).</w:t>
      </w:r>
    </w:p>
    <w:p w14:paraId="76BC865E"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In this study, tetracycline was detected in all river water samples collected from both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Amodu</w:t>
      </w:r>
      <w:proofErr w:type="spellEnd"/>
      <w:r w:rsidRPr="00230BF4">
        <w:rPr>
          <w:rFonts w:ascii="Times New Roman" w:eastAsia="Calibri" w:hAnsi="Times New Roman" w:cs="Times New Roman"/>
          <w:kern w:val="0"/>
          <w:sz w:val="24"/>
          <w:szCs w:val="24"/>
          <w14:ligatures w14:val="none"/>
        </w:rPr>
        <w:t xml:space="preserve">, with a </w:t>
      </w:r>
      <w:proofErr w:type="gramStart"/>
      <w:r w:rsidRPr="00230BF4">
        <w:rPr>
          <w:rFonts w:ascii="Times New Roman" w:eastAsia="Calibri" w:hAnsi="Times New Roman" w:cs="Times New Roman"/>
          <w:kern w:val="0"/>
          <w:sz w:val="24"/>
          <w:szCs w:val="24"/>
          <w14:ligatures w14:val="none"/>
        </w:rPr>
        <w:t>net concentrations</w:t>
      </w:r>
      <w:proofErr w:type="gramEnd"/>
      <w:r w:rsidRPr="00230BF4">
        <w:rPr>
          <w:rFonts w:ascii="Times New Roman" w:eastAsia="Calibri" w:hAnsi="Times New Roman" w:cs="Times New Roman"/>
          <w:kern w:val="0"/>
          <w:sz w:val="24"/>
          <w:szCs w:val="24"/>
          <w14:ligatures w14:val="none"/>
        </w:rPr>
        <w:t xml:space="preserve"> of 0.14 </w:t>
      </w:r>
      <w:proofErr w:type="spellStart"/>
      <w:r w:rsidRPr="00230BF4">
        <w:rPr>
          <w:rFonts w:ascii="Times New Roman" w:eastAsia="Calibri" w:hAnsi="Times New Roman" w:cs="Times New Roman"/>
          <w:kern w:val="0"/>
          <w:sz w:val="24"/>
          <w:szCs w:val="24"/>
          <w14:ligatures w14:val="none"/>
        </w:rPr>
        <w:t>μg</w:t>
      </w:r>
      <w:proofErr w:type="spellEnd"/>
      <w:r w:rsidRPr="00230BF4">
        <w:rPr>
          <w:rFonts w:ascii="Times New Roman" w:eastAsia="Calibri" w:hAnsi="Times New Roman" w:cs="Times New Roman"/>
          <w:kern w:val="0"/>
          <w:sz w:val="24"/>
          <w:szCs w:val="24"/>
          <w14:ligatures w14:val="none"/>
        </w:rPr>
        <w:t xml:space="preserve">/ml and 0.60 </w:t>
      </w:r>
      <w:proofErr w:type="spellStart"/>
      <w:r w:rsidRPr="00230BF4">
        <w:rPr>
          <w:rFonts w:ascii="Times New Roman" w:eastAsia="Calibri" w:hAnsi="Times New Roman" w:cs="Times New Roman"/>
          <w:kern w:val="0"/>
          <w:sz w:val="24"/>
          <w:szCs w:val="24"/>
          <w14:ligatures w14:val="none"/>
        </w:rPr>
        <w:t>μg</w:t>
      </w:r>
      <w:proofErr w:type="spellEnd"/>
      <w:r w:rsidRPr="00230BF4">
        <w:rPr>
          <w:rFonts w:ascii="Times New Roman" w:eastAsia="Calibri" w:hAnsi="Times New Roman" w:cs="Times New Roman"/>
          <w:kern w:val="0"/>
          <w:sz w:val="24"/>
          <w:szCs w:val="24"/>
          <w14:ligatures w14:val="none"/>
        </w:rPr>
        <w:t xml:space="preserve">/ml, respectively. It recorded the highest concentration among all antibiotics analyzed in samples from both communities but was not detected in the drinking water sample. This finding is consistent with the report by </w:t>
      </w:r>
      <w:proofErr w:type="spellStart"/>
      <w:r w:rsidRPr="00230BF4">
        <w:rPr>
          <w:rFonts w:ascii="Times New Roman" w:eastAsia="Calibri" w:hAnsi="Times New Roman" w:cs="Times New Roman"/>
          <w:kern w:val="0"/>
          <w:sz w:val="24"/>
          <w:szCs w:val="24"/>
          <w14:ligatures w14:val="none"/>
        </w:rPr>
        <w:t>Lenart-Borón</w:t>
      </w:r>
      <w:proofErr w:type="spellEnd"/>
      <w:r w:rsidRPr="00230BF4">
        <w:rPr>
          <w:rFonts w:ascii="Times New Roman" w:eastAsia="Calibri" w:hAnsi="Times New Roman" w:cs="Times New Roman"/>
          <w:kern w:val="0"/>
          <w:sz w:val="24"/>
          <w:szCs w:val="24"/>
          <w14:ligatures w14:val="none"/>
        </w:rPr>
        <w:t xml:space="preserve"> et al. (2022), who identified tetracycline as one of the most persistent antibiotics in the aquatic environment of the </w:t>
      </w:r>
      <w:proofErr w:type="spellStart"/>
      <w:r w:rsidRPr="00230BF4">
        <w:rPr>
          <w:rFonts w:ascii="Times New Roman" w:eastAsia="Calibri" w:hAnsi="Times New Roman" w:cs="Times New Roman"/>
          <w:kern w:val="0"/>
          <w:sz w:val="24"/>
          <w:szCs w:val="24"/>
          <w14:ligatures w14:val="none"/>
        </w:rPr>
        <w:t>Białka</w:t>
      </w:r>
      <w:proofErr w:type="spellEnd"/>
      <w:r w:rsidRPr="00230BF4">
        <w:rPr>
          <w:rFonts w:ascii="Times New Roman" w:eastAsia="Calibri" w:hAnsi="Times New Roman" w:cs="Times New Roman"/>
          <w:kern w:val="0"/>
          <w:sz w:val="24"/>
          <w:szCs w:val="24"/>
          <w14:ligatures w14:val="none"/>
        </w:rPr>
        <w:t xml:space="preserve"> River. Tetracycline is known for its ability to inhibit protein synthesis in bacteria and treat a wide range of bacterial infections (Ahmad et al., 2021). However, its presence in water bodies poses significant environmental and public health concerns. It can accumulate through the food chain, induce toxicity in microbial communities, promote the development and dissemination of antibiotic resistance, threaten the safety of drinking and </w:t>
      </w:r>
      <w:r w:rsidRPr="00230BF4">
        <w:rPr>
          <w:rFonts w:ascii="Times New Roman" w:eastAsia="Calibri" w:hAnsi="Times New Roman" w:cs="Times New Roman"/>
          <w:kern w:val="0"/>
          <w:sz w:val="24"/>
          <w:szCs w:val="24"/>
          <w14:ligatures w14:val="none"/>
        </w:rPr>
        <w:lastRenderedPageBreak/>
        <w:t>irrigation water, and disrupt the natural microbial flora in the human intestine (</w:t>
      </w:r>
      <w:proofErr w:type="spellStart"/>
      <w:r w:rsidRPr="00230BF4">
        <w:rPr>
          <w:rFonts w:ascii="Times New Roman" w:eastAsia="Calibri" w:hAnsi="Times New Roman" w:cs="Times New Roman"/>
          <w:kern w:val="0"/>
          <w:sz w:val="24"/>
          <w:szCs w:val="24"/>
          <w14:ligatures w14:val="none"/>
        </w:rPr>
        <w:t>Amangelsin</w:t>
      </w:r>
      <w:proofErr w:type="spellEnd"/>
      <w:r w:rsidRPr="00230BF4">
        <w:rPr>
          <w:rFonts w:ascii="Times New Roman" w:eastAsia="Calibri" w:hAnsi="Times New Roman" w:cs="Times New Roman"/>
          <w:kern w:val="0"/>
          <w:sz w:val="24"/>
          <w:szCs w:val="24"/>
          <w14:ligatures w14:val="none"/>
        </w:rPr>
        <w:t xml:space="preserve"> et al., 2023).</w:t>
      </w:r>
    </w:p>
    <w:p w14:paraId="397BBF42"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Amoxicillin was detected in the surface water samples, specifically in the downstream (0.05 µg/mL) and head (0.14 µg/mL) regions of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However, it was completely absent in all the samples collected from the river at Amodu. This observation aligns with the findings of Akhter et al. (2023), who reported an amoxicillin concentration of 1.2347 ng/mL in surface water samples. Amoxicillin was also not detected in the spring water. According to Armando et al. (2016), the presence of such compounds in water bodies can have toxic effects on aquatic organisms across different trophic levels, potentially leading to ecological imbalances. These effects may include the bioaccumulation of antibiotics in fish muscle tissues, which could result in their entry into the food chain and the inadvertent consumption of these drugs by humans, possibly causing adverse health effects such as </w:t>
      </w:r>
      <w:proofErr w:type="spellStart"/>
      <w:r w:rsidRPr="00230BF4">
        <w:rPr>
          <w:rFonts w:ascii="Times New Roman" w:eastAsia="Calibri" w:hAnsi="Times New Roman" w:cs="Times New Roman"/>
          <w:kern w:val="0"/>
          <w:sz w:val="24"/>
          <w:szCs w:val="24"/>
          <w14:ligatures w14:val="none"/>
        </w:rPr>
        <w:t>immunoallergic</w:t>
      </w:r>
      <w:proofErr w:type="spellEnd"/>
      <w:r w:rsidRPr="00230BF4">
        <w:rPr>
          <w:rFonts w:ascii="Times New Roman" w:eastAsia="Calibri" w:hAnsi="Times New Roman" w:cs="Times New Roman"/>
          <w:kern w:val="0"/>
          <w:sz w:val="24"/>
          <w:szCs w:val="24"/>
          <w14:ligatures w14:val="none"/>
        </w:rPr>
        <w:t xml:space="preserve"> responses.</w:t>
      </w:r>
    </w:p>
    <w:p w14:paraId="5B650B3C"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Ampicillin was detected in the surface water samples collected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specifically in the head and downstream regions, with concentrations of 0.01 µg/ml and 0.03 µg/ml, respectively. Similarly, in samples obtained from the river at Amodu, ampicillin was present at relatively low concentrations—0.01 µg/ml in the head region and 0.02 µg/ml in the tail region. No traces of ampicillin were detected in the spring water sample. This observation aligns with the findings of </w:t>
      </w:r>
      <w:proofErr w:type="spellStart"/>
      <w:r w:rsidRPr="00230BF4">
        <w:rPr>
          <w:rFonts w:ascii="Times New Roman" w:eastAsia="Calibri" w:hAnsi="Times New Roman" w:cs="Times New Roman"/>
          <w:kern w:val="0"/>
          <w:sz w:val="24"/>
          <w:szCs w:val="24"/>
          <w14:ligatures w14:val="none"/>
        </w:rPr>
        <w:t>Squiggins</w:t>
      </w:r>
      <w:proofErr w:type="spellEnd"/>
      <w:r w:rsidRPr="00230BF4">
        <w:rPr>
          <w:rFonts w:ascii="Times New Roman" w:eastAsia="Calibri" w:hAnsi="Times New Roman" w:cs="Times New Roman"/>
          <w:kern w:val="0"/>
          <w:sz w:val="24"/>
          <w:szCs w:val="24"/>
          <w14:ligatures w14:val="none"/>
        </w:rPr>
        <w:t xml:space="preserve"> et al. (2024), who reported that the presence of ampicillin-resistant coliforms in urban floodwaters increases the potential risk of human exposure to these pathogenic microorganisms.</w:t>
      </w:r>
    </w:p>
    <w:p w14:paraId="4E6CE8D8"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The concentration of gentamicin in the mid-surface water samples from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was found to be as low as 0.01 µg/ml. This finding contrasts with the study by </w:t>
      </w:r>
      <w:proofErr w:type="spellStart"/>
      <w:r w:rsidRPr="00230BF4">
        <w:rPr>
          <w:rFonts w:ascii="Times New Roman" w:eastAsia="Calibri" w:hAnsi="Times New Roman" w:cs="Times New Roman"/>
          <w:kern w:val="0"/>
          <w:sz w:val="24"/>
          <w:szCs w:val="24"/>
          <w14:ligatures w14:val="none"/>
        </w:rPr>
        <w:t>Lenart-Borón</w:t>
      </w:r>
      <w:proofErr w:type="spellEnd"/>
      <w:r w:rsidRPr="00230BF4">
        <w:rPr>
          <w:rFonts w:ascii="Times New Roman" w:eastAsia="Calibri" w:hAnsi="Times New Roman" w:cs="Times New Roman"/>
          <w:kern w:val="0"/>
          <w:sz w:val="24"/>
          <w:szCs w:val="24"/>
          <w14:ligatures w14:val="none"/>
        </w:rPr>
        <w:t xml:space="preserve"> et al. 2022, where gentamicin was among the few antibiotics not detected. In the present study, gentamicin was also detected in the mid-region of the river at Amodu, with a similarly low concentration of 0.01 µg/ml. </w:t>
      </w:r>
      <w:bookmarkStart w:id="7" w:name="_Hlk211533747"/>
      <w:r w:rsidRPr="00230BF4">
        <w:rPr>
          <w:rFonts w:ascii="Times New Roman" w:eastAsia="Calibri" w:hAnsi="Times New Roman" w:cs="Times New Roman"/>
          <w:kern w:val="0"/>
          <w:sz w:val="24"/>
          <w:szCs w:val="24"/>
          <w14:ligatures w14:val="none"/>
        </w:rPr>
        <w:t>Antibiotics remain a major cause of concern due to their persistent nature, incomplete metabolism, and ability to move easily through various environmental compartments (</w:t>
      </w:r>
      <w:proofErr w:type="spellStart"/>
      <w:r w:rsidRPr="00230BF4">
        <w:rPr>
          <w:rFonts w:ascii="Times New Roman" w:eastAsia="Calibri" w:hAnsi="Times New Roman" w:cs="Times New Roman"/>
          <w:kern w:val="0"/>
          <w:sz w:val="24"/>
          <w:szCs w:val="24"/>
          <w14:ligatures w14:val="none"/>
        </w:rPr>
        <w:t>Kümmerer</w:t>
      </w:r>
      <w:proofErr w:type="spellEnd"/>
      <w:r w:rsidRPr="00230BF4">
        <w:rPr>
          <w:rFonts w:ascii="Times New Roman" w:eastAsia="Calibri" w:hAnsi="Times New Roman" w:cs="Times New Roman"/>
          <w:kern w:val="0"/>
          <w:sz w:val="24"/>
          <w:szCs w:val="24"/>
          <w14:ligatures w14:val="none"/>
        </w:rPr>
        <w:t>, 2009).</w:t>
      </w:r>
    </w:p>
    <w:p w14:paraId="432D7D76"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proofErr w:type="spellStart"/>
      <w:r w:rsidRPr="00230BF4">
        <w:rPr>
          <w:rFonts w:ascii="Times New Roman" w:eastAsia="Calibri" w:hAnsi="Times New Roman" w:cs="Times New Roman"/>
          <w:kern w:val="0"/>
          <w:sz w:val="24"/>
          <w:szCs w:val="24"/>
          <w14:ligatures w14:val="none"/>
        </w:rPr>
        <w:t>Penicillins</w:t>
      </w:r>
      <w:proofErr w:type="spellEnd"/>
      <w:r w:rsidRPr="00230BF4">
        <w:rPr>
          <w:rFonts w:ascii="Times New Roman" w:eastAsia="Calibri" w:hAnsi="Times New Roman" w:cs="Times New Roman"/>
          <w:kern w:val="0"/>
          <w:sz w:val="24"/>
          <w:szCs w:val="24"/>
          <w14:ligatures w14:val="none"/>
        </w:rPr>
        <w:t xml:space="preserve"> are organic acids characterized by a β-lactam ring attached to a side chain and a thiazolidine ring. They act by inhibiting bacterial cell wall synthesis, specifically by blocking the transpeptidase reaction essential for cell wall formation (</w:t>
      </w:r>
      <w:proofErr w:type="spellStart"/>
      <w:r w:rsidRPr="00230BF4">
        <w:rPr>
          <w:rFonts w:ascii="Times New Roman" w:eastAsia="Calibri" w:hAnsi="Times New Roman" w:cs="Times New Roman"/>
          <w:kern w:val="0"/>
          <w:sz w:val="24"/>
          <w:szCs w:val="24"/>
          <w14:ligatures w14:val="none"/>
        </w:rPr>
        <w:t>Lobanovska</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Pilla</w:t>
      </w:r>
      <w:proofErr w:type="spellEnd"/>
      <w:r w:rsidRPr="00230BF4">
        <w:rPr>
          <w:rFonts w:ascii="Times New Roman" w:eastAsia="Calibri" w:hAnsi="Times New Roman" w:cs="Times New Roman"/>
          <w:kern w:val="0"/>
          <w:sz w:val="24"/>
          <w:szCs w:val="24"/>
          <w14:ligatures w14:val="none"/>
        </w:rPr>
        <w:t xml:space="preserve">, 2017). In this study, penicillin recorded the second-highest overall concentration among all antibiotics detected in samples from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with a value of 0.13 </w:t>
      </w:r>
      <w:bookmarkStart w:id="8" w:name="_Hlk219704256"/>
      <w:r w:rsidRPr="00230BF4">
        <w:rPr>
          <w:rFonts w:ascii="Times New Roman" w:eastAsia="Calibri" w:hAnsi="Times New Roman" w:cs="Times New Roman"/>
          <w:kern w:val="0"/>
          <w:sz w:val="24"/>
          <w:szCs w:val="24"/>
          <w14:ligatures w14:val="none"/>
        </w:rPr>
        <w:t>µ</w:t>
      </w:r>
      <w:bookmarkEnd w:id="8"/>
      <w:r w:rsidRPr="00230BF4">
        <w:rPr>
          <w:rFonts w:ascii="Times New Roman" w:eastAsia="Calibri" w:hAnsi="Times New Roman" w:cs="Times New Roman"/>
          <w:kern w:val="0"/>
          <w:sz w:val="24"/>
          <w:szCs w:val="24"/>
          <w14:ligatures w14:val="none"/>
        </w:rPr>
        <w:t>g/ml. The antibiotic was also identified in the mid-region water sample from Amodu at the same concentration of 0.13 µg/ml, which represents a relatively high level compared to other antibiotics detected in this research. The persistence of antibiotics in aquatic environments is often due to their rate of introduction exceeding their rate of degradation or removal. Prolonged exposure to sub-inhibitory concentrations of antibiotics in water systems can induce genomic changes in microorganisms, facilitating the development of antibiotic resistance and the transfer of resistance genes (Kulik et al., 2023).</w:t>
      </w:r>
      <w:r w:rsidRPr="00230BF4">
        <w:rPr>
          <w:rFonts w:ascii="Times New Roman" w:hAnsi="Times New Roman" w:cs="Times New Roman"/>
          <w:sz w:val="24"/>
          <w:szCs w:val="24"/>
        </w:rPr>
        <w:t xml:space="preserve"> </w:t>
      </w:r>
      <w:r w:rsidRPr="00230BF4">
        <w:rPr>
          <w:rFonts w:ascii="Times New Roman" w:eastAsia="Calibri" w:hAnsi="Times New Roman" w:cs="Times New Roman"/>
          <w:kern w:val="0"/>
          <w:sz w:val="24"/>
          <w:szCs w:val="24"/>
          <w14:ligatures w14:val="none"/>
        </w:rPr>
        <w:t xml:space="preserve">The primary sources </w:t>
      </w:r>
      <w:r w:rsidRPr="00230BF4">
        <w:rPr>
          <w:rFonts w:ascii="Times New Roman" w:eastAsia="Calibri" w:hAnsi="Times New Roman" w:cs="Times New Roman"/>
          <w:kern w:val="0"/>
          <w:sz w:val="24"/>
          <w:szCs w:val="24"/>
          <w14:ligatures w14:val="none"/>
        </w:rPr>
        <w:lastRenderedPageBreak/>
        <w:t>of these antibiotics in the environment include domestic misuse, agricultural and aquaculture practices, as well as clinical waste (Sosa-Hernández et al., 2021).</w:t>
      </w:r>
    </w:p>
    <w:bookmarkEnd w:id="7"/>
    <w:p w14:paraId="4332ED49" w14:textId="50DC41D1"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Approximately 50–90% of antibiotics consumed by humans and animals undergo only partial metabolism. Consequently, a significant portion of these compounds is excreted in both their parent and metabolite forms through feces and urine, leading to the widespread presence of antibiotics in wastewater and surface water bodies (Tran et al., 2019). Dicloxacillin and </w:t>
      </w:r>
      <w:bookmarkStart w:id="9" w:name="_Hlk211536251"/>
      <w:r w:rsidRPr="00230BF4">
        <w:rPr>
          <w:rFonts w:ascii="Times New Roman" w:eastAsia="Calibri" w:hAnsi="Times New Roman" w:cs="Times New Roman"/>
          <w:kern w:val="0"/>
          <w:sz w:val="24"/>
          <w:szCs w:val="24"/>
          <w14:ligatures w14:val="none"/>
        </w:rPr>
        <w:t>Oxacillin</w:t>
      </w:r>
      <w:r w:rsidRPr="00230BF4">
        <w:rPr>
          <w:rFonts w:ascii="Times New Roman" w:hAnsi="Times New Roman" w:cs="Times New Roman"/>
          <w:sz w:val="24"/>
          <w:szCs w:val="24"/>
        </w:rPr>
        <w:t xml:space="preserve"> </w:t>
      </w:r>
      <w:bookmarkEnd w:id="9"/>
      <w:r w:rsidRPr="00230BF4">
        <w:rPr>
          <w:rFonts w:ascii="Times New Roman" w:eastAsia="Calibri" w:hAnsi="Times New Roman" w:cs="Times New Roman"/>
          <w:kern w:val="0"/>
          <w:sz w:val="24"/>
          <w:szCs w:val="24"/>
          <w14:ligatures w14:val="none"/>
        </w:rPr>
        <w:t xml:space="preserve">were detected in the samples gotten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hAnsi="Times New Roman" w:cs="Times New Roman"/>
          <w:sz w:val="24"/>
          <w:szCs w:val="24"/>
        </w:rPr>
        <w:t xml:space="preserve"> </w:t>
      </w:r>
      <w:r w:rsidRPr="00230BF4">
        <w:rPr>
          <w:rFonts w:ascii="Times New Roman" w:eastAsia="Calibri" w:hAnsi="Times New Roman" w:cs="Times New Roman"/>
          <w:kern w:val="0"/>
          <w:sz w:val="24"/>
          <w:szCs w:val="24"/>
          <w14:ligatures w14:val="none"/>
        </w:rPr>
        <w:t xml:space="preserve">with a net concentration of </w:t>
      </w:r>
      <w:proofErr w:type="spellStart"/>
      <w:r w:rsidRPr="00230BF4">
        <w:rPr>
          <w:rFonts w:ascii="Times New Roman" w:eastAsia="Calibri" w:hAnsi="Times New Roman" w:cs="Times New Roman"/>
          <w:kern w:val="0"/>
          <w:sz w:val="24"/>
          <w:szCs w:val="24"/>
          <w14:ligatures w14:val="none"/>
        </w:rPr>
        <w:t>of</w:t>
      </w:r>
      <w:proofErr w:type="spellEnd"/>
      <w:r w:rsidRPr="00230BF4">
        <w:rPr>
          <w:rFonts w:ascii="Times New Roman" w:eastAsia="Calibri" w:hAnsi="Times New Roman" w:cs="Times New Roman"/>
          <w:kern w:val="0"/>
          <w:sz w:val="24"/>
          <w:szCs w:val="24"/>
          <w14:ligatures w14:val="none"/>
        </w:rPr>
        <w:t xml:space="preserve"> 0.04 </w:t>
      </w:r>
      <w:r w:rsidR="00EF3299" w:rsidRPr="00EF3299">
        <w:rPr>
          <w:rFonts w:ascii="Times New Roman" w:eastAsia="Calibri" w:hAnsi="Times New Roman" w:cs="Times New Roman"/>
          <w:kern w:val="0"/>
          <w:sz w:val="24"/>
          <w:szCs w:val="24"/>
          <w14:ligatures w14:val="none"/>
        </w:rPr>
        <w:t>µ</w:t>
      </w:r>
      <w:r w:rsidRPr="00230BF4">
        <w:rPr>
          <w:rFonts w:ascii="Times New Roman" w:eastAsia="Calibri" w:hAnsi="Times New Roman" w:cs="Times New Roman"/>
          <w:kern w:val="0"/>
          <w:sz w:val="24"/>
          <w:szCs w:val="24"/>
          <w14:ligatures w14:val="none"/>
        </w:rPr>
        <w:t>g/</w:t>
      </w:r>
      <w:proofErr w:type="gramStart"/>
      <w:r w:rsidRPr="00230BF4">
        <w:rPr>
          <w:rFonts w:ascii="Times New Roman" w:eastAsia="Calibri" w:hAnsi="Times New Roman" w:cs="Times New Roman"/>
          <w:kern w:val="0"/>
          <w:sz w:val="24"/>
          <w:szCs w:val="24"/>
          <w14:ligatures w14:val="none"/>
        </w:rPr>
        <w:t>ml  and</w:t>
      </w:r>
      <w:proofErr w:type="gramEnd"/>
      <w:r w:rsidRPr="00230BF4">
        <w:rPr>
          <w:rFonts w:ascii="Times New Roman" w:eastAsia="Calibri" w:hAnsi="Times New Roman" w:cs="Times New Roman"/>
          <w:kern w:val="0"/>
          <w:sz w:val="24"/>
          <w:szCs w:val="24"/>
          <w14:ligatures w14:val="none"/>
        </w:rPr>
        <w:t xml:space="preserve"> .01 </w:t>
      </w:r>
      <w:proofErr w:type="spellStart"/>
      <w:r w:rsidRPr="00230BF4">
        <w:rPr>
          <w:rFonts w:ascii="Times New Roman" w:eastAsia="Calibri" w:hAnsi="Times New Roman" w:cs="Times New Roman"/>
          <w:kern w:val="0"/>
          <w:sz w:val="24"/>
          <w:szCs w:val="24"/>
          <w14:ligatures w14:val="none"/>
        </w:rPr>
        <w:t>μg</w:t>
      </w:r>
      <w:proofErr w:type="spellEnd"/>
      <w:r w:rsidRPr="00230BF4">
        <w:rPr>
          <w:rFonts w:ascii="Times New Roman" w:eastAsia="Calibri" w:hAnsi="Times New Roman" w:cs="Times New Roman"/>
          <w:kern w:val="0"/>
          <w:sz w:val="24"/>
          <w:szCs w:val="24"/>
          <w14:ligatures w14:val="none"/>
        </w:rPr>
        <w:t>/ml, respectively. Oxacillin at high levels can cause liver injury</w:t>
      </w:r>
      <w:r w:rsidRPr="00230BF4">
        <w:rPr>
          <w:rFonts w:ascii="Times New Roman" w:hAnsi="Times New Roman" w:cs="Times New Roman"/>
          <w:sz w:val="24"/>
          <w:szCs w:val="24"/>
        </w:rPr>
        <w:t xml:space="preserve"> </w:t>
      </w:r>
      <w:r w:rsidRPr="00230BF4">
        <w:rPr>
          <w:rFonts w:ascii="Times New Roman" w:eastAsia="Calibri" w:hAnsi="Times New Roman" w:cs="Times New Roman"/>
          <w:kern w:val="0"/>
          <w:sz w:val="24"/>
          <w:szCs w:val="24"/>
          <w14:ligatures w14:val="none"/>
        </w:rPr>
        <w:t>by elevations in serum ALT (Chalasani et al., 2020). Oxacillin and Dicloxacillin was completely absent in all samples collected from the river at Amodu, as well as in the spring water samples.</w:t>
      </w:r>
    </w:p>
    <w:p w14:paraId="13C5E60F"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Traces of </w:t>
      </w:r>
      <w:proofErr w:type="spellStart"/>
      <w:r w:rsidRPr="00230BF4">
        <w:rPr>
          <w:rFonts w:ascii="Times New Roman" w:eastAsia="Calibri" w:hAnsi="Times New Roman" w:cs="Times New Roman"/>
          <w:kern w:val="0"/>
          <w:sz w:val="24"/>
          <w:szCs w:val="24"/>
          <w14:ligatures w14:val="none"/>
        </w:rPr>
        <w:t>Avilamycin</w:t>
      </w:r>
      <w:proofErr w:type="spellEnd"/>
      <w:r w:rsidRPr="00230BF4">
        <w:rPr>
          <w:rFonts w:ascii="Times New Roman" w:eastAsia="Calibri" w:hAnsi="Times New Roman" w:cs="Times New Roman"/>
          <w:kern w:val="0"/>
          <w:sz w:val="24"/>
          <w:szCs w:val="24"/>
          <w14:ligatures w14:val="none"/>
        </w:rPr>
        <w:t xml:space="preserve"> were detected in the surface water samples, specifically in the head and downstream regions of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t>
      </w:r>
      <w:proofErr w:type="spellStart"/>
      <w:r w:rsidRPr="00230BF4">
        <w:rPr>
          <w:rFonts w:ascii="Times New Roman" w:eastAsia="Calibri" w:hAnsi="Times New Roman" w:cs="Times New Roman"/>
          <w:kern w:val="0"/>
          <w:sz w:val="24"/>
          <w:szCs w:val="24"/>
          <w14:ligatures w14:val="none"/>
        </w:rPr>
        <w:t>Mean while</w:t>
      </w:r>
      <w:proofErr w:type="spellEnd"/>
      <w:r w:rsidRPr="00230BF4">
        <w:rPr>
          <w:rFonts w:ascii="Times New Roman" w:eastAsia="Calibri" w:hAnsi="Times New Roman" w:cs="Times New Roman"/>
          <w:kern w:val="0"/>
          <w:sz w:val="24"/>
          <w:szCs w:val="24"/>
          <w14:ligatures w14:val="none"/>
        </w:rPr>
        <w:t xml:space="preserve">, the river at Amodu showed traces of </w:t>
      </w:r>
      <w:proofErr w:type="spellStart"/>
      <w:r w:rsidRPr="00230BF4">
        <w:rPr>
          <w:rFonts w:ascii="Times New Roman" w:eastAsia="Calibri" w:hAnsi="Times New Roman" w:cs="Times New Roman"/>
          <w:kern w:val="0"/>
          <w:sz w:val="24"/>
          <w:szCs w:val="24"/>
          <w14:ligatures w14:val="none"/>
        </w:rPr>
        <w:t>Avilamycin</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tylosin</w:t>
      </w:r>
      <w:proofErr w:type="spellEnd"/>
      <w:r w:rsidRPr="00230BF4">
        <w:rPr>
          <w:rFonts w:ascii="Times New Roman" w:eastAsia="Calibri" w:hAnsi="Times New Roman" w:cs="Times New Roman"/>
          <w:kern w:val="0"/>
          <w:sz w:val="24"/>
          <w:szCs w:val="24"/>
          <w14:ligatures w14:val="none"/>
        </w:rPr>
        <w:t xml:space="preserve"> in both the head and tail regions, </w:t>
      </w:r>
      <w:proofErr w:type="gramStart"/>
      <w:r w:rsidRPr="00230BF4">
        <w:rPr>
          <w:rFonts w:ascii="Times New Roman" w:eastAsia="Calibri" w:hAnsi="Times New Roman" w:cs="Times New Roman"/>
          <w:kern w:val="0"/>
          <w:sz w:val="24"/>
          <w:szCs w:val="24"/>
          <w14:ligatures w14:val="none"/>
        </w:rPr>
        <w:t>No</w:t>
      </w:r>
      <w:proofErr w:type="gramEnd"/>
      <w:r w:rsidRPr="00230BF4">
        <w:rPr>
          <w:rFonts w:ascii="Times New Roman" w:eastAsia="Calibri" w:hAnsi="Times New Roman" w:cs="Times New Roman"/>
          <w:kern w:val="0"/>
          <w:sz w:val="24"/>
          <w:szCs w:val="24"/>
          <w14:ligatures w14:val="none"/>
        </w:rPr>
        <w:t xml:space="preserve"> traces of the antibiotic were detected in the spring water samples. According to Koch et al. (2021), the excessive use of antibiotics can negatively impact the gene pool and food chain, leading to the emergence of antibiotic-resistant and multi-drug-resistant bacteria.</w:t>
      </w:r>
    </w:p>
    <w:p w14:paraId="2A178D71"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Colistin was detected only in the mid-region of the surface water sample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with a concentration of 0.03 µg/ml. No traces of the antibiotic were found in the drinking water samples. In contrast, Colistin was one of the two antibiotics detected in all samples collected from the river at Amodu. It was present in the head, mid, and tail regions, with relatively high concentrations of 0.10 µg/ml recorded at both the head and tail regions, while the mid-region had a lower concentration of 0.03 µg/ml. Previous research has shown that the primary environmental concern associated with Colistin contamination in water bodies is its ability to promote the spread of antibiotic resistance genes, such as </w:t>
      </w:r>
      <w:proofErr w:type="spellStart"/>
      <w:r w:rsidRPr="00230BF4">
        <w:rPr>
          <w:rFonts w:ascii="Times New Roman" w:eastAsia="Calibri" w:hAnsi="Times New Roman" w:cs="Times New Roman"/>
          <w:kern w:val="0"/>
          <w:sz w:val="24"/>
          <w:szCs w:val="24"/>
          <w14:ligatures w14:val="none"/>
        </w:rPr>
        <w:t>mcr</w:t>
      </w:r>
      <w:proofErr w:type="spellEnd"/>
      <w:r w:rsidRPr="00230BF4">
        <w:rPr>
          <w:rFonts w:ascii="Times New Roman" w:eastAsia="Calibri" w:hAnsi="Times New Roman" w:cs="Times New Roman"/>
          <w:kern w:val="0"/>
          <w:sz w:val="24"/>
          <w:szCs w:val="24"/>
          <w14:ligatures w14:val="none"/>
        </w:rPr>
        <w:t xml:space="preserve"> genes, among bacteria—posing a significant public health risk (</w:t>
      </w:r>
      <w:proofErr w:type="spellStart"/>
      <w:r w:rsidRPr="00230BF4">
        <w:rPr>
          <w:rFonts w:ascii="Times New Roman" w:eastAsia="Calibri" w:hAnsi="Times New Roman" w:cs="Times New Roman"/>
          <w:kern w:val="0"/>
          <w:sz w:val="24"/>
          <w:szCs w:val="24"/>
          <w14:ligatures w14:val="none"/>
        </w:rPr>
        <w:t>Osisiogu</w:t>
      </w:r>
      <w:proofErr w:type="spellEnd"/>
      <w:r w:rsidRPr="00230BF4">
        <w:rPr>
          <w:rFonts w:ascii="Times New Roman" w:eastAsia="Calibri" w:hAnsi="Times New Roman" w:cs="Times New Roman"/>
          <w:kern w:val="0"/>
          <w:sz w:val="24"/>
          <w:szCs w:val="24"/>
          <w14:ligatures w14:val="none"/>
        </w:rPr>
        <w:t xml:space="preserve"> et al., 2025).</w:t>
      </w:r>
    </w:p>
    <w:p w14:paraId="6499E02C"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bookmarkStart w:id="10" w:name="_Hlk211593257"/>
      <w:r w:rsidRPr="00230BF4">
        <w:rPr>
          <w:rFonts w:ascii="Times New Roman" w:eastAsia="Calibri" w:hAnsi="Times New Roman" w:cs="Times New Roman"/>
          <w:kern w:val="0"/>
          <w:sz w:val="24"/>
          <w:szCs w:val="24"/>
          <w14:ligatures w14:val="none"/>
        </w:rPr>
        <w:t xml:space="preserve">Lincomycin is an antibiotic commonly used in veterinary medicine </w:t>
      </w:r>
      <w:bookmarkStart w:id="11" w:name="_Hlk211593432"/>
      <w:r w:rsidRPr="00230BF4">
        <w:rPr>
          <w:rFonts w:ascii="Times New Roman" w:eastAsia="Calibri" w:hAnsi="Times New Roman" w:cs="Times New Roman"/>
          <w:kern w:val="0"/>
          <w:sz w:val="24"/>
          <w:szCs w:val="24"/>
          <w14:ligatures w14:val="none"/>
        </w:rPr>
        <w:t xml:space="preserve">(Mehrtens et al., 2021). </w:t>
      </w:r>
      <w:bookmarkEnd w:id="11"/>
      <w:r w:rsidRPr="00230BF4">
        <w:rPr>
          <w:rFonts w:ascii="Times New Roman" w:eastAsia="Calibri" w:hAnsi="Times New Roman" w:cs="Times New Roman"/>
          <w:kern w:val="0"/>
          <w:sz w:val="24"/>
          <w:szCs w:val="24"/>
          <w14:ligatures w14:val="none"/>
        </w:rPr>
        <w:t>In this study, Lincomycin was detected in the spring water consumed by the community at a concentration of 0.01 µg/ml, representing the highest antibiotic concentration among all spring water samples. Owing to the scarcity of potable water, particularly in rural areas, people often rely on any available water source that appears clean for drinking, washing, and recreational activities (</w:t>
      </w:r>
      <w:proofErr w:type="spellStart"/>
      <w:r w:rsidRPr="00230BF4">
        <w:rPr>
          <w:rFonts w:ascii="Times New Roman" w:eastAsia="Calibri" w:hAnsi="Times New Roman" w:cs="Times New Roman"/>
          <w:kern w:val="0"/>
          <w:sz w:val="24"/>
          <w:szCs w:val="24"/>
          <w14:ligatures w14:val="none"/>
        </w:rPr>
        <w:t>Emurotu</w:t>
      </w:r>
      <w:proofErr w:type="spellEnd"/>
      <w:r w:rsidRPr="00230BF4">
        <w:rPr>
          <w:rFonts w:ascii="Times New Roman" w:eastAsia="Calibri" w:hAnsi="Times New Roman" w:cs="Times New Roman"/>
          <w:kern w:val="0"/>
          <w:sz w:val="24"/>
          <w:szCs w:val="24"/>
          <w14:ligatures w14:val="none"/>
        </w:rPr>
        <w:t xml:space="preserve"> and Habib, 2019). In the river at Amodu, Lincomycin was detected only in the mid-region, where it recorded a concentration of 0.10 µg/ml. The occurrence of Lincomycin in environmental water has been shown to promote antimicrobial resistance, thereby reducing the effectiveness of antibiotics in treating infections and potentially disrupting microbial communities and ecological processes (Mehrtens et al., 2021).</w:t>
      </w:r>
      <w:bookmarkEnd w:id="10"/>
    </w:p>
    <w:p w14:paraId="7E39D3B1" w14:textId="77777777" w:rsidR="00230BF4" w:rsidRP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Aldrin and Quinoline are not antibiotics but are classified as an organochlorine pesticide and a compound found in antimalarial drugs, respectively. In this study, Aldrin was detected in the mid-region of the surface water sample from the river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with a concentration of 0.01 µg/ml. </w:t>
      </w:r>
      <w:r w:rsidRPr="00230BF4">
        <w:rPr>
          <w:rFonts w:ascii="Times New Roman" w:eastAsia="Calibri" w:hAnsi="Times New Roman" w:cs="Times New Roman"/>
          <w:kern w:val="0"/>
          <w:sz w:val="24"/>
          <w:szCs w:val="24"/>
          <w14:ligatures w14:val="none"/>
        </w:rPr>
        <w:lastRenderedPageBreak/>
        <w:t xml:space="preserve">Quinoline, on the other hand, was detected in the spring water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at a concentration of 0.01 µg/ml. Traces of Quinoline were also found in the head and tail water samples collected from the river at Amodu. According to Luo et al. (2020), Quinoline exhibits carcinogenic, teratogenic, and mutagenic effects in humans through bioaccumulation in the food chain.</w:t>
      </w:r>
    </w:p>
    <w:p w14:paraId="0B7B3A18" w14:textId="77777777" w:rsidR="00230BF4" w:rsidRPr="00230BF4" w:rsidRDefault="00230BF4" w:rsidP="00230BF4">
      <w:pPr>
        <w:keepNext/>
        <w:keepLines/>
        <w:spacing w:after="240" w:line="276" w:lineRule="auto"/>
        <w:ind w:left="432" w:hanging="432"/>
        <w:jc w:val="both"/>
        <w:outlineLvl w:val="0"/>
        <w:rPr>
          <w:rFonts w:ascii="Times New Roman" w:eastAsia="SimSun" w:hAnsi="Times New Roman" w:cs="Times New Roman"/>
          <w:b/>
          <w:bCs/>
          <w:kern w:val="0"/>
          <w:sz w:val="24"/>
          <w:szCs w:val="24"/>
          <w14:ligatures w14:val="none"/>
        </w:rPr>
      </w:pPr>
      <w:r w:rsidRPr="00230BF4">
        <w:rPr>
          <w:rFonts w:ascii="Times New Roman" w:eastAsia="SimSun" w:hAnsi="Times New Roman" w:cs="Times New Roman"/>
          <w:b/>
          <w:bCs/>
          <w:kern w:val="0"/>
          <w:sz w:val="24"/>
          <w:szCs w:val="24"/>
          <w14:ligatures w14:val="none"/>
        </w:rPr>
        <w:t xml:space="preserve">Conclusion </w:t>
      </w:r>
    </w:p>
    <w:p w14:paraId="117069E3" w14:textId="426E7A4D" w:rsidR="00230BF4" w:rsidRDefault="00230BF4" w:rsidP="00230BF4">
      <w:pPr>
        <w:spacing w:line="276" w:lineRule="auto"/>
        <w:jc w:val="both"/>
        <w:rPr>
          <w:rFonts w:ascii="Times New Roman" w:eastAsia="Calibri" w:hAnsi="Times New Roman" w:cs="Times New Roman"/>
          <w:kern w:val="0"/>
          <w:sz w:val="24"/>
          <w:szCs w:val="24"/>
          <w14:ligatures w14:val="none"/>
        </w:rPr>
      </w:pPr>
      <w:r w:rsidRPr="00230BF4">
        <w:rPr>
          <w:rFonts w:ascii="Times New Roman" w:eastAsia="Calibri" w:hAnsi="Times New Roman" w:cs="Times New Roman"/>
          <w:kern w:val="0"/>
          <w:sz w:val="24"/>
          <w:szCs w:val="24"/>
          <w14:ligatures w14:val="none"/>
        </w:rPr>
        <w:t xml:space="preserve">This study investigated the presence and concentration of antibiotics in both the </w:t>
      </w:r>
      <w:proofErr w:type="spellStart"/>
      <w:r w:rsidRPr="00230BF4">
        <w:rPr>
          <w:rFonts w:ascii="Times New Roman" w:eastAsia="Calibri" w:hAnsi="Times New Roman" w:cs="Times New Roman"/>
          <w:kern w:val="0"/>
          <w:sz w:val="24"/>
          <w:szCs w:val="24"/>
          <w14:ligatures w14:val="none"/>
        </w:rPr>
        <w:t>Atavu</w:t>
      </w:r>
      <w:proofErr w:type="spellEnd"/>
      <w:r w:rsidRPr="00230BF4">
        <w:rPr>
          <w:rFonts w:ascii="Times New Roman" w:eastAsia="Calibri" w:hAnsi="Times New Roman" w:cs="Times New Roman"/>
          <w:kern w:val="0"/>
          <w:sz w:val="24"/>
          <w:szCs w:val="24"/>
          <w14:ligatures w14:val="none"/>
        </w:rPr>
        <w:t xml:space="preserve"> River and the spring water located at </w:t>
      </w:r>
      <w:proofErr w:type="spellStart"/>
      <w:r w:rsidRPr="00230BF4">
        <w:rPr>
          <w:rFonts w:ascii="Times New Roman" w:eastAsia="Calibri" w:hAnsi="Times New Roman" w:cs="Times New Roman"/>
          <w:kern w:val="0"/>
          <w:sz w:val="24"/>
          <w:szCs w:val="24"/>
          <w14:ligatures w14:val="none"/>
        </w:rPr>
        <w:t>Akpugo</w:t>
      </w:r>
      <w:proofErr w:type="spellEnd"/>
      <w:r w:rsidRPr="00230BF4">
        <w:rPr>
          <w:rFonts w:ascii="Times New Roman" w:eastAsia="Calibri" w:hAnsi="Times New Roman" w:cs="Times New Roman"/>
          <w:kern w:val="0"/>
          <w:sz w:val="24"/>
          <w:szCs w:val="24"/>
          <w14:ligatures w14:val="none"/>
        </w:rPr>
        <w:t xml:space="preserve"> and </w:t>
      </w:r>
      <w:proofErr w:type="spellStart"/>
      <w:r w:rsidRPr="00230BF4">
        <w:rPr>
          <w:rFonts w:ascii="Times New Roman" w:eastAsia="Calibri" w:hAnsi="Times New Roman" w:cs="Times New Roman"/>
          <w:kern w:val="0"/>
          <w:sz w:val="24"/>
          <w:szCs w:val="24"/>
          <w14:ligatures w14:val="none"/>
        </w:rPr>
        <w:t>Amodu</w:t>
      </w:r>
      <w:proofErr w:type="spellEnd"/>
      <w:r w:rsidRPr="00230BF4">
        <w:rPr>
          <w:rFonts w:ascii="Times New Roman" w:eastAsia="Calibri" w:hAnsi="Times New Roman" w:cs="Times New Roman"/>
          <w:kern w:val="0"/>
          <w:sz w:val="24"/>
          <w:szCs w:val="24"/>
          <w14:ligatures w14:val="none"/>
        </w:rPr>
        <w:t>. Of the 12 antibiotics analyzed, 11 were detected. Among these, tetracycline was the most frequently found and exhibited the highest concentration, followed by penicillin, which is widely utilized in veterinary medicine and various other applications. The distribution of these antibiotics throughout the river likely contributed to their presence in the spring water. The detection of antibiotics in the spring water, which serves as a primary source of drinking water, is particularly alarming, as prolonged exposure may lead to the development of antibiotic resistance and other health conditions that pose serious threats to human life.</w:t>
      </w:r>
      <w:r w:rsidR="00657500" w:rsidRPr="00657500">
        <w:rPr>
          <w:rFonts w:ascii="Times New Roman" w:eastAsia="Calibri" w:hAnsi="Times New Roman" w:cs="Times New Roman"/>
          <w:kern w:val="0"/>
          <w:sz w:val="24"/>
          <w:szCs w:val="24"/>
          <w14:ligatures w14:val="none"/>
        </w:rPr>
        <w:t xml:space="preserve"> However, further studies are required to</w:t>
      </w:r>
      <w:r w:rsidR="00657500">
        <w:rPr>
          <w:rFonts w:ascii="Times New Roman" w:eastAsia="Calibri" w:hAnsi="Times New Roman" w:cs="Times New Roman"/>
          <w:kern w:val="0"/>
          <w:sz w:val="24"/>
          <w:szCs w:val="24"/>
          <w14:ligatures w14:val="none"/>
        </w:rPr>
        <w:t xml:space="preserve"> carry out this experiment in different seasons of the year.</w:t>
      </w:r>
    </w:p>
    <w:p w14:paraId="68330E2A" w14:textId="77777777" w:rsidR="001D6E64" w:rsidRPr="001D6E64" w:rsidRDefault="001D6E64" w:rsidP="001D6E64">
      <w:pPr>
        <w:spacing w:line="276" w:lineRule="auto"/>
        <w:jc w:val="both"/>
        <w:rPr>
          <w:rFonts w:ascii="Times New Roman" w:eastAsia="Calibri" w:hAnsi="Times New Roman" w:cs="Times New Roman"/>
          <w:kern w:val="0"/>
          <w:sz w:val="24"/>
          <w:szCs w:val="24"/>
          <w14:ligatures w14:val="none"/>
        </w:rPr>
      </w:pPr>
      <w:r w:rsidRPr="001D6E64">
        <w:rPr>
          <w:rFonts w:ascii="Times New Roman" w:eastAsia="Calibri" w:hAnsi="Times New Roman" w:cs="Times New Roman"/>
          <w:b/>
          <w:kern w:val="0"/>
          <w:sz w:val="24"/>
          <w:szCs w:val="24"/>
          <w14:ligatures w14:val="none"/>
        </w:rPr>
        <w:t>Disclaimer (Artificial intelligence</w:t>
      </w:r>
      <w:r w:rsidRPr="001D6E64">
        <w:rPr>
          <w:rFonts w:ascii="Times New Roman" w:eastAsia="Calibri" w:hAnsi="Times New Roman" w:cs="Times New Roman"/>
          <w:kern w:val="0"/>
          <w:sz w:val="24"/>
          <w:szCs w:val="24"/>
          <w14:ligatures w14:val="none"/>
        </w:rPr>
        <w:t>)</w:t>
      </w:r>
    </w:p>
    <w:p w14:paraId="5C9A1DEB" w14:textId="69CF4ECC" w:rsidR="00A004ED" w:rsidRDefault="001D6E64" w:rsidP="001D6E64">
      <w:pPr>
        <w:spacing w:line="276" w:lineRule="auto"/>
        <w:jc w:val="both"/>
        <w:rPr>
          <w:rFonts w:ascii="Times New Roman" w:eastAsia="Calibri" w:hAnsi="Times New Roman" w:cs="Times New Roman"/>
          <w:kern w:val="0"/>
          <w:sz w:val="24"/>
          <w:szCs w:val="24"/>
          <w14:ligatures w14:val="none"/>
        </w:rPr>
      </w:pPr>
      <w:r w:rsidRPr="001D6E64">
        <w:rPr>
          <w:rFonts w:ascii="Times New Roman" w:eastAsia="Calibri" w:hAnsi="Times New Roman" w:cs="Times New Roman"/>
          <w:kern w:val="0"/>
          <w:sz w:val="24"/>
          <w:szCs w:val="24"/>
          <w14:ligatures w14:val="none"/>
        </w:rPr>
        <w:t>Author(s) hereby declare that NO generative AI technologies such as Large Language Models (</w:t>
      </w:r>
      <w:proofErr w:type="spellStart"/>
      <w:r w:rsidRPr="001D6E64">
        <w:rPr>
          <w:rFonts w:ascii="Times New Roman" w:eastAsia="Calibri" w:hAnsi="Times New Roman" w:cs="Times New Roman"/>
          <w:kern w:val="0"/>
          <w:sz w:val="24"/>
          <w:szCs w:val="24"/>
          <w14:ligatures w14:val="none"/>
        </w:rPr>
        <w:t>ChatGPT</w:t>
      </w:r>
      <w:proofErr w:type="spellEnd"/>
      <w:r w:rsidRPr="001D6E64">
        <w:rPr>
          <w:rFonts w:ascii="Times New Roman" w:eastAsia="Calibri" w:hAnsi="Times New Roman" w:cs="Times New Roman"/>
          <w:kern w:val="0"/>
          <w:sz w:val="24"/>
          <w:szCs w:val="24"/>
          <w14:ligatures w14:val="none"/>
        </w:rPr>
        <w:t>, COPILOT, etc.) and text-to-image generators have been used during the writing or editing of this manuscript.</w:t>
      </w:r>
    </w:p>
    <w:p w14:paraId="510EDFD8" w14:textId="77777777" w:rsidR="001D6E64" w:rsidRPr="00230BF4" w:rsidRDefault="001D6E64" w:rsidP="001D6E64">
      <w:pPr>
        <w:spacing w:line="276" w:lineRule="auto"/>
        <w:jc w:val="both"/>
        <w:rPr>
          <w:rFonts w:ascii="Times New Roman" w:eastAsia="Calibri" w:hAnsi="Times New Roman" w:cs="Times New Roman"/>
          <w:kern w:val="0"/>
          <w:sz w:val="24"/>
          <w:szCs w:val="24"/>
          <w14:ligatures w14:val="none"/>
        </w:rPr>
      </w:pPr>
    </w:p>
    <w:p w14:paraId="209AE1AA" w14:textId="77777777" w:rsidR="00230BF4" w:rsidRPr="00057BEA" w:rsidRDefault="00230BF4" w:rsidP="00230BF4">
      <w:pPr>
        <w:spacing w:line="220" w:lineRule="exact"/>
        <w:jc w:val="both"/>
        <w:rPr>
          <w:rFonts w:ascii="Times New Roman" w:eastAsia="Calibri" w:hAnsi="Times New Roman" w:cs="Times New Roman"/>
          <w:b/>
          <w:kern w:val="0"/>
          <w:sz w:val="24"/>
          <w:szCs w:val="24"/>
          <w14:ligatures w14:val="none"/>
        </w:rPr>
      </w:pPr>
      <w:r w:rsidRPr="00057BEA">
        <w:rPr>
          <w:rFonts w:ascii="Times New Roman" w:eastAsia="Calibri" w:hAnsi="Times New Roman" w:cs="Times New Roman"/>
          <w:b/>
          <w:kern w:val="0"/>
          <w:sz w:val="24"/>
          <w:szCs w:val="24"/>
          <w14:ligatures w14:val="none"/>
        </w:rPr>
        <w:t>References:</w:t>
      </w:r>
    </w:p>
    <w:p w14:paraId="747056F1" w14:textId="77777777" w:rsidR="00113054" w:rsidRPr="00113054" w:rsidRDefault="00113054" w:rsidP="00113054">
      <w:pPr>
        <w:pStyle w:val="ListParagraph"/>
        <w:numPr>
          <w:ilvl w:val="0"/>
          <w:numId w:val="1"/>
        </w:numPr>
        <w:rPr>
          <w:rFonts w:ascii="Times New Roman" w:eastAsia="Calibri" w:hAnsi="Times New Roman" w:cs="Times New Roman"/>
          <w:kern w:val="0"/>
          <w:sz w:val="24"/>
          <w:szCs w:val="24"/>
          <w14:ligatures w14:val="none"/>
        </w:rPr>
      </w:pPr>
      <w:r w:rsidRPr="00113054">
        <w:rPr>
          <w:rFonts w:ascii="Times New Roman" w:eastAsia="Calibri" w:hAnsi="Times New Roman" w:cs="Times New Roman"/>
          <w:kern w:val="0"/>
          <w:sz w:val="24"/>
          <w:szCs w:val="24"/>
          <w14:ligatures w14:val="none"/>
        </w:rPr>
        <w:t xml:space="preserve">Acharya, L.K., </w:t>
      </w:r>
      <w:proofErr w:type="spellStart"/>
      <w:r w:rsidRPr="00113054">
        <w:rPr>
          <w:rFonts w:ascii="Times New Roman" w:eastAsia="Calibri" w:hAnsi="Times New Roman" w:cs="Times New Roman"/>
          <w:kern w:val="0"/>
          <w:sz w:val="24"/>
          <w:szCs w:val="24"/>
          <w14:ligatures w14:val="none"/>
        </w:rPr>
        <w:t>Paramaguru</w:t>
      </w:r>
      <w:proofErr w:type="spellEnd"/>
      <w:r w:rsidRPr="00113054">
        <w:rPr>
          <w:rFonts w:ascii="Times New Roman" w:eastAsia="Calibri" w:hAnsi="Times New Roman" w:cs="Times New Roman"/>
          <w:kern w:val="0"/>
          <w:sz w:val="24"/>
          <w:szCs w:val="24"/>
          <w14:ligatures w14:val="none"/>
        </w:rPr>
        <w:t>, P.K., Tripathi, K. (2025). Pesticide contamination in groundwater: processes, risks, and mitigation strategies. Discovery Agriculture, 3: 152.</w:t>
      </w:r>
    </w:p>
    <w:p w14:paraId="5338DD43" w14:textId="77777777" w:rsidR="00113054" w:rsidRDefault="00113054" w:rsidP="00113054">
      <w:pPr>
        <w:pStyle w:val="ListParagraph"/>
        <w:rPr>
          <w:rFonts w:ascii="Times New Roman" w:eastAsia="Calibri" w:hAnsi="Times New Roman" w:cs="Times New Roman"/>
          <w:kern w:val="0"/>
          <w:sz w:val="24"/>
          <w:szCs w:val="24"/>
          <w14:ligatures w14:val="none"/>
        </w:rPr>
      </w:pPr>
    </w:p>
    <w:p w14:paraId="70CFF313" w14:textId="755EDC5D" w:rsidR="00230BF4" w:rsidRPr="00057BEA" w:rsidRDefault="00230BF4" w:rsidP="00230BF4">
      <w:pPr>
        <w:pStyle w:val="ListParagraph"/>
        <w:numPr>
          <w:ilvl w:val="0"/>
          <w:numId w:val="1"/>
        </w:numPr>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Adefegha</w:t>
      </w:r>
      <w:proofErr w:type="spellEnd"/>
      <w:r w:rsidRPr="00057BEA">
        <w:rPr>
          <w:rFonts w:ascii="Times New Roman" w:eastAsia="Calibri" w:hAnsi="Times New Roman" w:cs="Times New Roman"/>
          <w:kern w:val="0"/>
          <w:sz w:val="24"/>
          <w:szCs w:val="24"/>
          <w14:ligatures w14:val="none"/>
        </w:rPr>
        <w:t>, A. (2019). Antibiotics and drug pharmacology. Acta Sci Pharm Sci, 3, 43-9.</w:t>
      </w:r>
    </w:p>
    <w:p w14:paraId="74AD023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Ahmad, F., Zhu, D. &amp; Sun, J. (2021). Environmental fate of tetracycline antibiotics: degradation pathway mechanisms, challenges, and perspectives. Environmental Sciences Europe, 33:64.</w:t>
      </w:r>
    </w:p>
    <w:p w14:paraId="2C3A911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Akhter, S.; Bhat, M.A.; Ahmed, S.; Siddiqi, W.A.; Ahmad, S.; </w:t>
      </w:r>
      <w:proofErr w:type="spellStart"/>
      <w:r w:rsidRPr="00057BEA">
        <w:rPr>
          <w:rFonts w:ascii="Times New Roman" w:eastAsia="Calibri" w:hAnsi="Times New Roman" w:cs="Times New Roman"/>
          <w:kern w:val="0"/>
          <w:sz w:val="24"/>
          <w:szCs w:val="24"/>
          <w14:ligatures w14:val="none"/>
        </w:rPr>
        <w:t>Shrimal</w:t>
      </w:r>
      <w:proofErr w:type="spellEnd"/>
      <w:r w:rsidRPr="00057BEA">
        <w:rPr>
          <w:rFonts w:ascii="Times New Roman" w:eastAsia="Calibri" w:hAnsi="Times New Roman" w:cs="Times New Roman"/>
          <w:kern w:val="0"/>
          <w:sz w:val="24"/>
          <w:szCs w:val="24"/>
          <w14:ligatures w14:val="none"/>
        </w:rPr>
        <w:t>, H. (2023). Profiling of Antibiotic Residues in Surface Water of River Yamuna Stretch Passing through Delhi, India. Water. 15, 527.</w:t>
      </w:r>
    </w:p>
    <w:p w14:paraId="5DDCA6C6"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bookmarkStart w:id="12" w:name="_Hlk211601035"/>
      <w:r w:rsidRPr="00057BEA">
        <w:rPr>
          <w:rFonts w:ascii="Times New Roman" w:eastAsia="Calibri" w:hAnsi="Times New Roman" w:cs="Times New Roman"/>
          <w:kern w:val="0"/>
          <w:sz w:val="24"/>
          <w:szCs w:val="24"/>
          <w14:ligatures w14:val="none"/>
        </w:rPr>
        <w:t>Akhta</w:t>
      </w:r>
      <w:bookmarkEnd w:id="12"/>
      <w:r w:rsidRPr="00057BEA">
        <w:rPr>
          <w:rFonts w:ascii="Times New Roman" w:eastAsia="Calibri" w:hAnsi="Times New Roman" w:cs="Times New Roman"/>
          <w:kern w:val="0"/>
          <w:sz w:val="24"/>
          <w:szCs w:val="24"/>
          <w14:ligatures w14:val="none"/>
        </w:rPr>
        <w:t xml:space="preserve">r, N., </w:t>
      </w:r>
      <w:proofErr w:type="spellStart"/>
      <w:r w:rsidRPr="00057BEA">
        <w:rPr>
          <w:rFonts w:ascii="Times New Roman" w:eastAsia="Calibri" w:hAnsi="Times New Roman" w:cs="Times New Roman"/>
          <w:kern w:val="0"/>
          <w:sz w:val="24"/>
          <w:szCs w:val="24"/>
          <w14:ligatures w14:val="none"/>
        </w:rPr>
        <w:t>Syakir</w:t>
      </w:r>
      <w:proofErr w:type="spellEnd"/>
      <w:r w:rsidRPr="00057BEA">
        <w:rPr>
          <w:rFonts w:ascii="Times New Roman" w:eastAsia="Calibri" w:hAnsi="Times New Roman" w:cs="Times New Roman"/>
          <w:kern w:val="0"/>
          <w:sz w:val="24"/>
          <w:szCs w:val="24"/>
          <w14:ligatures w14:val="none"/>
        </w:rPr>
        <w:t xml:space="preserve"> Ishak, M. I., Bhawani, S. A., &amp; Umar, K. (2021). Various Natural and Anthropogenic Factors Responsible for Water Quality Degradation: A Review. Water,13(19), 2660. https://doi.org/10.3390/w13192660</w:t>
      </w:r>
    </w:p>
    <w:p w14:paraId="74F6D317"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AL-</w:t>
      </w:r>
      <w:proofErr w:type="spellStart"/>
      <w:r w:rsidRPr="00057BEA">
        <w:rPr>
          <w:rFonts w:ascii="Times New Roman" w:eastAsia="Calibri" w:hAnsi="Times New Roman" w:cs="Times New Roman"/>
          <w:kern w:val="0"/>
          <w:sz w:val="24"/>
          <w:szCs w:val="24"/>
          <w14:ligatures w14:val="none"/>
        </w:rPr>
        <w:t>Harmoosh</w:t>
      </w:r>
      <w:proofErr w:type="spellEnd"/>
      <w:r w:rsidRPr="00057BEA">
        <w:rPr>
          <w:rFonts w:ascii="Times New Roman" w:eastAsia="Calibri" w:hAnsi="Times New Roman" w:cs="Times New Roman"/>
          <w:kern w:val="0"/>
          <w:sz w:val="24"/>
          <w:szCs w:val="24"/>
          <w14:ligatures w14:val="none"/>
        </w:rPr>
        <w:t xml:space="preserve">, R. A., Jarallah, E. M., AL-Shamari, A.M and AL-khafaji, H. M. (2017). Detection of Efflux Pumps Genes in Clinical Isolates of Acinetobacter baumannii. Research J. Pharm. And Tech. </w:t>
      </w:r>
      <w:r w:rsidRPr="00057BEA">
        <w:rPr>
          <w:rFonts w:ascii="Times New Roman" w:eastAsia="Calibri" w:hAnsi="Times New Roman" w:cs="Times New Roman"/>
          <w:bCs/>
          <w:kern w:val="0"/>
          <w:sz w:val="24"/>
          <w:szCs w:val="24"/>
          <w14:ligatures w14:val="none"/>
        </w:rPr>
        <w:t>10</w:t>
      </w:r>
      <w:r w:rsidRPr="00057BEA">
        <w:rPr>
          <w:rFonts w:ascii="Times New Roman" w:eastAsia="Calibri" w:hAnsi="Times New Roman" w:cs="Times New Roman"/>
          <w:kern w:val="0"/>
          <w:sz w:val="24"/>
          <w:szCs w:val="24"/>
          <w14:ligatures w14:val="none"/>
        </w:rPr>
        <w:t>(12):4231-4236.</w:t>
      </w:r>
    </w:p>
    <w:p w14:paraId="3C0D1F67"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lastRenderedPageBreak/>
        <w:t>Aljanaby</w:t>
      </w:r>
      <w:proofErr w:type="spellEnd"/>
      <w:r w:rsidRPr="00057BEA">
        <w:rPr>
          <w:rFonts w:ascii="Times New Roman" w:eastAsia="Calibri" w:hAnsi="Times New Roman" w:cs="Times New Roman"/>
          <w:kern w:val="0"/>
          <w:sz w:val="24"/>
          <w:szCs w:val="24"/>
          <w14:ligatures w14:val="none"/>
        </w:rPr>
        <w:t xml:space="preserve"> A.A., </w:t>
      </w:r>
      <w:proofErr w:type="spellStart"/>
      <w:r w:rsidRPr="00057BEA">
        <w:rPr>
          <w:rFonts w:ascii="Times New Roman" w:eastAsia="Calibri" w:hAnsi="Times New Roman" w:cs="Times New Roman"/>
          <w:kern w:val="0"/>
          <w:sz w:val="24"/>
          <w:szCs w:val="24"/>
          <w14:ligatures w14:val="none"/>
        </w:rPr>
        <w:t>Witwit</w:t>
      </w:r>
      <w:proofErr w:type="spellEnd"/>
      <w:r w:rsidRPr="00057BEA">
        <w:rPr>
          <w:rFonts w:ascii="Times New Roman" w:eastAsia="Calibri" w:hAnsi="Times New Roman" w:cs="Times New Roman"/>
          <w:kern w:val="0"/>
          <w:sz w:val="24"/>
          <w:szCs w:val="24"/>
          <w14:ligatures w14:val="none"/>
        </w:rPr>
        <w:t xml:space="preserve"> I.N., </w:t>
      </w:r>
      <w:proofErr w:type="spellStart"/>
      <w:r w:rsidRPr="00057BEA">
        <w:rPr>
          <w:rFonts w:ascii="Times New Roman" w:eastAsia="Calibri" w:hAnsi="Times New Roman" w:cs="Times New Roman"/>
          <w:kern w:val="0"/>
          <w:sz w:val="24"/>
          <w:szCs w:val="24"/>
          <w14:ligatures w14:val="none"/>
        </w:rPr>
        <w:t>Mubark</w:t>
      </w:r>
      <w:proofErr w:type="spellEnd"/>
      <w:r w:rsidRPr="00057BEA">
        <w:rPr>
          <w:rFonts w:ascii="Times New Roman" w:eastAsia="Calibri" w:hAnsi="Times New Roman" w:cs="Times New Roman"/>
          <w:kern w:val="0"/>
          <w:sz w:val="24"/>
          <w:szCs w:val="24"/>
          <w14:ligatures w14:val="none"/>
        </w:rPr>
        <w:t xml:space="preserve"> H.M., Al-</w:t>
      </w:r>
      <w:proofErr w:type="spellStart"/>
      <w:r w:rsidRPr="00057BEA">
        <w:rPr>
          <w:rFonts w:ascii="Times New Roman" w:eastAsia="Calibri" w:hAnsi="Times New Roman" w:cs="Times New Roman"/>
          <w:kern w:val="0"/>
          <w:sz w:val="24"/>
          <w:szCs w:val="24"/>
          <w14:ligatures w14:val="none"/>
        </w:rPr>
        <w:t>Labban</w:t>
      </w:r>
      <w:proofErr w:type="spellEnd"/>
      <w:r w:rsidRPr="00057BEA">
        <w:rPr>
          <w:rFonts w:ascii="Times New Roman" w:eastAsia="Calibri" w:hAnsi="Times New Roman" w:cs="Times New Roman"/>
          <w:kern w:val="0"/>
          <w:sz w:val="24"/>
          <w:szCs w:val="24"/>
          <w14:ligatures w14:val="none"/>
        </w:rPr>
        <w:t xml:space="preserve"> H.M.Y. (2019). Synthesis and characterization of new imidazole azo ligand with some of transition metal ions, and their biological effect on two pathogenic bacteria of burn patients. International Journal of Research in Pharmaceutical Sciences, </w:t>
      </w:r>
      <w:r w:rsidRPr="00057BEA">
        <w:rPr>
          <w:rFonts w:ascii="Times New Roman" w:eastAsia="Calibri" w:hAnsi="Times New Roman" w:cs="Times New Roman"/>
          <w:bCs/>
          <w:kern w:val="0"/>
          <w:sz w:val="24"/>
          <w:szCs w:val="24"/>
          <w14:ligatures w14:val="none"/>
        </w:rPr>
        <w:t>10</w:t>
      </w:r>
      <w:r w:rsidRPr="00057BEA">
        <w:rPr>
          <w:rFonts w:ascii="Times New Roman" w:eastAsia="Calibri" w:hAnsi="Times New Roman" w:cs="Times New Roman"/>
          <w:kern w:val="0"/>
          <w:sz w:val="24"/>
          <w:szCs w:val="24"/>
          <w14:ligatures w14:val="none"/>
        </w:rPr>
        <w:t>(3):1847-1856.</w:t>
      </w:r>
    </w:p>
    <w:p w14:paraId="5E7A8A9B"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Aljofan</w:t>
      </w:r>
      <w:proofErr w:type="spellEnd"/>
      <w:r w:rsidRPr="00057BEA">
        <w:rPr>
          <w:rFonts w:ascii="Times New Roman" w:eastAsia="Calibri" w:hAnsi="Times New Roman" w:cs="Times New Roman"/>
          <w:kern w:val="0"/>
          <w:sz w:val="24"/>
          <w:szCs w:val="24"/>
          <w14:ligatures w14:val="none"/>
        </w:rPr>
        <w:t xml:space="preserve">, M., Semenova, Y., </w:t>
      </w:r>
      <w:proofErr w:type="spellStart"/>
      <w:r w:rsidRPr="00057BEA">
        <w:rPr>
          <w:rFonts w:ascii="Times New Roman" w:eastAsia="Calibri" w:hAnsi="Times New Roman" w:cs="Times New Roman"/>
          <w:kern w:val="0"/>
          <w:sz w:val="24"/>
          <w:szCs w:val="24"/>
          <w14:ligatures w14:val="none"/>
        </w:rPr>
        <w:t>Amangelsin</w:t>
      </w:r>
      <w:proofErr w:type="spellEnd"/>
      <w:r w:rsidRPr="00057BEA">
        <w:rPr>
          <w:rFonts w:ascii="Times New Roman" w:eastAsia="Calibri" w:hAnsi="Times New Roman" w:cs="Times New Roman"/>
          <w:kern w:val="0"/>
          <w:sz w:val="24"/>
          <w:szCs w:val="24"/>
          <w14:ligatures w14:val="none"/>
        </w:rPr>
        <w:t xml:space="preserve">, Y., Dadar, M., Bjorklund, G. (2023). The Impact of Tetracycline pollution on the Aquatic Environment and Removal Strategies, 12(3): 440. </w:t>
      </w:r>
    </w:p>
    <w:p w14:paraId="1E24547F"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Amangelsin</w:t>
      </w:r>
      <w:proofErr w:type="spellEnd"/>
      <w:r w:rsidRPr="00057BEA">
        <w:rPr>
          <w:rFonts w:ascii="Times New Roman" w:eastAsia="Calibri" w:hAnsi="Times New Roman" w:cs="Times New Roman"/>
          <w:kern w:val="0"/>
          <w:sz w:val="24"/>
          <w:szCs w:val="24"/>
          <w14:ligatures w14:val="none"/>
        </w:rPr>
        <w:t xml:space="preserve">, Y., Semenova, Y., Dadar, M., </w:t>
      </w:r>
      <w:proofErr w:type="spellStart"/>
      <w:r w:rsidRPr="00057BEA">
        <w:rPr>
          <w:rFonts w:ascii="Times New Roman" w:eastAsia="Calibri" w:hAnsi="Times New Roman" w:cs="Times New Roman"/>
          <w:kern w:val="0"/>
          <w:sz w:val="24"/>
          <w:szCs w:val="24"/>
          <w14:ligatures w14:val="none"/>
        </w:rPr>
        <w:t>Aljofan</w:t>
      </w:r>
      <w:proofErr w:type="spellEnd"/>
      <w:r w:rsidRPr="00057BEA">
        <w:rPr>
          <w:rFonts w:ascii="Times New Roman" w:eastAsia="Calibri" w:hAnsi="Times New Roman" w:cs="Times New Roman"/>
          <w:kern w:val="0"/>
          <w:sz w:val="24"/>
          <w:szCs w:val="24"/>
          <w14:ligatures w14:val="none"/>
        </w:rPr>
        <w:t xml:space="preserve">, M and </w:t>
      </w:r>
      <w:proofErr w:type="spellStart"/>
      <w:r w:rsidRPr="00057BEA">
        <w:rPr>
          <w:rFonts w:ascii="Times New Roman" w:eastAsia="Calibri" w:hAnsi="Times New Roman" w:cs="Times New Roman"/>
          <w:kern w:val="0"/>
          <w:sz w:val="24"/>
          <w:szCs w:val="24"/>
          <w14:ligatures w14:val="none"/>
        </w:rPr>
        <w:t>Geir</w:t>
      </w:r>
      <w:proofErr w:type="spellEnd"/>
      <w:r w:rsidRPr="00057BEA">
        <w:rPr>
          <w:rFonts w:ascii="Times New Roman" w:eastAsia="Calibri" w:hAnsi="Times New Roman" w:cs="Times New Roman"/>
          <w:kern w:val="0"/>
          <w:sz w:val="24"/>
          <w:szCs w:val="24"/>
          <w14:ligatures w14:val="none"/>
        </w:rPr>
        <w:t>, B. (2023). The Impact of Tetracycline Pollution on the Aquatic Environment and Removal Strategies. Antibiotics (Basel).12(3):440.</w:t>
      </w:r>
    </w:p>
    <w:p w14:paraId="72CA4D19"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Andersson, D. I., Balaban, N. Q., Baquero, F., </w:t>
      </w:r>
      <w:proofErr w:type="spellStart"/>
      <w:r w:rsidRPr="00057BEA">
        <w:rPr>
          <w:rFonts w:ascii="Times New Roman" w:eastAsia="Calibri" w:hAnsi="Times New Roman" w:cs="Times New Roman"/>
          <w:kern w:val="0"/>
          <w:sz w:val="24"/>
          <w:szCs w:val="24"/>
          <w14:ligatures w14:val="none"/>
        </w:rPr>
        <w:t>Courvalin</w:t>
      </w:r>
      <w:proofErr w:type="spellEnd"/>
      <w:r w:rsidRPr="00057BEA">
        <w:rPr>
          <w:rFonts w:ascii="Times New Roman" w:eastAsia="Calibri" w:hAnsi="Times New Roman" w:cs="Times New Roman"/>
          <w:kern w:val="0"/>
          <w:sz w:val="24"/>
          <w:szCs w:val="24"/>
          <w14:ligatures w14:val="none"/>
        </w:rPr>
        <w:t xml:space="preserve">, P., Glaser, P., Gophna, U., and </w:t>
      </w:r>
      <w:proofErr w:type="spellStart"/>
      <w:r w:rsidRPr="00057BEA">
        <w:rPr>
          <w:rFonts w:ascii="Times New Roman" w:eastAsia="Calibri" w:hAnsi="Times New Roman" w:cs="Times New Roman"/>
          <w:kern w:val="0"/>
          <w:sz w:val="24"/>
          <w:szCs w:val="24"/>
          <w14:ligatures w14:val="none"/>
        </w:rPr>
        <w:t>Tønjum</w:t>
      </w:r>
      <w:proofErr w:type="spellEnd"/>
      <w:r w:rsidRPr="00057BEA">
        <w:rPr>
          <w:rFonts w:ascii="Times New Roman" w:eastAsia="Calibri" w:hAnsi="Times New Roman" w:cs="Times New Roman"/>
          <w:kern w:val="0"/>
          <w:sz w:val="24"/>
          <w:szCs w:val="24"/>
          <w14:ligatures w14:val="none"/>
        </w:rPr>
        <w:t>, T. (2020). Antibiotic resistance: turning evolutionary principles into clinical reality. FEMS Microbiology Reviews.</w:t>
      </w:r>
    </w:p>
    <w:p w14:paraId="55FCA46D"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Armando, E., Leobardo, M. G., Marcela, G., Hariz, I., Octavio, D. and Nely, S. (2016). Amoxicillin in the Aquatic Environment, Its Fate and Environmental Risk. Hazardous Factors to Living Species, DOI: 10.5772/62049.</w:t>
      </w:r>
    </w:p>
    <w:p w14:paraId="583CDC9D"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Baralla</w:t>
      </w:r>
      <w:proofErr w:type="spellEnd"/>
      <w:r w:rsidRPr="00057BEA">
        <w:rPr>
          <w:rFonts w:ascii="Times New Roman" w:eastAsia="Calibri" w:hAnsi="Times New Roman" w:cs="Times New Roman"/>
          <w:kern w:val="0"/>
          <w:sz w:val="24"/>
          <w:szCs w:val="24"/>
          <w14:ligatures w14:val="none"/>
        </w:rPr>
        <w:t xml:space="preserve">, E.; </w:t>
      </w:r>
      <w:proofErr w:type="spellStart"/>
      <w:r w:rsidRPr="00057BEA">
        <w:rPr>
          <w:rFonts w:ascii="Times New Roman" w:eastAsia="Calibri" w:hAnsi="Times New Roman" w:cs="Times New Roman"/>
          <w:kern w:val="0"/>
          <w:sz w:val="24"/>
          <w:szCs w:val="24"/>
          <w14:ligatures w14:val="none"/>
        </w:rPr>
        <w:t>Demontis</w:t>
      </w:r>
      <w:proofErr w:type="spellEnd"/>
      <w:r w:rsidRPr="00057BEA">
        <w:rPr>
          <w:rFonts w:ascii="Times New Roman" w:eastAsia="Calibri" w:hAnsi="Times New Roman" w:cs="Times New Roman"/>
          <w:kern w:val="0"/>
          <w:sz w:val="24"/>
          <w:szCs w:val="24"/>
          <w14:ligatures w14:val="none"/>
        </w:rPr>
        <w:t xml:space="preserve">, M.P.; </w:t>
      </w:r>
      <w:proofErr w:type="spellStart"/>
      <w:r w:rsidRPr="00057BEA">
        <w:rPr>
          <w:rFonts w:ascii="Times New Roman" w:eastAsia="Calibri" w:hAnsi="Times New Roman" w:cs="Times New Roman"/>
          <w:kern w:val="0"/>
          <w:sz w:val="24"/>
          <w:szCs w:val="24"/>
          <w14:ligatures w14:val="none"/>
        </w:rPr>
        <w:t>Dessì</w:t>
      </w:r>
      <w:proofErr w:type="spellEnd"/>
      <w:r w:rsidRPr="00057BEA">
        <w:rPr>
          <w:rFonts w:ascii="Times New Roman" w:eastAsia="Calibri" w:hAnsi="Times New Roman" w:cs="Times New Roman"/>
          <w:kern w:val="0"/>
          <w:sz w:val="24"/>
          <w:szCs w:val="24"/>
          <w14:ligatures w14:val="none"/>
        </w:rPr>
        <w:t>, F.; Varoni, M.V. (2021). An Overview of Antibiotics as Emerging Contaminants: Occurrence in Bivalves as Biomonitoring Organisms. Anim. Open Access J. 11, 3239.</w:t>
      </w:r>
    </w:p>
    <w:p w14:paraId="31E845E8"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b/>
          <w:kern w:val="0"/>
          <w:sz w:val="24"/>
          <w:szCs w:val="24"/>
          <w14:ligatures w14:val="none"/>
        </w:rPr>
      </w:pPr>
      <w:proofErr w:type="spellStart"/>
      <w:r w:rsidRPr="00057BEA">
        <w:rPr>
          <w:rFonts w:ascii="Times New Roman" w:eastAsia="Calibri" w:hAnsi="Times New Roman" w:cs="Times New Roman"/>
          <w:kern w:val="0"/>
          <w:sz w:val="24"/>
          <w:szCs w:val="24"/>
          <w14:ligatures w14:val="none"/>
        </w:rPr>
        <w:t>Basnal</w:t>
      </w:r>
      <w:proofErr w:type="spellEnd"/>
      <w:r w:rsidRPr="00057BEA">
        <w:rPr>
          <w:rFonts w:ascii="Times New Roman" w:eastAsia="Calibri" w:hAnsi="Times New Roman" w:cs="Times New Roman"/>
          <w:kern w:val="0"/>
          <w:sz w:val="24"/>
          <w:szCs w:val="24"/>
          <w14:ligatures w14:val="none"/>
        </w:rPr>
        <w:t xml:space="preserve">, O.P. (2022). International Journal of Frontiers in Biology and Pharmacy Research, </w:t>
      </w:r>
      <w:r w:rsidRPr="00057BEA">
        <w:rPr>
          <w:rFonts w:ascii="Times New Roman" w:eastAsia="Calibri" w:hAnsi="Times New Roman" w:cs="Times New Roman"/>
          <w:bCs/>
          <w:kern w:val="0"/>
          <w:sz w:val="24"/>
          <w:szCs w:val="24"/>
          <w14:ligatures w14:val="none"/>
        </w:rPr>
        <w:t>2</w:t>
      </w:r>
      <w:r w:rsidRPr="00057BEA">
        <w:rPr>
          <w:rFonts w:ascii="Times New Roman" w:eastAsia="Calibri" w:hAnsi="Times New Roman" w:cs="Times New Roman"/>
          <w:kern w:val="0"/>
          <w:sz w:val="24"/>
          <w:szCs w:val="24"/>
          <w14:ligatures w14:val="none"/>
        </w:rPr>
        <w:t>(1): 057-083.</w:t>
      </w:r>
    </w:p>
    <w:p w14:paraId="36CEAB13"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b/>
          <w:kern w:val="0"/>
          <w:sz w:val="24"/>
          <w:szCs w:val="24"/>
          <w14:ligatures w14:val="none"/>
        </w:rPr>
      </w:pPr>
      <w:r w:rsidRPr="00057BEA">
        <w:rPr>
          <w:rFonts w:ascii="Times New Roman" w:eastAsia="Calibri" w:hAnsi="Times New Roman" w:cs="Times New Roman"/>
          <w:bCs/>
          <w:kern w:val="0"/>
          <w:sz w:val="24"/>
          <w:szCs w:val="24"/>
          <w14:ligatures w14:val="none"/>
        </w:rPr>
        <w:t xml:space="preserve">Chalasani N, Fontana RJ, </w:t>
      </w:r>
      <w:proofErr w:type="spellStart"/>
      <w:r w:rsidRPr="00057BEA">
        <w:rPr>
          <w:rFonts w:ascii="Times New Roman" w:eastAsia="Calibri" w:hAnsi="Times New Roman" w:cs="Times New Roman"/>
          <w:bCs/>
          <w:kern w:val="0"/>
          <w:sz w:val="24"/>
          <w:szCs w:val="24"/>
          <w14:ligatures w14:val="none"/>
        </w:rPr>
        <w:t>Bonkovsky</w:t>
      </w:r>
      <w:proofErr w:type="spellEnd"/>
      <w:r w:rsidRPr="00057BEA">
        <w:rPr>
          <w:rFonts w:ascii="Times New Roman" w:eastAsia="Calibri" w:hAnsi="Times New Roman" w:cs="Times New Roman"/>
          <w:bCs/>
          <w:kern w:val="0"/>
          <w:sz w:val="24"/>
          <w:szCs w:val="24"/>
          <w14:ligatures w14:val="none"/>
        </w:rPr>
        <w:t xml:space="preserve"> HL, Watkins PB, Davern T, Serrano J, Yang H, Rochon J. (2020). Drug Induced Liver Injury Network (DILIN). Causes, clinical features, and outcomes from a prospective study of drug-induced liver injury in the United States. Gastroenterology, 135:1924–34</w:t>
      </w:r>
      <w:r w:rsidRPr="00057BEA">
        <w:rPr>
          <w:rFonts w:ascii="Times New Roman" w:eastAsia="Calibri" w:hAnsi="Times New Roman" w:cs="Times New Roman"/>
          <w:b/>
          <w:kern w:val="0"/>
          <w:sz w:val="24"/>
          <w:szCs w:val="24"/>
          <w14:ligatures w14:val="none"/>
        </w:rPr>
        <w:t>.</w:t>
      </w:r>
    </w:p>
    <w:p w14:paraId="3185D0EB" w14:textId="77777777" w:rsidR="00230BF4" w:rsidRPr="00057BEA" w:rsidRDefault="00230BF4" w:rsidP="00230BF4">
      <w:pPr>
        <w:pStyle w:val="ListParagraph"/>
        <w:numPr>
          <w:ilvl w:val="0"/>
          <w:numId w:val="1"/>
        </w:numPr>
        <w:rPr>
          <w:rFonts w:ascii="Times New Roman" w:eastAsia="Calibri" w:hAnsi="Times New Roman" w:cs="Times New Roman"/>
          <w:bCs/>
          <w:kern w:val="0"/>
          <w:sz w:val="24"/>
          <w:szCs w:val="24"/>
          <w14:ligatures w14:val="none"/>
        </w:rPr>
      </w:pPr>
      <w:r w:rsidRPr="00057BEA">
        <w:rPr>
          <w:rFonts w:ascii="Times New Roman" w:eastAsia="Calibri" w:hAnsi="Times New Roman" w:cs="Times New Roman"/>
          <w:bCs/>
          <w:kern w:val="0"/>
          <w:sz w:val="24"/>
          <w:szCs w:val="24"/>
          <w14:ligatures w14:val="none"/>
        </w:rPr>
        <w:t>Chukwudi, C. U. (2016). rRNA binding sites and the molecular mechanism of action of the tetracyclines. Antimicrobial agents and chemotherapy, 60(8), 4433-4441.</w:t>
      </w:r>
    </w:p>
    <w:p w14:paraId="75AC991D" w14:textId="77777777" w:rsidR="00230BF4" w:rsidRPr="00057BEA" w:rsidRDefault="00230BF4" w:rsidP="00230BF4">
      <w:pPr>
        <w:pStyle w:val="ListParagraph"/>
        <w:rPr>
          <w:rFonts w:ascii="Times New Roman" w:eastAsia="Calibri" w:hAnsi="Times New Roman" w:cs="Times New Roman"/>
          <w:bCs/>
          <w:kern w:val="0"/>
          <w:sz w:val="24"/>
          <w:szCs w:val="24"/>
          <w14:ligatures w14:val="none"/>
        </w:rPr>
      </w:pPr>
    </w:p>
    <w:p w14:paraId="797AF441" w14:textId="77777777" w:rsidR="00230BF4" w:rsidRPr="00057BEA" w:rsidRDefault="00230BF4" w:rsidP="00230BF4">
      <w:pPr>
        <w:pStyle w:val="ListParagraph"/>
        <w:numPr>
          <w:ilvl w:val="0"/>
          <w:numId w:val="1"/>
        </w:numPr>
        <w:rPr>
          <w:rFonts w:ascii="Times New Roman" w:eastAsia="Calibri" w:hAnsi="Times New Roman" w:cs="Times New Roman"/>
          <w:bCs/>
          <w:kern w:val="0"/>
          <w:sz w:val="24"/>
          <w:szCs w:val="24"/>
          <w14:ligatures w14:val="none"/>
        </w:rPr>
      </w:pPr>
      <w:r w:rsidRPr="00057BEA">
        <w:rPr>
          <w:rFonts w:ascii="Times New Roman" w:eastAsia="Calibri" w:hAnsi="Times New Roman" w:cs="Times New Roman"/>
          <w:bCs/>
          <w:kern w:val="0"/>
          <w:sz w:val="24"/>
          <w:szCs w:val="24"/>
          <w14:ligatures w14:val="none"/>
        </w:rPr>
        <w:t>Dabhi, M., Patel, R., Shah, V., Soni, R., Saraf, M., Rawal, R., &amp; Goswami, D. (2024). Penicillin-binding proteins: the master builders and breakers of bacterial cell walls and its interaction with β-lactam antibiotics. Journal of Proteins and Proteomics, 15(2), 215-232.</w:t>
      </w:r>
    </w:p>
    <w:p w14:paraId="7CF9523A"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Emamgholizadeh</w:t>
      </w:r>
      <w:proofErr w:type="spellEnd"/>
      <w:r w:rsidRPr="00057BEA">
        <w:rPr>
          <w:rFonts w:ascii="Times New Roman" w:eastAsia="Calibri" w:hAnsi="Times New Roman" w:cs="Times New Roman"/>
          <w:kern w:val="0"/>
          <w:sz w:val="24"/>
          <w:szCs w:val="24"/>
          <w14:ligatures w14:val="none"/>
        </w:rPr>
        <w:t xml:space="preserve"> S; Kashi, </w:t>
      </w:r>
      <w:proofErr w:type="spellStart"/>
      <w:proofErr w:type="gramStart"/>
      <w:r w:rsidRPr="00057BEA">
        <w:rPr>
          <w:rFonts w:ascii="Times New Roman" w:eastAsia="Calibri" w:hAnsi="Times New Roman" w:cs="Times New Roman"/>
          <w:kern w:val="0"/>
          <w:sz w:val="24"/>
          <w:szCs w:val="24"/>
          <w14:ligatures w14:val="none"/>
        </w:rPr>
        <w:t>HI;Zalaghi</w:t>
      </w:r>
      <w:proofErr w:type="spellEnd"/>
      <w:proofErr w:type="gramEnd"/>
      <w:r w:rsidRPr="00057BEA">
        <w:rPr>
          <w:rFonts w:ascii="Times New Roman" w:eastAsia="Calibri" w:hAnsi="Times New Roman" w:cs="Times New Roman"/>
          <w:kern w:val="0"/>
          <w:sz w:val="24"/>
          <w:szCs w:val="24"/>
          <w14:ligatures w14:val="none"/>
        </w:rPr>
        <w:t xml:space="preserve">, M.E. (2014). Prediction of water quality parameters of Karoon River (Iran) by artificial intelligence-based models”, Int. J. Environ. Sci. Technol., </w:t>
      </w:r>
      <w:r w:rsidRPr="00057BEA">
        <w:rPr>
          <w:rFonts w:ascii="Times New Roman" w:eastAsia="Calibri" w:hAnsi="Times New Roman" w:cs="Times New Roman"/>
          <w:bCs/>
          <w:kern w:val="0"/>
          <w:sz w:val="24"/>
          <w:szCs w:val="24"/>
          <w14:ligatures w14:val="none"/>
        </w:rPr>
        <w:t>11</w:t>
      </w:r>
      <w:r w:rsidRPr="00057BEA">
        <w:rPr>
          <w:rFonts w:ascii="Times New Roman" w:eastAsia="Calibri" w:hAnsi="Times New Roman" w:cs="Times New Roman"/>
          <w:kern w:val="0"/>
          <w:sz w:val="24"/>
          <w:szCs w:val="24"/>
          <w14:ligatures w14:val="none"/>
        </w:rPr>
        <w:t>(1): 645-656</w:t>
      </w:r>
    </w:p>
    <w:p w14:paraId="03D47B94"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Emurotu</w:t>
      </w:r>
      <w:proofErr w:type="spellEnd"/>
      <w:r w:rsidRPr="00057BEA">
        <w:rPr>
          <w:rFonts w:ascii="Times New Roman" w:eastAsia="Calibri" w:hAnsi="Times New Roman" w:cs="Times New Roman"/>
          <w:kern w:val="0"/>
          <w:sz w:val="24"/>
          <w:szCs w:val="24"/>
          <w14:ligatures w14:val="none"/>
        </w:rPr>
        <w:t xml:space="preserve">, J.E and Habib, L.O. (2019). Journal of Applied Science and Environmental Management, </w:t>
      </w:r>
      <w:r w:rsidRPr="00057BEA">
        <w:rPr>
          <w:rFonts w:ascii="Times New Roman" w:eastAsia="Calibri" w:hAnsi="Times New Roman" w:cs="Times New Roman"/>
          <w:bCs/>
          <w:kern w:val="0"/>
          <w:sz w:val="24"/>
          <w:szCs w:val="24"/>
          <w14:ligatures w14:val="none"/>
        </w:rPr>
        <w:t>23</w:t>
      </w:r>
      <w:r w:rsidRPr="00057BEA">
        <w:rPr>
          <w:rFonts w:ascii="Times New Roman" w:eastAsia="Calibri" w:hAnsi="Times New Roman" w:cs="Times New Roman"/>
          <w:kern w:val="0"/>
          <w:sz w:val="24"/>
          <w:szCs w:val="24"/>
          <w14:ligatures w14:val="none"/>
        </w:rPr>
        <w:t>(11): 1995-2002.</w:t>
      </w:r>
    </w:p>
    <w:p w14:paraId="09957DAA"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Etebu</w:t>
      </w:r>
      <w:proofErr w:type="spellEnd"/>
      <w:r w:rsidRPr="00057BEA">
        <w:rPr>
          <w:rFonts w:ascii="Times New Roman" w:eastAsia="Calibri" w:hAnsi="Times New Roman" w:cs="Times New Roman"/>
          <w:kern w:val="0"/>
          <w:sz w:val="24"/>
          <w:szCs w:val="24"/>
          <w14:ligatures w14:val="none"/>
        </w:rPr>
        <w:t xml:space="preserve">, E., and </w:t>
      </w:r>
      <w:proofErr w:type="spellStart"/>
      <w:r w:rsidRPr="00057BEA">
        <w:rPr>
          <w:rFonts w:ascii="Times New Roman" w:eastAsia="Calibri" w:hAnsi="Times New Roman" w:cs="Times New Roman"/>
          <w:kern w:val="0"/>
          <w:sz w:val="24"/>
          <w:szCs w:val="24"/>
          <w14:ligatures w14:val="none"/>
        </w:rPr>
        <w:t>Arikekpar</w:t>
      </w:r>
      <w:proofErr w:type="spellEnd"/>
      <w:r w:rsidRPr="00057BEA">
        <w:rPr>
          <w:rFonts w:ascii="Times New Roman" w:eastAsia="Calibri" w:hAnsi="Times New Roman" w:cs="Times New Roman"/>
          <w:kern w:val="0"/>
          <w:sz w:val="24"/>
          <w:szCs w:val="24"/>
          <w14:ligatures w14:val="none"/>
        </w:rPr>
        <w:t xml:space="preserve">, I. (2016). Antibiotics: Classification and mechanisms of action with emphasis on molecular perspectives. Int. J. Appl. Microbiol. </w:t>
      </w:r>
      <w:proofErr w:type="spellStart"/>
      <w:r w:rsidRPr="00057BEA">
        <w:rPr>
          <w:rFonts w:ascii="Times New Roman" w:eastAsia="Calibri" w:hAnsi="Times New Roman" w:cs="Times New Roman"/>
          <w:kern w:val="0"/>
          <w:sz w:val="24"/>
          <w:szCs w:val="24"/>
          <w14:ligatures w14:val="none"/>
        </w:rPr>
        <w:t>Biotechnol</w:t>
      </w:r>
      <w:proofErr w:type="spellEnd"/>
      <w:r w:rsidRPr="00057BEA">
        <w:rPr>
          <w:rFonts w:ascii="Times New Roman" w:eastAsia="Calibri" w:hAnsi="Times New Roman" w:cs="Times New Roman"/>
          <w:kern w:val="0"/>
          <w:sz w:val="24"/>
          <w:szCs w:val="24"/>
          <w14:ligatures w14:val="none"/>
        </w:rPr>
        <w:t>. Res, 4: 90-101.</w:t>
      </w:r>
    </w:p>
    <w:p w14:paraId="47028C4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Felis, E.; Kalka, J.; Sochacki, A.; Kowalska, K.; </w:t>
      </w:r>
      <w:proofErr w:type="spellStart"/>
      <w:r w:rsidRPr="00057BEA">
        <w:rPr>
          <w:rFonts w:ascii="Times New Roman" w:eastAsia="Calibri" w:hAnsi="Times New Roman" w:cs="Times New Roman"/>
          <w:kern w:val="0"/>
          <w:sz w:val="24"/>
          <w:szCs w:val="24"/>
          <w14:ligatures w14:val="none"/>
        </w:rPr>
        <w:t>Bajkacz</w:t>
      </w:r>
      <w:proofErr w:type="spellEnd"/>
      <w:r w:rsidRPr="00057BEA">
        <w:rPr>
          <w:rFonts w:ascii="Times New Roman" w:eastAsia="Calibri" w:hAnsi="Times New Roman" w:cs="Times New Roman"/>
          <w:kern w:val="0"/>
          <w:sz w:val="24"/>
          <w:szCs w:val="24"/>
          <w14:ligatures w14:val="none"/>
        </w:rPr>
        <w:t xml:space="preserve">, S.; </w:t>
      </w:r>
      <w:proofErr w:type="spellStart"/>
      <w:r w:rsidRPr="00057BEA">
        <w:rPr>
          <w:rFonts w:ascii="Times New Roman" w:eastAsia="Calibri" w:hAnsi="Times New Roman" w:cs="Times New Roman"/>
          <w:kern w:val="0"/>
          <w:sz w:val="24"/>
          <w:szCs w:val="24"/>
          <w14:ligatures w14:val="none"/>
        </w:rPr>
        <w:t>Harnisz</w:t>
      </w:r>
      <w:proofErr w:type="spellEnd"/>
      <w:r w:rsidRPr="00057BEA">
        <w:rPr>
          <w:rFonts w:ascii="Times New Roman" w:eastAsia="Calibri" w:hAnsi="Times New Roman" w:cs="Times New Roman"/>
          <w:kern w:val="0"/>
          <w:sz w:val="24"/>
          <w:szCs w:val="24"/>
          <w14:ligatures w14:val="none"/>
        </w:rPr>
        <w:t xml:space="preserve">, M.; Korzeniewska, E. (2020). Antimicrobial Pharmaceuticals in the Aquatic Environment—Occurrence and Environmental Implications. Eur. J. </w:t>
      </w:r>
      <w:proofErr w:type="spellStart"/>
      <w:r w:rsidRPr="00057BEA">
        <w:rPr>
          <w:rFonts w:ascii="Times New Roman" w:eastAsia="Calibri" w:hAnsi="Times New Roman" w:cs="Times New Roman"/>
          <w:kern w:val="0"/>
          <w:sz w:val="24"/>
          <w:szCs w:val="24"/>
          <w14:ligatures w14:val="none"/>
        </w:rPr>
        <w:t>Pharmacol</w:t>
      </w:r>
      <w:proofErr w:type="spellEnd"/>
      <w:r w:rsidRPr="00057BEA">
        <w:rPr>
          <w:rFonts w:ascii="Times New Roman" w:eastAsia="Calibri" w:hAnsi="Times New Roman" w:cs="Times New Roman"/>
          <w:kern w:val="0"/>
          <w:sz w:val="24"/>
          <w:szCs w:val="24"/>
          <w14:ligatures w14:val="none"/>
        </w:rPr>
        <w:t>. 866, 172813.</w:t>
      </w:r>
    </w:p>
    <w:p w14:paraId="47CBFEAB"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Hasan, H.T. and Al-</w:t>
      </w:r>
      <w:proofErr w:type="spellStart"/>
      <w:r w:rsidRPr="00057BEA">
        <w:rPr>
          <w:rFonts w:ascii="Times New Roman" w:eastAsia="Calibri" w:hAnsi="Times New Roman" w:cs="Times New Roman"/>
          <w:kern w:val="0"/>
          <w:sz w:val="24"/>
          <w:szCs w:val="24"/>
          <w14:ligatures w14:val="none"/>
        </w:rPr>
        <w:t>Harmoosh</w:t>
      </w:r>
      <w:proofErr w:type="spellEnd"/>
      <w:r w:rsidRPr="00057BEA">
        <w:rPr>
          <w:rFonts w:ascii="Times New Roman" w:eastAsia="Calibri" w:hAnsi="Times New Roman" w:cs="Times New Roman"/>
          <w:kern w:val="0"/>
          <w:sz w:val="24"/>
          <w:szCs w:val="24"/>
          <w14:ligatures w14:val="none"/>
        </w:rPr>
        <w:t>, A.R. (2020). Mechanisms of Antibiotics Resistance in Bacteria. A multifaceted review journal in the field of pharmacy. 11(6): 817-823.</w:t>
      </w:r>
    </w:p>
    <w:p w14:paraId="77F5CA86" w14:textId="77777777" w:rsidR="00230BF4"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lastRenderedPageBreak/>
        <w:t xml:space="preserve">Jahne, M. A., Rogers, S. W., Ramler, I. P., Holder, E., and Hayes, G. (2015). Hierarchal clustering yields insight into multidrug-resistant bacteria isolated from a cattle feedlot wastewater treatment system. Environmental monitoring and assessment, </w:t>
      </w:r>
      <w:r w:rsidRPr="00057BEA">
        <w:rPr>
          <w:rFonts w:ascii="Times New Roman" w:eastAsia="Calibri" w:hAnsi="Times New Roman" w:cs="Times New Roman"/>
          <w:bCs/>
          <w:kern w:val="0"/>
          <w:sz w:val="24"/>
          <w:szCs w:val="24"/>
          <w14:ligatures w14:val="none"/>
        </w:rPr>
        <w:t>187</w:t>
      </w:r>
      <w:r w:rsidRPr="00057BEA">
        <w:rPr>
          <w:rFonts w:ascii="Times New Roman" w:eastAsia="Calibri" w:hAnsi="Times New Roman" w:cs="Times New Roman"/>
          <w:kern w:val="0"/>
          <w:sz w:val="24"/>
          <w:szCs w:val="24"/>
          <w14:ligatures w14:val="none"/>
        </w:rPr>
        <w:t>(1):4168.</w:t>
      </w:r>
    </w:p>
    <w:p w14:paraId="1CE5A034" w14:textId="02336935" w:rsidR="00113054" w:rsidRPr="00113054" w:rsidRDefault="00113054" w:rsidP="00113054">
      <w:pPr>
        <w:pStyle w:val="ListParagraph"/>
        <w:numPr>
          <w:ilvl w:val="0"/>
          <w:numId w:val="1"/>
        </w:numPr>
        <w:rPr>
          <w:rFonts w:ascii="Times New Roman" w:eastAsia="Calibri" w:hAnsi="Times New Roman" w:cs="Times New Roman"/>
          <w:kern w:val="0"/>
          <w:sz w:val="24"/>
          <w:szCs w:val="24"/>
          <w14:ligatures w14:val="none"/>
        </w:rPr>
      </w:pPr>
      <w:r w:rsidRPr="00113054">
        <w:rPr>
          <w:rFonts w:ascii="Times New Roman" w:eastAsia="Calibri" w:hAnsi="Times New Roman" w:cs="Times New Roman"/>
          <w:kern w:val="0"/>
          <w:sz w:val="24"/>
          <w:szCs w:val="24"/>
          <w14:ligatures w14:val="none"/>
        </w:rPr>
        <w:t xml:space="preserve">Jimenez, C.E.P., </w:t>
      </w:r>
      <w:proofErr w:type="spellStart"/>
      <w:r w:rsidRPr="00113054">
        <w:rPr>
          <w:rFonts w:ascii="Times New Roman" w:eastAsia="Calibri" w:hAnsi="Times New Roman" w:cs="Times New Roman"/>
          <w:kern w:val="0"/>
          <w:sz w:val="24"/>
          <w:szCs w:val="24"/>
          <w14:ligatures w14:val="none"/>
        </w:rPr>
        <w:t>Keestra</w:t>
      </w:r>
      <w:proofErr w:type="spellEnd"/>
      <w:r w:rsidRPr="00113054">
        <w:rPr>
          <w:rFonts w:ascii="Times New Roman" w:eastAsia="Calibri" w:hAnsi="Times New Roman" w:cs="Times New Roman"/>
          <w:kern w:val="0"/>
          <w:sz w:val="24"/>
          <w:szCs w:val="24"/>
          <w14:ligatures w14:val="none"/>
        </w:rPr>
        <w:t>, S., Tandon, P., Cumming, O., Pickering, A. J., Moodley, A., Chandler, I. R. (2023). Biosecurity and water, sanitation, and hygiene (WASH) interventions in animal agricultural settings for reducing infection burden, antibiotic use, and antibiotic resistance: a One Health systematic review. The Lancet Planetary Health, 7(5): 418-434.</w:t>
      </w:r>
    </w:p>
    <w:p w14:paraId="2B675FC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Koch, N., Islam, N. F., Sonowal, S., Prasad, R. and Sarma, H. (2021). Environmental antibiotics and resistance genes as emerging contaminants: Methods of detection and bioremediation. Current Research in Microbial Sciences, 2: 100027.</w:t>
      </w:r>
    </w:p>
    <w:p w14:paraId="37D335A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Kulik, K., </w:t>
      </w:r>
      <w:proofErr w:type="spellStart"/>
      <w:r w:rsidRPr="00057BEA">
        <w:rPr>
          <w:rFonts w:ascii="Times New Roman" w:eastAsia="Calibri" w:hAnsi="Times New Roman" w:cs="Times New Roman"/>
          <w:kern w:val="0"/>
          <w:sz w:val="24"/>
          <w:szCs w:val="24"/>
          <w14:ligatures w14:val="none"/>
        </w:rPr>
        <w:t>Lenart-Boroń</w:t>
      </w:r>
      <w:proofErr w:type="spellEnd"/>
      <w:r w:rsidRPr="00057BEA">
        <w:rPr>
          <w:rFonts w:ascii="Times New Roman" w:eastAsia="Calibri" w:hAnsi="Times New Roman" w:cs="Times New Roman"/>
          <w:kern w:val="0"/>
          <w:sz w:val="24"/>
          <w:szCs w:val="24"/>
          <w14:ligatures w14:val="none"/>
        </w:rPr>
        <w:t>, A., &amp; Wyrzykowska, K. (2023). Impact of Antibiotic Pollution on the Bacterial Population within Surface Water with Special Focus on Mountain Rivers. Water, 15(5), 975. https://doi.org/10.3390/w15050975.</w:t>
      </w:r>
    </w:p>
    <w:p w14:paraId="3CBF37D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Kümmerer</w:t>
      </w:r>
      <w:proofErr w:type="spellEnd"/>
      <w:r w:rsidRPr="00057BEA">
        <w:rPr>
          <w:rFonts w:ascii="Times New Roman" w:eastAsia="Calibri" w:hAnsi="Times New Roman" w:cs="Times New Roman"/>
          <w:kern w:val="0"/>
          <w:sz w:val="24"/>
          <w:szCs w:val="24"/>
          <w14:ligatures w14:val="none"/>
        </w:rPr>
        <w:t xml:space="preserve">, K. (2009). Antibiotics in the aquatic environment—A review—Part I. Chemosphere, 75, 417–434. </w:t>
      </w:r>
    </w:p>
    <w:p w14:paraId="0ECF0975"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Lenart-Boro´n</w:t>
      </w:r>
      <w:proofErr w:type="spellEnd"/>
      <w:r w:rsidRPr="00057BEA">
        <w:rPr>
          <w:rFonts w:ascii="Times New Roman" w:eastAsia="Calibri" w:hAnsi="Times New Roman" w:cs="Times New Roman"/>
          <w:kern w:val="0"/>
          <w:sz w:val="24"/>
          <w:szCs w:val="24"/>
          <w14:ligatures w14:val="none"/>
        </w:rPr>
        <w:t xml:space="preserve">, A.; </w:t>
      </w:r>
      <w:proofErr w:type="spellStart"/>
      <w:r w:rsidRPr="00057BEA">
        <w:rPr>
          <w:rFonts w:ascii="Times New Roman" w:eastAsia="Calibri" w:hAnsi="Times New Roman" w:cs="Times New Roman"/>
          <w:kern w:val="0"/>
          <w:sz w:val="24"/>
          <w:szCs w:val="24"/>
          <w14:ligatures w14:val="none"/>
        </w:rPr>
        <w:t>Prajsnar</w:t>
      </w:r>
      <w:proofErr w:type="spellEnd"/>
      <w:r w:rsidRPr="00057BEA">
        <w:rPr>
          <w:rFonts w:ascii="Times New Roman" w:eastAsia="Calibri" w:hAnsi="Times New Roman" w:cs="Times New Roman"/>
          <w:kern w:val="0"/>
          <w:sz w:val="24"/>
          <w:szCs w:val="24"/>
          <w14:ligatures w14:val="none"/>
        </w:rPr>
        <w:t xml:space="preserve">, J.; Guzik, M.; </w:t>
      </w:r>
      <w:proofErr w:type="spellStart"/>
      <w:r w:rsidRPr="00057BEA">
        <w:rPr>
          <w:rFonts w:ascii="Times New Roman" w:eastAsia="Calibri" w:hAnsi="Times New Roman" w:cs="Times New Roman"/>
          <w:kern w:val="0"/>
          <w:sz w:val="24"/>
          <w:szCs w:val="24"/>
          <w14:ligatures w14:val="none"/>
        </w:rPr>
        <w:t>Boro´n</w:t>
      </w:r>
      <w:proofErr w:type="spellEnd"/>
      <w:r w:rsidRPr="00057BEA">
        <w:rPr>
          <w:rFonts w:ascii="Times New Roman" w:eastAsia="Calibri" w:hAnsi="Times New Roman" w:cs="Times New Roman"/>
          <w:kern w:val="0"/>
          <w:sz w:val="24"/>
          <w:szCs w:val="24"/>
          <w14:ligatures w14:val="none"/>
        </w:rPr>
        <w:t>, P.; Grad, B.; Zelazny, M. (2022). Antibiotics in Groundwater and River</w:t>
      </w:r>
      <w:bookmarkStart w:id="13" w:name="_Hlk211502153"/>
      <w:r w:rsidRPr="00057BEA">
        <w:rPr>
          <w:rFonts w:ascii="Times New Roman" w:eastAsia="Calibri" w:hAnsi="Times New Roman" w:cs="Times New Roman"/>
          <w:kern w:val="0"/>
          <w:sz w:val="24"/>
          <w:szCs w:val="24"/>
          <w14:ligatures w14:val="none"/>
        </w:rPr>
        <w:t xml:space="preserve"> Water of </w:t>
      </w:r>
      <w:proofErr w:type="spellStart"/>
      <w:r w:rsidRPr="00057BEA">
        <w:rPr>
          <w:rFonts w:ascii="Times New Roman" w:eastAsia="Calibri" w:hAnsi="Times New Roman" w:cs="Times New Roman"/>
          <w:kern w:val="0"/>
          <w:sz w:val="24"/>
          <w:szCs w:val="24"/>
          <w14:ligatures w14:val="none"/>
        </w:rPr>
        <w:t>Białka</w:t>
      </w:r>
      <w:bookmarkEnd w:id="13"/>
      <w:proofErr w:type="spellEnd"/>
      <w:r w:rsidRPr="00057BEA">
        <w:rPr>
          <w:rFonts w:ascii="Times New Roman" w:eastAsia="Calibri" w:hAnsi="Times New Roman" w:cs="Times New Roman"/>
          <w:kern w:val="0"/>
          <w:sz w:val="24"/>
          <w:szCs w:val="24"/>
          <w14:ligatures w14:val="none"/>
        </w:rPr>
        <w:t>—A Pristine Mountain River. Appl. Sci. 12, 12743.</w:t>
      </w:r>
    </w:p>
    <w:p w14:paraId="37AA7DC2"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Lobanovska</w:t>
      </w:r>
      <w:proofErr w:type="spellEnd"/>
      <w:r w:rsidRPr="00057BEA">
        <w:rPr>
          <w:rFonts w:ascii="Times New Roman" w:eastAsia="Calibri" w:hAnsi="Times New Roman" w:cs="Times New Roman"/>
          <w:kern w:val="0"/>
          <w:sz w:val="24"/>
          <w:szCs w:val="24"/>
          <w14:ligatures w14:val="none"/>
        </w:rPr>
        <w:t>, M. and Pilla, G. (2017). Penicillin’s Discovery and Antibiotic Resistance. Yale Journal of Biology and Medicine, 90(1):135–145.</w:t>
      </w:r>
    </w:p>
    <w:p w14:paraId="22A7546B"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Luo, Y., Yue, X., Wei, P., Zhou, A., Kong, X. and </w:t>
      </w:r>
      <w:proofErr w:type="spellStart"/>
      <w:r w:rsidRPr="00057BEA">
        <w:rPr>
          <w:rFonts w:ascii="Times New Roman" w:eastAsia="Calibri" w:hAnsi="Times New Roman" w:cs="Times New Roman"/>
          <w:kern w:val="0"/>
          <w:sz w:val="24"/>
          <w:szCs w:val="24"/>
          <w14:ligatures w14:val="none"/>
        </w:rPr>
        <w:t>Alimzhanova</w:t>
      </w:r>
      <w:proofErr w:type="spellEnd"/>
      <w:r w:rsidRPr="00057BEA">
        <w:rPr>
          <w:rFonts w:ascii="Times New Roman" w:eastAsia="Calibri" w:hAnsi="Times New Roman" w:cs="Times New Roman"/>
          <w:kern w:val="0"/>
          <w:sz w:val="24"/>
          <w:szCs w:val="24"/>
          <w14:ligatures w14:val="none"/>
        </w:rPr>
        <w:t>, S. (2020). A state-of-the-art review of quinoline degradation and technical bottlenecks. Science of The Total Environment, 747: 141136.</w:t>
      </w:r>
    </w:p>
    <w:p w14:paraId="085E57A7"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Majeed, H. T., and </w:t>
      </w:r>
      <w:proofErr w:type="spellStart"/>
      <w:r w:rsidRPr="00057BEA">
        <w:rPr>
          <w:rFonts w:ascii="Times New Roman" w:eastAsia="Calibri" w:hAnsi="Times New Roman" w:cs="Times New Roman"/>
          <w:kern w:val="0"/>
          <w:sz w:val="24"/>
          <w:szCs w:val="24"/>
          <w14:ligatures w14:val="none"/>
        </w:rPr>
        <w:t>Aljanaby</w:t>
      </w:r>
      <w:proofErr w:type="spellEnd"/>
      <w:r w:rsidRPr="00057BEA">
        <w:rPr>
          <w:rFonts w:ascii="Times New Roman" w:eastAsia="Calibri" w:hAnsi="Times New Roman" w:cs="Times New Roman"/>
          <w:kern w:val="0"/>
          <w:sz w:val="24"/>
          <w:szCs w:val="24"/>
          <w14:ligatures w14:val="none"/>
        </w:rPr>
        <w:t xml:space="preserve">, A. A. J. (2019). Antibiotic Susceptibility Patterns and Prevalence of Some Extended Spectrum Beta-Lactamases Genes in </w:t>
      </w:r>
      <w:proofErr w:type="spellStart"/>
      <w:r w:rsidRPr="00057BEA">
        <w:rPr>
          <w:rFonts w:ascii="Times New Roman" w:eastAsia="Calibri" w:hAnsi="Times New Roman" w:cs="Times New Roman"/>
          <w:kern w:val="0"/>
          <w:sz w:val="24"/>
          <w:szCs w:val="24"/>
          <w14:ligatures w14:val="none"/>
        </w:rPr>
        <w:t>GramNegative</w:t>
      </w:r>
      <w:proofErr w:type="spellEnd"/>
      <w:r w:rsidRPr="00057BEA">
        <w:rPr>
          <w:rFonts w:ascii="Times New Roman" w:eastAsia="Calibri" w:hAnsi="Times New Roman" w:cs="Times New Roman"/>
          <w:kern w:val="0"/>
          <w:sz w:val="24"/>
          <w:szCs w:val="24"/>
          <w14:ligatures w14:val="none"/>
        </w:rPr>
        <w:t xml:space="preserve"> Bacteria Isolated from Patients Infected with Urinary Tract Infections in Al-Najaf City, Iraq. Avicenna Journal of Medical Biotechnology, </w:t>
      </w:r>
      <w:r w:rsidRPr="00057BEA">
        <w:rPr>
          <w:rFonts w:ascii="Times New Roman" w:eastAsia="Calibri" w:hAnsi="Times New Roman" w:cs="Times New Roman"/>
          <w:bCs/>
          <w:kern w:val="0"/>
          <w:sz w:val="24"/>
          <w:szCs w:val="24"/>
          <w14:ligatures w14:val="none"/>
        </w:rPr>
        <w:t>11</w:t>
      </w:r>
      <w:r w:rsidRPr="00057BEA">
        <w:rPr>
          <w:rFonts w:ascii="Times New Roman" w:eastAsia="Calibri" w:hAnsi="Times New Roman" w:cs="Times New Roman"/>
          <w:kern w:val="0"/>
          <w:sz w:val="24"/>
          <w:szCs w:val="24"/>
          <w14:ligatures w14:val="none"/>
        </w:rPr>
        <w:t>(2):192.</w:t>
      </w:r>
      <w:r w:rsidRPr="00057BEA">
        <w:rPr>
          <w:rFonts w:ascii="Times New Roman" w:eastAsia="Calibri" w:hAnsi="Times New Roman" w:cs="Times New Roman"/>
          <w:kern w:val="0"/>
          <w:sz w:val="24"/>
          <w:szCs w:val="24"/>
          <w14:ligatures w14:val="none"/>
        </w:rPr>
        <w:tab/>
      </w:r>
    </w:p>
    <w:p w14:paraId="26555FC9"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Mehrtens, A., Licha, T. and Burke, V. (2021). Occurrence, effects and </w:t>
      </w:r>
      <w:proofErr w:type="spellStart"/>
      <w:r w:rsidRPr="00057BEA">
        <w:rPr>
          <w:rFonts w:ascii="Times New Roman" w:eastAsia="Calibri" w:hAnsi="Times New Roman" w:cs="Times New Roman"/>
          <w:kern w:val="0"/>
          <w:sz w:val="24"/>
          <w:szCs w:val="24"/>
          <w14:ligatures w14:val="none"/>
        </w:rPr>
        <w:t>behaviour</w:t>
      </w:r>
      <w:proofErr w:type="spellEnd"/>
      <w:r w:rsidRPr="00057BEA">
        <w:rPr>
          <w:rFonts w:ascii="Times New Roman" w:eastAsia="Calibri" w:hAnsi="Times New Roman" w:cs="Times New Roman"/>
          <w:kern w:val="0"/>
          <w:sz w:val="24"/>
          <w:szCs w:val="24"/>
          <w14:ligatures w14:val="none"/>
        </w:rPr>
        <w:t xml:space="preserve"> of the antibiotic lincomycin in the agricultural and aquatic environment – A review. Science of The Total Environment, 778: 146306.</w:t>
      </w:r>
    </w:p>
    <w:p w14:paraId="34486BC0"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Osisiogu</w:t>
      </w:r>
      <w:proofErr w:type="spellEnd"/>
      <w:r w:rsidRPr="00057BEA">
        <w:rPr>
          <w:rFonts w:ascii="Times New Roman" w:eastAsia="Calibri" w:hAnsi="Times New Roman" w:cs="Times New Roman"/>
          <w:kern w:val="0"/>
          <w:sz w:val="24"/>
          <w:szCs w:val="24"/>
          <w14:ligatures w14:val="none"/>
        </w:rPr>
        <w:t xml:space="preserve">, E. U., Mahmoud, F. C., Waqas, F. B., Singh, B., </w:t>
      </w:r>
      <w:proofErr w:type="spellStart"/>
      <w:r w:rsidRPr="00057BEA">
        <w:rPr>
          <w:rFonts w:ascii="Times New Roman" w:eastAsia="Calibri" w:hAnsi="Times New Roman" w:cs="Times New Roman"/>
          <w:kern w:val="0"/>
          <w:sz w:val="24"/>
          <w:szCs w:val="24"/>
          <w14:ligatures w14:val="none"/>
        </w:rPr>
        <w:t>Feglo</w:t>
      </w:r>
      <w:proofErr w:type="spellEnd"/>
      <w:r w:rsidRPr="00057BEA">
        <w:rPr>
          <w:rFonts w:ascii="Times New Roman" w:eastAsia="Calibri" w:hAnsi="Times New Roman" w:cs="Times New Roman"/>
          <w:kern w:val="0"/>
          <w:sz w:val="24"/>
          <w:szCs w:val="24"/>
          <w14:ligatures w14:val="none"/>
        </w:rPr>
        <w:t xml:space="preserve">, P. K. and </w:t>
      </w:r>
      <w:proofErr w:type="spellStart"/>
      <w:r w:rsidRPr="00057BEA">
        <w:rPr>
          <w:rFonts w:ascii="Times New Roman" w:eastAsia="Calibri" w:hAnsi="Times New Roman" w:cs="Times New Roman"/>
          <w:kern w:val="0"/>
          <w:sz w:val="24"/>
          <w:szCs w:val="24"/>
          <w14:ligatures w14:val="none"/>
        </w:rPr>
        <w:t>Duedu</w:t>
      </w:r>
      <w:proofErr w:type="spellEnd"/>
      <w:r w:rsidRPr="00057BEA">
        <w:rPr>
          <w:rFonts w:ascii="Times New Roman" w:eastAsia="Calibri" w:hAnsi="Times New Roman" w:cs="Times New Roman"/>
          <w:kern w:val="0"/>
          <w:sz w:val="24"/>
          <w:szCs w:val="24"/>
          <w14:ligatures w14:val="none"/>
        </w:rPr>
        <w:t>, K. O. (2025).  Environmental mediation of colistin resistance in the African context. A systematic scoping review. Journal of Global Antimicrobial Resistance, 41: 39-43.</w:t>
      </w:r>
    </w:p>
    <w:p w14:paraId="595A7466"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 xml:space="preserve">Sosa-Hernández, J.E.; Rodas-Zuluaga, L.I.; López-Pacheco, I.Y.; Melchor-Martínez, E.M.; </w:t>
      </w:r>
      <w:proofErr w:type="spellStart"/>
      <w:r w:rsidRPr="00057BEA">
        <w:rPr>
          <w:rFonts w:ascii="Times New Roman" w:eastAsia="Calibri" w:hAnsi="Times New Roman" w:cs="Times New Roman"/>
          <w:kern w:val="0"/>
          <w:sz w:val="24"/>
          <w:szCs w:val="24"/>
          <w14:ligatures w14:val="none"/>
        </w:rPr>
        <w:t>Aghalari</w:t>
      </w:r>
      <w:proofErr w:type="spellEnd"/>
      <w:r w:rsidRPr="00057BEA">
        <w:rPr>
          <w:rFonts w:ascii="Times New Roman" w:eastAsia="Calibri" w:hAnsi="Times New Roman" w:cs="Times New Roman"/>
          <w:kern w:val="0"/>
          <w:sz w:val="24"/>
          <w:szCs w:val="24"/>
          <w14:ligatures w14:val="none"/>
        </w:rPr>
        <w:t>, Z.; Limón, D.S.; Iqbal, H.M.N.; Parra-Saldívar, R. (2021). Sources of Antibiotics Pollutants in the Aquatic Environment under SARS-CoV-2 Pandemic Situation. Case Stud. Chem. Environ. Eng. 4, 100127.</w:t>
      </w:r>
    </w:p>
    <w:p w14:paraId="7E304A1D"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proofErr w:type="spellStart"/>
      <w:r w:rsidRPr="00057BEA">
        <w:rPr>
          <w:rFonts w:ascii="Times New Roman" w:eastAsia="Calibri" w:hAnsi="Times New Roman" w:cs="Times New Roman"/>
          <w:kern w:val="0"/>
          <w:sz w:val="24"/>
          <w:szCs w:val="24"/>
          <w14:ligatures w14:val="none"/>
        </w:rPr>
        <w:t>Squiggins</w:t>
      </w:r>
      <w:proofErr w:type="spellEnd"/>
      <w:r w:rsidRPr="00057BEA">
        <w:rPr>
          <w:rFonts w:ascii="Times New Roman" w:eastAsia="Calibri" w:hAnsi="Times New Roman" w:cs="Times New Roman"/>
          <w:kern w:val="0"/>
          <w:sz w:val="24"/>
          <w:szCs w:val="24"/>
          <w14:ligatures w14:val="none"/>
        </w:rPr>
        <w:t xml:space="preserve"> KT, Fullerton H and </w:t>
      </w:r>
      <w:proofErr w:type="spellStart"/>
      <w:r w:rsidRPr="00057BEA">
        <w:rPr>
          <w:rFonts w:ascii="Times New Roman" w:eastAsia="Calibri" w:hAnsi="Times New Roman" w:cs="Times New Roman"/>
          <w:kern w:val="0"/>
          <w:sz w:val="24"/>
          <w:szCs w:val="24"/>
          <w14:ligatures w14:val="none"/>
        </w:rPr>
        <w:t>Vulava</w:t>
      </w:r>
      <w:proofErr w:type="spellEnd"/>
      <w:r w:rsidRPr="00057BEA">
        <w:rPr>
          <w:rFonts w:ascii="Times New Roman" w:eastAsia="Calibri" w:hAnsi="Times New Roman" w:cs="Times New Roman"/>
          <w:kern w:val="0"/>
          <w:sz w:val="24"/>
          <w:szCs w:val="24"/>
          <w14:ligatures w14:val="none"/>
        </w:rPr>
        <w:t xml:space="preserve"> VM (2024). The presence of ampicillin-resistant coliforms in urban floodwaters of a coastal city in the southeastern United States. Frontier Water, 6:1359196. </w:t>
      </w:r>
      <w:proofErr w:type="spellStart"/>
      <w:r w:rsidRPr="00057BEA">
        <w:rPr>
          <w:rFonts w:ascii="Times New Roman" w:eastAsia="Calibri" w:hAnsi="Times New Roman" w:cs="Times New Roman"/>
          <w:kern w:val="0"/>
          <w:sz w:val="24"/>
          <w:szCs w:val="24"/>
          <w14:ligatures w14:val="none"/>
        </w:rPr>
        <w:t>doi</w:t>
      </w:r>
      <w:proofErr w:type="spellEnd"/>
      <w:r w:rsidRPr="00057BEA">
        <w:rPr>
          <w:rFonts w:ascii="Times New Roman" w:eastAsia="Calibri" w:hAnsi="Times New Roman" w:cs="Times New Roman"/>
          <w:kern w:val="0"/>
          <w:sz w:val="24"/>
          <w:szCs w:val="24"/>
          <w14:ligatures w14:val="none"/>
        </w:rPr>
        <w:t>: 10.3389/frwa.2024.1359196.</w:t>
      </w:r>
    </w:p>
    <w:p w14:paraId="1D982B4E" w14:textId="77777777" w:rsidR="00230BF4" w:rsidRPr="00057BEA" w:rsidRDefault="00230BF4" w:rsidP="00230BF4">
      <w:pPr>
        <w:numPr>
          <w:ilvl w:val="0"/>
          <w:numId w:val="1"/>
        </w:numPr>
        <w:spacing w:after="200" w:line="220" w:lineRule="exact"/>
        <w:jc w:val="both"/>
        <w:rPr>
          <w:rFonts w:ascii="Times New Roman" w:eastAsia="Calibri" w:hAnsi="Times New Roman" w:cs="Times New Roman"/>
          <w:kern w:val="0"/>
          <w:sz w:val="24"/>
          <w:szCs w:val="24"/>
          <w14:ligatures w14:val="none"/>
        </w:rPr>
      </w:pPr>
      <w:r w:rsidRPr="00057BEA">
        <w:rPr>
          <w:rFonts w:ascii="Times New Roman" w:eastAsia="Calibri" w:hAnsi="Times New Roman" w:cs="Times New Roman"/>
          <w:kern w:val="0"/>
          <w:sz w:val="24"/>
          <w:szCs w:val="24"/>
          <w14:ligatures w14:val="none"/>
        </w:rPr>
        <w:t>Tran, N.H.; Hoang, L.; Nghiem, L.D.; Nguyen, N.M.H.; Ngo, H.H.; Guo, W.; Trinh, Q.T.; Mai, N.H.; Chen, H.; Nguyen, D.D. (2019). Science of the Total Environment Occurrence and risk assessment of multiple classes of antibiotics in urban canals and lakes in Hanoi, Vietnam. Sci. Total Environ. 692, 157–174.</w:t>
      </w:r>
    </w:p>
    <w:p w14:paraId="19B741C2" w14:textId="04C27AE2" w:rsidR="00B62E7E" w:rsidRPr="000A7FEC" w:rsidRDefault="00230BF4" w:rsidP="00B62E7E">
      <w:pPr>
        <w:numPr>
          <w:ilvl w:val="0"/>
          <w:numId w:val="1"/>
        </w:numPr>
        <w:spacing w:after="200" w:line="240" w:lineRule="auto"/>
        <w:jc w:val="both"/>
        <w:rPr>
          <w:rFonts w:ascii="Times New Roman" w:hAnsi="Times New Roman" w:cs="Times New Roman"/>
          <w:sz w:val="24"/>
          <w:szCs w:val="24"/>
        </w:rPr>
      </w:pPr>
      <w:proofErr w:type="spellStart"/>
      <w:r w:rsidRPr="00870A7B">
        <w:rPr>
          <w:rFonts w:ascii="Times New Roman" w:eastAsia="Calibri" w:hAnsi="Times New Roman" w:cs="Times New Roman"/>
          <w:kern w:val="0"/>
          <w:sz w:val="24"/>
          <w:szCs w:val="24"/>
          <w14:ligatures w14:val="none"/>
        </w:rPr>
        <w:lastRenderedPageBreak/>
        <w:t>Waglechner</w:t>
      </w:r>
      <w:proofErr w:type="spellEnd"/>
      <w:r w:rsidRPr="00870A7B">
        <w:rPr>
          <w:rFonts w:ascii="Times New Roman" w:eastAsia="Calibri" w:hAnsi="Times New Roman" w:cs="Times New Roman"/>
          <w:kern w:val="0"/>
          <w:sz w:val="24"/>
          <w:szCs w:val="24"/>
          <w14:ligatures w14:val="none"/>
        </w:rPr>
        <w:t xml:space="preserve">, N., and Wright, G. D. (2017). Antibiotic. BMC biology, </w:t>
      </w:r>
      <w:r w:rsidRPr="00870A7B">
        <w:rPr>
          <w:rFonts w:ascii="Times New Roman" w:eastAsia="Calibri" w:hAnsi="Times New Roman" w:cs="Times New Roman"/>
          <w:bCs/>
          <w:kern w:val="0"/>
          <w:sz w:val="24"/>
          <w:szCs w:val="24"/>
          <w14:ligatures w14:val="none"/>
        </w:rPr>
        <w:t>15</w:t>
      </w:r>
      <w:r w:rsidRPr="00870A7B">
        <w:rPr>
          <w:rFonts w:ascii="Times New Roman" w:eastAsia="Calibri" w:hAnsi="Times New Roman" w:cs="Times New Roman"/>
          <w:kern w:val="0"/>
          <w:sz w:val="24"/>
          <w:szCs w:val="24"/>
          <w14:ligatures w14:val="none"/>
        </w:rPr>
        <w:t>(1): 1-8</w:t>
      </w:r>
      <w:bookmarkStart w:id="14" w:name="_GoBack"/>
      <w:bookmarkEnd w:id="14"/>
    </w:p>
    <w:sectPr w:rsidR="00B62E7E" w:rsidRPr="000A7FEC" w:rsidSect="0069646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5712" w14:textId="77777777" w:rsidR="00ED2F3C" w:rsidRDefault="00ED2F3C" w:rsidP="003A61E7">
      <w:pPr>
        <w:spacing w:after="0" w:line="240" w:lineRule="auto"/>
      </w:pPr>
      <w:r>
        <w:separator/>
      </w:r>
    </w:p>
  </w:endnote>
  <w:endnote w:type="continuationSeparator" w:id="0">
    <w:p w14:paraId="4880A2EF" w14:textId="77777777" w:rsidR="00ED2F3C" w:rsidRDefault="00ED2F3C" w:rsidP="003A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4221" w14:textId="77777777" w:rsidR="003A61E7" w:rsidRDefault="003A6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F49E2" w14:textId="77777777" w:rsidR="003A61E7" w:rsidRDefault="003A6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A910" w14:textId="77777777" w:rsidR="003A61E7" w:rsidRDefault="003A6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0022B" w14:textId="77777777" w:rsidR="00ED2F3C" w:rsidRDefault="00ED2F3C" w:rsidP="003A61E7">
      <w:pPr>
        <w:spacing w:after="0" w:line="240" w:lineRule="auto"/>
      </w:pPr>
      <w:r>
        <w:separator/>
      </w:r>
    </w:p>
  </w:footnote>
  <w:footnote w:type="continuationSeparator" w:id="0">
    <w:p w14:paraId="29BB05D8" w14:textId="77777777" w:rsidR="00ED2F3C" w:rsidRDefault="00ED2F3C" w:rsidP="003A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7CB3" w14:textId="2BC628E8" w:rsidR="003A61E7" w:rsidRDefault="00ED2F3C">
    <w:pPr>
      <w:pStyle w:val="Header"/>
    </w:pPr>
    <w:r>
      <w:rPr>
        <w:noProof/>
      </w:rPr>
      <w:pict w14:anchorId="4A2FE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10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D975" w14:textId="32F39D8D" w:rsidR="003A61E7" w:rsidRDefault="00ED2F3C">
    <w:pPr>
      <w:pStyle w:val="Header"/>
    </w:pPr>
    <w:r>
      <w:rPr>
        <w:noProof/>
      </w:rPr>
      <w:pict w14:anchorId="4EA88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10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452B" w14:textId="074DBBCE" w:rsidR="003A61E7" w:rsidRDefault="00ED2F3C">
    <w:pPr>
      <w:pStyle w:val="Header"/>
    </w:pPr>
    <w:r>
      <w:rPr>
        <w:noProof/>
      </w:rPr>
      <w:pict w14:anchorId="5D866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910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A5DF0"/>
    <w:multiLevelType w:val="hybridMultilevel"/>
    <w:tmpl w:val="0DCCB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052DF"/>
    <w:multiLevelType w:val="multilevel"/>
    <w:tmpl w:val="36F052D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965791"/>
    <w:multiLevelType w:val="hybridMultilevel"/>
    <w:tmpl w:val="3C9A5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7E"/>
    <w:rsid w:val="00004BD0"/>
    <w:rsid w:val="00016500"/>
    <w:rsid w:val="00083EF3"/>
    <w:rsid w:val="000853F4"/>
    <w:rsid w:val="000A7FEC"/>
    <w:rsid w:val="000B59A8"/>
    <w:rsid w:val="000E3451"/>
    <w:rsid w:val="00113054"/>
    <w:rsid w:val="00133AA7"/>
    <w:rsid w:val="0018734B"/>
    <w:rsid w:val="001927E0"/>
    <w:rsid w:val="001D6E64"/>
    <w:rsid w:val="00217499"/>
    <w:rsid w:val="00230BF4"/>
    <w:rsid w:val="00235F1A"/>
    <w:rsid w:val="002678E8"/>
    <w:rsid w:val="002A2EDF"/>
    <w:rsid w:val="002E57E5"/>
    <w:rsid w:val="003A61E7"/>
    <w:rsid w:val="003F3E4B"/>
    <w:rsid w:val="00404A25"/>
    <w:rsid w:val="0045366B"/>
    <w:rsid w:val="00474388"/>
    <w:rsid w:val="005C4DFC"/>
    <w:rsid w:val="00605681"/>
    <w:rsid w:val="00657500"/>
    <w:rsid w:val="00681398"/>
    <w:rsid w:val="00696469"/>
    <w:rsid w:val="00754B11"/>
    <w:rsid w:val="007B19BA"/>
    <w:rsid w:val="007E0657"/>
    <w:rsid w:val="00836412"/>
    <w:rsid w:val="00840009"/>
    <w:rsid w:val="00866F02"/>
    <w:rsid w:val="00870A7B"/>
    <w:rsid w:val="00872C65"/>
    <w:rsid w:val="008A38D5"/>
    <w:rsid w:val="00901FD3"/>
    <w:rsid w:val="00951939"/>
    <w:rsid w:val="00A004ED"/>
    <w:rsid w:val="00A87207"/>
    <w:rsid w:val="00AF1F63"/>
    <w:rsid w:val="00B21AFB"/>
    <w:rsid w:val="00B62E7E"/>
    <w:rsid w:val="00BC6200"/>
    <w:rsid w:val="00BD5353"/>
    <w:rsid w:val="00C132F3"/>
    <w:rsid w:val="00C2427C"/>
    <w:rsid w:val="00C87CB6"/>
    <w:rsid w:val="00CD4907"/>
    <w:rsid w:val="00D402EB"/>
    <w:rsid w:val="00D644D6"/>
    <w:rsid w:val="00DE1431"/>
    <w:rsid w:val="00E32AEC"/>
    <w:rsid w:val="00ED2F3C"/>
    <w:rsid w:val="00EF3299"/>
    <w:rsid w:val="00F11E4D"/>
    <w:rsid w:val="00F72D32"/>
    <w:rsid w:val="00F80B7E"/>
    <w:rsid w:val="00FE14FC"/>
    <w:rsid w:val="00FF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CD41B"/>
  <w15:chartTrackingRefBased/>
  <w15:docId w15:val="{D2D66AFF-971E-44CB-88BE-B5F1FBC1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62E7E"/>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BF4"/>
    <w:pPr>
      <w:ind w:left="720"/>
      <w:contextualSpacing/>
    </w:pPr>
  </w:style>
  <w:style w:type="character" w:styleId="Hyperlink">
    <w:name w:val="Hyperlink"/>
    <w:basedOn w:val="DefaultParagraphFont"/>
    <w:uiPriority w:val="99"/>
    <w:unhideWhenUsed/>
    <w:rsid w:val="00016500"/>
    <w:rPr>
      <w:color w:val="0563C1" w:themeColor="hyperlink"/>
      <w:u w:val="single"/>
    </w:rPr>
  </w:style>
  <w:style w:type="character" w:styleId="UnresolvedMention">
    <w:name w:val="Unresolved Mention"/>
    <w:basedOn w:val="DefaultParagraphFont"/>
    <w:uiPriority w:val="99"/>
    <w:semiHidden/>
    <w:unhideWhenUsed/>
    <w:rsid w:val="00016500"/>
    <w:rPr>
      <w:color w:val="605E5C"/>
      <w:shd w:val="clear" w:color="auto" w:fill="E1DFDD"/>
    </w:rPr>
  </w:style>
  <w:style w:type="paragraph" w:styleId="Header">
    <w:name w:val="header"/>
    <w:basedOn w:val="Normal"/>
    <w:link w:val="HeaderChar"/>
    <w:uiPriority w:val="99"/>
    <w:unhideWhenUsed/>
    <w:rsid w:val="003A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1E7"/>
  </w:style>
  <w:style w:type="paragraph" w:styleId="Footer">
    <w:name w:val="footer"/>
    <w:basedOn w:val="Normal"/>
    <w:link w:val="FooterChar"/>
    <w:uiPriority w:val="99"/>
    <w:unhideWhenUsed/>
    <w:rsid w:val="003A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16</Pages>
  <Words>5093</Words>
  <Characters>29034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OBUM</dc:creator>
  <cp:keywords/>
  <dc:description/>
  <cp:lastModifiedBy>Editor-1183</cp:lastModifiedBy>
  <cp:revision>33</cp:revision>
  <dcterms:created xsi:type="dcterms:W3CDTF">2026-01-19T07:06:00Z</dcterms:created>
  <dcterms:modified xsi:type="dcterms:W3CDTF">2026-03-13T05:32:00Z</dcterms:modified>
</cp:coreProperties>
</file>