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75FA" w14:textId="77777777" w:rsidR="005253E1" w:rsidRDefault="00000000">
      <w:pPr>
        <w:pStyle w:val="Author"/>
        <w:widowControl/>
        <w:spacing w:line="240" w:lineRule="auto"/>
        <w:jc w:val="left"/>
        <w:rPr>
          <w:rFonts w:eastAsia="Times New Roman"/>
          <w:bCs/>
          <w:iCs/>
          <w:kern w:val="28"/>
          <w:sz w:val="36"/>
          <w:szCs w:val="20"/>
          <w:u w:val="single"/>
          <w:lang w:eastAsia="zh-CN"/>
        </w:rPr>
      </w:pPr>
      <w:r>
        <w:rPr>
          <w:rFonts w:eastAsia="Times New Roman"/>
          <w:bCs/>
          <w:iCs/>
          <w:kern w:val="28"/>
          <w:sz w:val="36"/>
          <w:szCs w:val="20"/>
          <w:u w:val="single"/>
          <w:lang w:eastAsia="zh-CN"/>
        </w:rPr>
        <w:t>Original Research Article</w:t>
      </w:r>
    </w:p>
    <w:p w14:paraId="5601C4EC" w14:textId="77777777" w:rsidR="005253E1" w:rsidRDefault="005253E1">
      <w:pPr>
        <w:pStyle w:val="Author"/>
        <w:widowControl/>
        <w:spacing w:line="240" w:lineRule="auto"/>
        <w:rPr>
          <w:rFonts w:eastAsia="Times New Roman"/>
          <w:bCs/>
          <w:iCs/>
          <w:kern w:val="28"/>
          <w:sz w:val="36"/>
          <w:szCs w:val="20"/>
          <w:lang w:eastAsia="zh-CN"/>
        </w:rPr>
      </w:pPr>
    </w:p>
    <w:p w14:paraId="1CEC680E" w14:textId="77777777" w:rsidR="005253E1" w:rsidRDefault="00000000">
      <w:pPr>
        <w:pStyle w:val="Author"/>
        <w:widowControl/>
        <w:spacing w:line="240" w:lineRule="auto"/>
        <w:rPr>
          <w:rFonts w:eastAsia="Times New Roman"/>
          <w:bCs/>
          <w:iCs/>
          <w:kern w:val="28"/>
          <w:sz w:val="32"/>
          <w:szCs w:val="18"/>
          <w:lang w:eastAsia="zh-CN"/>
        </w:rPr>
      </w:pPr>
      <w:r>
        <w:rPr>
          <w:rFonts w:eastAsia="Times New Roman" w:hint="eastAsia"/>
          <w:bCs/>
          <w:iCs/>
          <w:kern w:val="28"/>
          <w:sz w:val="32"/>
          <w:szCs w:val="18"/>
          <w:lang w:eastAsia="zh-CN"/>
        </w:rPr>
        <w:t>Sustainable Development and Corporate Internationalization: The Impact of ESG Performance on Enterprises' Foreign Direct Investment</w:t>
      </w:r>
    </w:p>
    <w:p w14:paraId="34609E27" w14:textId="77777777" w:rsidR="005253E1" w:rsidRDefault="005253E1">
      <w:pPr>
        <w:spacing w:after="240" w:line="275" w:lineRule="auto"/>
        <w:rPr>
          <w:rFonts w:ascii="Google Sans" w:eastAsia="Google Sans" w:hAnsi="Google Sans" w:cs="Google Sans"/>
          <w:color w:val="1F1F1F"/>
        </w:rPr>
      </w:pPr>
    </w:p>
    <w:p w14:paraId="79A0196D" w14:textId="77777777" w:rsidR="005253E1" w:rsidRDefault="005253E1">
      <w:pPr>
        <w:pStyle w:val="Affiliation"/>
        <w:widowControl/>
        <w:spacing w:after="0" w:line="240" w:lineRule="auto"/>
        <w:rPr>
          <w:rFonts w:eastAsia="Times New Roman"/>
          <w:i/>
          <w:sz w:val="20"/>
          <w:szCs w:val="20"/>
        </w:rPr>
      </w:pPr>
    </w:p>
    <w:p w14:paraId="0DFC73F2" w14:textId="77777777" w:rsidR="005253E1" w:rsidRDefault="00000000">
      <w:pPr>
        <w:spacing w:after="240" w:line="275" w:lineRule="auto"/>
        <w:jc w:val="center"/>
        <w:rPr>
          <w:rFonts w:ascii="Google Sans Text" w:eastAsia="Google Sans Text" w:hAnsi="Google Sans Text" w:cs="Google Sans Text"/>
          <w:color w:val="444746"/>
          <w:sz w:val="24"/>
          <w:szCs w:val="24"/>
          <w:vertAlign w:val="superscript"/>
        </w:rPr>
      </w:pPr>
      <w:r>
        <w:rPr>
          <w:noProof/>
        </w:rPr>
        <mc:AlternateContent>
          <mc:Choice Requires="wps">
            <w:drawing>
              <wp:inline distT="0" distB="0" distL="114300" distR="114300" wp14:anchorId="1829FCE0" wp14:editId="1DD6E0E3">
                <wp:extent cx="5775325" cy="36195"/>
                <wp:effectExtent l="0" t="9525" r="3175" b="17780"/>
                <wp:docPr id="3" name="直接箭头连接符 3"/>
                <wp:cNvGraphicFramePr/>
                <a:graphic xmlns:a="http://schemas.openxmlformats.org/drawingml/2006/main">
                  <a:graphicData uri="http://schemas.microsoft.com/office/word/2010/wordprocessingShape">
                    <wps:wsp>
                      <wps:cNvCnPr/>
                      <wps:spPr>
                        <a:xfrm flipV="1">
                          <a:off x="0" y="0"/>
                          <a:ext cx="5775325" cy="36195"/>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7FB7B8E" id="_x0000_t32" coordsize="21600,21600" o:spt="32" o:oned="t" path="m,l21600,21600e" filled="f">
                <v:path arrowok="t" fillok="f" o:connecttype="none"/>
                <o:lock v:ext="edit" shapetype="t"/>
              </v:shapetype>
              <v:shape id="直接箭头连接符 3" o:spid="_x0000_s1026" type="#_x0000_t32" style="width:454.75pt;height:2.8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" strokeweight="1.5pt">
                <w10:anchorlock/>
              </v:shape>
            </w:pict>
          </mc:Fallback>
        </mc:AlternateContent>
      </w:r>
    </w:p>
    <w:p w14:paraId="28F8BC72"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Abstract</w:t>
      </w:r>
    </w:p>
    <w:p w14:paraId="6962175C" w14:textId="77777777" w:rsidR="005253E1" w:rsidRDefault="005253E1">
      <w:pPr>
        <w:spacing w:line="312" w:lineRule="auto"/>
        <w:rPr>
          <w:lang w:eastAsia="zh-CN"/>
        </w:rPr>
      </w:pPr>
    </w:p>
    <w:p w14:paraId="73271C3B" w14:textId="77777777" w:rsidR="005253E1" w:rsidRDefault="00000000">
      <w:pPr>
        <w:spacing w:line="312" w:lineRule="auto"/>
        <w:ind w:firstLineChars="200" w:firstLine="440"/>
        <w:rPr>
          <w:lang w:eastAsia="zh-CN"/>
        </w:rPr>
      </w:pPr>
      <w:r>
        <w:rPr>
          <w:rFonts w:hint="eastAsia"/>
          <w:lang w:eastAsia="zh-CN"/>
        </w:rPr>
        <w:t>In the process of globalization, corporate social responsibility has gradually become a focus of public attention, and environmental, social and governance (ESG) performance has increasingly become an important manifestation of a company's competitiveness. Outward Foreign Direct Investment (OFDI) refers to investment activities carried out by enterprises in foreign countries with the aim of obtaining long-term benefits, and it is the core form of an enterprise's international operation. Based on the observed values of 4,244 listed companies on the Shanghai and Shenzhen Stock Markets from 2006 to 2024, this paper uses a fixed-effect model for empirical analysis to explore the multi-dimensional impact mechanism of ESG performance on OFDI. The research finds that ESG performance has a significant promoting effect on OFDI; good ESG performance can reduce investment risks, enhance the company's social recognition and brand value, alleviate operational risks, and expand emerging markets, thereby strengthening the company's capital acquisition ability. This study not only enriches the relevant theories of ESG economic consequences and enterprise internationalization, but also provides practical guidance for Chinese enterprises to reduce overseas investment risks and enhance international competitiveness by improving ESG levels, and at the same time offers experience-based references for government departments to improve ESG regulatory policies and guide enterprises to "go global" in a high-quality manner.</w:t>
      </w:r>
    </w:p>
    <w:p w14:paraId="3E72EE48" w14:textId="77777777" w:rsidR="005253E1" w:rsidRDefault="005253E1">
      <w:pPr>
        <w:pStyle w:val="a"/>
        <w:spacing w:line="240" w:lineRule="auto"/>
        <w:ind w:firstLineChars="0" w:firstLine="0"/>
        <w:rPr>
          <w:rFonts w:ascii="Arial" w:eastAsia="Calibri" w:hAnsi="Arial" w:cs="Arial"/>
          <w:bCs/>
          <w:kern w:val="0"/>
          <w:sz w:val="20"/>
          <w:szCs w:val="22"/>
          <w:lang w:eastAsia="zh-CN"/>
        </w:rPr>
      </w:pPr>
    </w:p>
    <w:p w14:paraId="5A2C1AE5" w14:textId="77777777" w:rsidR="005253E1" w:rsidRDefault="005253E1">
      <w:pPr>
        <w:rPr>
          <w:lang w:eastAsia="zh-CN"/>
        </w:rPr>
      </w:pPr>
    </w:p>
    <w:p w14:paraId="69109BC1" w14:textId="77777777" w:rsidR="005253E1" w:rsidRDefault="00000000">
      <w:pPr>
        <w:pStyle w:val="Body"/>
        <w:widowControl/>
        <w:spacing w:after="0"/>
        <w:rPr>
          <w:rFonts w:eastAsia="Times New Roman"/>
          <w:i/>
          <w:sz w:val="20"/>
          <w:szCs w:val="20"/>
          <w:lang w:eastAsia="zh-CN"/>
        </w:rPr>
      </w:pPr>
      <w:r>
        <w:rPr>
          <w:rFonts w:eastAsia="Times New Roman" w:hint="eastAsia"/>
          <w:i/>
          <w:sz w:val="20"/>
          <w:szCs w:val="20"/>
          <w:lang w:eastAsia="zh-CN"/>
        </w:rPr>
        <w:t>Keywords: ESG performance; outward foreign direct investment; empirical analysis; environment, social, and governance</w:t>
      </w:r>
    </w:p>
    <w:p w14:paraId="3D342FC7" w14:textId="77777777" w:rsidR="005253E1" w:rsidRDefault="005253E1">
      <w:pPr>
        <w:pStyle w:val="Body"/>
        <w:widowControl/>
        <w:spacing w:after="0"/>
        <w:rPr>
          <w:rFonts w:eastAsia="Times New Roman"/>
          <w:i/>
          <w:sz w:val="20"/>
          <w:szCs w:val="20"/>
          <w:lang w:eastAsia="zh-CN"/>
        </w:rPr>
      </w:pPr>
    </w:p>
    <w:p w14:paraId="1619B804" w14:textId="77777777" w:rsidR="005253E1" w:rsidRDefault="00000000">
      <w:pPr>
        <w:pStyle w:val="Heading1"/>
        <w:keepNext/>
        <w:rPr>
          <w:rFonts w:eastAsia="Times New Roman" w:cs="Arial"/>
          <w:sz w:val="20"/>
          <w:szCs w:val="20"/>
          <w:lang w:eastAsia="zh-CN"/>
        </w:rPr>
      </w:pPr>
      <w:r>
        <w:rPr>
          <w:rFonts w:ascii="Arial" w:eastAsia="Times New Roman" w:hAnsi="Arial" w:cs="Arial"/>
          <w:b/>
          <w:caps/>
          <w:sz w:val="22"/>
          <w:szCs w:val="20"/>
          <w:lang w:eastAsia="zh-CN"/>
        </w:rPr>
        <w:t>1.</w:t>
      </w:r>
      <w:r>
        <w:rPr>
          <w:rFonts w:ascii="Arial" w:eastAsia="Times New Roman" w:hAnsi="Arial" w:cs="Arial" w:hint="eastAsia"/>
          <w:b/>
          <w:caps/>
          <w:sz w:val="22"/>
          <w:szCs w:val="20"/>
          <w:lang w:eastAsia="zh-CN"/>
        </w:rPr>
        <w:t xml:space="preserve"> </w:t>
      </w:r>
      <w:r>
        <w:rPr>
          <w:rFonts w:ascii="Arial" w:eastAsia="Times New Roman" w:hAnsi="Arial" w:cs="Arial" w:hint="eastAsia"/>
          <w:b/>
          <w:caps/>
          <w:kern w:val="0"/>
          <w:sz w:val="22"/>
          <w:szCs w:val="20"/>
          <w:lang w:eastAsia="zh-CN"/>
        </w:rPr>
        <w:t>Introduction</w:t>
      </w:r>
    </w:p>
    <w:p w14:paraId="73B5394E"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Against the backdrop of the deepening of globalization and the widespread adoption of sustainable development concepts, corporate social responsibility has shifted from a marginal issue to a core element influencing a company's international competitiveness. The performance of environmental, social, and governance (ESG) has gradually become an important criterion for measuring a company's sustainable development capabilities. In recent years, China has also made corresponding reforms in this regard. In 2018, the "Corporate Governance Guidelines for Listed Companies" for the first time incorporated ESG requirements into the corporate governance framework of listed companies. In 2021, the Shanghai and </w:t>
      </w:r>
      <w:r>
        <w:rPr>
          <w:rFonts w:eastAsia="Times New Roman" w:hint="eastAsia"/>
          <w:sz w:val="20"/>
          <w:szCs w:val="20"/>
          <w:lang w:eastAsia="zh-CN"/>
        </w:rPr>
        <w:lastRenderedPageBreak/>
        <w:t>Shenzhen stock exchanges respectively issued guidelines for ESG information disclosure by listed companies, clarifying the core content and format requirements for disclosure. In 2023, the China Securities Regulatory Commission further promoted the transformation of ESG information disclosure from "voluntary" to a combination of "mandatory and voluntary", requiring key polluting enterprises to mandatorily disclose environmental information. By 2025, with the continuous advancement of the "dual carbon" goals and the deepening of capital market reforms, the requirements for ESG information disclosure have been continuously strengthened. As of May 1, 2025, the number of listed companies on the A-share market that have disclosed ESG reports has reached 2,457, with the disclosure rate rising to 45.41%. ESG performance has become a key dimension in evaluating the comprehensive strength of listed companies. At the same time, Chinese enterprises are accelerating their "going global" pace, and the scale of outward foreign direct investment (OFDI) is continuously expanding. However, in the process of internationalization, enterprises are facing increasingly strict international ESG regulations, community conflicts, and environmental compliance risks. The impact of ESG performance on the success or failure of overseas investment by enterprises is becoming increasingly prominent. Against this background, exploring the relationship between ESG performance and OFDI of enterprises has significant theoretical value and practical significance.</w:t>
      </w:r>
    </w:p>
    <w:p w14:paraId="0A646CF6" w14:textId="77777777" w:rsidR="005253E1" w:rsidRDefault="005253E1">
      <w:pPr>
        <w:pStyle w:val="Body"/>
        <w:widowControl/>
        <w:spacing w:after="0"/>
        <w:rPr>
          <w:rFonts w:eastAsia="Times New Roman"/>
          <w:sz w:val="20"/>
          <w:szCs w:val="20"/>
          <w:lang w:eastAsia="zh-CN"/>
        </w:rPr>
      </w:pPr>
    </w:p>
    <w:p w14:paraId="49B4C427"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From a theoretical perspective, existing research mainly explains the relationship between ESG and corporate economic behavior based on three major theories: the first is the stakeholder theory (Freeman, 1984), which holds that the survival and development of enterprises depend on the support of various stakeholders, and good ESG performance can meet the demands of multiple stakeholders such as the government, communities, and consumers, reducing the conflict costs between enterprises and stakeholders; the second is the legitimacy theory (Suchman, 1995), which states that enterprises need to obtain social legitimacy recognition to continue operating, and ESG practices are an important way for enterprises to obtain social legitimacy in the host country; the third is the signaling theory (Spence, 1973), which holds that ESG performance, as a credible non-financial signal, can convey to the market that the enterprise's operation is stable and risks are controllable, alleviating the problem of information asymmetry.</w:t>
      </w:r>
    </w:p>
    <w:p w14:paraId="36D5DB25" w14:textId="77777777" w:rsidR="005253E1" w:rsidRDefault="005253E1">
      <w:pPr>
        <w:pStyle w:val="Body"/>
        <w:widowControl/>
        <w:spacing w:after="0"/>
        <w:rPr>
          <w:rFonts w:eastAsia="Times New Roman"/>
          <w:sz w:val="20"/>
          <w:szCs w:val="20"/>
          <w:lang w:eastAsia="zh-CN"/>
        </w:rPr>
      </w:pPr>
    </w:p>
    <w:p w14:paraId="4544DF27"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From a practical perspective, in the process of "going global", Chinese enterprises have experienced cases where poor ESG performance has led to investment obstacles or even failures: in 2011, the Charcoal Peru Toromocho Copper Mine project was delayed for nearly two years due to not fully considering the environmental and livelihood demands of the local community, resulting in additional costs of over 1 billion US dollars; in 2016, during the acquisition of Syngenta by Chem China, due to environmental compliance and pesticide use disputes, it faced strict regulatory reviews from multiple countries and regions such as the EU and the US, and the transaction cycle was extended to 18 months; in 2022, a certain photovoltaic enterprise's production base in Germany was subject to high carbon tariffs due to not meeting the requirements of the EU's Carbon Border Adjustment Mechanism (CBAM), resulting in a significant decline in product competitiveness. How to enhance international competitiveness and reduce overseas investment risks through improving ESG performance has become a core issue in the internationalization strategy of enterprises. In addition, government departments also urgently need relevant empirical evidence to improve the ESG policy system and guide enterprises to conduct high-quality outward foreign direct investment.</w:t>
      </w:r>
    </w:p>
    <w:p w14:paraId="7E31A44B" w14:textId="77777777" w:rsidR="005253E1" w:rsidRDefault="005253E1">
      <w:pPr>
        <w:pStyle w:val="Body"/>
        <w:widowControl/>
        <w:spacing w:after="0"/>
        <w:rPr>
          <w:rFonts w:eastAsia="Times New Roman"/>
          <w:sz w:val="20"/>
          <w:szCs w:val="20"/>
          <w:lang w:eastAsia="zh-CN"/>
        </w:rPr>
      </w:pPr>
    </w:p>
    <w:p w14:paraId="5178DC3D"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Although existing literature has conducted preliminary explorations of the relationship between ESG and international direct investment, there are still obvious shortcomings: First, there is a bias in research perspectives. Early studies have mainly focused on the impact of host country sovereign ESG levels on FDI inflows (Bannour &amp; Abdelkawy, 2024; Qing et al., 2024), while research on how the ESG performance of home country enterprises affects their OFDI has started relatively late and lacks systematic causal identification and mechanism analysis (Wang et al., 2026). Second, the exploration of the mechanisms is not in-depth. Although existing research has explained the impact of ESG on OFDI from the perspectives of risk reduction and resource acquisition, empirical testing of the two core pathways—financing constraints and technological spillovers—remains insufficient, failing to clearly reveal the internal logic of how ESG affects OFDI. Third, the analysis of heterogeneity is not comprehensive enough. Existing studies have mostly focused on the moderating role of regional institutional environments, with insufficient exploration of the heterogeneity in micro dimensions such as enterprise property rights, technological attributes, and geographical locations, which cannot provide differentiated decision-making references for different types </w:t>
      </w:r>
      <w:r>
        <w:rPr>
          <w:rFonts w:eastAsia="Times New Roman" w:hint="eastAsia"/>
          <w:sz w:val="20"/>
          <w:szCs w:val="20"/>
          <w:lang w:eastAsia="zh-CN"/>
        </w:rPr>
        <w:lastRenderedPageBreak/>
        <w:t>of enterprises. Fourth, the handling of endogeneity issues needs improvement. There may be a bidirectional causal relationship between ESG and OFDI, meaning that corporate OFDI can enhance its own ESG level through channels such as acquiring advanced management experience overseas and meeting international market compliance requirements (Zhou et al., 2025). Some studies have not adequately addressed this endogeneity issue, affecting the reliability of their conclusions. There is a close intrinsic connection between OFDI and ESG performance: On the one hand, when enterprises engage in OFDI, they face higher institutional distance, cultural differences and compliance risks. The governments and societies of host countries usually have stricter ESG requirements for foreign enterprises. Enterprises with poor ESG performance are more likely to encounter regulatory penalties, community conflicts and market exclusion. On the other hand, good ESG performance can help enterprises gain legitimacy recognition in host countries, alleviate overseas financing constraints, enhance technological innovation capabilities, thereby strengthening the international competitiveness of enterprises and providing strong support for OFDI.Therefore, exploring the relationship between multinational corporations' ESG performance and their OFDI has important theoretical value and practical significance.</w:t>
      </w:r>
    </w:p>
    <w:p w14:paraId="24A5E7E7" w14:textId="77777777" w:rsidR="005253E1" w:rsidRDefault="005253E1">
      <w:pPr>
        <w:pStyle w:val="Body"/>
        <w:widowControl/>
        <w:spacing w:after="0"/>
        <w:rPr>
          <w:rFonts w:eastAsia="Times New Roman"/>
          <w:sz w:val="20"/>
          <w:szCs w:val="20"/>
          <w:lang w:eastAsia="zh-CN"/>
        </w:rPr>
      </w:pPr>
    </w:p>
    <w:p w14:paraId="0BBE574C"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In response to the above shortcomings, the marginal contributions of this paper are mainly reflected in the following three aspects: First, it expands the research scope of the economic consequences of ESG. This paper incorporates corporate ESG performance and its outward foreign direct investment (OFDI) behavior into a unified analytical framework, utilizing long panel data from Shanghai and Shenzhen A-share listed companies from 2006 to 2024 to systematically examine the impact of ESG on OFDI flow and investment frequency, providing empirical evidence from China on the relationship between ESG and corporate internationalization behavior. Second, it reveals the core transmission mechanism through which ESG affects OFDI. This paper empirically tests the intrinsic pathways through which ESG influences OFDI from the dimensions of financing constraints and technological spillovers, clearly elucidating the logical role of enhanced ESG performance in promoting OFDI expansion through alleviating financing constraints and enhancing technological innovation, thus addressing the shortcomings of existing mechanism research. Third, it enriches the dimensions of heterogeneity analysis. This paper conducts heterogeneity tests from three aspects: the nature of corporate ownership, technological attributes, and geographical location, revealing the differences in the impact of ESG on OFDI for different types of enterprises, providing a basis for enterprises to formulate differentiated ESG strategies and for governments to implement precise policy support. In addition, this paper addresses endogeneity and robustness issues through various methods such as instrumental variable approach, changing sample scope, and adjusting control variables, ensuring the reliability of the research conclusions.</w:t>
      </w:r>
    </w:p>
    <w:p w14:paraId="2027B1F0" w14:textId="77777777" w:rsidR="005253E1" w:rsidRDefault="005253E1">
      <w:pPr>
        <w:pStyle w:val="Body"/>
        <w:widowControl/>
        <w:spacing w:after="0"/>
        <w:rPr>
          <w:rFonts w:eastAsia="Times New Roman"/>
          <w:sz w:val="20"/>
          <w:szCs w:val="20"/>
          <w:lang w:eastAsia="zh-CN"/>
        </w:rPr>
      </w:pPr>
    </w:p>
    <w:p w14:paraId="2DE207ED"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2. Literature Review</w:t>
      </w:r>
    </w:p>
    <w:p w14:paraId="5356CA5D" w14:textId="77777777" w:rsidR="005253E1" w:rsidRDefault="005253E1">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p>
    <w:p w14:paraId="439E45A0" w14:textId="77777777" w:rsidR="005253E1" w:rsidRDefault="00000000">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2.1 Research on the Economic Consequences of ESG Performance</w:t>
      </w:r>
    </w:p>
    <w:p w14:paraId="29E1DDEC" w14:textId="77777777" w:rsidR="005253E1" w:rsidRDefault="005253E1">
      <w:pPr>
        <w:pStyle w:val="Body"/>
        <w:widowControl/>
        <w:spacing w:after="0"/>
        <w:rPr>
          <w:rFonts w:eastAsia="Times New Roman"/>
          <w:sz w:val="20"/>
          <w:szCs w:val="20"/>
          <w:lang w:eastAsia="zh-CN"/>
        </w:rPr>
      </w:pPr>
    </w:p>
    <w:p w14:paraId="590B758F"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The existing literature on the economic consequences of ESG performance mainly focuses on multiple dimensions such as corporate value creation, investment and financing behavior, innovation capability, and risk management, with corporate value being the most core research direction. Wang Bo and Yang Maojia (2022) used a sample of Chinese A-share listed companies from 2015 to 2019 to confirm that ESG performance significantly enhances both the book value and market value of enterprises, further revealing differentiated mechanisms: ESG promotes the increase in book value by reducing financing costs and achieves market value growth by enhancing market attention. This conclusion has been supported by a large number of subsequent studies, with Li Zhou and Wei Kai (2025) pointing out that the overall ESG performance and its three sub-dimensions—environmental, social, and governance—have a significant positive impact on the long-term value of enterprises, although the degree of impact of different rating agencies' scores on market value varies (Zhao Weidong and Huang Xiaodan, 2022).</w:t>
      </w:r>
    </w:p>
    <w:p w14:paraId="27A9CC16" w14:textId="77777777" w:rsidR="005253E1" w:rsidRDefault="005253E1">
      <w:pPr>
        <w:pStyle w:val="Body"/>
        <w:widowControl/>
        <w:spacing w:after="0"/>
        <w:rPr>
          <w:rFonts w:eastAsia="Times New Roman"/>
          <w:sz w:val="20"/>
          <w:szCs w:val="20"/>
          <w:lang w:eastAsia="zh-CN"/>
        </w:rPr>
      </w:pPr>
    </w:p>
    <w:p w14:paraId="3807395D"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In terms of investment and financing behavior, improvements in ESG performance can significantly reduce the debt financing costs and equity financing costs of enterprises, with this effect being more pronounced in companies with high-quality information disclosure (Qiu Muyaun and Yin Hong, 2019). Gao Jieying et al. (2021) found that ESG performance significantly enhances corporate investment efficiency by reducing agency costs and alleviating financing constraints, providing funding support for the expansionary investment activities of enterprises. In addition, ESG performance is closely related to corporate innovation </w:t>
      </w:r>
      <w:r>
        <w:rPr>
          <w:rFonts w:eastAsia="Times New Roman" w:hint="eastAsia"/>
          <w:sz w:val="20"/>
          <w:szCs w:val="20"/>
          <w:lang w:eastAsia="zh-CN"/>
        </w:rPr>
        <w:lastRenderedPageBreak/>
        <w:t>investment; Mao and Kongkaew (2026) pointed out that ESG creates value by improving total factor productivity and R&amp;D innovation investment, and good ESG practices can incentivize enterprises to increase their efforts in green technology innovation, forming a differentiated competitive advantage.</w:t>
      </w:r>
    </w:p>
    <w:p w14:paraId="083088AB" w14:textId="77777777" w:rsidR="005253E1" w:rsidRDefault="005253E1">
      <w:pPr>
        <w:pStyle w:val="Body"/>
        <w:widowControl/>
        <w:spacing w:after="0"/>
        <w:rPr>
          <w:rFonts w:eastAsia="Times New Roman"/>
          <w:sz w:val="20"/>
          <w:szCs w:val="20"/>
          <w:lang w:eastAsia="zh-CN"/>
        </w:rPr>
      </w:pPr>
    </w:p>
    <w:p w14:paraId="48F7C078"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In terms of risk management and capital market response, ESG investment plays an important role in risk management and sustainable economic growth, with good ESG performance capable of reducing the tail risk and systemic risk of enterprises. Chen et al. (2022) found that the digital transformation of enterprises can improve the information environment of capital markets, while ESG information disclosure, as an important component of non-financial information, can significantly enhance the accuracy of analyst forecasts and reduce information asymmetry between investors and enterprises. Meanwhile, some studies have also explored the impact of external factors on corporate ESG performance, such as Zeng et al. (2024) confirming that the establishment of free trade pilot zones can significantly enhance corporate ESG performance, indicating that digital transformation and outward investment performance jointly have a positive impact on corporate ESG performance.</w:t>
      </w:r>
    </w:p>
    <w:p w14:paraId="639F85D9" w14:textId="77777777" w:rsidR="005253E1" w:rsidRDefault="005253E1">
      <w:pPr>
        <w:pStyle w:val="Body"/>
        <w:widowControl/>
        <w:spacing w:after="0"/>
        <w:rPr>
          <w:rFonts w:eastAsia="Times New Roman"/>
          <w:sz w:val="20"/>
          <w:szCs w:val="20"/>
          <w:lang w:eastAsia="zh-CN"/>
        </w:rPr>
      </w:pPr>
    </w:p>
    <w:p w14:paraId="79DEAFE5" w14:textId="77777777" w:rsidR="005253E1" w:rsidRDefault="00000000">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2.2 Research on the Influencing Factors of Enterprises' Foreign Direct Investment</w:t>
      </w:r>
    </w:p>
    <w:p w14:paraId="6F0ECAC4" w14:textId="77777777" w:rsidR="005253E1" w:rsidRDefault="005253E1">
      <w:pPr>
        <w:pStyle w:val="Body"/>
        <w:widowControl/>
        <w:spacing w:after="0"/>
        <w:rPr>
          <w:rFonts w:eastAsia="Times New Roman"/>
          <w:sz w:val="20"/>
          <w:szCs w:val="20"/>
          <w:lang w:eastAsia="zh-CN"/>
        </w:rPr>
      </w:pPr>
    </w:p>
    <w:p w14:paraId="2585B4AB"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The driving factors of enterprises' foreign direct investment (OFDI) have always been a classic research topic in the field of international business. Existing literature has conducted systematic analyses from both macro-institutional environments and micro-enterprise characteristics. At the macro level, early studies mainly focused on traditional factors such as host country market size, labor costs, and natural resource endowments (Kyrkilis &amp; Pantelidis, 2003). In recent years, factors such as institutional environment, trade openness, and sovereign ESG levels have gradually become research hotspots. Bannour and Abdelkawy (2024) found that sovereign ESG levels significantly promote foreign direct investment in a sample of Gulf Cooperation Council countries, and trade openness can amplify this effect. Research by Qing et al. (2024) indicates that climate change exposure at the enterprise level can inhibit its ability to attract foreign investment, while good ESG performance can mitigate this negative impact.</w:t>
      </w:r>
    </w:p>
    <w:p w14:paraId="1570DA84" w14:textId="77777777" w:rsidR="005253E1" w:rsidRDefault="005253E1">
      <w:pPr>
        <w:pStyle w:val="Body"/>
        <w:widowControl/>
        <w:spacing w:after="0"/>
        <w:rPr>
          <w:rFonts w:eastAsia="Times New Roman"/>
          <w:sz w:val="20"/>
          <w:szCs w:val="20"/>
          <w:lang w:eastAsia="zh-CN"/>
        </w:rPr>
      </w:pPr>
    </w:p>
    <w:p w14:paraId="257BBDFD"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At the micro-enterprise level, financing constraints are a key factor limiting enterprises' foreign direct investment (Paul &amp; Benito, 2018). The availability of funds directly determines whether enterprises can bear the high costs and risks of overseas investment. Technological capability and innovation levels are also important driving forces for enterprises to engage in OFDI. Enterprises with core technologies are more inclined to achieve technology output and market expansion through overseas investment. Additionally, Shi et al. (2017) pointed out that the vulnerability of the home country's institutions can drive enterprises to engage in foreign direct investment to avoid domestic institutional risks. Khurram et al. (2024) further found that digital transformation can significantly enhance enterprises' foreign investment performance, making digital capabilities a new advantage for enterprises in international operations.</w:t>
      </w:r>
    </w:p>
    <w:p w14:paraId="17346A0E" w14:textId="77777777" w:rsidR="005253E1" w:rsidRDefault="005253E1">
      <w:pPr>
        <w:pStyle w:val="Body"/>
        <w:widowControl/>
        <w:spacing w:after="0"/>
        <w:rPr>
          <w:rFonts w:eastAsia="Times New Roman"/>
          <w:sz w:val="20"/>
          <w:szCs w:val="20"/>
          <w:lang w:eastAsia="zh-CN"/>
        </w:rPr>
      </w:pPr>
    </w:p>
    <w:p w14:paraId="50D55814"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It is noteworthy that some studies have begun to focus on the reverse impact of foreign direct investment on the enterprises themselves, forming a research context of "Internationalization - ESG." Zhou et al. (2025) empirically tested the impact of enterprise internationalization on ESG performance, finding that foreign direct investment can enhance enterprises' ESG levels through channels such as acquiring advanced management experience overseas and meeting international market compliance requirements. This indicates that there may be a bidirectional causal relationship between ESG and OFDI.</w:t>
      </w:r>
    </w:p>
    <w:p w14:paraId="23A0CB90" w14:textId="77777777" w:rsidR="005253E1" w:rsidRDefault="005253E1">
      <w:pPr>
        <w:pStyle w:val="Body"/>
        <w:widowControl/>
        <w:spacing w:after="0"/>
        <w:rPr>
          <w:rFonts w:eastAsia="Times New Roman"/>
          <w:sz w:val="20"/>
          <w:szCs w:val="20"/>
          <w:lang w:eastAsia="zh-CN"/>
        </w:rPr>
      </w:pPr>
    </w:p>
    <w:p w14:paraId="6AAE140C" w14:textId="77777777" w:rsidR="005253E1" w:rsidRDefault="00000000">
      <w:pPr>
        <w:pStyle w:val="Heading2"/>
        <w:widowControl/>
        <w:numPr>
          <w:ilvl w:val="1"/>
          <w:numId w:val="0"/>
        </w:numPr>
        <w:adjustRightInd/>
        <w:spacing w:line="240" w:lineRule="auto"/>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2.3 Research on the Impact of ESG Performance on Foreign Direct Investment</w:t>
      </w:r>
    </w:p>
    <w:p w14:paraId="33440E2A" w14:textId="77777777" w:rsidR="005253E1" w:rsidRDefault="005253E1">
      <w:pPr>
        <w:pStyle w:val="Body"/>
        <w:widowControl/>
        <w:spacing w:after="0"/>
        <w:rPr>
          <w:rFonts w:eastAsia="Times New Roman"/>
          <w:sz w:val="20"/>
          <w:szCs w:val="20"/>
          <w:lang w:eastAsia="zh-CN"/>
        </w:rPr>
      </w:pPr>
    </w:p>
    <w:p w14:paraId="54E03A1F"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Early research on the relationship between ESG and international direct investment mainly focused on the impact of host country ESG levels on incoming FDI, while studies on the impact of home country enterprises' own ESG performance on their OFDI started relatively late. In recent years, with the acceleration of Chinese enterprises' "going global" efforts, this topic has gradually gained attention in academia. Existing research generally confirms that ESG performance has a significant positive promoting effect on enterprises' OFDI. Wang et al. (2026) studied data from Chinese listed companies and found that </w:t>
      </w:r>
      <w:r>
        <w:rPr>
          <w:rFonts w:eastAsia="Times New Roman" w:hint="eastAsia"/>
          <w:sz w:val="20"/>
          <w:szCs w:val="20"/>
          <w:lang w:eastAsia="zh-CN"/>
        </w:rPr>
        <w:lastRenderedPageBreak/>
        <w:t>good ESG performance can significantly enhance the scale and frequency of enterprises' foreign direct investment, and this conclusion remains valid after controlling for endogeneity issues. Guan et al. (2025) further pointed out that investor confidence plays an important mediating role in the process of ESG performance promoting OFDI. Enterprises with better ESG performance are more likely to gain the trust of international investors, thereby reducing overseas financing costs.</w:t>
      </w:r>
    </w:p>
    <w:p w14:paraId="3922A170" w14:textId="77777777" w:rsidR="005253E1" w:rsidRDefault="005253E1">
      <w:pPr>
        <w:pStyle w:val="Body"/>
        <w:widowControl/>
        <w:spacing w:after="0"/>
        <w:rPr>
          <w:rFonts w:eastAsia="Times New Roman"/>
          <w:sz w:val="20"/>
          <w:szCs w:val="20"/>
          <w:lang w:eastAsia="zh-CN"/>
        </w:rPr>
      </w:pPr>
    </w:p>
    <w:p w14:paraId="009807EE"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Regarding the mechanisms through which ESG affects OFDI, existing research mainly explains it from three perspectives: risk reduction, resource acquisition, and competitiveness enhancement. First, good ESG performance can reduce the environmental, social, and governance risks that enterprises face during overseas investment, minimizing conflicts with host country governments, communities, and stakeholders (Katsampoxakis et al., 2026). Second, ESG performance serves as an important signal of corporate credibility, helping enterprises obtain more financial support and policy benefits, thereby alleviating financing constraints (Gao et al., 2021). Finally, ESG practices can drive enterprises to engage in technological innovation, forming green technology advantages, thus gaining differentiated competitiveness in the international market.</w:t>
      </w:r>
    </w:p>
    <w:p w14:paraId="6374D873" w14:textId="77777777" w:rsidR="005253E1" w:rsidRDefault="005253E1">
      <w:pPr>
        <w:pStyle w:val="Body"/>
        <w:widowControl/>
        <w:spacing w:after="0"/>
        <w:rPr>
          <w:rFonts w:eastAsia="Times New Roman"/>
          <w:sz w:val="20"/>
          <w:szCs w:val="20"/>
          <w:lang w:eastAsia="zh-CN"/>
        </w:rPr>
      </w:pPr>
    </w:p>
    <w:p w14:paraId="14A0AD51"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In the field of heterogeneity research, Zhou Ze and Lei Ling (2023) found that the positive effect of ESG on OFDI is more significant in regions with improved rule of law and lower market segmentation. Feng et al. (2023) further explored the impact of ESG on bilateral FDI, confirming that ESG performance not only promotes enterprises' outward foreign direct investment but also enhances their ability to attract foreign capital. Additionally, some studies have found that the impact of ESG on OFDI is stage-dependent. Chang et al. (2026) pointed out that the effect of ESG performance on the resilience of OFDI exhibits differentiated characteristics at different stages of development. However, existing research on heterogeneity is still insufficiently in-depth, especially in the analysis of differences in dimensions such as enterprise property rights, technological attributes, and geographical location.</w:t>
      </w:r>
    </w:p>
    <w:p w14:paraId="7325ACD4" w14:textId="77777777" w:rsidR="005253E1" w:rsidRDefault="005253E1">
      <w:pPr>
        <w:pStyle w:val="Body"/>
        <w:widowControl/>
        <w:spacing w:after="0"/>
        <w:rPr>
          <w:rFonts w:eastAsia="Times New Roman"/>
          <w:sz w:val="20"/>
          <w:szCs w:val="20"/>
          <w:lang w:eastAsia="zh-CN"/>
        </w:rPr>
      </w:pPr>
    </w:p>
    <w:p w14:paraId="076427E5" w14:textId="77777777" w:rsidR="005253E1" w:rsidRDefault="00000000">
      <w:pPr>
        <w:pStyle w:val="Heading2"/>
        <w:widowControl/>
        <w:numPr>
          <w:ilvl w:val="1"/>
          <w:numId w:val="0"/>
        </w:numPr>
        <w:adjustRightInd/>
        <w:spacing w:line="240" w:lineRule="auto"/>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 xml:space="preserve">2.4 Research Review and Contributions </w:t>
      </w:r>
    </w:p>
    <w:p w14:paraId="285B3ECE" w14:textId="77777777" w:rsidR="005253E1" w:rsidRDefault="005253E1">
      <w:pPr>
        <w:rPr>
          <w:rFonts w:eastAsia="Times New Roman"/>
          <w:b/>
          <w:caps/>
          <w:szCs w:val="20"/>
          <w:lang w:eastAsia="zh-CN"/>
        </w:rPr>
      </w:pPr>
    </w:p>
    <w:p w14:paraId="4F852AAB" w14:textId="77777777" w:rsidR="005253E1" w:rsidRDefault="00000000">
      <w:pPr>
        <w:rPr>
          <w:rFonts w:eastAsia="Times New Roman"/>
          <w:sz w:val="20"/>
          <w:szCs w:val="20"/>
          <w:lang w:eastAsia="zh-CN"/>
        </w:rPr>
      </w:pPr>
      <w:r>
        <w:rPr>
          <w:rFonts w:eastAsia="Times New Roman" w:hint="eastAsia"/>
          <w:sz w:val="20"/>
          <w:szCs w:val="20"/>
          <w:lang w:eastAsia="zh-CN"/>
        </w:rPr>
        <w:t>Although existing literature has extensively studied the economic consequences of ESG performance and the influencing factors of OFDI, there are still some shortcomings: First, research on the relationship between ESG and international direct investment mainly focuses on the impact of host country ESG on FDI inflows, while studies on how the ESG performance of home country enterprises affects their OFDI are relatively scarce, lacking in-depth systematic analysis of the causal relationship and mechanisms between the two. Second, existing research on the impact of ESG on OFDI often emphasizes the examination of overall effects, with insufficient analysis of heterogeneity, failing to fully reveal the differences in how ESG affects OFDI among different types of enterprises.</w:t>
      </w:r>
    </w:p>
    <w:p w14:paraId="42C2C70D" w14:textId="77777777" w:rsidR="005253E1" w:rsidRDefault="005253E1">
      <w:pPr>
        <w:rPr>
          <w:rFonts w:eastAsia="Times New Roman"/>
          <w:sz w:val="20"/>
          <w:szCs w:val="20"/>
          <w:lang w:eastAsia="zh-CN"/>
        </w:rPr>
      </w:pPr>
    </w:p>
    <w:p w14:paraId="455B0AE6" w14:textId="77777777" w:rsidR="005253E1" w:rsidRDefault="00000000">
      <w:pPr>
        <w:rPr>
          <w:rFonts w:eastAsia="Times New Roman"/>
          <w:sz w:val="20"/>
          <w:szCs w:val="20"/>
          <w:lang w:eastAsia="zh-CN"/>
        </w:rPr>
      </w:pPr>
      <w:r>
        <w:rPr>
          <w:rFonts w:eastAsia="Times New Roman" w:hint="eastAsia"/>
          <w:sz w:val="20"/>
          <w:szCs w:val="20"/>
          <w:lang w:eastAsia="zh-CN"/>
        </w:rPr>
        <w:t>This study still has certain limitations: Firstly, it does not distinguish the differential impacts of the three sub-dimensions of environment, society, and governance on OFDI, and thus cannot reveal which dimension of ESG performance has a more significant promoting effect on a firm's OFDI. Secondly, it does not consider the moderating effects of external factors such as the regulatory intensity of ESG in the host country, cultural differences, and investment motives. Future research could further explore how these factors influence the relationship between ESG and OFDI.</w:t>
      </w:r>
    </w:p>
    <w:p w14:paraId="50BDF6D7" w14:textId="77777777" w:rsidR="005253E1" w:rsidRDefault="005253E1">
      <w:pPr>
        <w:pStyle w:val="Body"/>
        <w:widowControl/>
        <w:spacing w:after="0"/>
        <w:rPr>
          <w:rFonts w:eastAsia="Times New Roman"/>
          <w:sz w:val="20"/>
          <w:szCs w:val="20"/>
          <w:lang w:eastAsia="zh-CN"/>
        </w:rPr>
      </w:pPr>
    </w:p>
    <w:p w14:paraId="22B3756B"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3. Research Hypothesis</w:t>
      </w:r>
    </w:p>
    <w:p w14:paraId="59AC3F25" w14:textId="77777777" w:rsidR="005253E1" w:rsidRDefault="005253E1">
      <w:pPr>
        <w:pStyle w:val="AbstHead"/>
        <w:widowControl/>
        <w:spacing w:after="0"/>
        <w:jc w:val="both"/>
        <w:rPr>
          <w:rFonts w:eastAsia="Times New Roman"/>
          <w:szCs w:val="20"/>
          <w:lang w:eastAsia="zh-CN"/>
        </w:rPr>
      </w:pPr>
    </w:p>
    <w:p w14:paraId="3FFF4DE6" w14:textId="77777777" w:rsidR="005253E1" w:rsidRDefault="00000000">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3.1 The Direct Transmission Mechanism of Corporate ESG Performance on Its OFDI</w:t>
      </w:r>
    </w:p>
    <w:p w14:paraId="405C5A21" w14:textId="77777777" w:rsidR="005253E1" w:rsidRDefault="005253E1">
      <w:pPr>
        <w:rPr>
          <w:lang w:eastAsia="zh-CN"/>
        </w:rPr>
      </w:pPr>
    </w:p>
    <w:p w14:paraId="31FA7B35"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In the globalized market, ESG has become an important non-financial indicator for international investors, host country governments, and consumers to evaluate enterprises. It not only reflects the sustainable development capabilities of enterprises but also conveys their risk management levels and sense of social responsibility (Wang et al., 2026). Good ESG performance can directly promote enterprises' outward foreign direct investment from multiple dimensions: First, from the perspective of risk management, ESG practices encompass various aspects such as environmental compliance, labor rights protection, and the </w:t>
      </w:r>
      <w:r>
        <w:rPr>
          <w:rFonts w:eastAsia="Times New Roman" w:hint="eastAsia"/>
          <w:sz w:val="20"/>
          <w:szCs w:val="20"/>
          <w:lang w:eastAsia="zh-CN"/>
        </w:rPr>
        <w:lastRenderedPageBreak/>
        <w:t xml:space="preserve">improvement of corporate governance structures, helping enterprises to identify and avoid various risks they may face in overseas investments, such as environmental penalties, community conflicts, and governance failures, thereby reducing the probability of investment failure (Katsampoxakis et al., 2026). Second, from the perspective of market access, with the increasing global awareness of ESG, more and more host countries regard ESG performance as an important consideration for foreign capital access. Some countries have even introduced mandatory disclosure requirements for foreign enterprises' ESG performance. Enterprises with excellent ESG performance are more likely to obtain approval from host country governments and recognition from local communities, effectively lowering the invisible institutional barriers and transaction costs of entering new markets (Guan et al., 2025). Finally, from the perspective of brand value, actively fulfilling ESG responsibilities can enhance the international brand image and social reputation of enterprises, increasing the international competitiveness of their products and services, thus laying a solid market foundation for enterprises to expand into overseas markets. At the same time, a sound corporate governance system can improve the efficiency of internal decision-making and risk management capabilities, ensuring the scientific and rational nature of outward foreign direct investment decisions. </w:t>
      </w:r>
    </w:p>
    <w:p w14:paraId="71556436" w14:textId="77777777" w:rsidR="005253E1" w:rsidRDefault="005253E1">
      <w:pPr>
        <w:pStyle w:val="Body"/>
        <w:widowControl/>
        <w:spacing w:after="0"/>
        <w:rPr>
          <w:rFonts w:eastAsia="Times New Roman"/>
          <w:sz w:val="20"/>
          <w:szCs w:val="20"/>
          <w:lang w:eastAsia="zh-CN"/>
        </w:rPr>
      </w:pPr>
    </w:p>
    <w:p w14:paraId="73F26227"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Based on this theoretical logic, research hypothesis H1 is proposed: The ESG performance of enterprises has a significant promoting effect on their OFDI.</w:t>
      </w:r>
    </w:p>
    <w:p w14:paraId="34AC59CB" w14:textId="77777777" w:rsidR="005253E1" w:rsidRDefault="005253E1">
      <w:pPr>
        <w:pStyle w:val="Body"/>
        <w:widowControl/>
        <w:spacing w:after="0"/>
        <w:rPr>
          <w:rFonts w:eastAsia="Times New Roman"/>
          <w:sz w:val="20"/>
          <w:szCs w:val="20"/>
          <w:lang w:eastAsia="zh-CN"/>
        </w:rPr>
      </w:pPr>
    </w:p>
    <w:p w14:paraId="52FDA2AD" w14:textId="77777777" w:rsidR="005253E1" w:rsidRDefault="00000000">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3.2 The indirect transmission path of enterprise ESG performance on its OFDI</w:t>
      </w:r>
    </w:p>
    <w:p w14:paraId="6756B032" w14:textId="77777777" w:rsidR="005253E1" w:rsidRDefault="005253E1">
      <w:pPr>
        <w:rPr>
          <w:lang w:eastAsia="zh-CN"/>
        </w:rPr>
      </w:pPr>
    </w:p>
    <w:p w14:paraId="03B256D8"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3</w:t>
      </w:r>
      <w:r>
        <w:rPr>
          <w:rFonts w:ascii="Arial" w:eastAsia="SimSun" w:hAnsi="Arial" w:cs="Arial"/>
          <w:b/>
          <w:kern w:val="0"/>
          <w:sz w:val="20"/>
          <w:szCs w:val="20"/>
          <w:u w:val="single"/>
        </w:rPr>
        <w:t>.2.1</w:t>
      </w:r>
      <w:r>
        <w:rPr>
          <w:rFonts w:ascii="Arial" w:eastAsia="SimSun" w:hAnsi="Arial" w:cs="Arial" w:hint="eastAsia"/>
          <w:b/>
          <w:kern w:val="0"/>
          <w:sz w:val="20"/>
          <w:szCs w:val="20"/>
          <w:u w:val="single"/>
          <w:lang w:eastAsia="zh-CN"/>
        </w:rPr>
        <w:t xml:space="preserve"> Financing constraint path</w:t>
      </w:r>
    </w:p>
    <w:p w14:paraId="6BBA466D" w14:textId="77777777" w:rsidR="005253E1" w:rsidRDefault="005253E1">
      <w:pPr>
        <w:pStyle w:val="Body"/>
        <w:widowControl/>
        <w:spacing w:after="0"/>
        <w:rPr>
          <w:rFonts w:eastAsia="Times New Roman"/>
          <w:sz w:val="20"/>
          <w:szCs w:val="20"/>
          <w:lang w:eastAsia="zh-CN"/>
        </w:rPr>
      </w:pPr>
    </w:p>
    <w:p w14:paraId="642CB902"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Foreign direct investment is characterized by long investment cycles, large capital requirements, and high risk levels, making capital availability a key bottleneck restricting enterprises from conducting OFDI (Paul &amp; Benito, 2018). The improvement of ESG performance can effectively alleviate enterprises' financing constraints through signaling effects and market preference effects: on one hand, ESG performance can lower financing costs by reducing the risk level of enterprises. Research based on a global sample of enterprises has found that improvements in overall ESG performance can significantly reduce their debt financing costs, and this effect is more pronounced during periods of high economic uncertainty. The underlying logic is that good ESG practices can reduce operational and financial risks, signaling to creditors that the enterprise is stable and has strong long-term debt repayment capabilities, thereby obtaining lower loan rates and more favorable credit conditions (Trinh, 2026); on the other hand, with the rapid growth of global ESG investment, more international investors are using ESG performance as an important basis for investment decisions. Enterprises with excellent ESG performance are more likely to attract international capital, providing ample financial support for their overseas investments. The alleviation of financing constraints allows enterprises to invest more funds into foreign direct investment activities, expanding investment scale and increasing investment frequency. </w:t>
      </w:r>
    </w:p>
    <w:p w14:paraId="22C273D8" w14:textId="77777777" w:rsidR="005253E1" w:rsidRDefault="005253E1">
      <w:pPr>
        <w:pStyle w:val="Body"/>
        <w:widowControl/>
        <w:spacing w:after="0"/>
        <w:rPr>
          <w:rFonts w:eastAsia="Times New Roman"/>
          <w:sz w:val="20"/>
          <w:szCs w:val="20"/>
          <w:lang w:eastAsia="zh-CN"/>
        </w:rPr>
      </w:pPr>
    </w:p>
    <w:p w14:paraId="18E2F173"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Based on this, the second research hypothesis H2 is proposed:The improvement of enterprise ESG performance promotes the increase of its OFDI by alleviating financing constraints.</w:t>
      </w:r>
    </w:p>
    <w:p w14:paraId="5555834C" w14:textId="77777777" w:rsidR="005253E1" w:rsidRDefault="005253E1">
      <w:pPr>
        <w:pStyle w:val="Body"/>
        <w:widowControl/>
        <w:spacing w:after="0"/>
        <w:rPr>
          <w:rFonts w:eastAsia="Times New Roman"/>
          <w:sz w:val="20"/>
          <w:szCs w:val="20"/>
          <w:lang w:eastAsia="zh-CN"/>
        </w:rPr>
      </w:pPr>
    </w:p>
    <w:p w14:paraId="4C9ACF21"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3.2.2 Innovation level path</w:t>
      </w:r>
    </w:p>
    <w:p w14:paraId="6A08FAA1" w14:textId="77777777" w:rsidR="005253E1" w:rsidRDefault="005253E1">
      <w:pPr>
        <w:rPr>
          <w:lang w:eastAsia="zh-CN"/>
        </w:rPr>
      </w:pPr>
    </w:p>
    <w:p w14:paraId="7583E3ED"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Technological innovation is a core element for enterprises to build international competitive advantages and is also an important driving force for enterprises' foreign direct investment. The concept of ESG is inherently synergistic with enterprise innovation development, promoting technological innovation from multiple dimensions: on one hand, ESG requirements in the environmental dimension compel enterprises to increase investment in green technology research and development, driving the green upgrade of production processes and products, thus forming unique green technology advantages; on the other hand, a sound corporate governance system can optimize the allocation of innovation resources, improve the conversion efficiency of R&amp;D investment, while fulfilling social responsibilities can enhance the enterprise's employer brand image, attracting more outstanding innovative talents and providing human capital support for technological innovation. The improvement of enterprise innovation levels will generate significant technological spillover effects, enabling them to enter international markets through technology output, </w:t>
      </w:r>
      <w:r>
        <w:rPr>
          <w:rFonts w:eastAsia="Times New Roman" w:hint="eastAsia"/>
          <w:sz w:val="20"/>
          <w:szCs w:val="20"/>
          <w:lang w:eastAsia="zh-CN"/>
        </w:rPr>
        <w:lastRenderedPageBreak/>
        <w:t xml:space="preserve">technology cooperation, etc., while also creating conditions for enterprises to establish R&amp;D centers in host countries and obtain reverse technology spillovers, further promoting the expansion of foreign direct investment (Khurram et al., 2024). Governance and social dimension ESG practices can enhance the innovation efficiency of enterprises. A sound corporate governance system can optimize the allocation of innovation resources, reduce agency problems in the R&amp;D process, and improve the conversion efficiency of R&amp;D investment; actively fulfilling social responsibilities can enhance the enterprise's employer brand image, attracting more outstanding innovative talents and providing solid human capital support for technological innovation (Wang et al., 2026). </w:t>
      </w:r>
    </w:p>
    <w:p w14:paraId="5FCBFB73" w14:textId="77777777" w:rsidR="005253E1" w:rsidRDefault="005253E1">
      <w:pPr>
        <w:pStyle w:val="Body"/>
        <w:widowControl/>
        <w:spacing w:after="0"/>
        <w:rPr>
          <w:rFonts w:eastAsia="Times New Roman"/>
          <w:sz w:val="20"/>
          <w:szCs w:val="20"/>
          <w:lang w:eastAsia="zh-CN"/>
        </w:rPr>
      </w:pPr>
    </w:p>
    <w:p w14:paraId="2F7A4A76"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Accordingly, the third research hypothesis H3 is proposed:The echnological spillover effect of enterprises plays a mediating role in the process of ESG performance promoting their OFDI.</w:t>
      </w:r>
    </w:p>
    <w:p w14:paraId="018768FD" w14:textId="77777777" w:rsidR="005253E1" w:rsidRDefault="005253E1">
      <w:pPr>
        <w:pStyle w:val="Body"/>
        <w:widowControl/>
        <w:spacing w:after="0"/>
        <w:rPr>
          <w:rFonts w:eastAsia="Times New Roman"/>
          <w:sz w:val="20"/>
          <w:szCs w:val="20"/>
          <w:lang w:eastAsia="zh-CN"/>
        </w:rPr>
      </w:pPr>
    </w:p>
    <w:p w14:paraId="42D35667"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This study aims to systematically analyze the impact of an enterprise's ESG performance on its OFDI, reveal the core transmission mechanism of financing constraints and technology spillover, and examine the heterogeneity differences among enterprises with different property rights natures, technological attributes and geographical locations, providing empirical evidence and policy references for Chinese enterprises to "go global" with high quality.</w:t>
      </w:r>
    </w:p>
    <w:p w14:paraId="40A67281" w14:textId="77777777" w:rsidR="005253E1" w:rsidRDefault="005253E1">
      <w:pPr>
        <w:widowControl/>
        <w:autoSpaceDE w:val="0"/>
        <w:autoSpaceDN w:val="0"/>
        <w:adjustRightInd w:val="0"/>
        <w:jc w:val="both"/>
        <w:rPr>
          <w:rFonts w:eastAsia="Times New Roman"/>
          <w:b/>
          <w:bCs/>
          <w:sz w:val="20"/>
          <w:lang w:eastAsia="zh-CN"/>
        </w:rPr>
      </w:pPr>
    </w:p>
    <w:p w14:paraId="4C838FEF"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 xml:space="preserve">4. Research Methods and Data Description </w:t>
      </w:r>
    </w:p>
    <w:p w14:paraId="6E35B231" w14:textId="77777777" w:rsidR="005253E1" w:rsidRDefault="005253E1">
      <w:pPr>
        <w:pStyle w:val="AbstHead"/>
        <w:widowControl/>
        <w:spacing w:after="0"/>
        <w:jc w:val="both"/>
        <w:rPr>
          <w:rFonts w:eastAsia="Times New Roman"/>
          <w:szCs w:val="20"/>
          <w:lang w:eastAsia="zh-CN"/>
        </w:rPr>
      </w:pPr>
    </w:p>
    <w:p w14:paraId="1D01F0FF" w14:textId="77777777" w:rsidR="005253E1" w:rsidRDefault="00000000">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4</w:t>
      </w:r>
      <w:r>
        <w:rPr>
          <w:rFonts w:ascii="Arial" w:eastAsia="Times New Roman" w:hAnsi="Arial" w:cs="Arial"/>
          <w:b/>
          <w:caps/>
          <w:kern w:val="0"/>
          <w:sz w:val="22"/>
          <w:szCs w:val="20"/>
          <w:lang w:eastAsia="zh-CN"/>
        </w:rPr>
        <w:t>.1</w:t>
      </w:r>
      <w:r>
        <w:rPr>
          <w:rFonts w:ascii="Arial" w:eastAsia="Times New Roman" w:hAnsi="Arial" w:cs="Arial" w:hint="eastAsia"/>
          <w:b/>
          <w:caps/>
          <w:kern w:val="0"/>
          <w:sz w:val="22"/>
          <w:szCs w:val="20"/>
          <w:lang w:eastAsia="zh-CN"/>
        </w:rPr>
        <w:t xml:space="preserve"> Model Construction</w:t>
      </w:r>
    </w:p>
    <w:p w14:paraId="6E872F64" w14:textId="77777777" w:rsidR="005253E1" w:rsidRDefault="005253E1">
      <w:pPr>
        <w:rPr>
          <w:lang w:eastAsia="zh-CN"/>
        </w:rPr>
      </w:pPr>
    </w:p>
    <w:p w14:paraId="5331F77A" w14:textId="77777777" w:rsidR="005253E1" w:rsidRDefault="00000000">
      <w:pPr>
        <w:pStyle w:val="Body"/>
        <w:widowControl/>
        <w:spacing w:after="0"/>
        <w:rPr>
          <w:rFonts w:eastAsia="Times New Roman"/>
          <w:sz w:val="20"/>
          <w:szCs w:val="20"/>
          <w:lang w:eastAsia="zh-CN"/>
        </w:rPr>
      </w:pPr>
      <w:r>
        <w:rPr>
          <w:rFonts w:eastAsia="Times New Roman"/>
          <w:sz w:val="20"/>
          <w:szCs w:val="20"/>
          <w:lang w:eastAsia="zh-CN"/>
        </w:rPr>
        <w:t>Based on the assumptions mentioned earlier, and referencing Liu Liya and He Yanlin et al. (2015), this paper establishes the following econometric model for empirical testing:</w:t>
      </w:r>
    </w:p>
    <w:p w14:paraId="3EEFEFBE" w14:textId="77777777" w:rsidR="005253E1" w:rsidRDefault="005253E1">
      <w:pPr>
        <w:pStyle w:val="Body"/>
        <w:widowControl/>
        <w:spacing w:after="0"/>
        <w:rPr>
          <w:rFonts w:eastAsia="Times New Roman"/>
          <w:sz w:val="20"/>
          <w:szCs w:val="20"/>
          <w:lang w:eastAsia="zh-CN"/>
        </w:rPr>
      </w:pPr>
    </w:p>
    <w:p w14:paraId="15CD1F7F" w14:textId="77777777" w:rsidR="005253E1" w:rsidRDefault="00000000">
      <w:pPr>
        <w:jc w:val="right"/>
        <w:rPr>
          <w:rFonts w:eastAsia="SimSun"/>
          <w:sz w:val="20"/>
          <w:szCs w:val="20"/>
          <w:lang w:eastAsia="zh-CN"/>
        </w:rPr>
      </w:pP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0</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1</m:t>
            </m:r>
          </m:sub>
        </m:sSub>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esg</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2</m:t>
            </m:r>
          </m:sub>
        </m:sSub>
        <m:nary>
          <m:naryPr>
            <m:chr m:val="∑"/>
            <m:limLoc m:val="undOvr"/>
            <m:subHide m:val="1"/>
            <m:supHide m:val="1"/>
            <m:ctrlPr>
              <w:rPr>
                <w:rFonts w:ascii="Cambria Math" w:eastAsia="Google Sans Text" w:hAnsi="Cambria Math" w:cs="Google Sans Text"/>
                <w:i/>
                <w:color w:val="1F1F1F"/>
                <w:sz w:val="21"/>
                <w:szCs w:val="21"/>
                <w:lang w:eastAsia="zh-CN"/>
              </w:rPr>
            </m:ctrlPr>
          </m:naryPr>
          <m:sub/>
          <m:sup/>
          <m:e>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e>
        </m:nary>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ascii="Google Sans Text" w:eastAsia="Google Sans Text" w:hAnsi="Google Sans Text" w:cs="Google Sans Text"/>
          <w:i/>
          <w:iCs/>
          <w:color w:val="1F1F1F"/>
          <w:lang w:eastAsia="zh-CN"/>
        </w:rPr>
        <w:t xml:space="preserve"> </w:t>
      </w:r>
      <w:r>
        <w:rPr>
          <w:rFonts w:ascii="Google Sans Text" w:eastAsia="Google Sans Text" w:hAnsi="Google Sans Text" w:cs="Google Sans Text"/>
          <w:color w:val="1F1F1F"/>
          <w:lang w:eastAsia="zh-CN"/>
        </w:rPr>
        <w:t xml:space="preserve">  </w:t>
      </w:r>
      <w:r>
        <w:rPr>
          <w:rFonts w:ascii="Google Sans Text" w:eastAsia="Google Sans Text" w:hAnsi="Google Sans Text" w:cs="Google Sans Text" w:hint="eastAsia"/>
          <w:color w:val="1F1F1F"/>
          <w:lang w:eastAsia="zh-CN"/>
        </w:rPr>
        <w:t xml:space="preserve">     </w:t>
      </w:r>
      <w:r>
        <w:rPr>
          <w:rFonts w:ascii="Google Sans Text" w:eastAsia="Google Sans Text" w:hAnsi="Google Sans Text" w:cs="Google Sans Text"/>
          <w:color w:val="1F1F1F"/>
          <w:lang w:eastAsia="zh-CN"/>
        </w:rPr>
        <w:t xml:space="preserve">  </w:t>
      </w:r>
      <w:r>
        <w:rPr>
          <w:rFonts w:eastAsia="SimSun"/>
          <w:sz w:val="20"/>
          <w:szCs w:val="20"/>
          <w:lang w:eastAsia="zh-CN"/>
        </w:rPr>
        <w:t>（</w:t>
      </w:r>
      <w:r>
        <w:rPr>
          <w:rFonts w:eastAsia="SimSun"/>
          <w:sz w:val="20"/>
          <w:szCs w:val="20"/>
          <w:lang w:eastAsia="zh-CN"/>
        </w:rPr>
        <w:t>1</w:t>
      </w:r>
      <w:r>
        <w:rPr>
          <w:rFonts w:eastAsia="SimSun"/>
          <w:sz w:val="20"/>
          <w:szCs w:val="20"/>
          <w:lang w:eastAsia="zh-CN"/>
        </w:rPr>
        <w:t>）</w:t>
      </w:r>
    </w:p>
    <w:p w14:paraId="793E0BF2" w14:textId="77777777" w:rsidR="005253E1" w:rsidRDefault="005253E1">
      <w:pPr>
        <w:jc w:val="center"/>
        <w:rPr>
          <w:rFonts w:eastAsia="SimSun"/>
          <w:sz w:val="20"/>
          <w:szCs w:val="20"/>
          <w:lang w:eastAsia="zh-CN"/>
        </w:rPr>
      </w:pPr>
    </w:p>
    <w:p w14:paraId="5C5D47B0" w14:textId="77777777" w:rsidR="005253E1" w:rsidRDefault="00000000">
      <w:pPr>
        <w:jc w:val="right"/>
        <w:rPr>
          <w:rFonts w:eastAsia="SimSun"/>
          <w:sz w:val="20"/>
          <w:szCs w:val="20"/>
          <w:lang w:eastAsia="zh-CN"/>
        </w:rPr>
      </w:pP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ofdi_f</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0</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1</m:t>
            </m:r>
          </m:sub>
        </m:sSub>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esg</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2</m:t>
            </m:r>
          </m:sub>
        </m:sSub>
        <m:nary>
          <m:naryPr>
            <m:chr m:val="∑"/>
            <m:limLoc m:val="undOvr"/>
            <m:subHide m:val="1"/>
            <m:supHide m:val="1"/>
            <m:ctrlPr>
              <w:rPr>
                <w:rFonts w:ascii="Cambria Math" w:eastAsia="Google Sans Text" w:hAnsi="Cambria Math" w:cs="Google Sans Text"/>
                <w:i/>
                <w:color w:val="1F1F1F"/>
                <w:sz w:val="21"/>
                <w:szCs w:val="21"/>
                <w:lang w:eastAsia="zh-CN"/>
              </w:rPr>
            </m:ctrlPr>
          </m:naryPr>
          <m:sub/>
          <m:sup/>
          <m:e>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e>
        </m:nary>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ascii="Google Sans Text" w:eastAsia="Google Sans Text" w:hAnsi="Google Sans Text" w:cs="Google Sans Text"/>
          <w:i/>
          <w:iCs/>
          <w:color w:val="1F1F1F"/>
          <w:lang w:eastAsia="zh-CN"/>
        </w:rPr>
        <w:t xml:space="preserve"> </w:t>
      </w:r>
      <w:r>
        <w:rPr>
          <w:rFonts w:ascii="Google Sans Text" w:eastAsia="Google Sans Text" w:hAnsi="Google Sans Text" w:cs="Google Sans Text"/>
          <w:color w:val="1F1F1F"/>
          <w:lang w:eastAsia="zh-CN"/>
        </w:rPr>
        <w:t xml:space="preserve">  </w:t>
      </w:r>
      <w:r>
        <w:rPr>
          <w:rFonts w:ascii="Google Sans Text" w:eastAsia="Google Sans Text" w:hAnsi="Google Sans Text" w:cs="Google Sans Text" w:hint="eastAsia"/>
          <w:color w:val="1F1F1F"/>
          <w:lang w:eastAsia="zh-CN"/>
        </w:rPr>
        <w:t xml:space="preserve">     </w:t>
      </w:r>
      <w:r>
        <w:rPr>
          <w:rFonts w:ascii="Google Sans Text" w:eastAsia="Google Sans Text" w:hAnsi="Google Sans Text" w:cs="Google Sans Text"/>
          <w:color w:val="1F1F1F"/>
          <w:lang w:eastAsia="zh-CN"/>
        </w:rPr>
        <w:t xml:space="preserve">  </w:t>
      </w:r>
      <w:r>
        <w:rPr>
          <w:rFonts w:eastAsia="SimSun"/>
          <w:sz w:val="20"/>
          <w:szCs w:val="20"/>
          <w:lang w:eastAsia="zh-CN"/>
        </w:rPr>
        <w:t>（</w:t>
      </w:r>
      <w:r>
        <w:rPr>
          <w:rFonts w:eastAsia="SimSun" w:hint="eastAsia"/>
          <w:sz w:val="20"/>
          <w:szCs w:val="20"/>
          <w:lang w:eastAsia="zh-CN"/>
        </w:rPr>
        <w:t>2</w:t>
      </w:r>
      <w:r>
        <w:rPr>
          <w:rFonts w:eastAsia="SimSun"/>
          <w:sz w:val="20"/>
          <w:szCs w:val="20"/>
          <w:lang w:eastAsia="zh-CN"/>
        </w:rPr>
        <w:t>）</w:t>
      </w:r>
    </w:p>
    <w:p w14:paraId="0193FFAF" w14:textId="77777777" w:rsidR="005253E1" w:rsidRDefault="005253E1">
      <w:pPr>
        <w:spacing w:line="275" w:lineRule="auto"/>
        <w:jc w:val="center"/>
        <w:rPr>
          <w:rFonts w:eastAsia="SimSun"/>
          <w:sz w:val="20"/>
          <w:szCs w:val="20"/>
          <w:lang w:eastAsia="zh-CN"/>
        </w:rPr>
      </w:pPr>
    </w:p>
    <w:p w14:paraId="25C4A0C3" w14:textId="77777777" w:rsidR="005253E1" w:rsidRDefault="00000000">
      <w:pPr>
        <w:pStyle w:val="Body"/>
        <w:widowControl/>
        <w:spacing w:after="0"/>
        <w:rPr>
          <w:rFonts w:eastAsia="Times New Roman"/>
          <w:sz w:val="20"/>
          <w:szCs w:val="20"/>
          <w:lang w:eastAsia="zh-CN"/>
        </w:rPr>
      </w:pPr>
      <w:r>
        <w:rPr>
          <w:rFonts w:eastAsia="Times New Roman"/>
          <w:sz w:val="20"/>
          <w:szCs w:val="20"/>
          <w:lang w:eastAsia="zh-CN"/>
        </w:rPr>
        <w:t>Where i represents the enterprise and t represents the year.The explained variable</w:t>
      </w:r>
      <w:r>
        <w:rPr>
          <w:rFonts w:eastAsia="Times New Roman" w:hint="eastAsia"/>
          <w:sz w:val="20"/>
          <w:szCs w:val="20"/>
          <w:lang w:eastAsia="zh-CN"/>
        </w:rPr>
        <w:t xml:space="preserve">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m:t>
            </m:r>
          </m:e>
          <m:sub>
            <m:r>
              <w:rPr>
                <w:rFonts w:ascii="Cambria Math" w:eastAsia="Google Sans Text" w:hAnsi="Cambria Math" w:cs="Google Sans Text"/>
                <w:color w:val="1F1F1F"/>
                <w:sz w:val="21"/>
                <w:szCs w:val="21"/>
                <w:lang w:eastAsia="zh-CN"/>
              </w:rPr>
              <m:t>it</m:t>
            </m:r>
          </m:sub>
        </m:sSub>
      </m:oMath>
      <w:r>
        <w:rPr>
          <w:rFonts w:eastAsia="Times New Roman"/>
          <w:sz w:val="20"/>
          <w:szCs w:val="20"/>
          <w:lang w:eastAsia="zh-CN"/>
        </w:rPr>
        <w:t xml:space="preserve">is a </w:t>
      </w:r>
      <w:r>
        <w:rPr>
          <w:rFonts w:eastAsia="Times New Roman" w:hint="eastAsia"/>
          <w:sz w:val="20"/>
          <w:szCs w:val="20"/>
          <w:lang w:eastAsia="zh-CN"/>
        </w:rPr>
        <w:t>continuous</w:t>
      </w:r>
      <w:r>
        <w:rPr>
          <w:rFonts w:eastAsia="Times New Roman"/>
          <w:sz w:val="20"/>
          <w:szCs w:val="20"/>
          <w:lang w:eastAsia="zh-CN"/>
        </w:rPr>
        <w:t xml:space="preserve"> variable for the foreign direct investment of enterprises, assigned a value of 0 if there is no investment;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ofdi_f</m:t>
            </m:r>
          </m:e>
          <m:sub>
            <m:r>
              <w:rPr>
                <w:rFonts w:ascii="Cambria Math" w:eastAsia="Google Sans Text" w:hAnsi="Cambria Math" w:cs="Google Sans Text"/>
                <w:color w:val="1F1F1F"/>
                <w:sz w:val="21"/>
                <w:szCs w:val="21"/>
                <w:lang w:eastAsia="zh-CN"/>
              </w:rPr>
              <m:t>it</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is a</w:t>
      </w:r>
      <w:r>
        <w:rPr>
          <w:rFonts w:eastAsia="Times New Roman" w:hint="eastAsia"/>
          <w:sz w:val="20"/>
          <w:szCs w:val="20"/>
          <w:lang w:eastAsia="zh-CN"/>
        </w:rPr>
        <w:t xml:space="preserve"> </w:t>
      </w:r>
      <w:r>
        <w:rPr>
          <w:rFonts w:eastAsia="Times New Roman"/>
          <w:sz w:val="20"/>
          <w:szCs w:val="20"/>
          <w:lang w:eastAsia="zh-CN"/>
        </w:rPr>
        <w:t xml:space="preserve">variable for </w:t>
      </w:r>
      <w:r>
        <w:rPr>
          <w:rFonts w:eastAsia="Times New Roman" w:hint="eastAsia"/>
          <w:sz w:val="20"/>
          <w:szCs w:val="20"/>
          <w:lang w:eastAsia="zh-CN"/>
        </w:rPr>
        <w:t>the frequency of foreign direct investment</w:t>
      </w:r>
      <w:r>
        <w:rPr>
          <w:rFonts w:eastAsia="Times New Roman"/>
          <w:sz w:val="20"/>
          <w:szCs w:val="20"/>
          <w:lang w:eastAsia="zh-CN"/>
        </w:rPr>
        <w:t xml:space="preserve"> by the enterprise.</w:t>
      </w:r>
      <m:oMath>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oMath>
      <w:r>
        <w:rPr>
          <w:rFonts w:eastAsia="Times New Roman"/>
          <w:sz w:val="20"/>
          <w:szCs w:val="20"/>
          <w:lang w:eastAsia="zh-CN"/>
        </w:rPr>
        <w:t xml:space="preserve">represent a series of control variables,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 xml:space="preserve">represents individual fixed effects,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represents time fixed effects, and</w:t>
      </w:r>
      <w:r>
        <w:rPr>
          <w:rFonts w:eastAsia="Times New Roman" w:hint="eastAsia"/>
          <w:sz w:val="20"/>
          <w:szCs w:val="20"/>
          <w:lang w:eastAsia="zh-CN"/>
        </w:rPr>
        <w:t xml:space="preserve">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 xml:space="preserve">is </w:t>
      </w:r>
      <w:r>
        <w:rPr>
          <w:rFonts w:eastAsia="Times New Roman" w:hint="eastAsia"/>
          <w:sz w:val="20"/>
          <w:szCs w:val="20"/>
          <w:lang w:eastAsia="zh-CN"/>
        </w:rPr>
        <w:t>the random error term</w:t>
      </w:r>
      <w:r>
        <w:rPr>
          <w:rFonts w:eastAsia="Times New Roman"/>
          <w:sz w:val="20"/>
          <w:szCs w:val="20"/>
          <w:lang w:eastAsia="zh-CN"/>
        </w:rPr>
        <w:t>, representing other unobservable factors.</w:t>
      </w:r>
    </w:p>
    <w:p w14:paraId="0358178F" w14:textId="77777777" w:rsidR="005253E1" w:rsidRDefault="005253E1">
      <w:pPr>
        <w:pStyle w:val="Body"/>
        <w:widowControl/>
        <w:spacing w:after="0"/>
        <w:rPr>
          <w:rFonts w:eastAsia="Times New Roman"/>
          <w:sz w:val="20"/>
          <w:szCs w:val="20"/>
          <w:lang w:eastAsia="zh-CN"/>
        </w:rPr>
      </w:pPr>
    </w:p>
    <w:p w14:paraId="658C8933" w14:textId="77777777" w:rsidR="005253E1" w:rsidRDefault="00000000">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4</w:t>
      </w:r>
      <w:r>
        <w:rPr>
          <w:rFonts w:ascii="Arial" w:eastAsia="Times New Roman" w:hAnsi="Arial" w:cs="Arial"/>
          <w:b/>
          <w:caps/>
          <w:kern w:val="0"/>
          <w:sz w:val="22"/>
          <w:szCs w:val="20"/>
          <w:lang w:eastAsia="zh-CN"/>
        </w:rPr>
        <w:t>.2</w:t>
      </w:r>
      <w:r>
        <w:rPr>
          <w:rFonts w:ascii="Arial" w:eastAsia="Times New Roman" w:hAnsi="Arial" w:cs="Arial" w:hint="eastAsia"/>
          <w:b/>
          <w:caps/>
          <w:kern w:val="0"/>
          <w:sz w:val="22"/>
          <w:szCs w:val="20"/>
          <w:lang w:eastAsia="zh-CN"/>
        </w:rPr>
        <w:t xml:space="preserve"> Variable Description</w:t>
      </w:r>
    </w:p>
    <w:p w14:paraId="5B784D38" w14:textId="77777777" w:rsidR="005253E1" w:rsidRDefault="005253E1">
      <w:pPr>
        <w:rPr>
          <w:lang w:eastAsia="zh-CN"/>
        </w:rPr>
      </w:pPr>
    </w:p>
    <w:p w14:paraId="31373DDA"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4</w:t>
      </w:r>
      <w:r>
        <w:rPr>
          <w:rFonts w:ascii="Arial" w:eastAsia="SimSun" w:hAnsi="Arial" w:cs="Arial"/>
          <w:b/>
          <w:kern w:val="0"/>
          <w:sz w:val="20"/>
          <w:szCs w:val="20"/>
          <w:u w:val="single"/>
          <w:lang w:eastAsia="zh-CN"/>
        </w:rPr>
        <w:t>.2.1</w:t>
      </w:r>
      <w:r>
        <w:rPr>
          <w:rFonts w:ascii="Arial" w:eastAsia="SimSun" w:hAnsi="Arial" w:cs="Arial" w:hint="eastAsia"/>
          <w:b/>
          <w:kern w:val="0"/>
          <w:sz w:val="20"/>
          <w:szCs w:val="20"/>
          <w:u w:val="single"/>
          <w:lang w:eastAsia="zh-CN"/>
        </w:rPr>
        <w:t xml:space="preserve"> </w:t>
      </w:r>
      <w:r>
        <w:rPr>
          <w:rFonts w:ascii="Arial" w:eastAsia="SimSun" w:hAnsi="Arial" w:cs="Arial"/>
          <w:b/>
          <w:kern w:val="0"/>
          <w:sz w:val="20"/>
          <w:szCs w:val="20"/>
          <w:u w:val="single"/>
          <w:lang w:eastAsia="zh-CN"/>
        </w:rPr>
        <w:t>Explained Variable</w:t>
      </w:r>
      <w:r>
        <w:rPr>
          <w:rFonts w:ascii="Arial" w:eastAsia="SimSun" w:hAnsi="Arial" w:cs="Arial" w:hint="eastAsia"/>
          <w:b/>
          <w:kern w:val="0"/>
          <w:sz w:val="20"/>
          <w:szCs w:val="20"/>
          <w:u w:val="single"/>
          <w:lang w:eastAsia="zh-CN"/>
        </w:rPr>
        <w:t>.</w:t>
      </w:r>
    </w:p>
    <w:p w14:paraId="2F4CAC3D" w14:textId="77777777" w:rsidR="005253E1" w:rsidRDefault="005253E1">
      <w:pPr>
        <w:pStyle w:val="Body"/>
        <w:widowControl/>
        <w:spacing w:after="0"/>
        <w:rPr>
          <w:rFonts w:eastAsia="Times New Roman"/>
          <w:sz w:val="20"/>
          <w:szCs w:val="20"/>
          <w:lang w:eastAsia="zh-CN"/>
        </w:rPr>
      </w:pPr>
    </w:p>
    <w:p w14:paraId="2B78640C"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This paper establishes a dummy variable for the foreign direct investment of listed companies based on the research of Liu Liya, He Yanlin, and others (2015): whether to engage in OFDI (measured in RMB). If engaged, the OFDI flow is taken and its logarithm is used for measurement (to eliminate dimensional effects); if not engaged, it is assigned a value of 0. the frequency of foreign direct investment is measured by the number of times the listed company engaged in foreign direct investment in that year.</w:t>
      </w:r>
    </w:p>
    <w:p w14:paraId="44A2E990" w14:textId="77777777" w:rsidR="005253E1" w:rsidRDefault="005253E1">
      <w:pPr>
        <w:pStyle w:val="Body"/>
        <w:widowControl/>
        <w:spacing w:after="0"/>
        <w:rPr>
          <w:rFonts w:eastAsia="Times New Roman"/>
          <w:sz w:val="20"/>
          <w:szCs w:val="20"/>
          <w:lang w:eastAsia="zh-CN"/>
        </w:rPr>
      </w:pPr>
    </w:p>
    <w:p w14:paraId="38E724E9"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4</w:t>
      </w:r>
      <w:r>
        <w:rPr>
          <w:rFonts w:ascii="Arial" w:eastAsia="SimSun" w:hAnsi="Arial" w:cs="Arial"/>
          <w:b/>
          <w:kern w:val="0"/>
          <w:sz w:val="20"/>
          <w:szCs w:val="20"/>
          <w:u w:val="single"/>
          <w:lang w:eastAsia="zh-CN"/>
        </w:rPr>
        <w:t>.2.2</w:t>
      </w:r>
      <w:r>
        <w:rPr>
          <w:rFonts w:ascii="Arial" w:eastAsia="SimSun" w:hAnsi="Arial" w:cs="Arial" w:hint="eastAsia"/>
          <w:b/>
          <w:kern w:val="0"/>
          <w:sz w:val="20"/>
          <w:szCs w:val="20"/>
          <w:u w:val="single"/>
          <w:lang w:eastAsia="zh-CN"/>
        </w:rPr>
        <w:t xml:space="preserve"> </w:t>
      </w:r>
      <w:r>
        <w:rPr>
          <w:rFonts w:ascii="Arial" w:eastAsia="SimSun" w:hAnsi="Arial" w:cs="Arial"/>
          <w:b/>
          <w:kern w:val="0"/>
          <w:sz w:val="20"/>
          <w:szCs w:val="20"/>
          <w:u w:val="single"/>
          <w:lang w:eastAsia="zh-CN"/>
        </w:rPr>
        <w:t>Explanatory Variable</w:t>
      </w:r>
      <w:r>
        <w:rPr>
          <w:rFonts w:ascii="Arial" w:eastAsia="SimSun" w:hAnsi="Arial" w:cs="Arial" w:hint="eastAsia"/>
          <w:b/>
          <w:kern w:val="0"/>
          <w:sz w:val="20"/>
          <w:szCs w:val="20"/>
          <w:u w:val="single"/>
          <w:lang w:eastAsia="zh-CN"/>
        </w:rPr>
        <w:t>.</w:t>
      </w:r>
    </w:p>
    <w:p w14:paraId="167FD231" w14:textId="77777777" w:rsidR="005253E1" w:rsidRDefault="005253E1">
      <w:pPr>
        <w:rPr>
          <w:lang w:eastAsia="zh-CN"/>
        </w:rPr>
      </w:pPr>
    </w:p>
    <w:p w14:paraId="40AF6995"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The ESG rating of Bloomberg refers to the internationally recognized ESG framework principles and analysis points, and comprehensively uses quantitative and qualitative methods to evaluate the ESG performance of enterprises. It has a certain degree of representativeness and authority (Pan Yunkun, Guo Mengmeng, 2023). Therefore, this paper selects the Bloomberg ESG Index as the indicator. The score ranges from 0 to 100, and the scores are logarithmically processed; a higher score indicates better ESG performance of the enterprise.</w:t>
      </w:r>
    </w:p>
    <w:p w14:paraId="2472536B" w14:textId="77777777" w:rsidR="005253E1" w:rsidRDefault="005253E1">
      <w:pPr>
        <w:pStyle w:val="Body"/>
        <w:widowControl/>
        <w:spacing w:after="0"/>
        <w:rPr>
          <w:rFonts w:eastAsia="Times New Roman"/>
          <w:sz w:val="20"/>
          <w:szCs w:val="20"/>
          <w:lang w:eastAsia="zh-CN"/>
        </w:rPr>
      </w:pPr>
    </w:p>
    <w:p w14:paraId="50F704FD"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lastRenderedPageBreak/>
        <w:t>4.2.3 Control Variables.</w:t>
      </w:r>
    </w:p>
    <w:p w14:paraId="2F8744F0" w14:textId="77777777" w:rsidR="005253E1" w:rsidRDefault="005253E1">
      <w:pPr>
        <w:rPr>
          <w:lang w:eastAsia="zh-CN"/>
        </w:rPr>
      </w:pPr>
    </w:p>
    <w:p w14:paraId="736C7BA8"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To mitigate endogeneity bias caused by omitted variables, control variables that may affect the ESG performance of enterprises have been included in the model. This article refers to Zhao Weidong and Huang Xiaodan (2022) as well as Li Wei and Guan Xiaoxiao (2025), and selects the following variables. These include: Asset-liability ratio (DA): The ratio of total liabilities to total assets; Cash ratio (CR): The ratio of monetary funds to current liabilities; Enterprise age (EA): The difference between the current year and the year when the enterprise was established; Return on investment (ROI): The ratio of investment cost to net income; High-tech enterprise (HTI): A dummy variable. If the enterprise is a high-tech enterprise, it is assigned a value of 1, otherwise, it is 0; Management expense rate (G&amp;A): The natural logarithm of all expenses incurred by the enterprise for organizing and managing production and business activities; Return on equity (ROE): The ratio of net income to average equity; Price-earnings ratio (PE): The ratio of stock price to earnings per share, taking the natural logarithm.</w:t>
      </w:r>
    </w:p>
    <w:p w14:paraId="23D0DF62" w14:textId="77777777" w:rsidR="005253E1" w:rsidRDefault="005253E1">
      <w:pPr>
        <w:pStyle w:val="Body"/>
        <w:widowControl/>
        <w:spacing w:after="0"/>
        <w:rPr>
          <w:rFonts w:eastAsia="Times New Roman"/>
          <w:sz w:val="20"/>
          <w:szCs w:val="20"/>
          <w:lang w:eastAsia="zh-CN"/>
        </w:rPr>
      </w:pPr>
    </w:p>
    <w:p w14:paraId="1F16761D" w14:textId="77777777" w:rsidR="005253E1" w:rsidRDefault="00000000">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4.3 Data Source</w:t>
      </w:r>
    </w:p>
    <w:p w14:paraId="3BBE0343" w14:textId="77777777" w:rsidR="005253E1" w:rsidRDefault="005253E1">
      <w:pPr>
        <w:rPr>
          <w:lang w:eastAsia="zh-CN"/>
        </w:rPr>
      </w:pPr>
    </w:p>
    <w:p w14:paraId="038FFB2F"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Select data from A-share listed companies in Shanghai and Shenzhen from 2006 to 2024 as samples. The processing of the sample companies includes: (1) Deleting samples from the financial and insurance industries. (2) Deleting samples marked as ST and *ST. (3) Deleting samples with missing control variables at the enterprise level. The enterprise-level data mainly comes from the Wind database. Considering the interference of outliers on the estimation results, a two-sided 1% winsorization is applied to all variables.</w:t>
      </w:r>
    </w:p>
    <w:p w14:paraId="45A3E562" w14:textId="77777777" w:rsidR="005253E1" w:rsidRDefault="005253E1">
      <w:pPr>
        <w:pStyle w:val="AbstHead"/>
        <w:widowControl/>
        <w:spacing w:after="0"/>
        <w:jc w:val="both"/>
        <w:rPr>
          <w:rFonts w:eastAsia="Times New Roman"/>
          <w:szCs w:val="20"/>
          <w:lang w:eastAsia="zh-CN"/>
        </w:rPr>
      </w:pPr>
    </w:p>
    <w:p w14:paraId="3BA3B9FE"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5. Empirical Results Analysis</w:t>
      </w:r>
      <w:r>
        <w:rPr>
          <w:rFonts w:eastAsia="Times New Roman"/>
          <w:szCs w:val="20"/>
          <w:lang w:eastAsia="zh-CN"/>
        </w:rPr>
        <w:t xml:space="preserve"> &amp; DISCUSSION</w:t>
      </w:r>
    </w:p>
    <w:p w14:paraId="13231380" w14:textId="77777777" w:rsidR="005253E1" w:rsidRDefault="005253E1">
      <w:pPr>
        <w:pStyle w:val="AbstHead"/>
        <w:widowControl/>
        <w:spacing w:after="0"/>
        <w:jc w:val="both"/>
        <w:rPr>
          <w:rFonts w:eastAsia="Times New Roman"/>
          <w:szCs w:val="20"/>
          <w:lang w:eastAsia="zh-CN"/>
        </w:rPr>
      </w:pPr>
    </w:p>
    <w:p w14:paraId="43AFE141"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5.1 Benchmark Regression ANALYSIS</w:t>
      </w:r>
    </w:p>
    <w:p w14:paraId="4D614697" w14:textId="77777777" w:rsidR="005253E1" w:rsidRDefault="005253E1">
      <w:pPr>
        <w:pStyle w:val="Body"/>
        <w:widowControl/>
        <w:spacing w:after="0"/>
        <w:rPr>
          <w:rFonts w:eastAsia="Times New Roman"/>
          <w:sz w:val="20"/>
          <w:szCs w:val="20"/>
          <w:lang w:eastAsia="zh-CN"/>
        </w:rPr>
      </w:pPr>
    </w:p>
    <w:p w14:paraId="27DDEFBD"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Table 1 shows the estimation results of the regression model. The results show that ESG performance of MNEs has a significant positive impact on both OFDI flows and OFDI times. In Table 1, columns (1) and (2) take OFDI flow as the explained variable, and columns (3) and (4) take OFDI investment times as the explained variable. Columns (1) and (3) are the regression results without adding control variables, and columns (2) and (4) are the regression results after adding all control variables. Comparing column (1) with column (2), it can be found that after adding control variables, the regression coefficient of ESG rises from 3.343 to 4.078, and it is still significant at the level of 1%, indicating that the omitted variables do not affect the robustness of the core conclusions. By comparing column (3) with column (4), it can be found that after adding control variables, the influence coefficient of ESG on the number of OFDI investments rises slightly from 0.895 to 0.905, and the significance remains unchanged, which further verifies the promotion effect of ESG performance on the breadth of OFDI of enterprises. This conclusion is consistent with the research results of Wang et al. (2026), who pointed out that ESG performance mainly supports large-scale overseas investment by improving the risk-bearing capacity and financing capacity of enterprises, while the increase in investment frequency depends more on the accumulation of international experience of enterprises. From the perspective of practical significance, this result means that by improving ESG performance, Chinese enterprises can not only obtain more overseas investment opportunities, but also achieve a deeper industrial layout, which has important guiding significance for promoting the transformation of Chinese enterprises from "scale-expanding" internationalization to "quality-improving" internationalization.</w:t>
      </w:r>
    </w:p>
    <w:p w14:paraId="0842FA2F" w14:textId="77777777" w:rsidR="005253E1" w:rsidRDefault="005253E1">
      <w:pPr>
        <w:pStyle w:val="Body"/>
        <w:widowControl/>
        <w:spacing w:after="0"/>
        <w:rPr>
          <w:rFonts w:eastAsia="Times New Roman"/>
          <w:sz w:val="20"/>
          <w:szCs w:val="20"/>
          <w:lang w:eastAsia="zh-CN"/>
        </w:rPr>
      </w:pPr>
    </w:p>
    <w:p w14:paraId="0C848C5C"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A further comparison of the regression results for different dependent variables reveals that the impact coefficient of ESG performance on OFDI flow (4.078 after including control variables) is significantly larger than that on OFDI frequency (0.905 after including control variables), and this coefficient difference carries important economic implications. OFDI frequency reflects the number of times a firm conducts OFDI, representing the breadth of its internationalization layout; while OFDI flow reflects the scale of a firm's single OFDI project, representing the depth of its internationalization layout. The above results indicate that ESG performance can not only drive multinational corporations to increase the frequency of OFDI and expand their global market coverage, but also significantly boost the scale of their single OFDI projects, supporting them to carry out deeper industrial layout and resource integration in host countries. The underlying reason for this phenomenon is that large-scale OFDI is often accompanied by higher political risks, market risks </w:t>
      </w:r>
      <w:r>
        <w:rPr>
          <w:rFonts w:eastAsia="Times New Roman" w:hint="eastAsia"/>
          <w:sz w:val="20"/>
          <w:szCs w:val="20"/>
          <w:lang w:eastAsia="zh-CN"/>
        </w:rPr>
        <w:lastRenderedPageBreak/>
        <w:t>and longer investment payback periods, which impose higher requirements on firms' risk-bearing capacity, financial strength and the level of trust they receive from host countries. Firms with excellent ESG performance, by virtue of their lower systemic risks, stronger financing capacity and better reputational foundation, are more capable of bearing the risks of large-scale investments and more likely to gain recognition from host country governments and markets, thereby enabling them to conduct larger-scale greenfield investments and cross-border mergers and acquisitions.</w:t>
      </w:r>
    </w:p>
    <w:p w14:paraId="54094A23" w14:textId="77777777" w:rsidR="005253E1" w:rsidRDefault="005253E1">
      <w:pPr>
        <w:pStyle w:val="Body"/>
        <w:widowControl/>
        <w:spacing w:after="0"/>
        <w:rPr>
          <w:rFonts w:eastAsia="Times New Roman"/>
          <w:sz w:val="20"/>
          <w:szCs w:val="20"/>
          <w:lang w:eastAsia="zh-CN"/>
        </w:rPr>
      </w:pPr>
    </w:p>
    <w:p w14:paraId="036DFAB5" w14:textId="77777777" w:rsidR="005253E1" w:rsidRDefault="00000000">
      <w:pPr>
        <w:widowControl/>
        <w:autoSpaceDE w:val="0"/>
        <w:autoSpaceDN w:val="0"/>
        <w:adjustRightInd w:val="0"/>
        <w:jc w:val="both"/>
        <w:rPr>
          <w:rFonts w:eastAsia="Times New Roman"/>
          <w:b/>
          <w:bCs/>
          <w:sz w:val="20"/>
          <w:lang w:eastAsia="zh-CN"/>
        </w:rPr>
      </w:pPr>
      <w:r>
        <w:rPr>
          <w:rFonts w:eastAsia="Times New Roman"/>
          <w:b/>
          <w:bCs/>
          <w:sz w:val="20"/>
          <w:lang w:eastAsia="zh-CN"/>
        </w:rPr>
        <w:t xml:space="preserve">Table </w:t>
      </w:r>
      <w:r>
        <w:rPr>
          <w:rFonts w:eastAsia="Times New Roman" w:hint="eastAsia"/>
          <w:b/>
          <w:bCs/>
          <w:sz w:val="20"/>
          <w:lang w:eastAsia="zh-CN"/>
        </w:rPr>
        <w:t>1</w:t>
      </w:r>
      <w:r>
        <w:rPr>
          <w:rFonts w:eastAsia="Times New Roman"/>
          <w:b/>
          <w:bCs/>
          <w:sz w:val="20"/>
          <w:lang w:eastAsia="zh-CN"/>
        </w:rPr>
        <w:t>: Benchmark Regression Results</w:t>
      </w:r>
    </w:p>
    <w:tbl>
      <w:tblPr>
        <w:tblW w:w="4994" w:type="pct"/>
        <w:tblLook w:val="04A0" w:firstRow="1" w:lastRow="0" w:firstColumn="1" w:lastColumn="0" w:noHBand="0" w:noVBand="1"/>
      </w:tblPr>
      <w:tblGrid>
        <w:gridCol w:w="2218"/>
        <w:gridCol w:w="1634"/>
        <w:gridCol w:w="2198"/>
        <w:gridCol w:w="1863"/>
        <w:gridCol w:w="1652"/>
      </w:tblGrid>
      <w:tr w:rsidR="005253E1" w14:paraId="2713606C" w14:textId="77777777">
        <w:trPr>
          <w:trHeight w:val="313"/>
        </w:trPr>
        <w:tc>
          <w:tcPr>
            <w:tcW w:w="941" w:type="pct"/>
            <w:vMerge w:val="restart"/>
            <w:tcBorders>
              <w:top w:val="single" w:sz="12" w:space="0" w:color="000000"/>
              <w:left w:val="nil"/>
              <w:bottom w:val="single" w:sz="12" w:space="0" w:color="000000"/>
              <w:right w:val="nil"/>
            </w:tcBorders>
            <w:noWrap/>
            <w:vAlign w:val="center"/>
          </w:tcPr>
          <w:p w14:paraId="2D37AB00" w14:textId="77777777" w:rsidR="005253E1" w:rsidRDefault="00000000">
            <w:pPr>
              <w:jc w:val="center"/>
              <w:rPr>
                <w:rFonts w:eastAsia="SimSun"/>
                <w:b/>
                <w:bCs/>
                <w:sz w:val="20"/>
                <w:szCs w:val="20"/>
              </w:rPr>
            </w:pPr>
            <w:r>
              <w:rPr>
                <w:rFonts w:eastAsia="SimSun"/>
                <w:b/>
                <w:bCs/>
                <w:sz w:val="20"/>
                <w:szCs w:val="20"/>
                <w:lang w:eastAsia="zh-CN"/>
              </w:rPr>
              <w:t>Variable</w:t>
            </w:r>
          </w:p>
        </w:tc>
        <w:tc>
          <w:tcPr>
            <w:tcW w:w="908" w:type="pct"/>
            <w:tcBorders>
              <w:top w:val="single" w:sz="12" w:space="0" w:color="000000"/>
              <w:left w:val="nil"/>
              <w:bottom w:val="nil"/>
              <w:right w:val="nil"/>
            </w:tcBorders>
            <w:noWrap/>
            <w:vAlign w:val="center"/>
          </w:tcPr>
          <w:p w14:paraId="4BA7F026" w14:textId="77777777" w:rsidR="005253E1" w:rsidRDefault="00000000">
            <w:pPr>
              <w:jc w:val="center"/>
              <w:rPr>
                <w:rFonts w:eastAsia="SimSun"/>
                <w:b/>
                <w:bCs/>
                <w:sz w:val="20"/>
                <w:szCs w:val="20"/>
              </w:rPr>
            </w:pPr>
            <w:r>
              <w:rPr>
                <w:rFonts w:eastAsia="SimSun"/>
                <w:b/>
                <w:bCs/>
                <w:sz w:val="20"/>
                <w:szCs w:val="20"/>
                <w:lang w:eastAsia="zh-CN"/>
              </w:rPr>
              <w:t>(1)</w:t>
            </w:r>
          </w:p>
        </w:tc>
        <w:tc>
          <w:tcPr>
            <w:tcW w:w="1203" w:type="pct"/>
            <w:tcBorders>
              <w:top w:val="single" w:sz="12" w:space="0" w:color="000000"/>
              <w:left w:val="nil"/>
              <w:bottom w:val="nil"/>
              <w:right w:val="nil"/>
            </w:tcBorders>
            <w:noWrap/>
            <w:vAlign w:val="center"/>
          </w:tcPr>
          <w:p w14:paraId="04B4B0C8" w14:textId="77777777" w:rsidR="005253E1" w:rsidRDefault="00000000">
            <w:pPr>
              <w:jc w:val="center"/>
              <w:rPr>
                <w:rFonts w:eastAsia="SimSun"/>
                <w:b/>
                <w:bCs/>
                <w:sz w:val="20"/>
                <w:szCs w:val="20"/>
              </w:rPr>
            </w:pPr>
            <w:r>
              <w:rPr>
                <w:rFonts w:eastAsia="SimSun"/>
                <w:b/>
                <w:bCs/>
                <w:sz w:val="20"/>
                <w:szCs w:val="20"/>
                <w:lang w:eastAsia="zh-CN"/>
              </w:rPr>
              <w:t>(2)</w:t>
            </w:r>
          </w:p>
        </w:tc>
        <w:tc>
          <w:tcPr>
            <w:tcW w:w="1028" w:type="pct"/>
            <w:tcBorders>
              <w:top w:val="single" w:sz="12" w:space="0" w:color="000000"/>
              <w:left w:val="nil"/>
              <w:bottom w:val="nil"/>
              <w:right w:val="nil"/>
            </w:tcBorders>
            <w:noWrap/>
            <w:vAlign w:val="center"/>
          </w:tcPr>
          <w:p w14:paraId="22EEAD5E" w14:textId="77777777" w:rsidR="005253E1" w:rsidRDefault="00000000">
            <w:pPr>
              <w:jc w:val="center"/>
              <w:rPr>
                <w:rFonts w:eastAsia="SimSun"/>
                <w:b/>
                <w:bCs/>
                <w:sz w:val="20"/>
                <w:szCs w:val="20"/>
              </w:rPr>
            </w:pPr>
            <w:r>
              <w:rPr>
                <w:rFonts w:eastAsia="SimSun"/>
                <w:b/>
                <w:bCs/>
                <w:sz w:val="20"/>
                <w:szCs w:val="20"/>
                <w:lang w:eastAsia="zh-CN"/>
              </w:rPr>
              <w:t>(3)</w:t>
            </w:r>
          </w:p>
        </w:tc>
        <w:tc>
          <w:tcPr>
            <w:tcW w:w="917" w:type="pct"/>
            <w:tcBorders>
              <w:top w:val="single" w:sz="12" w:space="0" w:color="000000"/>
              <w:left w:val="nil"/>
              <w:bottom w:val="nil"/>
              <w:right w:val="nil"/>
            </w:tcBorders>
            <w:noWrap/>
            <w:vAlign w:val="center"/>
          </w:tcPr>
          <w:p w14:paraId="397DB847" w14:textId="77777777" w:rsidR="005253E1" w:rsidRDefault="00000000">
            <w:pPr>
              <w:jc w:val="center"/>
              <w:rPr>
                <w:rFonts w:eastAsia="SimSun"/>
                <w:b/>
                <w:bCs/>
                <w:sz w:val="20"/>
                <w:szCs w:val="20"/>
                <w:lang w:eastAsia="zh-CN"/>
              </w:rPr>
            </w:pPr>
            <w:r>
              <w:rPr>
                <w:rFonts w:eastAsia="SimSun" w:hint="eastAsia"/>
                <w:b/>
                <w:bCs/>
                <w:sz w:val="20"/>
                <w:szCs w:val="20"/>
                <w:lang w:eastAsia="zh-CN"/>
              </w:rPr>
              <w:t>(4)</w:t>
            </w:r>
          </w:p>
        </w:tc>
      </w:tr>
      <w:tr w:rsidR="005253E1" w14:paraId="03201B50" w14:textId="77777777">
        <w:trPr>
          <w:trHeight w:val="313"/>
        </w:trPr>
        <w:tc>
          <w:tcPr>
            <w:tcW w:w="941" w:type="pct"/>
            <w:vMerge/>
            <w:tcBorders>
              <w:top w:val="single" w:sz="12" w:space="0" w:color="000000"/>
              <w:left w:val="nil"/>
              <w:bottom w:val="single" w:sz="12" w:space="0" w:color="000000"/>
              <w:right w:val="nil"/>
            </w:tcBorders>
            <w:noWrap/>
            <w:vAlign w:val="center"/>
          </w:tcPr>
          <w:p w14:paraId="2D66E6E7" w14:textId="77777777" w:rsidR="005253E1" w:rsidRDefault="005253E1">
            <w:pPr>
              <w:jc w:val="center"/>
              <w:rPr>
                <w:rFonts w:eastAsia="SimSun"/>
                <w:b/>
                <w:bCs/>
                <w:sz w:val="20"/>
                <w:szCs w:val="20"/>
              </w:rPr>
            </w:pPr>
          </w:p>
        </w:tc>
        <w:tc>
          <w:tcPr>
            <w:tcW w:w="908" w:type="pct"/>
            <w:tcBorders>
              <w:top w:val="nil"/>
              <w:left w:val="nil"/>
              <w:bottom w:val="single" w:sz="12" w:space="0" w:color="000000"/>
              <w:right w:val="nil"/>
            </w:tcBorders>
            <w:noWrap/>
            <w:vAlign w:val="center"/>
          </w:tcPr>
          <w:p w14:paraId="5FB4F353" w14:textId="77777777" w:rsidR="005253E1" w:rsidRDefault="00000000">
            <w:pPr>
              <w:jc w:val="center"/>
              <w:rPr>
                <w:rFonts w:eastAsia="SimSun"/>
                <w:b/>
                <w:bCs/>
                <w:sz w:val="20"/>
                <w:szCs w:val="20"/>
              </w:rPr>
            </w:pPr>
            <w:r>
              <w:rPr>
                <w:rFonts w:eastAsia="SimSun" w:hint="eastAsia"/>
                <w:b/>
                <w:bCs/>
                <w:sz w:val="20"/>
                <w:szCs w:val="20"/>
                <w:lang w:eastAsia="zh-CN"/>
              </w:rPr>
              <w:t>OFDI</w:t>
            </w:r>
          </w:p>
        </w:tc>
        <w:tc>
          <w:tcPr>
            <w:tcW w:w="1203" w:type="pct"/>
            <w:tcBorders>
              <w:top w:val="nil"/>
              <w:left w:val="nil"/>
              <w:bottom w:val="single" w:sz="12" w:space="0" w:color="000000"/>
              <w:right w:val="nil"/>
            </w:tcBorders>
            <w:noWrap/>
            <w:vAlign w:val="center"/>
          </w:tcPr>
          <w:p w14:paraId="3BE794F7" w14:textId="77777777" w:rsidR="005253E1" w:rsidRDefault="00000000">
            <w:pPr>
              <w:jc w:val="center"/>
              <w:rPr>
                <w:rFonts w:eastAsia="SimSun"/>
                <w:b/>
                <w:bCs/>
                <w:sz w:val="20"/>
                <w:szCs w:val="20"/>
              </w:rPr>
            </w:pPr>
            <w:r>
              <w:rPr>
                <w:rFonts w:eastAsia="SimSun" w:hint="eastAsia"/>
                <w:b/>
                <w:bCs/>
                <w:sz w:val="20"/>
                <w:szCs w:val="20"/>
                <w:lang w:eastAsia="zh-CN"/>
              </w:rPr>
              <w:t>OFDI</w:t>
            </w:r>
          </w:p>
        </w:tc>
        <w:tc>
          <w:tcPr>
            <w:tcW w:w="1028" w:type="pct"/>
            <w:tcBorders>
              <w:top w:val="nil"/>
              <w:left w:val="nil"/>
              <w:bottom w:val="single" w:sz="12" w:space="0" w:color="000000"/>
              <w:right w:val="nil"/>
            </w:tcBorders>
            <w:noWrap/>
            <w:vAlign w:val="center"/>
          </w:tcPr>
          <w:p w14:paraId="3E4A8B17" w14:textId="77777777" w:rsidR="005253E1" w:rsidRDefault="00000000">
            <w:pPr>
              <w:jc w:val="center"/>
              <w:rPr>
                <w:rFonts w:eastAsia="SimSun"/>
                <w:b/>
                <w:bCs/>
                <w:sz w:val="20"/>
                <w:szCs w:val="20"/>
              </w:rPr>
            </w:pPr>
            <w:r>
              <w:rPr>
                <w:rFonts w:eastAsia="SimSun" w:hint="eastAsia"/>
                <w:b/>
                <w:bCs/>
                <w:sz w:val="20"/>
                <w:szCs w:val="20"/>
                <w:lang w:eastAsia="zh-CN"/>
              </w:rPr>
              <w:t>OFDI_F</w:t>
            </w:r>
          </w:p>
        </w:tc>
        <w:tc>
          <w:tcPr>
            <w:tcW w:w="917" w:type="pct"/>
            <w:tcBorders>
              <w:top w:val="nil"/>
              <w:left w:val="nil"/>
              <w:bottom w:val="single" w:sz="12" w:space="0" w:color="000000"/>
              <w:right w:val="nil"/>
            </w:tcBorders>
            <w:noWrap/>
            <w:vAlign w:val="center"/>
          </w:tcPr>
          <w:p w14:paraId="4CC6D682" w14:textId="77777777" w:rsidR="005253E1" w:rsidRDefault="00000000">
            <w:pPr>
              <w:jc w:val="center"/>
              <w:rPr>
                <w:rFonts w:eastAsia="SimSun"/>
                <w:b/>
                <w:bCs/>
                <w:sz w:val="20"/>
                <w:szCs w:val="20"/>
                <w:lang w:eastAsia="zh-CN"/>
              </w:rPr>
            </w:pPr>
            <w:r>
              <w:rPr>
                <w:rFonts w:eastAsia="SimSun" w:hint="eastAsia"/>
                <w:b/>
                <w:bCs/>
                <w:sz w:val="20"/>
                <w:szCs w:val="20"/>
                <w:lang w:eastAsia="zh-CN"/>
              </w:rPr>
              <w:t>OFDI_F</w:t>
            </w:r>
          </w:p>
        </w:tc>
      </w:tr>
      <w:tr w:rsidR="005253E1" w14:paraId="57D47B5A" w14:textId="77777777">
        <w:trPr>
          <w:trHeight w:val="313"/>
        </w:trPr>
        <w:tc>
          <w:tcPr>
            <w:tcW w:w="941" w:type="pct"/>
            <w:vMerge w:val="restart"/>
            <w:tcBorders>
              <w:top w:val="nil"/>
              <w:left w:val="nil"/>
              <w:bottom w:val="nil"/>
              <w:right w:val="nil"/>
            </w:tcBorders>
            <w:noWrap/>
            <w:vAlign w:val="center"/>
          </w:tcPr>
          <w:p w14:paraId="01C476A0" w14:textId="77777777" w:rsidR="005253E1" w:rsidRDefault="00000000">
            <w:pPr>
              <w:jc w:val="center"/>
              <w:rPr>
                <w:rFonts w:eastAsia="SimSun"/>
                <w:sz w:val="20"/>
                <w:szCs w:val="20"/>
                <w:lang w:eastAsia="zh-CN"/>
              </w:rPr>
            </w:pPr>
            <w:r>
              <w:rPr>
                <w:rFonts w:eastAsia="SimSun"/>
                <w:sz w:val="20"/>
                <w:szCs w:val="20"/>
                <w:lang w:eastAsia="zh-CN"/>
              </w:rPr>
              <w:t>ESG</w:t>
            </w:r>
          </w:p>
        </w:tc>
        <w:tc>
          <w:tcPr>
            <w:tcW w:w="908" w:type="pct"/>
            <w:tcBorders>
              <w:top w:val="nil"/>
              <w:left w:val="nil"/>
              <w:bottom w:val="nil"/>
              <w:right w:val="nil"/>
            </w:tcBorders>
            <w:noWrap/>
            <w:vAlign w:val="center"/>
          </w:tcPr>
          <w:p w14:paraId="69079232" w14:textId="77777777" w:rsidR="005253E1" w:rsidRDefault="00000000">
            <w:pPr>
              <w:jc w:val="center"/>
              <w:rPr>
                <w:rFonts w:eastAsia="SimSun"/>
                <w:sz w:val="20"/>
                <w:szCs w:val="20"/>
                <w:lang w:eastAsia="zh-CN"/>
              </w:rPr>
            </w:pPr>
            <w:r>
              <w:rPr>
                <w:rFonts w:eastAsia="SimSun"/>
                <w:sz w:val="20"/>
                <w:szCs w:val="20"/>
                <w:lang w:eastAsia="zh-CN"/>
              </w:rPr>
              <w:t>3.343***</w:t>
            </w:r>
          </w:p>
        </w:tc>
        <w:tc>
          <w:tcPr>
            <w:tcW w:w="1203" w:type="pct"/>
            <w:tcBorders>
              <w:top w:val="nil"/>
              <w:left w:val="nil"/>
              <w:bottom w:val="nil"/>
              <w:right w:val="nil"/>
            </w:tcBorders>
            <w:noWrap/>
            <w:vAlign w:val="center"/>
          </w:tcPr>
          <w:p w14:paraId="6280703C" w14:textId="77777777" w:rsidR="005253E1" w:rsidRDefault="00000000">
            <w:pPr>
              <w:jc w:val="center"/>
              <w:rPr>
                <w:rFonts w:eastAsia="SimSun"/>
                <w:sz w:val="20"/>
                <w:szCs w:val="20"/>
                <w:lang w:eastAsia="zh-CN"/>
              </w:rPr>
            </w:pPr>
            <w:r>
              <w:rPr>
                <w:rFonts w:eastAsia="SimSun"/>
                <w:sz w:val="20"/>
                <w:szCs w:val="20"/>
                <w:lang w:eastAsia="zh-CN"/>
              </w:rPr>
              <w:t>4.078***</w:t>
            </w:r>
          </w:p>
        </w:tc>
        <w:tc>
          <w:tcPr>
            <w:tcW w:w="1028" w:type="pct"/>
            <w:tcBorders>
              <w:top w:val="nil"/>
              <w:left w:val="nil"/>
              <w:bottom w:val="nil"/>
              <w:right w:val="nil"/>
            </w:tcBorders>
            <w:noWrap/>
            <w:vAlign w:val="center"/>
          </w:tcPr>
          <w:p w14:paraId="745E8B74" w14:textId="77777777" w:rsidR="005253E1" w:rsidRDefault="00000000">
            <w:pPr>
              <w:jc w:val="center"/>
              <w:rPr>
                <w:rFonts w:eastAsia="SimSun"/>
                <w:sz w:val="20"/>
                <w:szCs w:val="20"/>
                <w:lang w:eastAsia="zh-CN"/>
              </w:rPr>
            </w:pPr>
            <w:r>
              <w:rPr>
                <w:rFonts w:eastAsia="SimSun"/>
                <w:sz w:val="20"/>
                <w:szCs w:val="20"/>
                <w:lang w:eastAsia="zh-CN"/>
              </w:rPr>
              <w:t>0.895***</w:t>
            </w:r>
          </w:p>
        </w:tc>
        <w:tc>
          <w:tcPr>
            <w:tcW w:w="917" w:type="pct"/>
            <w:tcBorders>
              <w:top w:val="nil"/>
              <w:left w:val="nil"/>
              <w:bottom w:val="nil"/>
              <w:right w:val="nil"/>
            </w:tcBorders>
            <w:noWrap/>
            <w:vAlign w:val="center"/>
          </w:tcPr>
          <w:p w14:paraId="6A18E34A" w14:textId="77777777" w:rsidR="005253E1" w:rsidRDefault="00000000">
            <w:pPr>
              <w:jc w:val="center"/>
              <w:rPr>
                <w:rFonts w:eastAsia="SimSun"/>
                <w:sz w:val="20"/>
                <w:szCs w:val="20"/>
                <w:lang w:eastAsia="zh-CN"/>
              </w:rPr>
            </w:pPr>
            <w:r>
              <w:rPr>
                <w:rFonts w:eastAsia="SimSun"/>
                <w:sz w:val="20"/>
                <w:szCs w:val="20"/>
                <w:lang w:eastAsia="zh-CN"/>
              </w:rPr>
              <w:t xml:space="preserve">0.905***  </w:t>
            </w:r>
          </w:p>
        </w:tc>
      </w:tr>
      <w:tr w:rsidR="005253E1" w14:paraId="76BDF58F" w14:textId="77777777">
        <w:trPr>
          <w:trHeight w:val="244"/>
        </w:trPr>
        <w:tc>
          <w:tcPr>
            <w:tcW w:w="941" w:type="pct"/>
            <w:vMerge/>
            <w:tcBorders>
              <w:top w:val="nil"/>
              <w:left w:val="nil"/>
              <w:bottom w:val="nil"/>
              <w:right w:val="nil"/>
            </w:tcBorders>
            <w:noWrap/>
            <w:vAlign w:val="center"/>
          </w:tcPr>
          <w:p w14:paraId="0D8D1400"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7844F17A" w14:textId="77777777" w:rsidR="005253E1" w:rsidRDefault="00000000">
            <w:pPr>
              <w:jc w:val="center"/>
              <w:rPr>
                <w:rFonts w:eastAsia="SimSun"/>
                <w:sz w:val="20"/>
                <w:szCs w:val="20"/>
                <w:lang w:eastAsia="zh-CN"/>
              </w:rPr>
            </w:pPr>
            <w:r>
              <w:rPr>
                <w:rFonts w:eastAsia="SimSun"/>
                <w:sz w:val="20"/>
                <w:szCs w:val="20"/>
                <w:lang w:eastAsia="zh-CN"/>
              </w:rPr>
              <w:t>(1.050)</w:t>
            </w:r>
          </w:p>
        </w:tc>
        <w:tc>
          <w:tcPr>
            <w:tcW w:w="1203" w:type="pct"/>
            <w:tcBorders>
              <w:top w:val="nil"/>
              <w:left w:val="nil"/>
              <w:bottom w:val="nil"/>
              <w:right w:val="nil"/>
            </w:tcBorders>
            <w:noWrap/>
            <w:vAlign w:val="center"/>
          </w:tcPr>
          <w:p w14:paraId="07F0DF58" w14:textId="77777777" w:rsidR="005253E1" w:rsidRDefault="00000000">
            <w:pPr>
              <w:jc w:val="center"/>
              <w:rPr>
                <w:rFonts w:eastAsia="SimSun"/>
                <w:sz w:val="20"/>
                <w:szCs w:val="20"/>
                <w:lang w:eastAsia="zh-CN"/>
              </w:rPr>
            </w:pPr>
            <w:r>
              <w:rPr>
                <w:rFonts w:eastAsia="SimSun"/>
                <w:sz w:val="20"/>
                <w:szCs w:val="20"/>
                <w:lang w:eastAsia="zh-CN"/>
              </w:rPr>
              <w:t>(1.181)</w:t>
            </w:r>
          </w:p>
        </w:tc>
        <w:tc>
          <w:tcPr>
            <w:tcW w:w="1028" w:type="pct"/>
            <w:tcBorders>
              <w:top w:val="nil"/>
              <w:left w:val="nil"/>
              <w:bottom w:val="nil"/>
              <w:right w:val="nil"/>
            </w:tcBorders>
            <w:noWrap/>
            <w:vAlign w:val="center"/>
          </w:tcPr>
          <w:p w14:paraId="3EB4D68F" w14:textId="77777777" w:rsidR="005253E1" w:rsidRDefault="00000000">
            <w:pPr>
              <w:jc w:val="center"/>
              <w:rPr>
                <w:rFonts w:eastAsia="SimSun"/>
                <w:sz w:val="20"/>
                <w:szCs w:val="20"/>
                <w:lang w:eastAsia="zh-CN"/>
              </w:rPr>
            </w:pPr>
            <w:r>
              <w:rPr>
                <w:rFonts w:eastAsia="SimSun"/>
                <w:sz w:val="20"/>
                <w:szCs w:val="20"/>
                <w:lang w:eastAsia="zh-CN"/>
              </w:rPr>
              <w:t>(0.202)</w:t>
            </w:r>
          </w:p>
        </w:tc>
        <w:tc>
          <w:tcPr>
            <w:tcW w:w="917" w:type="pct"/>
            <w:tcBorders>
              <w:top w:val="nil"/>
              <w:left w:val="nil"/>
              <w:bottom w:val="nil"/>
              <w:right w:val="nil"/>
            </w:tcBorders>
            <w:noWrap/>
            <w:vAlign w:val="center"/>
          </w:tcPr>
          <w:p w14:paraId="3A981081" w14:textId="77777777" w:rsidR="005253E1" w:rsidRDefault="00000000">
            <w:pPr>
              <w:jc w:val="center"/>
              <w:rPr>
                <w:rFonts w:eastAsia="SimSun"/>
                <w:sz w:val="20"/>
                <w:szCs w:val="20"/>
                <w:lang w:eastAsia="zh-CN"/>
              </w:rPr>
            </w:pPr>
            <w:r>
              <w:rPr>
                <w:rFonts w:eastAsia="SimSun"/>
                <w:sz w:val="20"/>
                <w:szCs w:val="20"/>
                <w:lang w:eastAsia="zh-CN"/>
              </w:rPr>
              <w:t>(0.231)</w:t>
            </w:r>
          </w:p>
        </w:tc>
      </w:tr>
      <w:tr w:rsidR="005253E1" w14:paraId="423FE542" w14:textId="77777777">
        <w:trPr>
          <w:trHeight w:val="244"/>
        </w:trPr>
        <w:tc>
          <w:tcPr>
            <w:tcW w:w="941" w:type="pct"/>
            <w:vMerge w:val="restart"/>
            <w:tcBorders>
              <w:top w:val="nil"/>
              <w:left w:val="nil"/>
              <w:bottom w:val="nil"/>
              <w:right w:val="nil"/>
            </w:tcBorders>
            <w:noWrap/>
            <w:vAlign w:val="center"/>
          </w:tcPr>
          <w:p w14:paraId="708260D6" w14:textId="77777777" w:rsidR="005253E1" w:rsidRDefault="00000000">
            <w:pPr>
              <w:jc w:val="center"/>
              <w:rPr>
                <w:rFonts w:eastAsia="SimSun"/>
                <w:sz w:val="20"/>
                <w:szCs w:val="20"/>
                <w:lang w:eastAsia="zh-CN"/>
              </w:rPr>
            </w:pPr>
            <w:r>
              <w:rPr>
                <w:rFonts w:eastAsia="SimSun" w:hint="eastAsia"/>
                <w:sz w:val="20"/>
                <w:szCs w:val="20"/>
                <w:lang w:eastAsia="zh-CN"/>
              </w:rPr>
              <w:t>Asset-Liability Ratio</w:t>
            </w:r>
          </w:p>
        </w:tc>
        <w:tc>
          <w:tcPr>
            <w:tcW w:w="908" w:type="pct"/>
            <w:tcBorders>
              <w:top w:val="nil"/>
              <w:left w:val="nil"/>
              <w:bottom w:val="nil"/>
              <w:right w:val="nil"/>
            </w:tcBorders>
            <w:noWrap/>
            <w:vAlign w:val="center"/>
          </w:tcPr>
          <w:p w14:paraId="54C9F58A"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62DD9C74" w14:textId="77777777" w:rsidR="005253E1" w:rsidRDefault="00000000">
            <w:pPr>
              <w:jc w:val="center"/>
              <w:rPr>
                <w:rFonts w:eastAsia="SimSun"/>
                <w:sz w:val="20"/>
                <w:szCs w:val="20"/>
                <w:lang w:eastAsia="zh-CN"/>
              </w:rPr>
            </w:pPr>
            <w:r>
              <w:rPr>
                <w:rFonts w:eastAsia="SimSun"/>
                <w:sz w:val="20"/>
                <w:szCs w:val="20"/>
                <w:lang w:eastAsia="zh-CN"/>
              </w:rPr>
              <w:t>1.834**</w:t>
            </w:r>
          </w:p>
        </w:tc>
        <w:tc>
          <w:tcPr>
            <w:tcW w:w="1028" w:type="pct"/>
            <w:tcBorders>
              <w:top w:val="nil"/>
              <w:left w:val="nil"/>
              <w:bottom w:val="nil"/>
              <w:right w:val="nil"/>
            </w:tcBorders>
            <w:noWrap/>
            <w:vAlign w:val="center"/>
          </w:tcPr>
          <w:p w14:paraId="6AC7E880"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122F78F4" w14:textId="77777777" w:rsidR="005253E1" w:rsidRDefault="00000000">
            <w:pPr>
              <w:jc w:val="center"/>
              <w:rPr>
                <w:rFonts w:eastAsia="SimSun"/>
                <w:sz w:val="20"/>
                <w:szCs w:val="20"/>
                <w:lang w:eastAsia="zh-CN"/>
              </w:rPr>
            </w:pPr>
            <w:r>
              <w:rPr>
                <w:rFonts w:eastAsia="SimSun"/>
                <w:sz w:val="20"/>
                <w:szCs w:val="20"/>
                <w:lang w:eastAsia="zh-CN"/>
              </w:rPr>
              <w:t xml:space="preserve">0.219*  </w:t>
            </w:r>
          </w:p>
        </w:tc>
      </w:tr>
      <w:tr w:rsidR="005253E1" w14:paraId="726459F6" w14:textId="77777777">
        <w:trPr>
          <w:trHeight w:val="244"/>
        </w:trPr>
        <w:tc>
          <w:tcPr>
            <w:tcW w:w="941" w:type="pct"/>
            <w:vMerge/>
            <w:tcBorders>
              <w:top w:val="nil"/>
              <w:left w:val="nil"/>
              <w:bottom w:val="nil"/>
              <w:right w:val="nil"/>
            </w:tcBorders>
            <w:noWrap/>
            <w:vAlign w:val="center"/>
          </w:tcPr>
          <w:p w14:paraId="284AECCB"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5D6AFD17"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6C7C30EC" w14:textId="77777777" w:rsidR="005253E1" w:rsidRDefault="00000000">
            <w:pPr>
              <w:jc w:val="center"/>
              <w:rPr>
                <w:rFonts w:eastAsia="SimSun"/>
                <w:sz w:val="20"/>
                <w:szCs w:val="20"/>
                <w:lang w:eastAsia="zh-CN"/>
              </w:rPr>
            </w:pPr>
            <w:r>
              <w:rPr>
                <w:rFonts w:eastAsia="SimSun"/>
                <w:sz w:val="20"/>
                <w:szCs w:val="20"/>
                <w:lang w:eastAsia="zh-CN"/>
              </w:rPr>
              <w:t>(0.734)</w:t>
            </w:r>
          </w:p>
        </w:tc>
        <w:tc>
          <w:tcPr>
            <w:tcW w:w="1028" w:type="pct"/>
            <w:tcBorders>
              <w:top w:val="nil"/>
              <w:left w:val="nil"/>
              <w:bottom w:val="nil"/>
              <w:right w:val="nil"/>
            </w:tcBorders>
            <w:noWrap/>
            <w:vAlign w:val="center"/>
          </w:tcPr>
          <w:p w14:paraId="736DB834"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5340A770" w14:textId="77777777" w:rsidR="005253E1" w:rsidRDefault="00000000">
            <w:pPr>
              <w:jc w:val="center"/>
              <w:rPr>
                <w:rFonts w:eastAsia="SimSun"/>
                <w:sz w:val="20"/>
                <w:szCs w:val="20"/>
                <w:lang w:eastAsia="zh-CN"/>
              </w:rPr>
            </w:pPr>
            <w:r>
              <w:rPr>
                <w:rFonts w:eastAsia="SimSun"/>
                <w:sz w:val="20"/>
                <w:szCs w:val="20"/>
                <w:lang w:eastAsia="zh-CN"/>
              </w:rPr>
              <w:t>(0.123)</w:t>
            </w:r>
          </w:p>
        </w:tc>
      </w:tr>
      <w:tr w:rsidR="005253E1" w14:paraId="0133E413" w14:textId="77777777">
        <w:trPr>
          <w:trHeight w:val="244"/>
        </w:trPr>
        <w:tc>
          <w:tcPr>
            <w:tcW w:w="941" w:type="pct"/>
            <w:vMerge w:val="restart"/>
            <w:tcBorders>
              <w:top w:val="nil"/>
              <w:left w:val="nil"/>
              <w:bottom w:val="nil"/>
              <w:right w:val="nil"/>
            </w:tcBorders>
            <w:shd w:val="clear" w:color="auto" w:fill="FFFFFF"/>
            <w:noWrap/>
            <w:vAlign w:val="center"/>
          </w:tcPr>
          <w:p w14:paraId="0EDC3040" w14:textId="77777777" w:rsidR="005253E1" w:rsidRDefault="00000000">
            <w:pPr>
              <w:jc w:val="center"/>
              <w:rPr>
                <w:rFonts w:eastAsia="SimSun"/>
                <w:sz w:val="20"/>
                <w:szCs w:val="20"/>
                <w:lang w:eastAsia="zh-CN"/>
              </w:rPr>
            </w:pPr>
            <w:r>
              <w:rPr>
                <w:rFonts w:eastAsia="SimSun" w:hint="eastAsia"/>
                <w:sz w:val="20"/>
                <w:szCs w:val="20"/>
                <w:lang w:eastAsia="zh-CN"/>
              </w:rPr>
              <w:t>Cash Ratio</w:t>
            </w:r>
          </w:p>
        </w:tc>
        <w:tc>
          <w:tcPr>
            <w:tcW w:w="908" w:type="pct"/>
            <w:tcBorders>
              <w:top w:val="nil"/>
              <w:left w:val="nil"/>
              <w:bottom w:val="nil"/>
              <w:right w:val="nil"/>
            </w:tcBorders>
            <w:noWrap/>
            <w:vAlign w:val="center"/>
          </w:tcPr>
          <w:p w14:paraId="3033C0B9"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4C7538E5" w14:textId="77777777" w:rsidR="005253E1" w:rsidRDefault="00000000">
            <w:pPr>
              <w:jc w:val="center"/>
              <w:rPr>
                <w:rFonts w:eastAsia="SimSun"/>
                <w:sz w:val="20"/>
                <w:szCs w:val="20"/>
                <w:lang w:eastAsia="zh-CN"/>
              </w:rPr>
            </w:pPr>
            <w:r>
              <w:rPr>
                <w:rFonts w:eastAsia="SimSun"/>
                <w:sz w:val="20"/>
                <w:szCs w:val="20"/>
                <w:lang w:eastAsia="zh-CN"/>
              </w:rPr>
              <w:t>0.234**</w:t>
            </w:r>
          </w:p>
        </w:tc>
        <w:tc>
          <w:tcPr>
            <w:tcW w:w="1028" w:type="pct"/>
            <w:tcBorders>
              <w:top w:val="nil"/>
              <w:left w:val="nil"/>
              <w:bottom w:val="nil"/>
              <w:right w:val="nil"/>
            </w:tcBorders>
            <w:noWrap/>
            <w:vAlign w:val="center"/>
          </w:tcPr>
          <w:p w14:paraId="4814922A"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58384174" w14:textId="77777777" w:rsidR="005253E1" w:rsidRDefault="00000000">
            <w:pPr>
              <w:jc w:val="center"/>
              <w:rPr>
                <w:rFonts w:eastAsia="SimSun"/>
                <w:sz w:val="20"/>
                <w:szCs w:val="20"/>
                <w:lang w:eastAsia="zh-CN"/>
              </w:rPr>
            </w:pPr>
            <w:r>
              <w:rPr>
                <w:rFonts w:eastAsia="SimSun"/>
                <w:sz w:val="20"/>
                <w:szCs w:val="20"/>
                <w:lang w:eastAsia="zh-CN"/>
              </w:rPr>
              <w:t xml:space="preserve">0.0158 </w:t>
            </w:r>
          </w:p>
        </w:tc>
      </w:tr>
      <w:tr w:rsidR="005253E1" w14:paraId="49312EB7" w14:textId="77777777">
        <w:trPr>
          <w:trHeight w:val="236"/>
        </w:trPr>
        <w:tc>
          <w:tcPr>
            <w:tcW w:w="941" w:type="pct"/>
            <w:vMerge/>
            <w:tcBorders>
              <w:top w:val="nil"/>
              <w:left w:val="nil"/>
              <w:bottom w:val="nil"/>
              <w:right w:val="nil"/>
            </w:tcBorders>
            <w:shd w:val="clear" w:color="auto" w:fill="FFFFFF"/>
            <w:noWrap/>
            <w:vAlign w:val="center"/>
          </w:tcPr>
          <w:p w14:paraId="3EC153B7"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19B570C5"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60B3F9F9" w14:textId="77777777" w:rsidR="005253E1" w:rsidRDefault="00000000">
            <w:pPr>
              <w:jc w:val="center"/>
              <w:rPr>
                <w:rFonts w:eastAsia="SimSun"/>
                <w:sz w:val="20"/>
                <w:szCs w:val="20"/>
                <w:lang w:eastAsia="zh-CN"/>
              </w:rPr>
            </w:pPr>
            <w:r>
              <w:rPr>
                <w:rFonts w:eastAsia="SimSun"/>
                <w:sz w:val="20"/>
                <w:szCs w:val="20"/>
                <w:lang w:eastAsia="zh-CN"/>
              </w:rPr>
              <w:t>(0.0989)</w:t>
            </w:r>
          </w:p>
        </w:tc>
        <w:tc>
          <w:tcPr>
            <w:tcW w:w="1028" w:type="pct"/>
            <w:tcBorders>
              <w:top w:val="nil"/>
              <w:left w:val="nil"/>
              <w:bottom w:val="nil"/>
              <w:right w:val="nil"/>
            </w:tcBorders>
            <w:noWrap/>
            <w:vAlign w:val="center"/>
          </w:tcPr>
          <w:p w14:paraId="7389BF70"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068220CE" w14:textId="77777777" w:rsidR="005253E1" w:rsidRDefault="00000000">
            <w:pPr>
              <w:jc w:val="center"/>
              <w:rPr>
                <w:rFonts w:eastAsia="SimSun"/>
                <w:sz w:val="20"/>
                <w:szCs w:val="20"/>
                <w:lang w:eastAsia="zh-CN"/>
              </w:rPr>
            </w:pPr>
            <w:r>
              <w:rPr>
                <w:rFonts w:eastAsia="SimSun"/>
                <w:sz w:val="20"/>
                <w:szCs w:val="20"/>
                <w:lang w:eastAsia="zh-CN"/>
              </w:rPr>
              <w:t>(0.0165)</w:t>
            </w:r>
          </w:p>
        </w:tc>
      </w:tr>
      <w:tr w:rsidR="005253E1" w14:paraId="1D7A3AD9" w14:textId="77777777">
        <w:trPr>
          <w:trHeight w:val="244"/>
        </w:trPr>
        <w:tc>
          <w:tcPr>
            <w:tcW w:w="941" w:type="pct"/>
            <w:vMerge w:val="restart"/>
            <w:tcBorders>
              <w:top w:val="nil"/>
              <w:left w:val="nil"/>
              <w:bottom w:val="nil"/>
              <w:right w:val="nil"/>
            </w:tcBorders>
            <w:shd w:val="clear" w:color="auto" w:fill="FFFFFF"/>
            <w:noWrap/>
            <w:vAlign w:val="center"/>
          </w:tcPr>
          <w:p w14:paraId="7ED9FEF0" w14:textId="77777777" w:rsidR="005253E1" w:rsidRDefault="00000000">
            <w:pPr>
              <w:jc w:val="center"/>
              <w:rPr>
                <w:rFonts w:eastAsia="SimSun"/>
                <w:sz w:val="20"/>
                <w:szCs w:val="20"/>
                <w:lang w:eastAsia="zh-CN"/>
              </w:rPr>
            </w:pPr>
            <w:r>
              <w:rPr>
                <w:rFonts w:eastAsia="SimSun" w:hint="eastAsia"/>
                <w:sz w:val="20"/>
                <w:szCs w:val="20"/>
                <w:lang w:eastAsia="zh-CN"/>
              </w:rPr>
              <w:t>Enterprise Age</w:t>
            </w:r>
          </w:p>
        </w:tc>
        <w:tc>
          <w:tcPr>
            <w:tcW w:w="908" w:type="pct"/>
            <w:tcBorders>
              <w:top w:val="nil"/>
              <w:left w:val="nil"/>
              <w:bottom w:val="nil"/>
              <w:right w:val="nil"/>
            </w:tcBorders>
            <w:noWrap/>
            <w:vAlign w:val="center"/>
          </w:tcPr>
          <w:p w14:paraId="0C1642F0"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4D12AD81" w14:textId="77777777" w:rsidR="005253E1" w:rsidRDefault="00000000">
            <w:pPr>
              <w:jc w:val="center"/>
              <w:rPr>
                <w:rFonts w:eastAsia="SimSun"/>
                <w:sz w:val="20"/>
                <w:szCs w:val="20"/>
                <w:lang w:eastAsia="zh-CN"/>
              </w:rPr>
            </w:pPr>
            <w:r>
              <w:rPr>
                <w:rFonts w:eastAsia="SimSun"/>
                <w:sz w:val="20"/>
                <w:szCs w:val="20"/>
                <w:lang w:eastAsia="zh-CN"/>
              </w:rPr>
              <w:t>-1.871***</w:t>
            </w:r>
          </w:p>
        </w:tc>
        <w:tc>
          <w:tcPr>
            <w:tcW w:w="1028" w:type="pct"/>
            <w:tcBorders>
              <w:top w:val="nil"/>
              <w:left w:val="nil"/>
              <w:bottom w:val="nil"/>
              <w:right w:val="nil"/>
            </w:tcBorders>
            <w:noWrap/>
            <w:vAlign w:val="center"/>
          </w:tcPr>
          <w:p w14:paraId="6097102B"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1E542773" w14:textId="77777777" w:rsidR="005253E1" w:rsidRDefault="00000000">
            <w:pPr>
              <w:jc w:val="center"/>
              <w:rPr>
                <w:rFonts w:eastAsia="SimSun"/>
                <w:sz w:val="20"/>
                <w:szCs w:val="20"/>
                <w:lang w:eastAsia="zh-CN"/>
              </w:rPr>
            </w:pPr>
            <w:r>
              <w:rPr>
                <w:rFonts w:eastAsia="SimSun"/>
                <w:sz w:val="20"/>
                <w:szCs w:val="20"/>
                <w:lang w:eastAsia="zh-CN"/>
              </w:rPr>
              <w:t>-0.572***</w:t>
            </w:r>
          </w:p>
        </w:tc>
      </w:tr>
      <w:tr w:rsidR="005253E1" w14:paraId="561BEBC8" w14:textId="77777777">
        <w:trPr>
          <w:trHeight w:val="244"/>
        </w:trPr>
        <w:tc>
          <w:tcPr>
            <w:tcW w:w="941" w:type="pct"/>
            <w:vMerge/>
            <w:tcBorders>
              <w:top w:val="nil"/>
              <w:left w:val="nil"/>
              <w:bottom w:val="nil"/>
              <w:right w:val="nil"/>
            </w:tcBorders>
            <w:shd w:val="clear" w:color="auto" w:fill="FFFFFF"/>
            <w:noWrap/>
            <w:vAlign w:val="center"/>
          </w:tcPr>
          <w:p w14:paraId="75306907"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5D3A1559"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1851CF13" w14:textId="77777777" w:rsidR="005253E1" w:rsidRDefault="00000000">
            <w:pPr>
              <w:jc w:val="center"/>
              <w:rPr>
                <w:rFonts w:eastAsia="SimSun"/>
                <w:sz w:val="20"/>
                <w:szCs w:val="20"/>
                <w:lang w:eastAsia="zh-CN"/>
              </w:rPr>
            </w:pPr>
            <w:r>
              <w:rPr>
                <w:rFonts w:eastAsia="SimSun"/>
                <w:sz w:val="20"/>
                <w:szCs w:val="20"/>
                <w:lang w:eastAsia="zh-CN"/>
              </w:rPr>
              <w:t>(0.808)</w:t>
            </w:r>
          </w:p>
        </w:tc>
        <w:tc>
          <w:tcPr>
            <w:tcW w:w="1028" w:type="pct"/>
            <w:tcBorders>
              <w:top w:val="nil"/>
              <w:left w:val="nil"/>
              <w:bottom w:val="nil"/>
              <w:right w:val="nil"/>
            </w:tcBorders>
            <w:noWrap/>
            <w:vAlign w:val="center"/>
          </w:tcPr>
          <w:p w14:paraId="1581DA48"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319FAF7C" w14:textId="77777777" w:rsidR="005253E1" w:rsidRDefault="00000000">
            <w:pPr>
              <w:jc w:val="center"/>
              <w:rPr>
                <w:rFonts w:eastAsia="SimSun"/>
                <w:sz w:val="20"/>
                <w:szCs w:val="20"/>
                <w:lang w:eastAsia="zh-CN"/>
              </w:rPr>
            </w:pPr>
            <w:r>
              <w:rPr>
                <w:rFonts w:eastAsia="SimSun"/>
                <w:sz w:val="20"/>
                <w:szCs w:val="20"/>
                <w:lang w:eastAsia="zh-CN"/>
              </w:rPr>
              <w:t>(0.151)</w:t>
            </w:r>
          </w:p>
        </w:tc>
      </w:tr>
      <w:tr w:rsidR="005253E1" w14:paraId="601D39D9" w14:textId="77777777">
        <w:trPr>
          <w:trHeight w:val="244"/>
        </w:trPr>
        <w:tc>
          <w:tcPr>
            <w:tcW w:w="941" w:type="pct"/>
            <w:vMerge w:val="restart"/>
            <w:tcBorders>
              <w:top w:val="nil"/>
              <w:left w:val="nil"/>
              <w:bottom w:val="nil"/>
              <w:right w:val="nil"/>
            </w:tcBorders>
            <w:shd w:val="clear" w:color="auto" w:fill="FFFFFF"/>
            <w:noWrap/>
            <w:vAlign w:val="center"/>
          </w:tcPr>
          <w:p w14:paraId="0831394B" w14:textId="77777777" w:rsidR="005253E1" w:rsidRDefault="00000000">
            <w:pPr>
              <w:jc w:val="center"/>
              <w:rPr>
                <w:rFonts w:eastAsia="SimSun"/>
                <w:sz w:val="20"/>
                <w:szCs w:val="20"/>
                <w:lang w:eastAsia="zh-CN"/>
              </w:rPr>
            </w:pPr>
            <w:r>
              <w:rPr>
                <w:rFonts w:eastAsia="SimSun" w:hint="eastAsia"/>
                <w:sz w:val="20"/>
                <w:szCs w:val="20"/>
                <w:lang w:eastAsia="zh-CN"/>
              </w:rPr>
              <w:t>Return On Investment</w:t>
            </w:r>
          </w:p>
        </w:tc>
        <w:tc>
          <w:tcPr>
            <w:tcW w:w="908" w:type="pct"/>
            <w:tcBorders>
              <w:top w:val="nil"/>
              <w:left w:val="nil"/>
              <w:bottom w:val="nil"/>
              <w:right w:val="nil"/>
            </w:tcBorders>
            <w:noWrap/>
            <w:vAlign w:val="center"/>
          </w:tcPr>
          <w:p w14:paraId="636F995B"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4B5B3138" w14:textId="77777777" w:rsidR="005253E1" w:rsidRDefault="00000000">
            <w:pPr>
              <w:jc w:val="center"/>
              <w:rPr>
                <w:rFonts w:eastAsia="SimSun"/>
                <w:sz w:val="20"/>
                <w:szCs w:val="20"/>
                <w:lang w:eastAsia="zh-CN"/>
              </w:rPr>
            </w:pPr>
            <w:r>
              <w:rPr>
                <w:rFonts w:eastAsia="SimSun"/>
                <w:sz w:val="20"/>
                <w:szCs w:val="20"/>
                <w:lang w:eastAsia="zh-CN"/>
              </w:rPr>
              <w:t>0.0462</w:t>
            </w:r>
          </w:p>
        </w:tc>
        <w:tc>
          <w:tcPr>
            <w:tcW w:w="1028" w:type="pct"/>
            <w:tcBorders>
              <w:top w:val="nil"/>
              <w:left w:val="nil"/>
              <w:bottom w:val="nil"/>
              <w:right w:val="nil"/>
            </w:tcBorders>
            <w:noWrap/>
            <w:vAlign w:val="center"/>
          </w:tcPr>
          <w:p w14:paraId="047C002C"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241F4EC2" w14:textId="77777777" w:rsidR="005253E1" w:rsidRDefault="00000000">
            <w:pPr>
              <w:jc w:val="center"/>
              <w:rPr>
                <w:rFonts w:eastAsia="SimSun"/>
                <w:sz w:val="20"/>
                <w:szCs w:val="20"/>
                <w:lang w:eastAsia="zh-CN"/>
              </w:rPr>
            </w:pPr>
            <w:r>
              <w:rPr>
                <w:rFonts w:eastAsia="SimSun"/>
                <w:sz w:val="20"/>
                <w:szCs w:val="20"/>
                <w:lang w:eastAsia="zh-CN"/>
              </w:rPr>
              <w:t>0.00432</w:t>
            </w:r>
          </w:p>
        </w:tc>
      </w:tr>
      <w:tr w:rsidR="005253E1" w14:paraId="007C80C8" w14:textId="77777777">
        <w:trPr>
          <w:trHeight w:val="244"/>
        </w:trPr>
        <w:tc>
          <w:tcPr>
            <w:tcW w:w="941" w:type="pct"/>
            <w:vMerge/>
            <w:tcBorders>
              <w:top w:val="nil"/>
              <w:left w:val="nil"/>
              <w:bottom w:val="nil"/>
              <w:right w:val="nil"/>
            </w:tcBorders>
            <w:shd w:val="clear" w:color="auto" w:fill="FFFFFF"/>
            <w:noWrap/>
            <w:vAlign w:val="center"/>
          </w:tcPr>
          <w:p w14:paraId="5C411DB6"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491DADD4"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12A26846" w14:textId="77777777" w:rsidR="005253E1" w:rsidRDefault="00000000">
            <w:pPr>
              <w:jc w:val="center"/>
              <w:rPr>
                <w:rFonts w:eastAsia="SimSun"/>
                <w:sz w:val="20"/>
                <w:szCs w:val="20"/>
                <w:lang w:eastAsia="zh-CN"/>
              </w:rPr>
            </w:pPr>
            <w:r>
              <w:rPr>
                <w:rFonts w:eastAsia="SimSun"/>
                <w:sz w:val="20"/>
                <w:szCs w:val="20"/>
                <w:lang w:eastAsia="zh-CN"/>
              </w:rPr>
              <w:t>(0.0413)</w:t>
            </w:r>
          </w:p>
        </w:tc>
        <w:tc>
          <w:tcPr>
            <w:tcW w:w="1028" w:type="pct"/>
            <w:tcBorders>
              <w:top w:val="nil"/>
              <w:left w:val="nil"/>
              <w:bottom w:val="nil"/>
              <w:right w:val="nil"/>
            </w:tcBorders>
            <w:noWrap/>
            <w:vAlign w:val="center"/>
          </w:tcPr>
          <w:p w14:paraId="7B86F920"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04104D92" w14:textId="77777777" w:rsidR="005253E1" w:rsidRDefault="00000000">
            <w:pPr>
              <w:jc w:val="center"/>
              <w:rPr>
                <w:rFonts w:eastAsia="SimSun"/>
                <w:sz w:val="20"/>
                <w:szCs w:val="20"/>
                <w:lang w:eastAsia="zh-CN"/>
              </w:rPr>
            </w:pPr>
            <w:r>
              <w:rPr>
                <w:rFonts w:eastAsia="SimSun"/>
                <w:sz w:val="20"/>
                <w:szCs w:val="20"/>
                <w:lang w:eastAsia="zh-CN"/>
              </w:rPr>
              <w:t>(0.00661)</w:t>
            </w:r>
          </w:p>
        </w:tc>
      </w:tr>
      <w:tr w:rsidR="005253E1" w14:paraId="5D606EE6" w14:textId="77777777">
        <w:trPr>
          <w:trHeight w:val="244"/>
        </w:trPr>
        <w:tc>
          <w:tcPr>
            <w:tcW w:w="941" w:type="pct"/>
            <w:vMerge w:val="restart"/>
            <w:tcBorders>
              <w:top w:val="nil"/>
              <w:left w:val="nil"/>
              <w:bottom w:val="nil"/>
              <w:right w:val="nil"/>
            </w:tcBorders>
            <w:shd w:val="clear" w:color="auto" w:fill="FFFFFF"/>
            <w:noWrap/>
            <w:vAlign w:val="center"/>
          </w:tcPr>
          <w:p w14:paraId="4365289C" w14:textId="77777777" w:rsidR="005253E1" w:rsidRDefault="00000000">
            <w:pPr>
              <w:jc w:val="center"/>
              <w:rPr>
                <w:rFonts w:eastAsia="SimSun"/>
                <w:sz w:val="20"/>
                <w:szCs w:val="20"/>
                <w:lang w:eastAsia="zh-CN"/>
              </w:rPr>
            </w:pPr>
            <w:r>
              <w:rPr>
                <w:rFonts w:eastAsia="SimSun" w:hint="eastAsia"/>
                <w:sz w:val="20"/>
                <w:szCs w:val="20"/>
                <w:lang w:eastAsia="zh-CN"/>
              </w:rPr>
              <w:t>High-Tech Industry</w:t>
            </w:r>
          </w:p>
        </w:tc>
        <w:tc>
          <w:tcPr>
            <w:tcW w:w="908" w:type="pct"/>
            <w:tcBorders>
              <w:top w:val="nil"/>
              <w:left w:val="nil"/>
              <w:bottom w:val="nil"/>
              <w:right w:val="nil"/>
            </w:tcBorders>
            <w:noWrap/>
            <w:vAlign w:val="center"/>
          </w:tcPr>
          <w:p w14:paraId="1AD3CC1B"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4A49E82C" w14:textId="77777777" w:rsidR="005253E1" w:rsidRDefault="00000000">
            <w:pPr>
              <w:jc w:val="center"/>
              <w:rPr>
                <w:rFonts w:eastAsia="SimSun"/>
                <w:sz w:val="20"/>
                <w:szCs w:val="20"/>
                <w:lang w:eastAsia="zh-CN"/>
              </w:rPr>
            </w:pPr>
            <w:r>
              <w:rPr>
                <w:rFonts w:eastAsia="SimSun"/>
                <w:sz w:val="20"/>
                <w:szCs w:val="20"/>
                <w:lang w:eastAsia="zh-CN"/>
              </w:rPr>
              <w:t>1.072***</w:t>
            </w:r>
          </w:p>
        </w:tc>
        <w:tc>
          <w:tcPr>
            <w:tcW w:w="1028" w:type="pct"/>
            <w:tcBorders>
              <w:top w:val="nil"/>
              <w:left w:val="nil"/>
              <w:bottom w:val="nil"/>
              <w:right w:val="nil"/>
            </w:tcBorders>
            <w:noWrap/>
            <w:vAlign w:val="center"/>
          </w:tcPr>
          <w:p w14:paraId="105CBAF3"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507CC362" w14:textId="77777777" w:rsidR="005253E1" w:rsidRDefault="00000000">
            <w:pPr>
              <w:jc w:val="center"/>
              <w:rPr>
                <w:rFonts w:eastAsia="SimSun"/>
                <w:sz w:val="20"/>
                <w:szCs w:val="20"/>
                <w:lang w:eastAsia="zh-CN"/>
              </w:rPr>
            </w:pPr>
            <w:r>
              <w:rPr>
                <w:rFonts w:eastAsia="SimSun"/>
                <w:sz w:val="20"/>
                <w:szCs w:val="20"/>
                <w:lang w:eastAsia="zh-CN"/>
              </w:rPr>
              <w:t>0.00356</w:t>
            </w:r>
          </w:p>
        </w:tc>
      </w:tr>
      <w:tr w:rsidR="005253E1" w14:paraId="09F22119" w14:textId="77777777">
        <w:trPr>
          <w:trHeight w:val="244"/>
        </w:trPr>
        <w:tc>
          <w:tcPr>
            <w:tcW w:w="941" w:type="pct"/>
            <w:vMerge/>
            <w:tcBorders>
              <w:top w:val="nil"/>
              <w:left w:val="nil"/>
              <w:bottom w:val="nil"/>
              <w:right w:val="nil"/>
            </w:tcBorders>
            <w:noWrap/>
            <w:vAlign w:val="center"/>
          </w:tcPr>
          <w:p w14:paraId="578B67C3"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1A18877F"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3A12DCF1" w14:textId="77777777" w:rsidR="005253E1" w:rsidRDefault="00000000">
            <w:pPr>
              <w:jc w:val="center"/>
              <w:rPr>
                <w:rFonts w:eastAsia="SimSun"/>
                <w:sz w:val="20"/>
                <w:szCs w:val="20"/>
                <w:lang w:eastAsia="zh-CN"/>
              </w:rPr>
            </w:pPr>
            <w:r>
              <w:rPr>
                <w:rFonts w:eastAsia="SimSun"/>
                <w:sz w:val="20"/>
                <w:szCs w:val="20"/>
                <w:lang w:eastAsia="zh-CN"/>
              </w:rPr>
              <w:t>(0.445)</w:t>
            </w:r>
          </w:p>
        </w:tc>
        <w:tc>
          <w:tcPr>
            <w:tcW w:w="1028" w:type="pct"/>
            <w:tcBorders>
              <w:top w:val="nil"/>
              <w:left w:val="nil"/>
              <w:bottom w:val="nil"/>
              <w:right w:val="nil"/>
            </w:tcBorders>
            <w:noWrap/>
            <w:vAlign w:val="center"/>
          </w:tcPr>
          <w:p w14:paraId="00B2E02C"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694EAA8F" w14:textId="77777777" w:rsidR="005253E1" w:rsidRDefault="00000000">
            <w:pPr>
              <w:jc w:val="center"/>
              <w:rPr>
                <w:rFonts w:eastAsia="SimSun"/>
                <w:sz w:val="20"/>
                <w:szCs w:val="20"/>
                <w:lang w:eastAsia="zh-CN"/>
              </w:rPr>
            </w:pPr>
            <w:r>
              <w:rPr>
                <w:rFonts w:eastAsia="SimSun"/>
                <w:sz w:val="20"/>
                <w:szCs w:val="20"/>
                <w:lang w:eastAsia="zh-CN"/>
              </w:rPr>
              <w:t>(0.0739)</w:t>
            </w:r>
          </w:p>
        </w:tc>
      </w:tr>
      <w:tr w:rsidR="005253E1" w14:paraId="25AF89B2" w14:textId="77777777">
        <w:trPr>
          <w:trHeight w:val="244"/>
        </w:trPr>
        <w:tc>
          <w:tcPr>
            <w:tcW w:w="941" w:type="pct"/>
            <w:vMerge w:val="restart"/>
            <w:tcBorders>
              <w:top w:val="nil"/>
              <w:left w:val="nil"/>
              <w:bottom w:val="nil"/>
              <w:right w:val="nil"/>
            </w:tcBorders>
            <w:noWrap/>
            <w:vAlign w:val="center"/>
          </w:tcPr>
          <w:p w14:paraId="28EC5F4D" w14:textId="77777777" w:rsidR="005253E1" w:rsidRDefault="00000000">
            <w:pPr>
              <w:jc w:val="center"/>
              <w:rPr>
                <w:rFonts w:eastAsia="SimSun"/>
                <w:sz w:val="20"/>
                <w:szCs w:val="20"/>
                <w:lang w:eastAsia="zh-CN"/>
              </w:rPr>
            </w:pPr>
            <w:r>
              <w:rPr>
                <w:rFonts w:eastAsia="SimSun" w:hint="eastAsia"/>
                <w:sz w:val="20"/>
                <w:szCs w:val="20"/>
                <w:lang w:eastAsia="zh-CN"/>
              </w:rPr>
              <w:t xml:space="preserve">Management Expense </w:t>
            </w:r>
          </w:p>
        </w:tc>
        <w:tc>
          <w:tcPr>
            <w:tcW w:w="908" w:type="pct"/>
            <w:tcBorders>
              <w:top w:val="nil"/>
              <w:left w:val="nil"/>
              <w:bottom w:val="nil"/>
              <w:right w:val="nil"/>
            </w:tcBorders>
            <w:noWrap/>
            <w:vAlign w:val="center"/>
          </w:tcPr>
          <w:p w14:paraId="0F10CEB0"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12D5F4E1" w14:textId="77777777" w:rsidR="005253E1" w:rsidRDefault="00000000">
            <w:pPr>
              <w:jc w:val="center"/>
              <w:rPr>
                <w:rFonts w:eastAsia="SimSun"/>
                <w:sz w:val="20"/>
                <w:szCs w:val="20"/>
                <w:lang w:eastAsia="zh-CN"/>
              </w:rPr>
            </w:pPr>
            <w:r>
              <w:rPr>
                <w:rFonts w:eastAsia="SimSun"/>
                <w:sz w:val="20"/>
                <w:szCs w:val="20"/>
                <w:lang w:eastAsia="zh-CN"/>
              </w:rPr>
              <w:t>0.669***</w:t>
            </w:r>
          </w:p>
        </w:tc>
        <w:tc>
          <w:tcPr>
            <w:tcW w:w="1028" w:type="pct"/>
            <w:tcBorders>
              <w:top w:val="nil"/>
              <w:left w:val="nil"/>
              <w:bottom w:val="nil"/>
              <w:right w:val="nil"/>
            </w:tcBorders>
            <w:noWrap/>
            <w:vAlign w:val="center"/>
          </w:tcPr>
          <w:p w14:paraId="35202565"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2D475C60" w14:textId="77777777" w:rsidR="005253E1" w:rsidRDefault="00000000">
            <w:pPr>
              <w:jc w:val="center"/>
              <w:rPr>
                <w:rFonts w:eastAsia="SimSun"/>
                <w:sz w:val="20"/>
                <w:szCs w:val="20"/>
                <w:lang w:eastAsia="zh-CN"/>
              </w:rPr>
            </w:pPr>
            <w:r>
              <w:rPr>
                <w:rFonts w:eastAsia="SimSun"/>
                <w:sz w:val="20"/>
                <w:szCs w:val="20"/>
                <w:lang w:eastAsia="zh-CN"/>
              </w:rPr>
              <w:t>0.0669***</w:t>
            </w:r>
          </w:p>
        </w:tc>
      </w:tr>
      <w:tr w:rsidR="005253E1" w14:paraId="0293722D" w14:textId="77777777">
        <w:trPr>
          <w:trHeight w:val="244"/>
        </w:trPr>
        <w:tc>
          <w:tcPr>
            <w:tcW w:w="941" w:type="pct"/>
            <w:vMerge/>
            <w:tcBorders>
              <w:top w:val="nil"/>
              <w:left w:val="nil"/>
              <w:bottom w:val="nil"/>
              <w:right w:val="nil"/>
            </w:tcBorders>
            <w:noWrap/>
            <w:vAlign w:val="center"/>
          </w:tcPr>
          <w:p w14:paraId="5A423BB1"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39F8E0D3"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1BD5CB3B" w14:textId="77777777" w:rsidR="005253E1" w:rsidRDefault="00000000">
            <w:pPr>
              <w:jc w:val="center"/>
              <w:rPr>
                <w:rFonts w:eastAsia="SimSun"/>
                <w:sz w:val="20"/>
                <w:szCs w:val="20"/>
                <w:lang w:eastAsia="zh-CN"/>
              </w:rPr>
            </w:pPr>
            <w:r>
              <w:rPr>
                <w:rFonts w:eastAsia="SimSun"/>
                <w:sz w:val="20"/>
                <w:szCs w:val="20"/>
                <w:lang w:eastAsia="zh-CN"/>
              </w:rPr>
              <w:t>(0.148)</w:t>
            </w:r>
          </w:p>
        </w:tc>
        <w:tc>
          <w:tcPr>
            <w:tcW w:w="1028" w:type="pct"/>
            <w:tcBorders>
              <w:top w:val="nil"/>
              <w:left w:val="nil"/>
              <w:bottom w:val="nil"/>
              <w:right w:val="nil"/>
            </w:tcBorders>
            <w:noWrap/>
            <w:vAlign w:val="center"/>
          </w:tcPr>
          <w:p w14:paraId="73E26255"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4EE35728" w14:textId="77777777" w:rsidR="005253E1" w:rsidRDefault="00000000">
            <w:pPr>
              <w:jc w:val="center"/>
              <w:rPr>
                <w:rFonts w:eastAsia="SimSun"/>
                <w:sz w:val="20"/>
                <w:szCs w:val="20"/>
                <w:lang w:eastAsia="zh-CN"/>
              </w:rPr>
            </w:pPr>
            <w:r>
              <w:rPr>
                <w:rFonts w:eastAsia="SimSun"/>
                <w:sz w:val="20"/>
                <w:szCs w:val="20"/>
                <w:lang w:eastAsia="zh-CN"/>
              </w:rPr>
              <w:t>(0.0247)</w:t>
            </w:r>
          </w:p>
        </w:tc>
      </w:tr>
      <w:tr w:rsidR="005253E1" w14:paraId="218F680B" w14:textId="77777777">
        <w:trPr>
          <w:trHeight w:val="244"/>
        </w:trPr>
        <w:tc>
          <w:tcPr>
            <w:tcW w:w="941" w:type="pct"/>
            <w:vMerge w:val="restart"/>
            <w:tcBorders>
              <w:top w:val="nil"/>
              <w:left w:val="nil"/>
              <w:bottom w:val="nil"/>
              <w:right w:val="nil"/>
            </w:tcBorders>
            <w:noWrap/>
            <w:vAlign w:val="center"/>
          </w:tcPr>
          <w:p w14:paraId="6D8FD740" w14:textId="77777777" w:rsidR="005253E1" w:rsidRDefault="00000000">
            <w:pPr>
              <w:jc w:val="center"/>
              <w:rPr>
                <w:rFonts w:eastAsia="SimSun"/>
                <w:sz w:val="20"/>
                <w:szCs w:val="20"/>
                <w:lang w:eastAsia="zh-CN"/>
              </w:rPr>
            </w:pPr>
            <w:r>
              <w:rPr>
                <w:rFonts w:eastAsia="SimSun" w:hint="eastAsia"/>
                <w:sz w:val="20"/>
                <w:szCs w:val="20"/>
                <w:lang w:eastAsia="zh-CN"/>
              </w:rPr>
              <w:t>Return On Equity</w:t>
            </w:r>
          </w:p>
        </w:tc>
        <w:tc>
          <w:tcPr>
            <w:tcW w:w="908" w:type="pct"/>
            <w:tcBorders>
              <w:top w:val="nil"/>
              <w:left w:val="nil"/>
              <w:bottom w:val="nil"/>
              <w:right w:val="nil"/>
            </w:tcBorders>
            <w:noWrap/>
            <w:vAlign w:val="center"/>
          </w:tcPr>
          <w:p w14:paraId="4241A737"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6BB8C836" w14:textId="77777777" w:rsidR="005253E1" w:rsidRDefault="00000000">
            <w:pPr>
              <w:jc w:val="center"/>
              <w:rPr>
                <w:rFonts w:eastAsia="SimSun"/>
                <w:sz w:val="20"/>
                <w:szCs w:val="20"/>
                <w:lang w:eastAsia="zh-CN"/>
              </w:rPr>
            </w:pPr>
            <w:r>
              <w:rPr>
                <w:rFonts w:eastAsia="SimSun"/>
                <w:sz w:val="20"/>
                <w:szCs w:val="20"/>
                <w:lang w:eastAsia="zh-CN"/>
              </w:rPr>
              <w:t>-3.586***</w:t>
            </w:r>
          </w:p>
        </w:tc>
        <w:tc>
          <w:tcPr>
            <w:tcW w:w="1028" w:type="pct"/>
            <w:tcBorders>
              <w:top w:val="nil"/>
              <w:left w:val="nil"/>
              <w:bottom w:val="nil"/>
              <w:right w:val="nil"/>
            </w:tcBorders>
            <w:noWrap/>
            <w:vAlign w:val="center"/>
          </w:tcPr>
          <w:p w14:paraId="2AE5BAA7"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4A365609" w14:textId="77777777" w:rsidR="005253E1" w:rsidRDefault="00000000">
            <w:pPr>
              <w:jc w:val="center"/>
              <w:rPr>
                <w:rFonts w:eastAsia="SimSun"/>
                <w:sz w:val="20"/>
                <w:szCs w:val="20"/>
                <w:lang w:eastAsia="zh-CN"/>
              </w:rPr>
            </w:pPr>
            <w:r>
              <w:rPr>
                <w:rFonts w:eastAsia="SimSun"/>
                <w:sz w:val="20"/>
                <w:szCs w:val="20"/>
                <w:lang w:eastAsia="zh-CN"/>
              </w:rPr>
              <w:t>-0.331</w:t>
            </w:r>
          </w:p>
        </w:tc>
      </w:tr>
      <w:tr w:rsidR="005253E1" w14:paraId="6579015D" w14:textId="77777777">
        <w:trPr>
          <w:trHeight w:val="244"/>
        </w:trPr>
        <w:tc>
          <w:tcPr>
            <w:tcW w:w="941" w:type="pct"/>
            <w:vMerge/>
            <w:tcBorders>
              <w:top w:val="nil"/>
              <w:left w:val="nil"/>
              <w:bottom w:val="nil"/>
              <w:right w:val="nil"/>
            </w:tcBorders>
            <w:noWrap/>
            <w:vAlign w:val="center"/>
          </w:tcPr>
          <w:p w14:paraId="1597407F"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6691FB16"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095A689E" w14:textId="77777777" w:rsidR="005253E1" w:rsidRDefault="00000000">
            <w:pPr>
              <w:jc w:val="center"/>
              <w:rPr>
                <w:rFonts w:eastAsia="SimSun"/>
                <w:sz w:val="20"/>
                <w:szCs w:val="20"/>
                <w:lang w:eastAsia="zh-CN"/>
              </w:rPr>
            </w:pPr>
            <w:r>
              <w:rPr>
                <w:rFonts w:eastAsia="SimSun"/>
                <w:sz w:val="20"/>
                <w:szCs w:val="20"/>
                <w:lang w:eastAsia="zh-CN"/>
              </w:rPr>
              <w:t>(1.280)</w:t>
            </w:r>
          </w:p>
        </w:tc>
        <w:tc>
          <w:tcPr>
            <w:tcW w:w="1028" w:type="pct"/>
            <w:tcBorders>
              <w:top w:val="nil"/>
              <w:left w:val="nil"/>
              <w:bottom w:val="nil"/>
              <w:right w:val="nil"/>
            </w:tcBorders>
            <w:noWrap/>
            <w:vAlign w:val="center"/>
          </w:tcPr>
          <w:p w14:paraId="6C6C1EE8"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0AEA9C40" w14:textId="77777777" w:rsidR="005253E1" w:rsidRDefault="00000000">
            <w:pPr>
              <w:jc w:val="center"/>
              <w:rPr>
                <w:rFonts w:eastAsia="SimSun"/>
                <w:sz w:val="20"/>
                <w:szCs w:val="20"/>
                <w:lang w:eastAsia="zh-CN"/>
              </w:rPr>
            </w:pPr>
            <w:r>
              <w:rPr>
                <w:rFonts w:eastAsia="SimSun"/>
                <w:sz w:val="20"/>
                <w:szCs w:val="20"/>
                <w:lang w:eastAsia="zh-CN"/>
              </w:rPr>
              <w:t>(0.224)</w:t>
            </w:r>
          </w:p>
        </w:tc>
      </w:tr>
      <w:tr w:rsidR="005253E1" w14:paraId="0C8B26A0" w14:textId="77777777">
        <w:trPr>
          <w:trHeight w:val="244"/>
        </w:trPr>
        <w:tc>
          <w:tcPr>
            <w:tcW w:w="941" w:type="pct"/>
            <w:vMerge w:val="restart"/>
            <w:tcBorders>
              <w:top w:val="nil"/>
              <w:left w:val="nil"/>
              <w:bottom w:val="nil"/>
              <w:right w:val="nil"/>
            </w:tcBorders>
            <w:noWrap/>
            <w:vAlign w:val="center"/>
          </w:tcPr>
          <w:p w14:paraId="6E363CE0" w14:textId="77777777" w:rsidR="005253E1" w:rsidRDefault="00000000">
            <w:pPr>
              <w:jc w:val="center"/>
              <w:rPr>
                <w:rFonts w:eastAsia="SimSun"/>
                <w:sz w:val="20"/>
                <w:szCs w:val="20"/>
                <w:lang w:eastAsia="zh-CN"/>
              </w:rPr>
            </w:pPr>
            <w:r>
              <w:rPr>
                <w:rFonts w:eastAsia="SimSun" w:hint="eastAsia"/>
                <w:sz w:val="20"/>
                <w:szCs w:val="20"/>
                <w:lang w:eastAsia="zh-CN"/>
              </w:rPr>
              <w:t>Price-Earnings Ratio</w:t>
            </w:r>
          </w:p>
        </w:tc>
        <w:tc>
          <w:tcPr>
            <w:tcW w:w="908" w:type="pct"/>
            <w:tcBorders>
              <w:top w:val="nil"/>
              <w:left w:val="nil"/>
              <w:bottom w:val="nil"/>
              <w:right w:val="nil"/>
            </w:tcBorders>
            <w:noWrap/>
            <w:vAlign w:val="center"/>
          </w:tcPr>
          <w:p w14:paraId="31CA5363"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39EDDA1A" w14:textId="77777777" w:rsidR="005253E1" w:rsidRDefault="00000000">
            <w:pPr>
              <w:jc w:val="center"/>
              <w:rPr>
                <w:rFonts w:eastAsia="SimSun"/>
                <w:sz w:val="20"/>
                <w:szCs w:val="20"/>
                <w:lang w:eastAsia="zh-CN"/>
              </w:rPr>
            </w:pPr>
            <w:r>
              <w:rPr>
                <w:rFonts w:eastAsia="SimSun"/>
                <w:sz w:val="20"/>
                <w:szCs w:val="20"/>
                <w:lang w:eastAsia="zh-CN"/>
              </w:rPr>
              <w:t xml:space="preserve">0.0573     </w:t>
            </w:r>
          </w:p>
        </w:tc>
        <w:tc>
          <w:tcPr>
            <w:tcW w:w="1028" w:type="pct"/>
            <w:tcBorders>
              <w:top w:val="nil"/>
              <w:left w:val="nil"/>
              <w:bottom w:val="nil"/>
              <w:right w:val="nil"/>
            </w:tcBorders>
            <w:noWrap/>
            <w:vAlign w:val="center"/>
          </w:tcPr>
          <w:p w14:paraId="74D4E8D1"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26F47DCF" w14:textId="77777777" w:rsidR="005253E1" w:rsidRDefault="00000000">
            <w:pPr>
              <w:jc w:val="center"/>
              <w:rPr>
                <w:rFonts w:eastAsia="SimSun"/>
                <w:sz w:val="20"/>
                <w:szCs w:val="20"/>
                <w:lang w:eastAsia="zh-CN"/>
              </w:rPr>
            </w:pPr>
            <w:r>
              <w:rPr>
                <w:rFonts w:eastAsia="SimSun"/>
                <w:sz w:val="20"/>
                <w:szCs w:val="20"/>
                <w:lang w:eastAsia="zh-CN"/>
              </w:rPr>
              <w:t>-0.00801</w:t>
            </w:r>
          </w:p>
        </w:tc>
      </w:tr>
      <w:tr w:rsidR="005253E1" w14:paraId="07034C35" w14:textId="77777777">
        <w:trPr>
          <w:trHeight w:val="244"/>
        </w:trPr>
        <w:tc>
          <w:tcPr>
            <w:tcW w:w="941" w:type="pct"/>
            <w:vMerge/>
            <w:tcBorders>
              <w:top w:val="nil"/>
              <w:left w:val="nil"/>
              <w:bottom w:val="nil"/>
              <w:right w:val="nil"/>
            </w:tcBorders>
            <w:noWrap/>
            <w:vAlign w:val="center"/>
          </w:tcPr>
          <w:p w14:paraId="515572FC" w14:textId="77777777" w:rsidR="005253E1" w:rsidRDefault="005253E1">
            <w:pPr>
              <w:jc w:val="center"/>
              <w:rPr>
                <w:rFonts w:eastAsia="SimSun"/>
                <w:sz w:val="20"/>
                <w:szCs w:val="20"/>
                <w:lang w:eastAsia="zh-CN"/>
              </w:rPr>
            </w:pPr>
          </w:p>
        </w:tc>
        <w:tc>
          <w:tcPr>
            <w:tcW w:w="908" w:type="pct"/>
            <w:tcBorders>
              <w:top w:val="nil"/>
              <w:left w:val="nil"/>
              <w:bottom w:val="nil"/>
              <w:right w:val="nil"/>
            </w:tcBorders>
            <w:noWrap/>
            <w:vAlign w:val="center"/>
          </w:tcPr>
          <w:p w14:paraId="5629037D" w14:textId="77777777" w:rsidR="005253E1" w:rsidRDefault="005253E1">
            <w:pPr>
              <w:jc w:val="center"/>
              <w:rPr>
                <w:rFonts w:eastAsia="SimSun"/>
                <w:sz w:val="20"/>
                <w:szCs w:val="20"/>
                <w:lang w:eastAsia="zh-CN"/>
              </w:rPr>
            </w:pPr>
          </w:p>
        </w:tc>
        <w:tc>
          <w:tcPr>
            <w:tcW w:w="1203" w:type="pct"/>
            <w:tcBorders>
              <w:top w:val="nil"/>
              <w:left w:val="nil"/>
              <w:bottom w:val="nil"/>
              <w:right w:val="nil"/>
            </w:tcBorders>
            <w:noWrap/>
            <w:vAlign w:val="center"/>
          </w:tcPr>
          <w:p w14:paraId="7E77B95C" w14:textId="77777777" w:rsidR="005253E1" w:rsidRDefault="00000000">
            <w:pPr>
              <w:jc w:val="center"/>
              <w:rPr>
                <w:rFonts w:eastAsia="SimSun"/>
                <w:sz w:val="20"/>
                <w:szCs w:val="20"/>
                <w:lang w:eastAsia="zh-CN"/>
              </w:rPr>
            </w:pPr>
            <w:r>
              <w:rPr>
                <w:rFonts w:eastAsia="SimSun"/>
                <w:sz w:val="20"/>
                <w:szCs w:val="20"/>
                <w:lang w:eastAsia="zh-CN"/>
              </w:rPr>
              <w:t>(0.100)</w:t>
            </w:r>
          </w:p>
        </w:tc>
        <w:tc>
          <w:tcPr>
            <w:tcW w:w="1028" w:type="pct"/>
            <w:tcBorders>
              <w:top w:val="nil"/>
              <w:left w:val="nil"/>
              <w:bottom w:val="nil"/>
              <w:right w:val="nil"/>
            </w:tcBorders>
            <w:noWrap/>
            <w:vAlign w:val="center"/>
          </w:tcPr>
          <w:p w14:paraId="520EEE4A" w14:textId="77777777" w:rsidR="005253E1" w:rsidRDefault="005253E1">
            <w:pPr>
              <w:jc w:val="center"/>
              <w:rPr>
                <w:rFonts w:eastAsia="SimSun"/>
                <w:sz w:val="20"/>
                <w:szCs w:val="20"/>
                <w:lang w:eastAsia="zh-CN"/>
              </w:rPr>
            </w:pPr>
          </w:p>
        </w:tc>
        <w:tc>
          <w:tcPr>
            <w:tcW w:w="917" w:type="pct"/>
            <w:tcBorders>
              <w:top w:val="nil"/>
              <w:left w:val="nil"/>
              <w:bottom w:val="nil"/>
              <w:right w:val="nil"/>
            </w:tcBorders>
            <w:noWrap/>
            <w:vAlign w:val="center"/>
          </w:tcPr>
          <w:p w14:paraId="21D86E11" w14:textId="77777777" w:rsidR="005253E1" w:rsidRDefault="00000000">
            <w:pPr>
              <w:jc w:val="center"/>
              <w:rPr>
                <w:rFonts w:eastAsia="SimSun"/>
                <w:sz w:val="20"/>
                <w:szCs w:val="20"/>
                <w:lang w:eastAsia="zh-CN"/>
              </w:rPr>
            </w:pPr>
            <w:r>
              <w:rPr>
                <w:rFonts w:eastAsia="SimSun"/>
                <w:sz w:val="20"/>
                <w:szCs w:val="20"/>
                <w:lang w:eastAsia="zh-CN"/>
              </w:rPr>
              <w:t>(0.0172)</w:t>
            </w:r>
          </w:p>
        </w:tc>
      </w:tr>
      <w:tr w:rsidR="005253E1" w14:paraId="21E3E40C" w14:textId="77777777">
        <w:trPr>
          <w:trHeight w:val="244"/>
        </w:trPr>
        <w:tc>
          <w:tcPr>
            <w:tcW w:w="941" w:type="pct"/>
            <w:tcBorders>
              <w:top w:val="nil"/>
              <w:left w:val="nil"/>
              <w:bottom w:val="nil"/>
              <w:right w:val="nil"/>
            </w:tcBorders>
            <w:noWrap/>
            <w:vAlign w:val="center"/>
          </w:tcPr>
          <w:p w14:paraId="248F526A" w14:textId="77777777" w:rsidR="005253E1" w:rsidRDefault="00000000">
            <w:pPr>
              <w:jc w:val="center"/>
              <w:rPr>
                <w:rFonts w:eastAsia="SimSun"/>
                <w:sz w:val="20"/>
                <w:szCs w:val="20"/>
                <w:lang w:eastAsia="zh-CN"/>
              </w:rPr>
            </w:pPr>
            <w:r>
              <w:rPr>
                <w:rFonts w:eastAsia="SimSun"/>
                <w:sz w:val="20"/>
                <w:szCs w:val="20"/>
                <w:lang w:eastAsia="zh-CN"/>
              </w:rPr>
              <w:t>Individual FE</w:t>
            </w:r>
          </w:p>
        </w:tc>
        <w:tc>
          <w:tcPr>
            <w:tcW w:w="908" w:type="pct"/>
            <w:tcBorders>
              <w:top w:val="nil"/>
              <w:left w:val="nil"/>
              <w:bottom w:val="nil"/>
              <w:right w:val="nil"/>
            </w:tcBorders>
            <w:noWrap/>
            <w:vAlign w:val="center"/>
          </w:tcPr>
          <w:p w14:paraId="29597916" w14:textId="77777777" w:rsidR="005253E1" w:rsidRDefault="00000000">
            <w:pPr>
              <w:jc w:val="center"/>
              <w:rPr>
                <w:rFonts w:eastAsia="SimSun"/>
                <w:sz w:val="20"/>
                <w:szCs w:val="20"/>
                <w:lang w:eastAsia="zh-CN"/>
              </w:rPr>
            </w:pPr>
            <w:r>
              <w:rPr>
                <w:rFonts w:eastAsia="SimSun"/>
                <w:sz w:val="20"/>
                <w:szCs w:val="20"/>
                <w:lang w:eastAsia="zh-CN"/>
              </w:rPr>
              <w:t>Yes</w:t>
            </w:r>
          </w:p>
        </w:tc>
        <w:tc>
          <w:tcPr>
            <w:tcW w:w="1203" w:type="pct"/>
            <w:tcBorders>
              <w:top w:val="nil"/>
              <w:left w:val="nil"/>
              <w:bottom w:val="nil"/>
              <w:right w:val="nil"/>
            </w:tcBorders>
            <w:noWrap/>
            <w:vAlign w:val="center"/>
          </w:tcPr>
          <w:p w14:paraId="68870CE4" w14:textId="77777777" w:rsidR="005253E1" w:rsidRDefault="00000000">
            <w:pPr>
              <w:jc w:val="center"/>
              <w:rPr>
                <w:rFonts w:eastAsia="SimSun"/>
                <w:sz w:val="20"/>
                <w:szCs w:val="20"/>
                <w:lang w:eastAsia="zh-CN"/>
              </w:rPr>
            </w:pPr>
            <w:r>
              <w:rPr>
                <w:rFonts w:eastAsia="SimSun"/>
                <w:sz w:val="20"/>
                <w:szCs w:val="20"/>
                <w:lang w:eastAsia="zh-CN"/>
              </w:rPr>
              <w:t>Yes</w:t>
            </w:r>
          </w:p>
        </w:tc>
        <w:tc>
          <w:tcPr>
            <w:tcW w:w="1028" w:type="pct"/>
            <w:tcBorders>
              <w:top w:val="nil"/>
              <w:left w:val="nil"/>
              <w:bottom w:val="nil"/>
              <w:right w:val="nil"/>
            </w:tcBorders>
            <w:noWrap/>
            <w:vAlign w:val="center"/>
          </w:tcPr>
          <w:p w14:paraId="2006871C" w14:textId="77777777" w:rsidR="005253E1" w:rsidRDefault="00000000">
            <w:pPr>
              <w:jc w:val="center"/>
              <w:rPr>
                <w:rFonts w:eastAsia="SimSun"/>
                <w:sz w:val="20"/>
                <w:szCs w:val="20"/>
                <w:lang w:eastAsia="zh-CN"/>
              </w:rPr>
            </w:pPr>
            <w:r>
              <w:rPr>
                <w:rFonts w:eastAsia="SimSun"/>
                <w:sz w:val="20"/>
                <w:szCs w:val="20"/>
                <w:lang w:eastAsia="zh-CN"/>
              </w:rPr>
              <w:t>Yes</w:t>
            </w:r>
          </w:p>
        </w:tc>
        <w:tc>
          <w:tcPr>
            <w:tcW w:w="917" w:type="pct"/>
            <w:tcBorders>
              <w:top w:val="nil"/>
              <w:left w:val="nil"/>
              <w:bottom w:val="nil"/>
              <w:right w:val="nil"/>
            </w:tcBorders>
            <w:noWrap/>
            <w:vAlign w:val="center"/>
          </w:tcPr>
          <w:p w14:paraId="3579EF73" w14:textId="77777777" w:rsidR="005253E1" w:rsidRDefault="00000000">
            <w:pPr>
              <w:jc w:val="center"/>
              <w:rPr>
                <w:rFonts w:eastAsia="SimSun"/>
                <w:sz w:val="20"/>
                <w:szCs w:val="20"/>
                <w:lang w:eastAsia="zh-CN"/>
              </w:rPr>
            </w:pPr>
            <w:r>
              <w:rPr>
                <w:rFonts w:eastAsia="SimSun"/>
                <w:sz w:val="20"/>
                <w:szCs w:val="20"/>
                <w:lang w:eastAsia="zh-CN"/>
              </w:rPr>
              <w:t>Yes</w:t>
            </w:r>
          </w:p>
        </w:tc>
      </w:tr>
      <w:tr w:rsidR="005253E1" w14:paraId="16395642" w14:textId="77777777">
        <w:trPr>
          <w:trHeight w:val="244"/>
        </w:trPr>
        <w:tc>
          <w:tcPr>
            <w:tcW w:w="941" w:type="pct"/>
            <w:tcBorders>
              <w:top w:val="nil"/>
              <w:left w:val="nil"/>
              <w:bottom w:val="nil"/>
              <w:right w:val="nil"/>
            </w:tcBorders>
            <w:noWrap/>
            <w:vAlign w:val="center"/>
          </w:tcPr>
          <w:p w14:paraId="3EB06EF6" w14:textId="77777777" w:rsidR="005253E1" w:rsidRDefault="00000000">
            <w:pPr>
              <w:jc w:val="center"/>
              <w:rPr>
                <w:rFonts w:eastAsia="SimSun"/>
                <w:sz w:val="20"/>
                <w:szCs w:val="20"/>
                <w:lang w:eastAsia="zh-CN"/>
              </w:rPr>
            </w:pPr>
            <w:r>
              <w:rPr>
                <w:rFonts w:eastAsia="SimSun"/>
                <w:sz w:val="20"/>
                <w:szCs w:val="20"/>
                <w:lang w:eastAsia="zh-CN"/>
              </w:rPr>
              <w:t>Year FE</w:t>
            </w:r>
          </w:p>
        </w:tc>
        <w:tc>
          <w:tcPr>
            <w:tcW w:w="908" w:type="pct"/>
            <w:tcBorders>
              <w:top w:val="nil"/>
              <w:left w:val="nil"/>
              <w:bottom w:val="nil"/>
              <w:right w:val="nil"/>
            </w:tcBorders>
            <w:noWrap/>
            <w:vAlign w:val="center"/>
          </w:tcPr>
          <w:p w14:paraId="119D9B9A" w14:textId="77777777" w:rsidR="005253E1" w:rsidRDefault="00000000">
            <w:pPr>
              <w:jc w:val="center"/>
              <w:rPr>
                <w:rFonts w:eastAsia="SimSun"/>
                <w:sz w:val="20"/>
                <w:szCs w:val="20"/>
                <w:lang w:eastAsia="zh-CN"/>
              </w:rPr>
            </w:pPr>
            <w:r>
              <w:rPr>
                <w:rFonts w:eastAsia="SimSun"/>
                <w:sz w:val="20"/>
                <w:szCs w:val="20"/>
                <w:lang w:eastAsia="zh-CN"/>
              </w:rPr>
              <w:t>Yes</w:t>
            </w:r>
          </w:p>
        </w:tc>
        <w:tc>
          <w:tcPr>
            <w:tcW w:w="1203" w:type="pct"/>
            <w:tcBorders>
              <w:top w:val="nil"/>
              <w:left w:val="nil"/>
              <w:bottom w:val="nil"/>
              <w:right w:val="nil"/>
            </w:tcBorders>
            <w:noWrap/>
            <w:vAlign w:val="center"/>
          </w:tcPr>
          <w:p w14:paraId="66671A51" w14:textId="77777777" w:rsidR="005253E1" w:rsidRDefault="00000000">
            <w:pPr>
              <w:jc w:val="center"/>
              <w:rPr>
                <w:rFonts w:eastAsia="SimSun"/>
                <w:sz w:val="20"/>
                <w:szCs w:val="20"/>
                <w:lang w:eastAsia="zh-CN"/>
              </w:rPr>
            </w:pPr>
            <w:r>
              <w:rPr>
                <w:rFonts w:eastAsia="SimSun"/>
                <w:sz w:val="20"/>
                <w:szCs w:val="20"/>
                <w:lang w:eastAsia="zh-CN"/>
              </w:rPr>
              <w:t>Yes</w:t>
            </w:r>
          </w:p>
        </w:tc>
        <w:tc>
          <w:tcPr>
            <w:tcW w:w="1028" w:type="pct"/>
            <w:tcBorders>
              <w:top w:val="nil"/>
              <w:left w:val="nil"/>
              <w:bottom w:val="nil"/>
              <w:right w:val="nil"/>
            </w:tcBorders>
            <w:noWrap/>
            <w:vAlign w:val="center"/>
          </w:tcPr>
          <w:p w14:paraId="1C69782F" w14:textId="77777777" w:rsidR="005253E1" w:rsidRDefault="00000000">
            <w:pPr>
              <w:jc w:val="center"/>
              <w:rPr>
                <w:rFonts w:eastAsia="SimSun"/>
                <w:sz w:val="20"/>
                <w:szCs w:val="20"/>
                <w:lang w:eastAsia="zh-CN"/>
              </w:rPr>
            </w:pPr>
            <w:r>
              <w:rPr>
                <w:rFonts w:eastAsia="SimSun"/>
                <w:sz w:val="20"/>
                <w:szCs w:val="20"/>
                <w:lang w:eastAsia="zh-CN"/>
              </w:rPr>
              <w:t>Yes</w:t>
            </w:r>
          </w:p>
        </w:tc>
        <w:tc>
          <w:tcPr>
            <w:tcW w:w="917" w:type="pct"/>
            <w:tcBorders>
              <w:top w:val="nil"/>
              <w:left w:val="nil"/>
              <w:bottom w:val="nil"/>
              <w:right w:val="nil"/>
            </w:tcBorders>
            <w:noWrap/>
            <w:vAlign w:val="center"/>
          </w:tcPr>
          <w:p w14:paraId="153465FD" w14:textId="77777777" w:rsidR="005253E1" w:rsidRDefault="00000000">
            <w:pPr>
              <w:jc w:val="center"/>
              <w:rPr>
                <w:rFonts w:eastAsia="SimSun"/>
                <w:sz w:val="20"/>
                <w:szCs w:val="20"/>
                <w:lang w:eastAsia="zh-CN"/>
              </w:rPr>
            </w:pPr>
            <w:r>
              <w:rPr>
                <w:rFonts w:eastAsia="SimSun"/>
                <w:sz w:val="20"/>
                <w:szCs w:val="20"/>
                <w:lang w:eastAsia="zh-CN"/>
              </w:rPr>
              <w:t>Yes</w:t>
            </w:r>
          </w:p>
        </w:tc>
      </w:tr>
      <w:tr w:rsidR="005253E1" w14:paraId="000DF023" w14:textId="77777777">
        <w:trPr>
          <w:trHeight w:val="244"/>
        </w:trPr>
        <w:tc>
          <w:tcPr>
            <w:tcW w:w="941" w:type="pct"/>
            <w:tcBorders>
              <w:top w:val="nil"/>
              <w:left w:val="nil"/>
              <w:bottom w:val="nil"/>
              <w:right w:val="nil"/>
            </w:tcBorders>
            <w:noWrap/>
            <w:vAlign w:val="center"/>
          </w:tcPr>
          <w:p w14:paraId="30AED00F" w14:textId="77777777" w:rsidR="005253E1" w:rsidRDefault="00000000">
            <w:pPr>
              <w:jc w:val="center"/>
              <w:rPr>
                <w:rFonts w:eastAsia="SimSun"/>
                <w:sz w:val="20"/>
                <w:szCs w:val="20"/>
                <w:lang w:eastAsia="zh-CN"/>
              </w:rPr>
            </w:pPr>
            <w:r>
              <w:rPr>
                <w:rFonts w:eastAsia="SimSun"/>
                <w:sz w:val="20"/>
                <w:szCs w:val="20"/>
                <w:lang w:eastAsia="zh-CN"/>
              </w:rPr>
              <w:t>Observations</w:t>
            </w:r>
          </w:p>
        </w:tc>
        <w:tc>
          <w:tcPr>
            <w:tcW w:w="908" w:type="pct"/>
            <w:tcBorders>
              <w:top w:val="nil"/>
              <w:left w:val="nil"/>
              <w:bottom w:val="nil"/>
              <w:right w:val="nil"/>
            </w:tcBorders>
            <w:noWrap/>
            <w:vAlign w:val="center"/>
          </w:tcPr>
          <w:p w14:paraId="3D709E20" w14:textId="77777777" w:rsidR="005253E1" w:rsidRDefault="00000000">
            <w:pPr>
              <w:jc w:val="center"/>
              <w:rPr>
                <w:rFonts w:eastAsia="SimSun"/>
                <w:sz w:val="20"/>
                <w:szCs w:val="20"/>
                <w:lang w:eastAsia="zh-CN"/>
              </w:rPr>
            </w:pPr>
            <w:r>
              <w:rPr>
                <w:rFonts w:eastAsia="SimSun" w:hint="eastAsia"/>
                <w:sz w:val="20"/>
                <w:szCs w:val="20"/>
                <w:lang w:eastAsia="zh-CN"/>
              </w:rPr>
              <w:t>13167</w:t>
            </w:r>
          </w:p>
        </w:tc>
        <w:tc>
          <w:tcPr>
            <w:tcW w:w="1203" w:type="pct"/>
            <w:tcBorders>
              <w:top w:val="nil"/>
              <w:left w:val="nil"/>
              <w:bottom w:val="nil"/>
              <w:right w:val="nil"/>
            </w:tcBorders>
            <w:noWrap/>
            <w:vAlign w:val="center"/>
          </w:tcPr>
          <w:p w14:paraId="246F00D4" w14:textId="77777777" w:rsidR="005253E1" w:rsidRDefault="00000000">
            <w:pPr>
              <w:jc w:val="center"/>
              <w:rPr>
                <w:rFonts w:eastAsia="SimSun"/>
                <w:sz w:val="20"/>
                <w:szCs w:val="20"/>
                <w:lang w:eastAsia="zh-CN"/>
              </w:rPr>
            </w:pPr>
            <w:r>
              <w:rPr>
                <w:rFonts w:eastAsia="SimSun" w:hint="eastAsia"/>
                <w:sz w:val="20"/>
                <w:szCs w:val="20"/>
                <w:lang w:eastAsia="zh-CN"/>
              </w:rPr>
              <w:t>11,160</w:t>
            </w:r>
          </w:p>
        </w:tc>
        <w:tc>
          <w:tcPr>
            <w:tcW w:w="1028" w:type="pct"/>
            <w:tcBorders>
              <w:top w:val="nil"/>
              <w:left w:val="nil"/>
              <w:bottom w:val="nil"/>
              <w:right w:val="nil"/>
            </w:tcBorders>
            <w:noWrap/>
            <w:vAlign w:val="center"/>
          </w:tcPr>
          <w:p w14:paraId="517F7844" w14:textId="77777777" w:rsidR="005253E1" w:rsidRDefault="00000000">
            <w:pPr>
              <w:jc w:val="center"/>
              <w:rPr>
                <w:rFonts w:eastAsia="SimSun"/>
                <w:sz w:val="20"/>
                <w:szCs w:val="20"/>
                <w:lang w:eastAsia="zh-CN"/>
              </w:rPr>
            </w:pPr>
            <w:r>
              <w:rPr>
                <w:rFonts w:eastAsia="SimSun" w:hint="eastAsia"/>
                <w:sz w:val="20"/>
                <w:szCs w:val="20"/>
                <w:lang w:eastAsia="zh-CN"/>
              </w:rPr>
              <w:t>13167</w:t>
            </w:r>
          </w:p>
        </w:tc>
        <w:tc>
          <w:tcPr>
            <w:tcW w:w="917" w:type="pct"/>
            <w:tcBorders>
              <w:top w:val="nil"/>
              <w:left w:val="nil"/>
              <w:bottom w:val="nil"/>
              <w:right w:val="nil"/>
            </w:tcBorders>
            <w:noWrap/>
            <w:vAlign w:val="center"/>
          </w:tcPr>
          <w:p w14:paraId="2235ABD6" w14:textId="77777777" w:rsidR="005253E1" w:rsidRDefault="00000000">
            <w:pPr>
              <w:jc w:val="center"/>
              <w:rPr>
                <w:rFonts w:eastAsia="SimSun"/>
                <w:sz w:val="20"/>
                <w:szCs w:val="20"/>
                <w:lang w:eastAsia="zh-CN"/>
              </w:rPr>
            </w:pPr>
            <w:r>
              <w:rPr>
                <w:rFonts w:eastAsia="SimSun" w:hint="eastAsia"/>
                <w:sz w:val="20"/>
                <w:szCs w:val="20"/>
                <w:lang w:eastAsia="zh-CN"/>
              </w:rPr>
              <w:t>11,160</w:t>
            </w:r>
          </w:p>
        </w:tc>
      </w:tr>
      <w:tr w:rsidR="005253E1" w14:paraId="602178F0" w14:textId="77777777">
        <w:trPr>
          <w:trHeight w:val="313"/>
        </w:trPr>
        <w:tc>
          <w:tcPr>
            <w:tcW w:w="941" w:type="pct"/>
            <w:tcBorders>
              <w:top w:val="nil"/>
              <w:left w:val="nil"/>
              <w:bottom w:val="single" w:sz="12" w:space="0" w:color="000000"/>
              <w:right w:val="nil"/>
            </w:tcBorders>
            <w:noWrap/>
            <w:vAlign w:val="center"/>
          </w:tcPr>
          <w:p w14:paraId="31C21574" w14:textId="77777777" w:rsidR="005253E1" w:rsidRDefault="00000000">
            <w:pPr>
              <w:jc w:val="center"/>
              <w:rPr>
                <w:rFonts w:eastAsia="SimSun"/>
                <w:sz w:val="20"/>
                <w:szCs w:val="20"/>
                <w:lang w:eastAsia="zh-CN"/>
              </w:rPr>
            </w:pPr>
            <w:r>
              <w:rPr>
                <w:rFonts w:eastAsia="SimSun"/>
                <w:sz w:val="20"/>
                <w:szCs w:val="20"/>
                <w:lang w:eastAsia="zh-CN"/>
              </w:rPr>
              <w:t>R</w:t>
            </w:r>
            <w:r>
              <w:rPr>
                <w:rFonts w:eastAsia="SimSun"/>
                <w:sz w:val="20"/>
                <w:szCs w:val="20"/>
                <w:vertAlign w:val="superscript"/>
                <w:lang w:eastAsia="zh-CN"/>
              </w:rPr>
              <w:t>2</w:t>
            </w:r>
          </w:p>
        </w:tc>
        <w:tc>
          <w:tcPr>
            <w:tcW w:w="908" w:type="pct"/>
            <w:tcBorders>
              <w:top w:val="nil"/>
              <w:left w:val="nil"/>
              <w:bottom w:val="single" w:sz="12" w:space="0" w:color="000000"/>
              <w:right w:val="nil"/>
            </w:tcBorders>
            <w:noWrap/>
            <w:vAlign w:val="center"/>
          </w:tcPr>
          <w:p w14:paraId="7DBDD975" w14:textId="77777777" w:rsidR="005253E1" w:rsidRDefault="00000000">
            <w:pPr>
              <w:jc w:val="center"/>
              <w:rPr>
                <w:rFonts w:eastAsia="SimSun"/>
                <w:sz w:val="20"/>
                <w:szCs w:val="20"/>
                <w:lang w:eastAsia="zh-CN"/>
              </w:rPr>
            </w:pPr>
            <w:r>
              <w:rPr>
                <w:rFonts w:eastAsia="SimSun" w:hint="eastAsia"/>
                <w:sz w:val="20"/>
                <w:szCs w:val="20"/>
                <w:lang w:eastAsia="zh-CN"/>
              </w:rPr>
              <w:t>0.565</w:t>
            </w:r>
          </w:p>
        </w:tc>
        <w:tc>
          <w:tcPr>
            <w:tcW w:w="1203" w:type="pct"/>
            <w:tcBorders>
              <w:top w:val="nil"/>
              <w:left w:val="nil"/>
              <w:bottom w:val="single" w:sz="12" w:space="0" w:color="000000"/>
              <w:right w:val="nil"/>
            </w:tcBorders>
            <w:noWrap/>
            <w:vAlign w:val="center"/>
          </w:tcPr>
          <w:p w14:paraId="774C4E91" w14:textId="77777777" w:rsidR="005253E1" w:rsidRDefault="00000000">
            <w:pPr>
              <w:jc w:val="center"/>
              <w:rPr>
                <w:rFonts w:eastAsia="SimSun"/>
                <w:sz w:val="20"/>
                <w:szCs w:val="20"/>
                <w:lang w:eastAsia="zh-CN"/>
              </w:rPr>
            </w:pPr>
            <w:r>
              <w:rPr>
                <w:rFonts w:eastAsia="SimSun" w:hint="eastAsia"/>
                <w:sz w:val="20"/>
                <w:szCs w:val="20"/>
                <w:lang w:eastAsia="zh-CN"/>
              </w:rPr>
              <w:t>0.564</w:t>
            </w:r>
          </w:p>
        </w:tc>
        <w:tc>
          <w:tcPr>
            <w:tcW w:w="1028" w:type="pct"/>
            <w:tcBorders>
              <w:top w:val="nil"/>
              <w:left w:val="nil"/>
              <w:bottom w:val="single" w:sz="12" w:space="0" w:color="000000"/>
              <w:right w:val="nil"/>
            </w:tcBorders>
            <w:noWrap/>
            <w:vAlign w:val="center"/>
          </w:tcPr>
          <w:p w14:paraId="456F14A0" w14:textId="77777777" w:rsidR="005253E1" w:rsidRDefault="00000000">
            <w:pPr>
              <w:jc w:val="center"/>
              <w:rPr>
                <w:rFonts w:eastAsia="SimSun"/>
                <w:sz w:val="20"/>
                <w:szCs w:val="20"/>
                <w:lang w:eastAsia="zh-CN"/>
              </w:rPr>
            </w:pPr>
            <w:r>
              <w:rPr>
                <w:rFonts w:eastAsia="SimSun" w:hint="eastAsia"/>
                <w:sz w:val="20"/>
                <w:szCs w:val="20"/>
                <w:lang w:eastAsia="zh-CN"/>
              </w:rPr>
              <w:t>0.532</w:t>
            </w:r>
          </w:p>
        </w:tc>
        <w:tc>
          <w:tcPr>
            <w:tcW w:w="917" w:type="pct"/>
            <w:tcBorders>
              <w:top w:val="nil"/>
              <w:left w:val="nil"/>
              <w:bottom w:val="single" w:sz="12" w:space="0" w:color="000000"/>
              <w:right w:val="nil"/>
            </w:tcBorders>
            <w:noWrap/>
            <w:vAlign w:val="center"/>
          </w:tcPr>
          <w:p w14:paraId="51771305" w14:textId="77777777" w:rsidR="005253E1" w:rsidRDefault="00000000">
            <w:pPr>
              <w:jc w:val="center"/>
              <w:rPr>
                <w:rFonts w:eastAsia="SimSun"/>
                <w:sz w:val="20"/>
                <w:szCs w:val="20"/>
                <w:lang w:eastAsia="zh-CN"/>
              </w:rPr>
            </w:pPr>
            <w:r>
              <w:rPr>
                <w:rFonts w:eastAsia="SimSun" w:hint="eastAsia"/>
                <w:sz w:val="20"/>
                <w:szCs w:val="20"/>
                <w:lang w:eastAsia="zh-CN"/>
              </w:rPr>
              <w:t>0.530</w:t>
            </w:r>
          </w:p>
        </w:tc>
      </w:tr>
    </w:tbl>
    <w:p w14:paraId="7F296C05" w14:textId="77777777" w:rsidR="005253E1" w:rsidRDefault="00000000">
      <w:pPr>
        <w:pStyle w:val="BodyText3"/>
        <w:widowControl/>
        <w:tabs>
          <w:tab w:val="left" w:pos="1080"/>
        </w:tabs>
        <w:spacing w:after="0"/>
        <w:ind w:left="1080" w:hanging="1080"/>
        <w:jc w:val="both"/>
        <w:rPr>
          <w:rFonts w:eastAsia="Times New Roman" w:cs="Times New Roman"/>
          <w:bCs/>
          <w:i/>
          <w:sz w:val="18"/>
          <w:lang w:eastAsia="zh-CN"/>
        </w:rPr>
      </w:pPr>
      <w:r>
        <w:rPr>
          <w:rFonts w:eastAsia="Times New Roman" w:cs="Times New Roman" w:hint="eastAsia"/>
          <w:bCs/>
          <w:i/>
          <w:sz w:val="18"/>
          <w:lang w:eastAsia="zh-CN"/>
        </w:rPr>
        <w:t>*Note: ① *, **, *** represent significance at the 10%, 5%, and 1% levels, respectively; The same applies below. ② The values in parentheses are the robust standard errors of the estimated coefficients, as in the table below.③ This paper conducted a Hausman test for the selection of random effects and fixed effects models, obtaining a statistic value of 64.30, with a corresponding P-value of 0.000, thus rejecting the null hypothesis and supporting the fixed effects model.</w:t>
      </w:r>
    </w:p>
    <w:p w14:paraId="7321FE0A" w14:textId="77777777" w:rsidR="005253E1" w:rsidRDefault="005253E1">
      <w:pPr>
        <w:pStyle w:val="AbstHead"/>
        <w:widowControl/>
        <w:spacing w:after="0"/>
        <w:jc w:val="both"/>
        <w:rPr>
          <w:rFonts w:eastAsia="Times New Roman"/>
          <w:szCs w:val="20"/>
          <w:lang w:eastAsia="zh-CN"/>
        </w:rPr>
      </w:pPr>
    </w:p>
    <w:p w14:paraId="7A1BBA25"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5.2 Robustness Test</w:t>
      </w:r>
    </w:p>
    <w:p w14:paraId="14C108AB" w14:textId="77777777" w:rsidR="005253E1" w:rsidRDefault="005253E1">
      <w:pPr>
        <w:pStyle w:val="AbstHead"/>
        <w:widowControl/>
        <w:spacing w:after="0"/>
        <w:jc w:val="both"/>
        <w:rPr>
          <w:rFonts w:eastAsia="Times New Roman"/>
          <w:szCs w:val="20"/>
          <w:lang w:eastAsia="zh-CN"/>
        </w:rPr>
      </w:pPr>
    </w:p>
    <w:p w14:paraId="4C7638E6"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5.2.1 OLS with clustered robust standard errors.</w:t>
      </w:r>
    </w:p>
    <w:p w14:paraId="6E71B2E8" w14:textId="77777777" w:rsidR="005253E1" w:rsidRDefault="005253E1">
      <w:pPr>
        <w:pStyle w:val="AbstHead"/>
        <w:widowControl/>
        <w:spacing w:after="0"/>
        <w:jc w:val="both"/>
        <w:rPr>
          <w:rFonts w:eastAsia="Times New Roman"/>
          <w:szCs w:val="20"/>
          <w:lang w:eastAsia="zh-CN"/>
        </w:rPr>
      </w:pPr>
    </w:p>
    <w:p w14:paraId="1AE968F1" w14:textId="77777777" w:rsidR="005253E1" w:rsidRDefault="00000000">
      <w:r>
        <w:rPr>
          <w:rFonts w:hint="eastAsia"/>
          <w:lang w:eastAsia="zh-CN"/>
        </w:rPr>
        <w:t>In order to make the standard error estimation of the regression coefficients more accurate and ensure the reliability of the hypothesis testing results, this paper treats enterprises as clustering variables. By using clustered robust standard errors, it adjusts for the error correlation within the same cluster, making the estimation of standard errors more accurate and reducing the impact of model specification bias on the results. The regression results show that the ESG coefficient remains significant at the 5% level, thus making the conclusions of this study more persuasive.</w:t>
      </w:r>
    </w:p>
    <w:p w14:paraId="076BA65E" w14:textId="77777777" w:rsidR="005253E1" w:rsidRDefault="005253E1">
      <w:pPr>
        <w:pStyle w:val="AbstHead"/>
        <w:widowControl/>
        <w:spacing w:after="0"/>
        <w:jc w:val="both"/>
        <w:rPr>
          <w:rFonts w:eastAsia="Times New Roman"/>
          <w:szCs w:val="20"/>
          <w:lang w:eastAsia="zh-CN"/>
        </w:rPr>
      </w:pPr>
    </w:p>
    <w:p w14:paraId="47DA1C32"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5.2.2 Change the sample range.</w:t>
      </w:r>
    </w:p>
    <w:p w14:paraId="15787EE9" w14:textId="77777777" w:rsidR="005253E1" w:rsidRDefault="005253E1">
      <w:pPr>
        <w:pStyle w:val="AbstHead"/>
        <w:widowControl/>
        <w:spacing w:after="0"/>
        <w:jc w:val="both"/>
        <w:rPr>
          <w:rFonts w:eastAsia="Times New Roman"/>
          <w:szCs w:val="20"/>
          <w:lang w:eastAsia="zh-CN"/>
        </w:rPr>
      </w:pPr>
    </w:p>
    <w:p w14:paraId="4AA974D4"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In 2012, China incorporated ecological civilization construction into the overall layout of the "Five-in-One" strategy, and since then, green development has increasingly become a hot topic of widespread social concern.At the beginning of 2020, the COVID-19 pandemic emerged. Considering the potential impact of multiple factors on sample errors, data from 2012—2019 were used for a new regression analysis to conduct robustness tests.The coefficient of ESG remained significantly positive, further indicating that the benchmark regression results are reliable.</w:t>
      </w:r>
    </w:p>
    <w:p w14:paraId="61F3CE18" w14:textId="77777777" w:rsidR="005253E1" w:rsidRDefault="005253E1">
      <w:pPr>
        <w:pStyle w:val="AbstHead"/>
        <w:widowControl/>
        <w:spacing w:after="0"/>
        <w:jc w:val="both"/>
        <w:rPr>
          <w:rFonts w:eastAsia="Times New Roman"/>
          <w:szCs w:val="20"/>
          <w:lang w:eastAsia="zh-CN"/>
        </w:rPr>
      </w:pPr>
    </w:p>
    <w:p w14:paraId="613649D4"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5.2.3 Adjust control variables.</w:t>
      </w:r>
    </w:p>
    <w:p w14:paraId="7ABB456B" w14:textId="77777777" w:rsidR="005253E1" w:rsidRDefault="005253E1">
      <w:pPr>
        <w:pStyle w:val="AbstHead"/>
        <w:widowControl/>
        <w:spacing w:after="0"/>
        <w:jc w:val="both"/>
        <w:rPr>
          <w:rFonts w:eastAsia="Times New Roman"/>
          <w:szCs w:val="20"/>
          <w:lang w:eastAsia="zh-CN"/>
        </w:rPr>
      </w:pPr>
    </w:p>
    <w:p w14:paraId="7D63204A" w14:textId="77777777" w:rsidR="005253E1" w:rsidRDefault="00000000">
      <w:pPr>
        <w:rPr>
          <w:rFonts w:eastAsia="Times New Roman"/>
          <w:sz w:val="20"/>
          <w:szCs w:val="20"/>
          <w:lang w:eastAsia="zh-CN"/>
        </w:rPr>
      </w:pPr>
      <w:r>
        <w:rPr>
          <w:rFonts w:eastAsia="Times New Roman" w:hint="eastAsia"/>
          <w:sz w:val="20"/>
          <w:szCs w:val="20"/>
          <w:lang w:eastAsia="zh-CN"/>
        </w:rPr>
        <w:t>Referring to the research by Li Wei and Guan Xiaoxiao (2025), Tobin's Q and the shareholding ratio of the largest shareholder were added as control variables for another benchmark regression analysis to verify robustness. The results showed that both the flow of OFDI and the number of OFDI instances remained significant at the 1% level, further demonstrating the promoting effect of corporate ESG performance on OFDI.</w:t>
      </w:r>
    </w:p>
    <w:p w14:paraId="5EDAB1FD" w14:textId="77777777" w:rsidR="005253E1" w:rsidRDefault="005253E1">
      <w:pPr>
        <w:pStyle w:val="AbstHead"/>
        <w:widowControl/>
        <w:spacing w:after="0"/>
        <w:jc w:val="both"/>
        <w:rPr>
          <w:rFonts w:eastAsia="Times New Roman"/>
          <w:szCs w:val="20"/>
          <w:lang w:eastAsia="zh-CN"/>
        </w:rPr>
      </w:pPr>
    </w:p>
    <w:p w14:paraId="06EB2189" w14:textId="77777777" w:rsidR="005253E1" w:rsidRDefault="00000000">
      <w:pPr>
        <w:widowControl/>
        <w:autoSpaceDE w:val="0"/>
        <w:autoSpaceDN w:val="0"/>
        <w:adjustRightInd w:val="0"/>
        <w:jc w:val="both"/>
        <w:rPr>
          <w:rFonts w:eastAsia="Times New Roman"/>
          <w:b/>
          <w:caps/>
          <w:szCs w:val="20"/>
          <w:lang w:eastAsia="zh-CN"/>
        </w:rPr>
      </w:pPr>
      <w:r>
        <w:rPr>
          <w:rFonts w:eastAsia="Times New Roman"/>
          <w:b/>
          <w:bCs/>
          <w:sz w:val="20"/>
          <w:lang w:eastAsia="zh-CN"/>
        </w:rPr>
        <w:t xml:space="preserve">Table </w:t>
      </w:r>
      <w:r>
        <w:rPr>
          <w:rFonts w:eastAsia="Times New Roman" w:hint="eastAsia"/>
          <w:b/>
          <w:bCs/>
          <w:sz w:val="20"/>
          <w:lang w:eastAsia="zh-CN"/>
        </w:rPr>
        <w:t>2</w:t>
      </w:r>
      <w:r>
        <w:rPr>
          <w:rFonts w:eastAsia="Times New Roman"/>
          <w:b/>
          <w:bCs/>
          <w:sz w:val="20"/>
          <w:lang w:eastAsia="zh-CN"/>
        </w:rPr>
        <w:t>: Robustness test results</w:t>
      </w:r>
    </w:p>
    <w:tbl>
      <w:tblPr>
        <w:tblW w:w="5000" w:type="pct"/>
        <w:tblLayout w:type="fixed"/>
        <w:tblLook w:val="04A0" w:firstRow="1" w:lastRow="0" w:firstColumn="1" w:lastColumn="0" w:noHBand="0" w:noVBand="1"/>
      </w:tblPr>
      <w:tblGrid>
        <w:gridCol w:w="1447"/>
        <w:gridCol w:w="1238"/>
        <w:gridCol w:w="1401"/>
        <w:gridCol w:w="1424"/>
        <w:gridCol w:w="1454"/>
        <w:gridCol w:w="1321"/>
        <w:gridCol w:w="1291"/>
      </w:tblGrid>
      <w:tr w:rsidR="005253E1" w14:paraId="614201CC" w14:textId="77777777">
        <w:trPr>
          <w:trHeight w:val="313"/>
        </w:trPr>
        <w:tc>
          <w:tcPr>
            <w:tcW w:w="755" w:type="pct"/>
            <w:vMerge w:val="restart"/>
            <w:tcBorders>
              <w:top w:val="single" w:sz="12" w:space="0" w:color="000000"/>
              <w:left w:val="nil"/>
              <w:bottom w:val="single" w:sz="12" w:space="0" w:color="000000"/>
              <w:right w:val="nil"/>
            </w:tcBorders>
            <w:noWrap/>
            <w:vAlign w:val="center"/>
          </w:tcPr>
          <w:p w14:paraId="05724A75" w14:textId="77777777" w:rsidR="005253E1" w:rsidRDefault="00000000">
            <w:pPr>
              <w:jc w:val="center"/>
              <w:rPr>
                <w:rFonts w:eastAsia="SimSun"/>
                <w:b/>
                <w:bCs/>
                <w:sz w:val="20"/>
                <w:szCs w:val="20"/>
              </w:rPr>
            </w:pPr>
            <w:r>
              <w:rPr>
                <w:rFonts w:eastAsia="SimSun"/>
                <w:b/>
                <w:bCs/>
                <w:sz w:val="20"/>
                <w:szCs w:val="20"/>
                <w:lang w:eastAsia="zh-CN"/>
              </w:rPr>
              <w:t>Variable</w:t>
            </w:r>
          </w:p>
        </w:tc>
        <w:tc>
          <w:tcPr>
            <w:tcW w:w="1377" w:type="pct"/>
            <w:gridSpan w:val="2"/>
            <w:tcBorders>
              <w:top w:val="single" w:sz="12" w:space="0" w:color="000000"/>
              <w:left w:val="nil"/>
              <w:bottom w:val="nil"/>
              <w:right w:val="nil"/>
            </w:tcBorders>
            <w:noWrap/>
            <w:vAlign w:val="center"/>
          </w:tcPr>
          <w:p w14:paraId="0C9F1B23" w14:textId="77777777" w:rsidR="005253E1" w:rsidRDefault="00000000">
            <w:pPr>
              <w:jc w:val="center"/>
              <w:rPr>
                <w:rFonts w:eastAsia="SimSun"/>
                <w:b/>
                <w:bCs/>
                <w:sz w:val="20"/>
                <w:szCs w:val="20"/>
                <w:lang w:eastAsia="zh-CN"/>
              </w:rPr>
            </w:pPr>
            <w:r>
              <w:rPr>
                <w:rFonts w:eastAsia="SimSun"/>
                <w:b/>
                <w:bCs/>
                <w:sz w:val="20"/>
                <w:szCs w:val="20"/>
                <w:lang w:eastAsia="zh-CN"/>
              </w:rPr>
              <w:t>Cluster Robust Standard Errors of OLS</w:t>
            </w:r>
          </w:p>
        </w:tc>
        <w:tc>
          <w:tcPr>
            <w:tcW w:w="1502" w:type="pct"/>
            <w:gridSpan w:val="2"/>
            <w:tcBorders>
              <w:top w:val="single" w:sz="12" w:space="0" w:color="000000"/>
              <w:left w:val="nil"/>
              <w:bottom w:val="nil"/>
              <w:right w:val="nil"/>
            </w:tcBorders>
            <w:noWrap/>
            <w:vAlign w:val="center"/>
          </w:tcPr>
          <w:p w14:paraId="4EE0BCC5" w14:textId="77777777" w:rsidR="005253E1" w:rsidRDefault="00000000">
            <w:pPr>
              <w:jc w:val="center"/>
              <w:rPr>
                <w:rFonts w:eastAsia="SimSun"/>
                <w:b/>
                <w:bCs/>
                <w:sz w:val="20"/>
                <w:szCs w:val="20"/>
                <w:lang w:eastAsia="zh-CN"/>
              </w:rPr>
            </w:pPr>
            <w:r>
              <w:rPr>
                <w:rFonts w:eastAsia="SimSun" w:hint="eastAsia"/>
                <w:b/>
                <w:bCs/>
                <w:sz w:val="20"/>
                <w:szCs w:val="20"/>
                <w:lang w:eastAsia="zh-CN"/>
              </w:rPr>
              <w:t>Change Sample Range</w:t>
            </w:r>
          </w:p>
        </w:tc>
        <w:tc>
          <w:tcPr>
            <w:tcW w:w="1364" w:type="pct"/>
            <w:gridSpan w:val="2"/>
            <w:tcBorders>
              <w:top w:val="single" w:sz="12" w:space="0" w:color="000000"/>
              <w:left w:val="nil"/>
              <w:bottom w:val="nil"/>
              <w:right w:val="nil"/>
            </w:tcBorders>
            <w:noWrap/>
            <w:vAlign w:val="center"/>
          </w:tcPr>
          <w:p w14:paraId="1EB6AE1B" w14:textId="77777777" w:rsidR="005253E1" w:rsidRDefault="00000000">
            <w:pPr>
              <w:jc w:val="center"/>
              <w:rPr>
                <w:rFonts w:eastAsia="SimSun"/>
                <w:b/>
                <w:bCs/>
                <w:sz w:val="20"/>
                <w:szCs w:val="20"/>
                <w:lang w:eastAsia="zh-CN"/>
              </w:rPr>
            </w:pPr>
            <w:r>
              <w:rPr>
                <w:rFonts w:eastAsia="SimSun" w:hint="eastAsia"/>
                <w:b/>
                <w:bCs/>
                <w:sz w:val="20"/>
                <w:szCs w:val="20"/>
                <w:lang w:eastAsia="zh-CN"/>
              </w:rPr>
              <w:t>Adjust Control Variables</w:t>
            </w:r>
          </w:p>
        </w:tc>
      </w:tr>
      <w:tr w:rsidR="005253E1" w14:paraId="721DA2D1" w14:textId="77777777">
        <w:trPr>
          <w:trHeight w:val="313"/>
        </w:trPr>
        <w:tc>
          <w:tcPr>
            <w:tcW w:w="755" w:type="pct"/>
            <w:vMerge/>
            <w:tcBorders>
              <w:top w:val="single" w:sz="12" w:space="0" w:color="000000"/>
              <w:left w:val="nil"/>
              <w:bottom w:val="single" w:sz="12" w:space="0" w:color="000000"/>
              <w:right w:val="nil"/>
            </w:tcBorders>
            <w:noWrap/>
            <w:vAlign w:val="center"/>
          </w:tcPr>
          <w:p w14:paraId="3C4BCD98" w14:textId="77777777" w:rsidR="005253E1" w:rsidRDefault="005253E1">
            <w:pPr>
              <w:jc w:val="center"/>
              <w:rPr>
                <w:rFonts w:eastAsia="SimSun"/>
                <w:b/>
                <w:bCs/>
                <w:sz w:val="20"/>
                <w:szCs w:val="20"/>
              </w:rPr>
            </w:pPr>
          </w:p>
        </w:tc>
        <w:tc>
          <w:tcPr>
            <w:tcW w:w="646" w:type="pct"/>
            <w:tcBorders>
              <w:top w:val="nil"/>
              <w:left w:val="nil"/>
              <w:bottom w:val="single" w:sz="12" w:space="0" w:color="000000"/>
              <w:right w:val="nil"/>
            </w:tcBorders>
            <w:noWrap/>
            <w:vAlign w:val="center"/>
          </w:tcPr>
          <w:p w14:paraId="431B1BEE" w14:textId="77777777" w:rsidR="005253E1" w:rsidRDefault="00000000">
            <w:pPr>
              <w:jc w:val="center"/>
              <w:rPr>
                <w:rFonts w:eastAsia="SimSun"/>
                <w:b/>
                <w:bCs/>
                <w:sz w:val="20"/>
                <w:szCs w:val="20"/>
                <w:lang w:eastAsia="zh-CN"/>
              </w:rPr>
            </w:pPr>
            <w:r>
              <w:rPr>
                <w:rFonts w:eastAsia="SimSun" w:hint="eastAsia"/>
                <w:b/>
                <w:bCs/>
                <w:sz w:val="20"/>
                <w:szCs w:val="20"/>
                <w:lang w:eastAsia="zh-CN"/>
              </w:rPr>
              <w:t>(1)OFDI</w:t>
            </w:r>
            <w:r>
              <w:rPr>
                <w:rFonts w:eastAsia="SimSun" w:hint="eastAsia"/>
                <w:b/>
                <w:bCs/>
                <w:sz w:val="20"/>
                <w:szCs w:val="20"/>
                <w:lang w:eastAsia="zh-CN"/>
              </w:rPr>
              <w:tab/>
            </w:r>
          </w:p>
        </w:tc>
        <w:tc>
          <w:tcPr>
            <w:tcW w:w="730" w:type="pct"/>
            <w:tcBorders>
              <w:top w:val="nil"/>
              <w:left w:val="nil"/>
              <w:bottom w:val="single" w:sz="12" w:space="0" w:color="000000"/>
              <w:right w:val="nil"/>
            </w:tcBorders>
            <w:noWrap/>
            <w:vAlign w:val="center"/>
          </w:tcPr>
          <w:p w14:paraId="020B5FE4" w14:textId="77777777" w:rsidR="005253E1" w:rsidRDefault="00000000">
            <w:pPr>
              <w:jc w:val="center"/>
              <w:rPr>
                <w:rFonts w:eastAsia="SimSun"/>
                <w:b/>
                <w:bCs/>
                <w:sz w:val="20"/>
                <w:szCs w:val="20"/>
                <w:lang w:eastAsia="zh-CN"/>
              </w:rPr>
            </w:pPr>
            <w:r>
              <w:rPr>
                <w:rFonts w:eastAsia="SimSun" w:hint="eastAsia"/>
                <w:b/>
                <w:bCs/>
                <w:sz w:val="20"/>
                <w:szCs w:val="20"/>
                <w:lang w:eastAsia="zh-CN"/>
              </w:rPr>
              <w:t>(2)OFDI_F</w:t>
            </w:r>
          </w:p>
        </w:tc>
        <w:tc>
          <w:tcPr>
            <w:tcW w:w="743" w:type="pct"/>
            <w:tcBorders>
              <w:top w:val="nil"/>
              <w:left w:val="nil"/>
              <w:bottom w:val="single" w:sz="12" w:space="0" w:color="000000"/>
              <w:right w:val="nil"/>
            </w:tcBorders>
            <w:noWrap/>
            <w:vAlign w:val="center"/>
          </w:tcPr>
          <w:p w14:paraId="096A6CEC" w14:textId="77777777" w:rsidR="005253E1" w:rsidRDefault="00000000">
            <w:pPr>
              <w:jc w:val="center"/>
              <w:rPr>
                <w:rFonts w:eastAsia="SimSun"/>
                <w:b/>
                <w:bCs/>
                <w:sz w:val="20"/>
                <w:szCs w:val="20"/>
                <w:lang w:eastAsia="zh-CN"/>
              </w:rPr>
            </w:pPr>
            <w:r>
              <w:rPr>
                <w:rFonts w:eastAsia="SimSun" w:hint="eastAsia"/>
                <w:b/>
                <w:bCs/>
                <w:sz w:val="20"/>
                <w:szCs w:val="20"/>
                <w:lang w:eastAsia="zh-CN"/>
              </w:rPr>
              <w:t>(1)OFDI</w:t>
            </w:r>
            <w:r>
              <w:rPr>
                <w:rFonts w:eastAsia="SimSun" w:hint="eastAsia"/>
                <w:b/>
                <w:bCs/>
                <w:sz w:val="20"/>
                <w:szCs w:val="20"/>
                <w:lang w:eastAsia="zh-CN"/>
              </w:rPr>
              <w:tab/>
            </w:r>
          </w:p>
        </w:tc>
        <w:tc>
          <w:tcPr>
            <w:tcW w:w="759" w:type="pct"/>
            <w:tcBorders>
              <w:top w:val="nil"/>
              <w:left w:val="nil"/>
              <w:bottom w:val="single" w:sz="12" w:space="0" w:color="000000"/>
              <w:right w:val="nil"/>
            </w:tcBorders>
            <w:noWrap/>
            <w:vAlign w:val="center"/>
          </w:tcPr>
          <w:p w14:paraId="52E14AF7" w14:textId="77777777" w:rsidR="005253E1" w:rsidRDefault="00000000">
            <w:pPr>
              <w:jc w:val="center"/>
              <w:rPr>
                <w:rFonts w:eastAsia="SimSun"/>
                <w:b/>
                <w:bCs/>
                <w:sz w:val="20"/>
                <w:szCs w:val="20"/>
                <w:lang w:eastAsia="zh-CN"/>
              </w:rPr>
            </w:pPr>
            <w:r>
              <w:rPr>
                <w:rFonts w:eastAsia="SimSun" w:hint="eastAsia"/>
                <w:b/>
                <w:bCs/>
                <w:sz w:val="20"/>
                <w:szCs w:val="20"/>
                <w:lang w:eastAsia="zh-CN"/>
              </w:rPr>
              <w:t>(2)OFDI_F</w:t>
            </w:r>
          </w:p>
        </w:tc>
        <w:tc>
          <w:tcPr>
            <w:tcW w:w="690" w:type="pct"/>
            <w:tcBorders>
              <w:top w:val="nil"/>
              <w:left w:val="nil"/>
              <w:bottom w:val="single" w:sz="12" w:space="0" w:color="000000"/>
              <w:right w:val="nil"/>
            </w:tcBorders>
            <w:noWrap/>
            <w:vAlign w:val="center"/>
          </w:tcPr>
          <w:p w14:paraId="2805BD2A" w14:textId="77777777" w:rsidR="005253E1" w:rsidRDefault="00000000">
            <w:pPr>
              <w:jc w:val="center"/>
              <w:rPr>
                <w:rFonts w:eastAsia="SimSun"/>
                <w:b/>
                <w:bCs/>
                <w:sz w:val="20"/>
                <w:szCs w:val="20"/>
                <w:lang w:eastAsia="zh-CN"/>
              </w:rPr>
            </w:pPr>
            <w:r>
              <w:rPr>
                <w:rFonts w:eastAsia="SimSun" w:hint="eastAsia"/>
                <w:b/>
                <w:bCs/>
                <w:sz w:val="20"/>
                <w:szCs w:val="20"/>
                <w:lang w:eastAsia="zh-CN"/>
              </w:rPr>
              <w:t>(1)OFDI</w:t>
            </w:r>
            <w:r>
              <w:rPr>
                <w:rFonts w:eastAsia="SimSun" w:hint="eastAsia"/>
                <w:b/>
                <w:bCs/>
                <w:sz w:val="20"/>
                <w:szCs w:val="20"/>
                <w:lang w:eastAsia="zh-CN"/>
              </w:rPr>
              <w:tab/>
            </w:r>
          </w:p>
        </w:tc>
        <w:tc>
          <w:tcPr>
            <w:tcW w:w="673" w:type="pct"/>
            <w:tcBorders>
              <w:top w:val="nil"/>
              <w:left w:val="nil"/>
              <w:bottom w:val="single" w:sz="12" w:space="0" w:color="000000"/>
              <w:right w:val="nil"/>
            </w:tcBorders>
            <w:noWrap/>
            <w:vAlign w:val="center"/>
          </w:tcPr>
          <w:p w14:paraId="7F36BDD5" w14:textId="77777777" w:rsidR="005253E1" w:rsidRDefault="00000000">
            <w:pPr>
              <w:jc w:val="center"/>
              <w:rPr>
                <w:rFonts w:eastAsia="SimSun"/>
                <w:b/>
                <w:bCs/>
                <w:sz w:val="20"/>
                <w:szCs w:val="20"/>
                <w:lang w:eastAsia="zh-CN"/>
              </w:rPr>
            </w:pPr>
            <w:r>
              <w:rPr>
                <w:rFonts w:eastAsia="SimSun" w:hint="eastAsia"/>
                <w:b/>
                <w:bCs/>
                <w:sz w:val="20"/>
                <w:szCs w:val="20"/>
                <w:lang w:eastAsia="zh-CN"/>
              </w:rPr>
              <w:t>(2)OFDI_F</w:t>
            </w:r>
          </w:p>
        </w:tc>
      </w:tr>
      <w:tr w:rsidR="005253E1" w14:paraId="6662751F" w14:textId="77777777">
        <w:trPr>
          <w:trHeight w:val="313"/>
        </w:trPr>
        <w:tc>
          <w:tcPr>
            <w:tcW w:w="755" w:type="pct"/>
            <w:vMerge w:val="restart"/>
            <w:tcBorders>
              <w:top w:val="nil"/>
              <w:left w:val="nil"/>
              <w:bottom w:val="nil"/>
              <w:right w:val="nil"/>
            </w:tcBorders>
            <w:noWrap/>
            <w:vAlign w:val="center"/>
          </w:tcPr>
          <w:p w14:paraId="75FC114D" w14:textId="77777777" w:rsidR="005253E1" w:rsidRDefault="00000000">
            <w:pPr>
              <w:jc w:val="center"/>
              <w:rPr>
                <w:rFonts w:eastAsia="SimSun"/>
                <w:sz w:val="20"/>
                <w:szCs w:val="20"/>
                <w:lang w:eastAsia="zh-CN"/>
              </w:rPr>
            </w:pPr>
            <w:r>
              <w:rPr>
                <w:rFonts w:eastAsia="SimSun"/>
                <w:sz w:val="20"/>
                <w:szCs w:val="20"/>
                <w:lang w:eastAsia="zh-CN"/>
              </w:rPr>
              <w:t>ESG</w:t>
            </w:r>
          </w:p>
        </w:tc>
        <w:tc>
          <w:tcPr>
            <w:tcW w:w="646" w:type="pct"/>
            <w:tcBorders>
              <w:top w:val="nil"/>
              <w:left w:val="nil"/>
              <w:bottom w:val="nil"/>
              <w:right w:val="nil"/>
            </w:tcBorders>
            <w:noWrap/>
            <w:vAlign w:val="center"/>
          </w:tcPr>
          <w:p w14:paraId="6230AE08" w14:textId="77777777" w:rsidR="005253E1" w:rsidRDefault="00000000">
            <w:pPr>
              <w:jc w:val="center"/>
              <w:rPr>
                <w:rFonts w:eastAsia="SimSun"/>
                <w:sz w:val="20"/>
                <w:szCs w:val="20"/>
                <w:lang w:eastAsia="zh-CN"/>
              </w:rPr>
            </w:pPr>
            <w:r>
              <w:rPr>
                <w:rFonts w:hint="eastAsia"/>
              </w:rPr>
              <w:t>4.078**</w:t>
            </w:r>
          </w:p>
        </w:tc>
        <w:tc>
          <w:tcPr>
            <w:tcW w:w="730" w:type="pct"/>
            <w:tcBorders>
              <w:top w:val="nil"/>
              <w:left w:val="nil"/>
              <w:bottom w:val="nil"/>
              <w:right w:val="nil"/>
            </w:tcBorders>
            <w:noWrap/>
            <w:vAlign w:val="center"/>
          </w:tcPr>
          <w:p w14:paraId="00915AE0" w14:textId="77777777" w:rsidR="005253E1" w:rsidRDefault="00000000">
            <w:pPr>
              <w:jc w:val="center"/>
              <w:rPr>
                <w:rFonts w:eastAsia="SimSun"/>
                <w:sz w:val="20"/>
                <w:szCs w:val="20"/>
                <w:lang w:eastAsia="zh-CN"/>
              </w:rPr>
            </w:pPr>
            <w:r>
              <w:rPr>
                <w:rFonts w:eastAsia="SimSun"/>
                <w:sz w:val="20"/>
                <w:szCs w:val="20"/>
                <w:lang w:eastAsia="zh-CN"/>
              </w:rPr>
              <w:t>0.905**</w:t>
            </w:r>
          </w:p>
        </w:tc>
        <w:tc>
          <w:tcPr>
            <w:tcW w:w="743" w:type="pct"/>
            <w:tcBorders>
              <w:top w:val="nil"/>
              <w:left w:val="nil"/>
              <w:bottom w:val="nil"/>
              <w:right w:val="nil"/>
            </w:tcBorders>
            <w:noWrap/>
            <w:vAlign w:val="center"/>
          </w:tcPr>
          <w:p w14:paraId="6358016A" w14:textId="77777777" w:rsidR="005253E1" w:rsidRDefault="00000000">
            <w:pPr>
              <w:jc w:val="center"/>
              <w:rPr>
                <w:rFonts w:eastAsia="SimSun"/>
                <w:sz w:val="20"/>
                <w:szCs w:val="20"/>
                <w:lang w:eastAsia="zh-CN"/>
              </w:rPr>
            </w:pPr>
            <w:r>
              <w:rPr>
                <w:rFonts w:eastAsia="SimSun"/>
                <w:sz w:val="20"/>
                <w:szCs w:val="20"/>
                <w:lang w:eastAsia="zh-CN"/>
              </w:rPr>
              <w:t>3.879**</w:t>
            </w:r>
          </w:p>
        </w:tc>
        <w:tc>
          <w:tcPr>
            <w:tcW w:w="759" w:type="pct"/>
            <w:tcBorders>
              <w:top w:val="nil"/>
              <w:left w:val="nil"/>
              <w:bottom w:val="nil"/>
              <w:right w:val="nil"/>
            </w:tcBorders>
            <w:noWrap/>
            <w:vAlign w:val="center"/>
          </w:tcPr>
          <w:p w14:paraId="423B28A2" w14:textId="77777777" w:rsidR="005253E1" w:rsidRDefault="00000000">
            <w:pPr>
              <w:jc w:val="center"/>
              <w:rPr>
                <w:rFonts w:eastAsia="SimSun"/>
                <w:sz w:val="20"/>
                <w:szCs w:val="20"/>
                <w:lang w:eastAsia="zh-CN"/>
              </w:rPr>
            </w:pPr>
            <w:r>
              <w:rPr>
                <w:rFonts w:eastAsia="SimSun"/>
                <w:sz w:val="20"/>
                <w:szCs w:val="20"/>
                <w:lang w:eastAsia="zh-CN"/>
              </w:rPr>
              <w:t>0.606**</w:t>
            </w:r>
          </w:p>
        </w:tc>
        <w:tc>
          <w:tcPr>
            <w:tcW w:w="690" w:type="pct"/>
            <w:tcBorders>
              <w:top w:val="nil"/>
              <w:left w:val="nil"/>
              <w:bottom w:val="nil"/>
              <w:right w:val="nil"/>
            </w:tcBorders>
            <w:noWrap/>
            <w:vAlign w:val="center"/>
          </w:tcPr>
          <w:p w14:paraId="7292AE15" w14:textId="77777777" w:rsidR="005253E1" w:rsidRDefault="00000000">
            <w:pPr>
              <w:jc w:val="center"/>
              <w:rPr>
                <w:rFonts w:eastAsia="SimSun"/>
                <w:sz w:val="20"/>
                <w:szCs w:val="20"/>
                <w:lang w:eastAsia="zh-CN"/>
              </w:rPr>
            </w:pPr>
            <w:r>
              <w:rPr>
                <w:rFonts w:eastAsia="SimSun"/>
                <w:sz w:val="20"/>
                <w:szCs w:val="20"/>
                <w:lang w:eastAsia="zh-CN"/>
              </w:rPr>
              <w:t>3.227***</w:t>
            </w:r>
          </w:p>
        </w:tc>
        <w:tc>
          <w:tcPr>
            <w:tcW w:w="673" w:type="pct"/>
            <w:tcBorders>
              <w:top w:val="nil"/>
              <w:left w:val="nil"/>
              <w:bottom w:val="nil"/>
              <w:right w:val="nil"/>
            </w:tcBorders>
            <w:noWrap/>
            <w:vAlign w:val="center"/>
          </w:tcPr>
          <w:p w14:paraId="002D56AA" w14:textId="77777777" w:rsidR="005253E1" w:rsidRDefault="00000000">
            <w:pPr>
              <w:jc w:val="center"/>
              <w:rPr>
                <w:rFonts w:eastAsia="SimSun"/>
                <w:sz w:val="20"/>
                <w:szCs w:val="20"/>
                <w:lang w:eastAsia="zh-CN"/>
              </w:rPr>
            </w:pPr>
            <w:r>
              <w:rPr>
                <w:rFonts w:eastAsia="SimSun"/>
                <w:sz w:val="20"/>
                <w:szCs w:val="20"/>
                <w:lang w:eastAsia="zh-CN"/>
              </w:rPr>
              <w:t>0.860***</w:t>
            </w:r>
          </w:p>
        </w:tc>
      </w:tr>
      <w:tr w:rsidR="005253E1" w14:paraId="47BD7021" w14:textId="77777777">
        <w:trPr>
          <w:trHeight w:val="244"/>
        </w:trPr>
        <w:tc>
          <w:tcPr>
            <w:tcW w:w="755" w:type="pct"/>
            <w:vMerge/>
            <w:tcBorders>
              <w:top w:val="nil"/>
              <w:left w:val="nil"/>
              <w:bottom w:val="nil"/>
              <w:right w:val="nil"/>
            </w:tcBorders>
            <w:noWrap/>
            <w:vAlign w:val="center"/>
          </w:tcPr>
          <w:p w14:paraId="6A341D66" w14:textId="77777777" w:rsidR="005253E1" w:rsidRDefault="005253E1">
            <w:pPr>
              <w:jc w:val="center"/>
              <w:rPr>
                <w:rFonts w:eastAsia="SimSun"/>
                <w:sz w:val="20"/>
                <w:szCs w:val="20"/>
                <w:lang w:eastAsia="zh-CN"/>
              </w:rPr>
            </w:pPr>
          </w:p>
        </w:tc>
        <w:tc>
          <w:tcPr>
            <w:tcW w:w="646" w:type="pct"/>
            <w:tcBorders>
              <w:top w:val="nil"/>
              <w:left w:val="nil"/>
              <w:bottom w:val="nil"/>
              <w:right w:val="nil"/>
            </w:tcBorders>
            <w:noWrap/>
            <w:vAlign w:val="center"/>
          </w:tcPr>
          <w:p w14:paraId="6C58B2EF" w14:textId="77777777" w:rsidR="005253E1" w:rsidRDefault="00000000">
            <w:pPr>
              <w:jc w:val="center"/>
              <w:rPr>
                <w:rFonts w:eastAsia="SimSun"/>
                <w:sz w:val="20"/>
                <w:szCs w:val="20"/>
                <w:lang w:eastAsia="zh-CN"/>
              </w:rPr>
            </w:pPr>
            <w:r>
              <w:rPr>
                <w:rFonts w:hint="eastAsia"/>
              </w:rPr>
              <w:t>(1.836)</w:t>
            </w:r>
          </w:p>
        </w:tc>
        <w:tc>
          <w:tcPr>
            <w:tcW w:w="730" w:type="pct"/>
            <w:tcBorders>
              <w:top w:val="nil"/>
              <w:left w:val="nil"/>
              <w:bottom w:val="nil"/>
              <w:right w:val="nil"/>
            </w:tcBorders>
            <w:noWrap/>
            <w:vAlign w:val="center"/>
          </w:tcPr>
          <w:p w14:paraId="21D575B5" w14:textId="77777777" w:rsidR="005253E1" w:rsidRDefault="00000000">
            <w:pPr>
              <w:jc w:val="center"/>
              <w:rPr>
                <w:rFonts w:eastAsia="SimSun"/>
                <w:sz w:val="20"/>
                <w:szCs w:val="20"/>
                <w:lang w:eastAsia="zh-CN"/>
              </w:rPr>
            </w:pPr>
            <w:r>
              <w:rPr>
                <w:rFonts w:eastAsia="SimSun"/>
                <w:sz w:val="20"/>
                <w:szCs w:val="20"/>
                <w:lang w:eastAsia="zh-CN"/>
              </w:rPr>
              <w:t>（</w:t>
            </w:r>
            <w:r>
              <w:rPr>
                <w:rFonts w:eastAsia="SimSun"/>
                <w:sz w:val="20"/>
                <w:szCs w:val="20"/>
                <w:lang w:eastAsia="zh-CN"/>
              </w:rPr>
              <w:t>0.396</w:t>
            </w:r>
            <w:r>
              <w:rPr>
                <w:rFonts w:eastAsia="SimSun"/>
                <w:sz w:val="20"/>
                <w:szCs w:val="20"/>
                <w:lang w:eastAsia="zh-CN"/>
              </w:rPr>
              <w:t>）</w:t>
            </w:r>
          </w:p>
        </w:tc>
        <w:tc>
          <w:tcPr>
            <w:tcW w:w="743" w:type="pct"/>
            <w:tcBorders>
              <w:top w:val="nil"/>
              <w:left w:val="nil"/>
              <w:bottom w:val="nil"/>
              <w:right w:val="nil"/>
            </w:tcBorders>
            <w:noWrap/>
            <w:vAlign w:val="center"/>
          </w:tcPr>
          <w:p w14:paraId="15117666" w14:textId="77777777" w:rsidR="005253E1" w:rsidRDefault="00000000">
            <w:pPr>
              <w:jc w:val="center"/>
              <w:rPr>
                <w:rFonts w:eastAsia="SimSun"/>
                <w:sz w:val="20"/>
                <w:szCs w:val="20"/>
                <w:lang w:eastAsia="zh-CN"/>
              </w:rPr>
            </w:pPr>
            <w:r>
              <w:rPr>
                <w:rFonts w:eastAsia="SimSun"/>
                <w:sz w:val="20"/>
                <w:szCs w:val="20"/>
                <w:lang w:eastAsia="zh-CN"/>
              </w:rPr>
              <w:t>（</w:t>
            </w:r>
            <w:r>
              <w:rPr>
                <w:rFonts w:eastAsia="SimSun"/>
                <w:sz w:val="20"/>
                <w:szCs w:val="20"/>
                <w:lang w:eastAsia="zh-CN"/>
              </w:rPr>
              <w:t>1.915</w:t>
            </w:r>
            <w:r>
              <w:rPr>
                <w:rFonts w:eastAsia="SimSun"/>
                <w:sz w:val="20"/>
                <w:szCs w:val="20"/>
                <w:lang w:eastAsia="zh-CN"/>
              </w:rPr>
              <w:t>）</w:t>
            </w:r>
          </w:p>
        </w:tc>
        <w:tc>
          <w:tcPr>
            <w:tcW w:w="759" w:type="pct"/>
            <w:tcBorders>
              <w:top w:val="nil"/>
              <w:left w:val="nil"/>
              <w:bottom w:val="nil"/>
              <w:right w:val="nil"/>
            </w:tcBorders>
            <w:noWrap/>
            <w:vAlign w:val="center"/>
          </w:tcPr>
          <w:p w14:paraId="59F7F222" w14:textId="77777777" w:rsidR="005253E1" w:rsidRDefault="00000000">
            <w:pPr>
              <w:jc w:val="center"/>
              <w:rPr>
                <w:rFonts w:eastAsia="SimSun"/>
                <w:sz w:val="20"/>
                <w:szCs w:val="20"/>
                <w:lang w:eastAsia="zh-CN"/>
              </w:rPr>
            </w:pPr>
            <w:r>
              <w:rPr>
                <w:rFonts w:eastAsia="SimSun"/>
                <w:sz w:val="20"/>
                <w:szCs w:val="20"/>
                <w:lang w:eastAsia="zh-CN"/>
              </w:rPr>
              <w:t>（</w:t>
            </w:r>
            <w:r>
              <w:rPr>
                <w:rFonts w:eastAsia="SimSun"/>
                <w:sz w:val="20"/>
                <w:szCs w:val="20"/>
                <w:lang w:eastAsia="zh-CN"/>
              </w:rPr>
              <w:t>0.305</w:t>
            </w:r>
            <w:r>
              <w:rPr>
                <w:rFonts w:eastAsia="SimSun"/>
                <w:sz w:val="20"/>
                <w:szCs w:val="20"/>
                <w:lang w:eastAsia="zh-CN"/>
              </w:rPr>
              <w:t>）</w:t>
            </w:r>
          </w:p>
        </w:tc>
        <w:tc>
          <w:tcPr>
            <w:tcW w:w="690" w:type="pct"/>
            <w:tcBorders>
              <w:top w:val="nil"/>
              <w:left w:val="nil"/>
              <w:bottom w:val="nil"/>
              <w:right w:val="nil"/>
            </w:tcBorders>
            <w:noWrap/>
            <w:vAlign w:val="center"/>
          </w:tcPr>
          <w:p w14:paraId="1810DC58" w14:textId="77777777" w:rsidR="005253E1" w:rsidRDefault="00000000">
            <w:pPr>
              <w:jc w:val="center"/>
              <w:rPr>
                <w:rFonts w:eastAsia="SimSun"/>
                <w:sz w:val="20"/>
                <w:szCs w:val="20"/>
                <w:lang w:eastAsia="zh-CN"/>
              </w:rPr>
            </w:pPr>
            <w:r>
              <w:rPr>
                <w:rFonts w:eastAsia="SimSun"/>
                <w:sz w:val="20"/>
                <w:szCs w:val="20"/>
                <w:lang w:eastAsia="zh-CN"/>
              </w:rPr>
              <w:t>(1.082)</w:t>
            </w:r>
          </w:p>
        </w:tc>
        <w:tc>
          <w:tcPr>
            <w:tcW w:w="673" w:type="pct"/>
            <w:tcBorders>
              <w:top w:val="nil"/>
              <w:left w:val="nil"/>
              <w:bottom w:val="nil"/>
              <w:right w:val="nil"/>
            </w:tcBorders>
            <w:noWrap/>
            <w:vAlign w:val="center"/>
          </w:tcPr>
          <w:p w14:paraId="59E1D536" w14:textId="77777777" w:rsidR="005253E1" w:rsidRDefault="00000000">
            <w:pPr>
              <w:jc w:val="center"/>
              <w:rPr>
                <w:rFonts w:eastAsia="SimSun"/>
                <w:sz w:val="20"/>
                <w:szCs w:val="20"/>
                <w:lang w:eastAsia="zh-CN"/>
              </w:rPr>
            </w:pPr>
            <w:r>
              <w:rPr>
                <w:rFonts w:eastAsia="SimSun"/>
                <w:sz w:val="20"/>
                <w:szCs w:val="20"/>
                <w:lang w:eastAsia="zh-CN"/>
              </w:rPr>
              <w:t>(0.211)</w:t>
            </w:r>
          </w:p>
        </w:tc>
      </w:tr>
      <w:tr w:rsidR="005253E1" w14:paraId="4F0ECFF2" w14:textId="77777777">
        <w:trPr>
          <w:trHeight w:val="244"/>
        </w:trPr>
        <w:tc>
          <w:tcPr>
            <w:tcW w:w="755" w:type="pct"/>
            <w:tcBorders>
              <w:top w:val="nil"/>
              <w:left w:val="nil"/>
              <w:bottom w:val="nil"/>
              <w:right w:val="nil"/>
            </w:tcBorders>
            <w:noWrap/>
            <w:vAlign w:val="center"/>
          </w:tcPr>
          <w:p w14:paraId="498370F6" w14:textId="77777777" w:rsidR="005253E1" w:rsidRDefault="00000000">
            <w:pPr>
              <w:jc w:val="center"/>
              <w:rPr>
                <w:rFonts w:eastAsia="SimSun"/>
                <w:sz w:val="20"/>
                <w:szCs w:val="20"/>
                <w:lang w:eastAsia="zh-CN"/>
              </w:rPr>
            </w:pPr>
            <w:r>
              <w:rPr>
                <w:rFonts w:hint="eastAsia"/>
              </w:rPr>
              <w:t>Control Variables</w:t>
            </w:r>
          </w:p>
        </w:tc>
        <w:tc>
          <w:tcPr>
            <w:tcW w:w="646" w:type="pct"/>
            <w:tcBorders>
              <w:top w:val="nil"/>
              <w:left w:val="nil"/>
              <w:bottom w:val="nil"/>
              <w:right w:val="nil"/>
            </w:tcBorders>
            <w:noWrap/>
            <w:vAlign w:val="center"/>
          </w:tcPr>
          <w:p w14:paraId="52917870" w14:textId="77777777" w:rsidR="005253E1" w:rsidRDefault="00000000">
            <w:pPr>
              <w:jc w:val="center"/>
              <w:rPr>
                <w:rFonts w:eastAsia="SimSun"/>
                <w:sz w:val="20"/>
                <w:szCs w:val="20"/>
                <w:lang w:eastAsia="zh-CN"/>
              </w:rPr>
            </w:pPr>
            <w:r>
              <w:rPr>
                <w:rFonts w:eastAsia="SimSun"/>
                <w:sz w:val="20"/>
                <w:szCs w:val="20"/>
                <w:lang w:eastAsia="zh-CN"/>
              </w:rPr>
              <w:t>Yes</w:t>
            </w:r>
          </w:p>
        </w:tc>
        <w:tc>
          <w:tcPr>
            <w:tcW w:w="730" w:type="pct"/>
            <w:tcBorders>
              <w:top w:val="nil"/>
              <w:left w:val="nil"/>
              <w:bottom w:val="nil"/>
              <w:right w:val="nil"/>
            </w:tcBorders>
            <w:noWrap/>
            <w:vAlign w:val="center"/>
          </w:tcPr>
          <w:p w14:paraId="31C6502F" w14:textId="77777777" w:rsidR="005253E1" w:rsidRDefault="00000000">
            <w:pPr>
              <w:jc w:val="center"/>
              <w:rPr>
                <w:rFonts w:eastAsia="SimSun"/>
                <w:sz w:val="20"/>
                <w:szCs w:val="20"/>
                <w:lang w:eastAsia="zh-CN"/>
              </w:rPr>
            </w:pPr>
            <w:r>
              <w:rPr>
                <w:rFonts w:eastAsia="SimSun"/>
                <w:sz w:val="20"/>
                <w:szCs w:val="20"/>
                <w:lang w:eastAsia="zh-CN"/>
              </w:rPr>
              <w:t>Yes</w:t>
            </w:r>
          </w:p>
        </w:tc>
        <w:tc>
          <w:tcPr>
            <w:tcW w:w="743" w:type="pct"/>
            <w:tcBorders>
              <w:top w:val="nil"/>
              <w:left w:val="nil"/>
              <w:bottom w:val="nil"/>
              <w:right w:val="nil"/>
            </w:tcBorders>
            <w:noWrap/>
            <w:vAlign w:val="center"/>
          </w:tcPr>
          <w:p w14:paraId="1FFED958" w14:textId="77777777" w:rsidR="005253E1" w:rsidRDefault="00000000">
            <w:pPr>
              <w:jc w:val="center"/>
              <w:rPr>
                <w:rFonts w:eastAsia="SimSun"/>
                <w:sz w:val="20"/>
                <w:szCs w:val="20"/>
                <w:lang w:eastAsia="zh-CN"/>
              </w:rPr>
            </w:pPr>
            <w:r>
              <w:rPr>
                <w:rFonts w:eastAsia="SimSun"/>
                <w:sz w:val="20"/>
                <w:szCs w:val="20"/>
                <w:lang w:eastAsia="zh-CN"/>
              </w:rPr>
              <w:t>Yes</w:t>
            </w:r>
          </w:p>
        </w:tc>
        <w:tc>
          <w:tcPr>
            <w:tcW w:w="759" w:type="pct"/>
            <w:tcBorders>
              <w:top w:val="nil"/>
              <w:left w:val="nil"/>
              <w:bottom w:val="nil"/>
              <w:right w:val="nil"/>
            </w:tcBorders>
            <w:noWrap/>
            <w:vAlign w:val="center"/>
          </w:tcPr>
          <w:p w14:paraId="0EE4B646" w14:textId="77777777" w:rsidR="005253E1" w:rsidRDefault="00000000">
            <w:pPr>
              <w:jc w:val="center"/>
              <w:rPr>
                <w:rFonts w:eastAsia="SimSun"/>
                <w:sz w:val="20"/>
                <w:szCs w:val="20"/>
                <w:lang w:eastAsia="zh-CN"/>
              </w:rPr>
            </w:pPr>
            <w:r>
              <w:rPr>
                <w:rFonts w:eastAsia="SimSun"/>
                <w:sz w:val="20"/>
                <w:szCs w:val="20"/>
                <w:lang w:eastAsia="zh-CN"/>
              </w:rPr>
              <w:t>Yes</w:t>
            </w:r>
          </w:p>
        </w:tc>
        <w:tc>
          <w:tcPr>
            <w:tcW w:w="690" w:type="pct"/>
            <w:tcBorders>
              <w:top w:val="nil"/>
              <w:left w:val="nil"/>
              <w:bottom w:val="nil"/>
              <w:right w:val="nil"/>
            </w:tcBorders>
            <w:noWrap/>
            <w:vAlign w:val="center"/>
          </w:tcPr>
          <w:p w14:paraId="773162D5" w14:textId="77777777" w:rsidR="005253E1" w:rsidRDefault="00000000">
            <w:pPr>
              <w:jc w:val="center"/>
              <w:rPr>
                <w:rFonts w:eastAsia="SimSun"/>
                <w:sz w:val="20"/>
                <w:szCs w:val="20"/>
                <w:lang w:eastAsia="zh-CN"/>
              </w:rPr>
            </w:pPr>
            <w:r>
              <w:rPr>
                <w:rFonts w:eastAsia="SimSun"/>
                <w:sz w:val="20"/>
                <w:szCs w:val="20"/>
                <w:lang w:eastAsia="zh-CN"/>
              </w:rPr>
              <w:t>Yes</w:t>
            </w:r>
          </w:p>
        </w:tc>
        <w:tc>
          <w:tcPr>
            <w:tcW w:w="673" w:type="pct"/>
            <w:tcBorders>
              <w:top w:val="nil"/>
              <w:left w:val="nil"/>
              <w:bottom w:val="nil"/>
              <w:right w:val="nil"/>
            </w:tcBorders>
            <w:noWrap/>
            <w:vAlign w:val="center"/>
          </w:tcPr>
          <w:p w14:paraId="3CA9898E" w14:textId="77777777" w:rsidR="005253E1" w:rsidRDefault="00000000">
            <w:pPr>
              <w:jc w:val="center"/>
              <w:rPr>
                <w:rFonts w:eastAsia="SimSun"/>
                <w:sz w:val="20"/>
                <w:szCs w:val="20"/>
                <w:lang w:eastAsia="zh-CN"/>
              </w:rPr>
            </w:pPr>
            <w:r>
              <w:rPr>
                <w:rFonts w:eastAsia="SimSun"/>
                <w:sz w:val="20"/>
                <w:szCs w:val="20"/>
                <w:lang w:eastAsia="zh-CN"/>
              </w:rPr>
              <w:t>Yes</w:t>
            </w:r>
          </w:p>
        </w:tc>
      </w:tr>
      <w:tr w:rsidR="005253E1" w14:paraId="7AE03B7E" w14:textId="77777777">
        <w:trPr>
          <w:trHeight w:val="244"/>
        </w:trPr>
        <w:tc>
          <w:tcPr>
            <w:tcW w:w="755" w:type="pct"/>
            <w:tcBorders>
              <w:top w:val="nil"/>
              <w:left w:val="nil"/>
              <w:bottom w:val="nil"/>
              <w:right w:val="nil"/>
            </w:tcBorders>
            <w:noWrap/>
            <w:vAlign w:val="center"/>
          </w:tcPr>
          <w:p w14:paraId="064C5C12" w14:textId="77777777" w:rsidR="005253E1" w:rsidRDefault="00000000">
            <w:pPr>
              <w:jc w:val="center"/>
              <w:rPr>
                <w:rFonts w:eastAsia="SimSun"/>
                <w:sz w:val="20"/>
                <w:szCs w:val="20"/>
                <w:lang w:eastAsia="zh-CN"/>
              </w:rPr>
            </w:pPr>
            <w:r>
              <w:rPr>
                <w:rFonts w:eastAsia="SimSun"/>
                <w:sz w:val="20"/>
                <w:szCs w:val="20"/>
                <w:lang w:eastAsia="zh-CN"/>
              </w:rPr>
              <w:t>Individual FE</w:t>
            </w:r>
          </w:p>
        </w:tc>
        <w:tc>
          <w:tcPr>
            <w:tcW w:w="646" w:type="pct"/>
            <w:tcBorders>
              <w:top w:val="nil"/>
              <w:left w:val="nil"/>
              <w:bottom w:val="nil"/>
              <w:right w:val="nil"/>
            </w:tcBorders>
            <w:noWrap/>
            <w:vAlign w:val="center"/>
          </w:tcPr>
          <w:p w14:paraId="3A74DA42" w14:textId="77777777" w:rsidR="005253E1" w:rsidRDefault="00000000">
            <w:pPr>
              <w:jc w:val="center"/>
              <w:rPr>
                <w:rFonts w:eastAsia="SimSun"/>
                <w:sz w:val="20"/>
                <w:szCs w:val="20"/>
                <w:lang w:eastAsia="zh-CN"/>
              </w:rPr>
            </w:pPr>
            <w:r>
              <w:rPr>
                <w:rFonts w:eastAsia="SimSun"/>
                <w:sz w:val="20"/>
                <w:szCs w:val="20"/>
                <w:lang w:eastAsia="zh-CN"/>
              </w:rPr>
              <w:t>Yes</w:t>
            </w:r>
          </w:p>
        </w:tc>
        <w:tc>
          <w:tcPr>
            <w:tcW w:w="730" w:type="pct"/>
            <w:tcBorders>
              <w:top w:val="nil"/>
              <w:left w:val="nil"/>
              <w:bottom w:val="nil"/>
              <w:right w:val="nil"/>
            </w:tcBorders>
            <w:noWrap/>
            <w:vAlign w:val="center"/>
          </w:tcPr>
          <w:p w14:paraId="2FE5E6E7" w14:textId="77777777" w:rsidR="005253E1" w:rsidRDefault="00000000">
            <w:pPr>
              <w:jc w:val="center"/>
              <w:rPr>
                <w:rFonts w:eastAsia="SimSun"/>
                <w:b/>
                <w:bCs/>
                <w:sz w:val="20"/>
                <w:szCs w:val="20"/>
                <w:lang w:eastAsia="zh-CN"/>
              </w:rPr>
            </w:pPr>
            <w:r>
              <w:rPr>
                <w:rFonts w:eastAsia="SimSun"/>
                <w:sz w:val="20"/>
                <w:szCs w:val="20"/>
                <w:lang w:eastAsia="zh-CN"/>
              </w:rPr>
              <w:t>Yes</w:t>
            </w:r>
          </w:p>
        </w:tc>
        <w:tc>
          <w:tcPr>
            <w:tcW w:w="743" w:type="pct"/>
            <w:tcBorders>
              <w:top w:val="nil"/>
              <w:left w:val="nil"/>
              <w:bottom w:val="nil"/>
              <w:right w:val="nil"/>
            </w:tcBorders>
            <w:noWrap/>
            <w:vAlign w:val="center"/>
          </w:tcPr>
          <w:p w14:paraId="21D7E5FD" w14:textId="77777777" w:rsidR="005253E1" w:rsidRDefault="00000000">
            <w:pPr>
              <w:jc w:val="center"/>
              <w:rPr>
                <w:rFonts w:eastAsia="SimSun"/>
                <w:b/>
                <w:bCs/>
                <w:sz w:val="20"/>
                <w:szCs w:val="20"/>
                <w:lang w:eastAsia="zh-CN"/>
              </w:rPr>
            </w:pPr>
            <w:r>
              <w:rPr>
                <w:rFonts w:eastAsia="SimSun"/>
                <w:sz w:val="20"/>
                <w:szCs w:val="20"/>
                <w:lang w:eastAsia="zh-CN"/>
              </w:rPr>
              <w:t>Yes</w:t>
            </w:r>
          </w:p>
        </w:tc>
        <w:tc>
          <w:tcPr>
            <w:tcW w:w="759" w:type="pct"/>
            <w:tcBorders>
              <w:top w:val="nil"/>
              <w:left w:val="nil"/>
              <w:bottom w:val="nil"/>
              <w:right w:val="nil"/>
            </w:tcBorders>
            <w:noWrap/>
            <w:vAlign w:val="center"/>
          </w:tcPr>
          <w:p w14:paraId="729EEBFB" w14:textId="77777777" w:rsidR="005253E1" w:rsidRDefault="00000000">
            <w:pPr>
              <w:jc w:val="center"/>
              <w:rPr>
                <w:rFonts w:eastAsia="SimSun"/>
                <w:b/>
                <w:bCs/>
                <w:sz w:val="20"/>
                <w:szCs w:val="20"/>
                <w:lang w:eastAsia="zh-CN"/>
              </w:rPr>
            </w:pPr>
            <w:r>
              <w:rPr>
                <w:rFonts w:eastAsia="SimSun"/>
                <w:sz w:val="20"/>
                <w:szCs w:val="20"/>
                <w:lang w:eastAsia="zh-CN"/>
              </w:rPr>
              <w:t>Yes</w:t>
            </w:r>
          </w:p>
        </w:tc>
        <w:tc>
          <w:tcPr>
            <w:tcW w:w="690" w:type="pct"/>
            <w:tcBorders>
              <w:top w:val="nil"/>
              <w:left w:val="nil"/>
              <w:bottom w:val="nil"/>
              <w:right w:val="nil"/>
            </w:tcBorders>
            <w:noWrap/>
            <w:vAlign w:val="center"/>
          </w:tcPr>
          <w:p w14:paraId="55CFEA8D" w14:textId="77777777" w:rsidR="005253E1" w:rsidRDefault="00000000">
            <w:pPr>
              <w:jc w:val="center"/>
              <w:rPr>
                <w:rFonts w:eastAsia="SimSun"/>
                <w:sz w:val="20"/>
                <w:szCs w:val="20"/>
                <w:lang w:eastAsia="zh-CN"/>
              </w:rPr>
            </w:pPr>
            <w:r>
              <w:rPr>
                <w:rFonts w:eastAsia="SimSun"/>
                <w:sz w:val="20"/>
                <w:szCs w:val="20"/>
                <w:lang w:eastAsia="zh-CN"/>
              </w:rPr>
              <w:t>Yes</w:t>
            </w:r>
          </w:p>
        </w:tc>
        <w:tc>
          <w:tcPr>
            <w:tcW w:w="673" w:type="pct"/>
            <w:tcBorders>
              <w:top w:val="nil"/>
              <w:left w:val="nil"/>
              <w:bottom w:val="nil"/>
              <w:right w:val="nil"/>
            </w:tcBorders>
            <w:noWrap/>
            <w:vAlign w:val="center"/>
          </w:tcPr>
          <w:p w14:paraId="2466127E" w14:textId="77777777" w:rsidR="005253E1" w:rsidRDefault="00000000">
            <w:pPr>
              <w:jc w:val="center"/>
              <w:rPr>
                <w:rFonts w:eastAsia="SimSun"/>
                <w:sz w:val="20"/>
                <w:szCs w:val="20"/>
                <w:lang w:eastAsia="zh-CN"/>
              </w:rPr>
            </w:pPr>
            <w:r>
              <w:rPr>
                <w:rFonts w:eastAsia="SimSun"/>
                <w:sz w:val="20"/>
                <w:szCs w:val="20"/>
                <w:lang w:eastAsia="zh-CN"/>
              </w:rPr>
              <w:t>Yes</w:t>
            </w:r>
          </w:p>
        </w:tc>
      </w:tr>
      <w:tr w:rsidR="005253E1" w14:paraId="4BCBE5D0" w14:textId="77777777">
        <w:trPr>
          <w:trHeight w:val="244"/>
        </w:trPr>
        <w:tc>
          <w:tcPr>
            <w:tcW w:w="755" w:type="pct"/>
            <w:tcBorders>
              <w:top w:val="nil"/>
              <w:left w:val="nil"/>
              <w:bottom w:val="nil"/>
              <w:right w:val="nil"/>
            </w:tcBorders>
            <w:noWrap/>
            <w:vAlign w:val="center"/>
          </w:tcPr>
          <w:p w14:paraId="07575B2B" w14:textId="77777777" w:rsidR="005253E1" w:rsidRDefault="00000000">
            <w:pPr>
              <w:jc w:val="center"/>
              <w:rPr>
                <w:rFonts w:eastAsia="SimSun"/>
                <w:sz w:val="20"/>
                <w:szCs w:val="20"/>
                <w:lang w:eastAsia="zh-CN"/>
              </w:rPr>
            </w:pPr>
            <w:r>
              <w:rPr>
                <w:rFonts w:eastAsia="SimSun"/>
                <w:sz w:val="20"/>
                <w:szCs w:val="20"/>
                <w:lang w:eastAsia="zh-CN"/>
              </w:rPr>
              <w:t>Year FE</w:t>
            </w:r>
          </w:p>
        </w:tc>
        <w:tc>
          <w:tcPr>
            <w:tcW w:w="646" w:type="pct"/>
            <w:tcBorders>
              <w:top w:val="nil"/>
              <w:left w:val="nil"/>
              <w:bottom w:val="nil"/>
              <w:right w:val="nil"/>
            </w:tcBorders>
            <w:noWrap/>
            <w:vAlign w:val="center"/>
          </w:tcPr>
          <w:p w14:paraId="3D5146FB" w14:textId="77777777" w:rsidR="005253E1" w:rsidRDefault="00000000">
            <w:pPr>
              <w:jc w:val="center"/>
              <w:rPr>
                <w:rFonts w:eastAsia="SimSun"/>
                <w:sz w:val="20"/>
                <w:szCs w:val="20"/>
                <w:lang w:eastAsia="zh-CN"/>
              </w:rPr>
            </w:pPr>
            <w:r>
              <w:rPr>
                <w:rFonts w:eastAsia="SimSun"/>
                <w:sz w:val="20"/>
                <w:szCs w:val="20"/>
                <w:lang w:eastAsia="zh-CN"/>
              </w:rPr>
              <w:t>Yes</w:t>
            </w:r>
          </w:p>
        </w:tc>
        <w:tc>
          <w:tcPr>
            <w:tcW w:w="730" w:type="pct"/>
            <w:tcBorders>
              <w:top w:val="nil"/>
              <w:left w:val="nil"/>
              <w:bottom w:val="nil"/>
              <w:right w:val="nil"/>
            </w:tcBorders>
            <w:noWrap/>
            <w:vAlign w:val="center"/>
          </w:tcPr>
          <w:p w14:paraId="721CD429" w14:textId="77777777" w:rsidR="005253E1" w:rsidRDefault="00000000">
            <w:pPr>
              <w:jc w:val="center"/>
              <w:rPr>
                <w:rFonts w:eastAsia="SimSun"/>
                <w:b/>
                <w:bCs/>
                <w:sz w:val="20"/>
                <w:szCs w:val="20"/>
                <w:lang w:eastAsia="zh-CN"/>
              </w:rPr>
            </w:pPr>
            <w:r>
              <w:rPr>
                <w:rFonts w:eastAsia="SimSun"/>
                <w:sz w:val="20"/>
                <w:szCs w:val="20"/>
                <w:lang w:eastAsia="zh-CN"/>
              </w:rPr>
              <w:t>Yes</w:t>
            </w:r>
          </w:p>
        </w:tc>
        <w:tc>
          <w:tcPr>
            <w:tcW w:w="743" w:type="pct"/>
            <w:tcBorders>
              <w:top w:val="nil"/>
              <w:left w:val="nil"/>
              <w:bottom w:val="nil"/>
              <w:right w:val="nil"/>
            </w:tcBorders>
            <w:noWrap/>
            <w:vAlign w:val="center"/>
          </w:tcPr>
          <w:p w14:paraId="570425F3" w14:textId="77777777" w:rsidR="005253E1" w:rsidRDefault="00000000">
            <w:pPr>
              <w:jc w:val="center"/>
              <w:rPr>
                <w:rFonts w:eastAsia="SimSun"/>
                <w:b/>
                <w:bCs/>
                <w:sz w:val="20"/>
                <w:szCs w:val="20"/>
                <w:lang w:eastAsia="zh-CN"/>
              </w:rPr>
            </w:pPr>
            <w:r>
              <w:rPr>
                <w:rFonts w:eastAsia="SimSun"/>
                <w:sz w:val="20"/>
                <w:szCs w:val="20"/>
                <w:lang w:eastAsia="zh-CN"/>
              </w:rPr>
              <w:t>Yes</w:t>
            </w:r>
          </w:p>
        </w:tc>
        <w:tc>
          <w:tcPr>
            <w:tcW w:w="759" w:type="pct"/>
            <w:tcBorders>
              <w:top w:val="nil"/>
              <w:left w:val="nil"/>
              <w:bottom w:val="nil"/>
              <w:right w:val="nil"/>
            </w:tcBorders>
            <w:noWrap/>
            <w:vAlign w:val="center"/>
          </w:tcPr>
          <w:p w14:paraId="5530BB42" w14:textId="77777777" w:rsidR="005253E1" w:rsidRDefault="00000000">
            <w:pPr>
              <w:jc w:val="center"/>
              <w:rPr>
                <w:rFonts w:eastAsia="SimSun"/>
                <w:b/>
                <w:bCs/>
                <w:sz w:val="20"/>
                <w:szCs w:val="20"/>
                <w:lang w:eastAsia="zh-CN"/>
              </w:rPr>
            </w:pPr>
            <w:r>
              <w:rPr>
                <w:rFonts w:eastAsia="SimSun"/>
                <w:sz w:val="20"/>
                <w:szCs w:val="20"/>
                <w:lang w:eastAsia="zh-CN"/>
              </w:rPr>
              <w:t>Yes</w:t>
            </w:r>
          </w:p>
        </w:tc>
        <w:tc>
          <w:tcPr>
            <w:tcW w:w="690" w:type="pct"/>
            <w:tcBorders>
              <w:top w:val="nil"/>
              <w:left w:val="nil"/>
              <w:bottom w:val="nil"/>
              <w:right w:val="nil"/>
            </w:tcBorders>
            <w:noWrap/>
            <w:vAlign w:val="center"/>
          </w:tcPr>
          <w:p w14:paraId="498CC6F7" w14:textId="77777777" w:rsidR="005253E1" w:rsidRDefault="00000000">
            <w:pPr>
              <w:jc w:val="center"/>
              <w:rPr>
                <w:rFonts w:eastAsia="SimSun"/>
                <w:sz w:val="20"/>
                <w:szCs w:val="20"/>
                <w:lang w:eastAsia="zh-CN"/>
              </w:rPr>
            </w:pPr>
            <w:r>
              <w:rPr>
                <w:rFonts w:eastAsia="SimSun"/>
                <w:sz w:val="20"/>
                <w:szCs w:val="20"/>
                <w:lang w:eastAsia="zh-CN"/>
              </w:rPr>
              <w:t>Yes</w:t>
            </w:r>
          </w:p>
        </w:tc>
        <w:tc>
          <w:tcPr>
            <w:tcW w:w="673" w:type="pct"/>
            <w:tcBorders>
              <w:top w:val="nil"/>
              <w:left w:val="nil"/>
              <w:bottom w:val="nil"/>
              <w:right w:val="nil"/>
            </w:tcBorders>
            <w:noWrap/>
            <w:vAlign w:val="center"/>
          </w:tcPr>
          <w:p w14:paraId="38B9D277" w14:textId="77777777" w:rsidR="005253E1" w:rsidRDefault="00000000">
            <w:pPr>
              <w:jc w:val="center"/>
              <w:rPr>
                <w:rFonts w:eastAsia="SimSun"/>
                <w:sz w:val="20"/>
                <w:szCs w:val="20"/>
                <w:lang w:eastAsia="zh-CN"/>
              </w:rPr>
            </w:pPr>
            <w:r>
              <w:rPr>
                <w:rFonts w:eastAsia="SimSun"/>
                <w:sz w:val="20"/>
                <w:szCs w:val="20"/>
                <w:lang w:eastAsia="zh-CN"/>
              </w:rPr>
              <w:t>Yes</w:t>
            </w:r>
          </w:p>
        </w:tc>
      </w:tr>
      <w:tr w:rsidR="005253E1" w14:paraId="0A119E1D" w14:textId="77777777">
        <w:trPr>
          <w:trHeight w:val="244"/>
        </w:trPr>
        <w:tc>
          <w:tcPr>
            <w:tcW w:w="755" w:type="pct"/>
            <w:tcBorders>
              <w:top w:val="nil"/>
              <w:left w:val="nil"/>
              <w:bottom w:val="nil"/>
              <w:right w:val="nil"/>
            </w:tcBorders>
            <w:noWrap/>
            <w:vAlign w:val="center"/>
          </w:tcPr>
          <w:p w14:paraId="683C3A72" w14:textId="77777777" w:rsidR="005253E1" w:rsidRDefault="00000000">
            <w:pPr>
              <w:jc w:val="center"/>
              <w:rPr>
                <w:rFonts w:eastAsia="SimSun"/>
                <w:sz w:val="20"/>
                <w:szCs w:val="20"/>
                <w:lang w:eastAsia="zh-CN"/>
              </w:rPr>
            </w:pPr>
            <w:r>
              <w:rPr>
                <w:rFonts w:eastAsia="SimSun"/>
                <w:sz w:val="20"/>
                <w:szCs w:val="20"/>
                <w:lang w:eastAsia="zh-CN"/>
              </w:rPr>
              <w:t>Observations</w:t>
            </w:r>
          </w:p>
        </w:tc>
        <w:tc>
          <w:tcPr>
            <w:tcW w:w="646" w:type="pct"/>
            <w:tcBorders>
              <w:top w:val="nil"/>
              <w:left w:val="nil"/>
              <w:bottom w:val="nil"/>
              <w:right w:val="nil"/>
            </w:tcBorders>
            <w:noWrap/>
            <w:vAlign w:val="center"/>
          </w:tcPr>
          <w:p w14:paraId="699B181B" w14:textId="77777777" w:rsidR="005253E1" w:rsidRDefault="00000000">
            <w:pPr>
              <w:jc w:val="center"/>
              <w:rPr>
                <w:rFonts w:eastAsia="SimSun"/>
                <w:sz w:val="20"/>
                <w:szCs w:val="20"/>
                <w:lang w:eastAsia="zh-CN"/>
              </w:rPr>
            </w:pPr>
            <w:r>
              <w:rPr>
                <w:rFonts w:eastAsia="SimSun" w:hint="eastAsia"/>
                <w:sz w:val="20"/>
                <w:szCs w:val="20"/>
                <w:lang w:eastAsia="zh-CN"/>
              </w:rPr>
              <w:t>11217</w:t>
            </w:r>
          </w:p>
        </w:tc>
        <w:tc>
          <w:tcPr>
            <w:tcW w:w="730" w:type="pct"/>
            <w:tcBorders>
              <w:top w:val="nil"/>
              <w:left w:val="nil"/>
              <w:bottom w:val="nil"/>
              <w:right w:val="nil"/>
            </w:tcBorders>
            <w:noWrap/>
            <w:vAlign w:val="center"/>
          </w:tcPr>
          <w:p w14:paraId="7DF8A4D6" w14:textId="77777777" w:rsidR="005253E1" w:rsidRDefault="00000000">
            <w:pPr>
              <w:jc w:val="center"/>
              <w:rPr>
                <w:rFonts w:eastAsia="SimSun"/>
                <w:sz w:val="20"/>
                <w:szCs w:val="20"/>
                <w:lang w:eastAsia="zh-CN"/>
              </w:rPr>
            </w:pPr>
            <w:r>
              <w:rPr>
                <w:rFonts w:eastAsia="SimSun" w:hint="eastAsia"/>
                <w:sz w:val="20"/>
                <w:szCs w:val="20"/>
                <w:lang w:eastAsia="zh-CN"/>
              </w:rPr>
              <w:t>11217</w:t>
            </w:r>
          </w:p>
        </w:tc>
        <w:tc>
          <w:tcPr>
            <w:tcW w:w="743" w:type="pct"/>
            <w:tcBorders>
              <w:top w:val="nil"/>
              <w:left w:val="nil"/>
              <w:bottom w:val="nil"/>
              <w:right w:val="nil"/>
            </w:tcBorders>
            <w:noWrap/>
            <w:vAlign w:val="center"/>
          </w:tcPr>
          <w:p w14:paraId="46D8AE90" w14:textId="77777777" w:rsidR="005253E1" w:rsidRDefault="00000000">
            <w:pPr>
              <w:jc w:val="center"/>
              <w:rPr>
                <w:rFonts w:eastAsia="SimSun"/>
                <w:sz w:val="20"/>
                <w:szCs w:val="20"/>
                <w:lang w:eastAsia="zh-CN"/>
              </w:rPr>
            </w:pPr>
            <w:r>
              <w:rPr>
                <w:rFonts w:eastAsia="SimSun" w:hint="eastAsia"/>
                <w:sz w:val="20"/>
                <w:szCs w:val="20"/>
                <w:lang w:eastAsia="zh-CN"/>
              </w:rPr>
              <w:t>6559</w:t>
            </w:r>
          </w:p>
        </w:tc>
        <w:tc>
          <w:tcPr>
            <w:tcW w:w="759" w:type="pct"/>
            <w:tcBorders>
              <w:top w:val="nil"/>
              <w:left w:val="nil"/>
              <w:bottom w:val="nil"/>
              <w:right w:val="nil"/>
            </w:tcBorders>
            <w:noWrap/>
            <w:vAlign w:val="center"/>
          </w:tcPr>
          <w:p w14:paraId="01AD97DE" w14:textId="77777777" w:rsidR="005253E1" w:rsidRDefault="00000000">
            <w:pPr>
              <w:jc w:val="center"/>
              <w:rPr>
                <w:rFonts w:eastAsia="SimSun"/>
                <w:sz w:val="20"/>
                <w:szCs w:val="20"/>
                <w:lang w:eastAsia="zh-CN"/>
              </w:rPr>
            </w:pPr>
            <w:r>
              <w:rPr>
                <w:rFonts w:eastAsia="SimSun" w:hint="eastAsia"/>
                <w:sz w:val="20"/>
                <w:szCs w:val="20"/>
                <w:lang w:eastAsia="zh-CN"/>
              </w:rPr>
              <w:t>6559</w:t>
            </w:r>
          </w:p>
        </w:tc>
        <w:tc>
          <w:tcPr>
            <w:tcW w:w="690" w:type="pct"/>
            <w:tcBorders>
              <w:top w:val="nil"/>
              <w:left w:val="nil"/>
              <w:bottom w:val="nil"/>
              <w:right w:val="nil"/>
            </w:tcBorders>
            <w:noWrap/>
            <w:vAlign w:val="center"/>
          </w:tcPr>
          <w:p w14:paraId="7BA7D30C" w14:textId="77777777" w:rsidR="005253E1" w:rsidRDefault="00000000">
            <w:pPr>
              <w:jc w:val="center"/>
              <w:rPr>
                <w:rFonts w:eastAsia="SimSun"/>
                <w:sz w:val="20"/>
                <w:szCs w:val="20"/>
                <w:lang w:eastAsia="zh-CN"/>
              </w:rPr>
            </w:pPr>
            <w:r>
              <w:rPr>
                <w:rFonts w:eastAsia="SimSun" w:hint="eastAsia"/>
                <w:sz w:val="20"/>
                <w:szCs w:val="20"/>
                <w:lang w:eastAsia="zh-CN"/>
              </w:rPr>
              <w:t>12521</w:t>
            </w:r>
          </w:p>
        </w:tc>
        <w:tc>
          <w:tcPr>
            <w:tcW w:w="673" w:type="pct"/>
            <w:tcBorders>
              <w:top w:val="nil"/>
              <w:left w:val="nil"/>
              <w:bottom w:val="nil"/>
              <w:right w:val="nil"/>
            </w:tcBorders>
            <w:noWrap/>
            <w:vAlign w:val="center"/>
          </w:tcPr>
          <w:p w14:paraId="7058646D" w14:textId="77777777" w:rsidR="005253E1" w:rsidRDefault="00000000">
            <w:pPr>
              <w:jc w:val="center"/>
              <w:rPr>
                <w:rFonts w:eastAsia="SimSun"/>
                <w:sz w:val="20"/>
                <w:szCs w:val="20"/>
                <w:lang w:eastAsia="zh-CN"/>
              </w:rPr>
            </w:pPr>
            <w:r>
              <w:rPr>
                <w:rFonts w:eastAsia="SimSun" w:hint="eastAsia"/>
                <w:sz w:val="20"/>
                <w:szCs w:val="20"/>
                <w:lang w:eastAsia="zh-CN"/>
              </w:rPr>
              <w:t>12521</w:t>
            </w:r>
          </w:p>
        </w:tc>
      </w:tr>
      <w:tr w:rsidR="005253E1" w14:paraId="78242ACF" w14:textId="77777777">
        <w:trPr>
          <w:trHeight w:val="313"/>
        </w:trPr>
        <w:tc>
          <w:tcPr>
            <w:tcW w:w="755" w:type="pct"/>
            <w:tcBorders>
              <w:top w:val="nil"/>
              <w:left w:val="nil"/>
              <w:bottom w:val="single" w:sz="12" w:space="0" w:color="000000"/>
              <w:right w:val="nil"/>
            </w:tcBorders>
            <w:noWrap/>
            <w:vAlign w:val="center"/>
          </w:tcPr>
          <w:p w14:paraId="60EB8364" w14:textId="77777777" w:rsidR="005253E1" w:rsidRDefault="00000000">
            <w:pPr>
              <w:jc w:val="center"/>
              <w:rPr>
                <w:rFonts w:eastAsia="SimSun"/>
                <w:sz w:val="20"/>
                <w:szCs w:val="20"/>
                <w:lang w:eastAsia="zh-CN"/>
              </w:rPr>
            </w:pPr>
            <w:r>
              <w:rPr>
                <w:rFonts w:eastAsia="SimSun"/>
                <w:sz w:val="20"/>
                <w:szCs w:val="20"/>
                <w:lang w:eastAsia="zh-CN"/>
              </w:rPr>
              <w:t>R</w:t>
            </w:r>
            <w:r>
              <w:rPr>
                <w:rFonts w:eastAsia="SimSun"/>
                <w:sz w:val="20"/>
                <w:szCs w:val="20"/>
                <w:vertAlign w:val="superscript"/>
                <w:lang w:eastAsia="zh-CN"/>
              </w:rPr>
              <w:t>2</w:t>
            </w:r>
          </w:p>
        </w:tc>
        <w:tc>
          <w:tcPr>
            <w:tcW w:w="646" w:type="pct"/>
            <w:tcBorders>
              <w:top w:val="nil"/>
              <w:left w:val="nil"/>
              <w:bottom w:val="single" w:sz="12" w:space="0" w:color="000000"/>
              <w:right w:val="nil"/>
            </w:tcBorders>
            <w:noWrap/>
            <w:vAlign w:val="center"/>
          </w:tcPr>
          <w:p w14:paraId="461C90C2" w14:textId="77777777" w:rsidR="005253E1" w:rsidRDefault="00000000">
            <w:pPr>
              <w:jc w:val="center"/>
              <w:rPr>
                <w:rFonts w:eastAsia="SimSun"/>
                <w:sz w:val="20"/>
                <w:szCs w:val="20"/>
                <w:lang w:eastAsia="zh-CN"/>
              </w:rPr>
            </w:pPr>
            <w:r>
              <w:rPr>
                <w:rFonts w:eastAsia="SimSun" w:hint="eastAsia"/>
                <w:sz w:val="20"/>
                <w:szCs w:val="20"/>
                <w:lang w:eastAsia="zh-CN"/>
              </w:rPr>
              <w:t>0.616</w:t>
            </w:r>
          </w:p>
        </w:tc>
        <w:tc>
          <w:tcPr>
            <w:tcW w:w="730" w:type="pct"/>
            <w:tcBorders>
              <w:top w:val="nil"/>
              <w:left w:val="nil"/>
              <w:bottom w:val="single" w:sz="12" w:space="0" w:color="000000"/>
              <w:right w:val="nil"/>
            </w:tcBorders>
            <w:noWrap/>
            <w:vAlign w:val="center"/>
          </w:tcPr>
          <w:p w14:paraId="50EA3EDD" w14:textId="77777777" w:rsidR="005253E1" w:rsidRDefault="00000000">
            <w:pPr>
              <w:jc w:val="center"/>
              <w:rPr>
                <w:rFonts w:eastAsia="SimSun"/>
                <w:sz w:val="20"/>
                <w:szCs w:val="20"/>
                <w:lang w:eastAsia="zh-CN"/>
              </w:rPr>
            </w:pPr>
            <w:r>
              <w:rPr>
                <w:rFonts w:eastAsia="SimSun" w:hint="eastAsia"/>
                <w:sz w:val="20"/>
                <w:szCs w:val="20"/>
                <w:lang w:eastAsia="zh-CN"/>
              </w:rPr>
              <w:t>0.586</w:t>
            </w:r>
          </w:p>
        </w:tc>
        <w:tc>
          <w:tcPr>
            <w:tcW w:w="743" w:type="pct"/>
            <w:tcBorders>
              <w:top w:val="nil"/>
              <w:left w:val="nil"/>
              <w:bottom w:val="single" w:sz="12" w:space="0" w:color="000000"/>
              <w:right w:val="nil"/>
            </w:tcBorders>
            <w:noWrap/>
            <w:vAlign w:val="center"/>
          </w:tcPr>
          <w:p w14:paraId="457A7CB3" w14:textId="77777777" w:rsidR="005253E1" w:rsidRDefault="00000000">
            <w:pPr>
              <w:jc w:val="center"/>
              <w:rPr>
                <w:rFonts w:eastAsia="SimSun"/>
                <w:sz w:val="20"/>
                <w:szCs w:val="20"/>
                <w:lang w:eastAsia="zh-CN"/>
              </w:rPr>
            </w:pPr>
            <w:r>
              <w:rPr>
                <w:rFonts w:eastAsia="SimSun" w:hint="eastAsia"/>
                <w:sz w:val="20"/>
                <w:szCs w:val="20"/>
                <w:lang w:eastAsia="zh-CN"/>
              </w:rPr>
              <w:t>0.595</w:t>
            </w:r>
          </w:p>
        </w:tc>
        <w:tc>
          <w:tcPr>
            <w:tcW w:w="759" w:type="pct"/>
            <w:tcBorders>
              <w:top w:val="nil"/>
              <w:left w:val="nil"/>
              <w:bottom w:val="single" w:sz="12" w:space="0" w:color="000000"/>
              <w:right w:val="nil"/>
            </w:tcBorders>
            <w:noWrap/>
            <w:vAlign w:val="center"/>
          </w:tcPr>
          <w:p w14:paraId="070EC5C2" w14:textId="77777777" w:rsidR="005253E1" w:rsidRDefault="00000000">
            <w:pPr>
              <w:jc w:val="center"/>
              <w:rPr>
                <w:rFonts w:eastAsia="SimSun"/>
                <w:sz w:val="20"/>
                <w:szCs w:val="20"/>
                <w:lang w:eastAsia="zh-CN"/>
              </w:rPr>
            </w:pPr>
            <w:r>
              <w:rPr>
                <w:rFonts w:eastAsia="SimSun" w:hint="eastAsia"/>
                <w:sz w:val="20"/>
                <w:szCs w:val="20"/>
                <w:lang w:eastAsia="zh-CN"/>
              </w:rPr>
              <w:t>0.542</w:t>
            </w:r>
          </w:p>
        </w:tc>
        <w:tc>
          <w:tcPr>
            <w:tcW w:w="690" w:type="pct"/>
            <w:tcBorders>
              <w:top w:val="nil"/>
              <w:left w:val="nil"/>
              <w:bottom w:val="single" w:sz="12" w:space="0" w:color="000000"/>
              <w:right w:val="nil"/>
            </w:tcBorders>
            <w:noWrap/>
            <w:vAlign w:val="center"/>
          </w:tcPr>
          <w:p w14:paraId="5CC55813" w14:textId="77777777" w:rsidR="005253E1" w:rsidRDefault="00000000">
            <w:pPr>
              <w:jc w:val="center"/>
              <w:rPr>
                <w:rFonts w:eastAsia="SimSun"/>
                <w:sz w:val="20"/>
                <w:szCs w:val="20"/>
                <w:lang w:eastAsia="zh-CN"/>
              </w:rPr>
            </w:pPr>
            <w:r>
              <w:rPr>
                <w:rFonts w:eastAsia="SimSun" w:hint="eastAsia"/>
                <w:sz w:val="20"/>
                <w:szCs w:val="20"/>
                <w:lang w:eastAsia="zh-CN"/>
              </w:rPr>
              <w:t>0.565</w:t>
            </w:r>
          </w:p>
        </w:tc>
        <w:tc>
          <w:tcPr>
            <w:tcW w:w="673" w:type="pct"/>
            <w:tcBorders>
              <w:top w:val="nil"/>
              <w:left w:val="nil"/>
              <w:bottom w:val="single" w:sz="12" w:space="0" w:color="000000"/>
              <w:right w:val="nil"/>
            </w:tcBorders>
            <w:noWrap/>
            <w:vAlign w:val="center"/>
          </w:tcPr>
          <w:p w14:paraId="19D0BE60" w14:textId="77777777" w:rsidR="005253E1" w:rsidRDefault="00000000">
            <w:pPr>
              <w:jc w:val="center"/>
              <w:rPr>
                <w:rFonts w:eastAsia="SimSun"/>
                <w:sz w:val="20"/>
                <w:szCs w:val="20"/>
                <w:lang w:eastAsia="zh-CN"/>
              </w:rPr>
            </w:pPr>
            <w:r>
              <w:rPr>
                <w:rFonts w:eastAsia="SimSun" w:hint="eastAsia"/>
                <w:sz w:val="20"/>
                <w:szCs w:val="20"/>
                <w:lang w:eastAsia="zh-CN"/>
              </w:rPr>
              <w:t>0.536</w:t>
            </w:r>
          </w:p>
        </w:tc>
      </w:tr>
    </w:tbl>
    <w:p w14:paraId="1E8B4169" w14:textId="77777777" w:rsidR="005253E1" w:rsidRDefault="005253E1">
      <w:pPr>
        <w:pStyle w:val="AbstHead"/>
        <w:widowControl/>
        <w:spacing w:after="0"/>
        <w:jc w:val="both"/>
        <w:rPr>
          <w:rFonts w:eastAsia="Times New Roman"/>
          <w:szCs w:val="20"/>
          <w:lang w:eastAsia="zh-CN"/>
        </w:rPr>
      </w:pPr>
    </w:p>
    <w:p w14:paraId="5F591682"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5.2.4 Endogeneity Test.</w:t>
      </w:r>
    </w:p>
    <w:p w14:paraId="77C1705C" w14:textId="77777777" w:rsidR="005253E1" w:rsidRDefault="005253E1">
      <w:pPr>
        <w:rPr>
          <w:lang w:eastAsia="zh-CN"/>
        </w:rPr>
      </w:pPr>
    </w:p>
    <w:p w14:paraId="53007248" w14:textId="77777777" w:rsidR="005253E1" w:rsidRDefault="00000000">
      <w:pPr>
        <w:rPr>
          <w:rFonts w:eastAsia="Times New Roman"/>
          <w:sz w:val="20"/>
          <w:szCs w:val="20"/>
          <w:lang w:eastAsia="zh-CN"/>
        </w:rPr>
      </w:pPr>
      <w:r>
        <w:rPr>
          <w:rFonts w:eastAsia="Times New Roman" w:hint="eastAsia"/>
          <w:sz w:val="20"/>
          <w:szCs w:val="20"/>
          <w:lang w:eastAsia="zh-CN"/>
        </w:rPr>
        <w:t>First, although it has been verified that better ESG performance of enterprises promotes their outward foreign direct investment (OFDI), when enterprises invest overseas, they acquire advanced technologies and management experiences from abroad, which in turn can enhance their ESG performance. Therefore, there may be a reverse causal relationship between the core explanatory variable and the explained variable in this paper. Secondly, considering that there may be variables in the model that simultaneously affect both the ESG performance of enterprises and outward foreign direct investment, and that omitted variables can affect the consistency of estimation results, this paper will select instrumental variables to address the endogeneity issue.</w:t>
      </w:r>
    </w:p>
    <w:p w14:paraId="532D0D8B" w14:textId="77777777" w:rsidR="005253E1" w:rsidRDefault="005253E1">
      <w:pPr>
        <w:rPr>
          <w:rFonts w:eastAsia="Times New Roman"/>
          <w:sz w:val="20"/>
          <w:szCs w:val="20"/>
          <w:lang w:eastAsia="zh-CN"/>
        </w:rPr>
      </w:pPr>
    </w:p>
    <w:p w14:paraId="026D8217" w14:textId="77777777" w:rsidR="005253E1" w:rsidRDefault="00000000">
      <w:pPr>
        <w:rPr>
          <w:rFonts w:eastAsia="Times New Roman"/>
          <w:sz w:val="20"/>
          <w:szCs w:val="20"/>
          <w:lang w:eastAsia="zh-CN"/>
        </w:rPr>
      </w:pPr>
      <w:r>
        <w:rPr>
          <w:rFonts w:eastAsia="Times New Roman" w:hint="eastAsia"/>
          <w:sz w:val="20"/>
          <w:szCs w:val="20"/>
          <w:lang w:eastAsia="zh-CN"/>
        </w:rPr>
        <w:t xml:space="preserve">Referring to the research by Xuan Ye and Li Yang (2025), this paper uses the number of years since a company went public as an instrumental variable. The ESG responsibilities that listed companies must bear span the entire process from establishment to dissolution, and the number of years since going public is unrelated to the ESG performance of the enterprise. Therefore, selecting the number of years since going public as an instrumental variable is reasonable. Table 3 employs the two-stage least squares method (2SLS) for instrumental variable regression, with column (1) showing the regression results for OFDI and column (2) showing the regression results for OFDI_F, both of which remain significant, further indicating that corporate ESG has a positive promoting effect on outward foreign direct investment, verifying the robustness of the fixed effects regression mentioned earlier. From the test results in Table 3, the Anderson canonical correlation LM statistic is significant, passing the identification test, which means there is a significant correlation between the instrumental variable and the endogenous explanatory variable, and the instrumental variable can effectively identify the model without identification deficiency. The Cragg-Donald Wald F values are 20.728 and 28.837, far exceeding the critical F value of 16.38 provided by the </w:t>
      </w:r>
      <w:r>
        <w:rPr>
          <w:rFonts w:eastAsia="Times New Roman" w:hint="eastAsia"/>
          <w:sz w:val="20"/>
          <w:szCs w:val="20"/>
          <w:lang w:eastAsia="zh-CN"/>
        </w:rPr>
        <w:lastRenderedPageBreak/>
        <w:t>Stock-Yogo weak instrument test at the 10% distortion level, passing the weak instrument test and providing sufficient explanatory power for the endogenous explanatory variable. This indicates that the selected instrumental variable in the instrumental variable regression is appropriate and can effectively address the endogeneity issue.</w:t>
      </w:r>
    </w:p>
    <w:p w14:paraId="3E2451BF" w14:textId="77777777" w:rsidR="005253E1" w:rsidRDefault="005253E1">
      <w:pPr>
        <w:rPr>
          <w:rFonts w:eastAsia="Times New Roman"/>
          <w:sz w:val="20"/>
          <w:szCs w:val="20"/>
          <w:lang w:eastAsia="zh-CN"/>
        </w:rPr>
      </w:pPr>
    </w:p>
    <w:p w14:paraId="1260D85F" w14:textId="77777777" w:rsidR="005253E1" w:rsidRDefault="00000000">
      <w:pPr>
        <w:rPr>
          <w:rFonts w:eastAsia="Times New Roman"/>
          <w:sz w:val="20"/>
          <w:szCs w:val="20"/>
          <w:lang w:eastAsia="zh-CN"/>
        </w:rPr>
      </w:pPr>
      <w:r>
        <w:rPr>
          <w:rFonts w:eastAsia="Times New Roman" w:hint="eastAsia"/>
          <w:sz w:val="20"/>
          <w:szCs w:val="20"/>
          <w:lang w:eastAsia="zh-CN"/>
        </w:rPr>
        <w:t>Secondly, the results of the Hausman Test show that the p-value is 0.9903, which is much greater than 0.05, so we cannot reject the null hypothesis at the 0.05 significance level. The result of the Durbin-Wu-Hausman test shows that the p-value is 0.0889, which is greater than 0.05, so we cannot reject the null hypothesis at the 0.05 significance level. This means that under the current model and sample data, there is not enough evidence to indicate the presence of an endogeneity issue.</w:t>
      </w:r>
    </w:p>
    <w:p w14:paraId="28595FAC" w14:textId="77777777" w:rsidR="005253E1" w:rsidRDefault="005253E1">
      <w:pPr>
        <w:rPr>
          <w:rFonts w:eastAsia="Times New Roman"/>
          <w:sz w:val="20"/>
          <w:szCs w:val="20"/>
          <w:lang w:eastAsia="zh-CN"/>
        </w:rPr>
      </w:pPr>
    </w:p>
    <w:p w14:paraId="07B814F1" w14:textId="77777777" w:rsidR="005253E1" w:rsidRDefault="00000000">
      <w:pPr>
        <w:widowControl/>
        <w:autoSpaceDE w:val="0"/>
        <w:autoSpaceDN w:val="0"/>
        <w:adjustRightInd w:val="0"/>
        <w:jc w:val="both"/>
        <w:rPr>
          <w:rFonts w:eastAsia="Times New Roman"/>
          <w:b/>
          <w:caps/>
          <w:szCs w:val="20"/>
          <w:lang w:eastAsia="zh-CN"/>
        </w:rPr>
      </w:pPr>
      <w:r>
        <w:rPr>
          <w:rFonts w:eastAsia="Times New Roman"/>
          <w:b/>
          <w:bCs/>
          <w:sz w:val="20"/>
          <w:lang w:eastAsia="zh-CN"/>
        </w:rPr>
        <w:t xml:space="preserve">Table </w:t>
      </w:r>
      <w:r>
        <w:rPr>
          <w:rFonts w:eastAsia="Times New Roman" w:hint="eastAsia"/>
          <w:b/>
          <w:bCs/>
          <w:sz w:val="20"/>
          <w:lang w:eastAsia="zh-CN"/>
        </w:rPr>
        <w:t>3</w:t>
      </w:r>
      <w:r>
        <w:rPr>
          <w:rFonts w:eastAsia="Times New Roman"/>
          <w:b/>
          <w:bCs/>
          <w:sz w:val="20"/>
          <w:lang w:eastAsia="zh-CN"/>
        </w:rPr>
        <w:t>: Endogeneity Treatment Results</w:t>
      </w:r>
    </w:p>
    <w:tbl>
      <w:tblPr>
        <w:tblW w:w="4995" w:type="pct"/>
        <w:tblLayout w:type="fixed"/>
        <w:tblLook w:val="04A0" w:firstRow="1" w:lastRow="0" w:firstColumn="1" w:lastColumn="0" w:noHBand="0" w:noVBand="1"/>
      </w:tblPr>
      <w:tblGrid>
        <w:gridCol w:w="2760"/>
        <w:gridCol w:w="3502"/>
        <w:gridCol w:w="3304"/>
      </w:tblGrid>
      <w:tr w:rsidR="005253E1" w14:paraId="671E039C" w14:textId="77777777">
        <w:trPr>
          <w:trHeight w:val="313"/>
        </w:trPr>
        <w:tc>
          <w:tcPr>
            <w:tcW w:w="1442" w:type="pct"/>
            <w:vMerge w:val="restart"/>
            <w:tcBorders>
              <w:top w:val="single" w:sz="12" w:space="0" w:color="000000"/>
              <w:left w:val="nil"/>
              <w:bottom w:val="single" w:sz="12" w:space="0" w:color="000000"/>
              <w:right w:val="nil"/>
            </w:tcBorders>
            <w:noWrap/>
            <w:vAlign w:val="center"/>
          </w:tcPr>
          <w:p w14:paraId="3C0811A8" w14:textId="77777777" w:rsidR="005253E1" w:rsidRDefault="00000000">
            <w:pPr>
              <w:jc w:val="center"/>
              <w:rPr>
                <w:rFonts w:eastAsia="SimSun"/>
                <w:b/>
                <w:bCs/>
                <w:sz w:val="20"/>
                <w:szCs w:val="20"/>
              </w:rPr>
            </w:pPr>
            <w:r>
              <w:rPr>
                <w:rFonts w:eastAsia="SimSun"/>
                <w:b/>
                <w:bCs/>
                <w:sz w:val="20"/>
                <w:szCs w:val="20"/>
                <w:lang w:eastAsia="zh-CN"/>
              </w:rPr>
              <w:t>Variable</w:t>
            </w:r>
          </w:p>
        </w:tc>
        <w:tc>
          <w:tcPr>
            <w:tcW w:w="1830" w:type="pct"/>
            <w:tcBorders>
              <w:top w:val="single" w:sz="12" w:space="0" w:color="000000"/>
              <w:left w:val="nil"/>
              <w:bottom w:val="nil"/>
              <w:right w:val="nil"/>
            </w:tcBorders>
            <w:noWrap/>
            <w:vAlign w:val="center"/>
          </w:tcPr>
          <w:p w14:paraId="1C9A2509" w14:textId="77777777" w:rsidR="005253E1" w:rsidRDefault="00000000">
            <w:pPr>
              <w:jc w:val="center"/>
              <w:rPr>
                <w:rFonts w:eastAsia="SimSun"/>
                <w:b/>
                <w:bCs/>
                <w:sz w:val="20"/>
                <w:szCs w:val="20"/>
                <w:lang w:eastAsia="zh-CN"/>
              </w:rPr>
            </w:pPr>
            <w:r>
              <w:rPr>
                <w:rFonts w:eastAsia="SimSun" w:hint="eastAsia"/>
                <w:b/>
                <w:bCs/>
                <w:sz w:val="20"/>
                <w:szCs w:val="20"/>
                <w:lang w:eastAsia="zh-CN"/>
              </w:rPr>
              <w:t>(1)</w:t>
            </w:r>
          </w:p>
        </w:tc>
        <w:tc>
          <w:tcPr>
            <w:tcW w:w="1726" w:type="pct"/>
            <w:tcBorders>
              <w:top w:val="single" w:sz="12" w:space="0" w:color="000000"/>
              <w:left w:val="nil"/>
              <w:bottom w:val="nil"/>
              <w:right w:val="nil"/>
            </w:tcBorders>
            <w:noWrap/>
            <w:vAlign w:val="center"/>
          </w:tcPr>
          <w:p w14:paraId="608B9D4A" w14:textId="77777777" w:rsidR="005253E1" w:rsidRDefault="00000000">
            <w:pPr>
              <w:jc w:val="center"/>
              <w:rPr>
                <w:rFonts w:eastAsia="SimSun"/>
                <w:b/>
                <w:bCs/>
                <w:sz w:val="20"/>
                <w:szCs w:val="20"/>
                <w:lang w:eastAsia="zh-CN"/>
              </w:rPr>
            </w:pPr>
            <w:r>
              <w:rPr>
                <w:rFonts w:eastAsia="SimSun" w:hint="eastAsia"/>
                <w:b/>
                <w:bCs/>
                <w:sz w:val="20"/>
                <w:szCs w:val="20"/>
                <w:lang w:eastAsia="zh-CN"/>
              </w:rPr>
              <w:t>(2)</w:t>
            </w:r>
          </w:p>
        </w:tc>
      </w:tr>
      <w:tr w:rsidR="005253E1" w14:paraId="35D5AA71" w14:textId="77777777">
        <w:trPr>
          <w:trHeight w:val="313"/>
        </w:trPr>
        <w:tc>
          <w:tcPr>
            <w:tcW w:w="1442" w:type="pct"/>
            <w:vMerge/>
            <w:tcBorders>
              <w:top w:val="single" w:sz="12" w:space="0" w:color="000000"/>
              <w:left w:val="nil"/>
              <w:bottom w:val="single" w:sz="12" w:space="0" w:color="000000"/>
              <w:right w:val="nil"/>
            </w:tcBorders>
            <w:noWrap/>
            <w:vAlign w:val="center"/>
          </w:tcPr>
          <w:p w14:paraId="057D6ED0" w14:textId="77777777" w:rsidR="005253E1" w:rsidRDefault="005253E1">
            <w:pPr>
              <w:jc w:val="center"/>
              <w:rPr>
                <w:rFonts w:eastAsia="SimSun"/>
                <w:b/>
                <w:bCs/>
                <w:sz w:val="20"/>
                <w:szCs w:val="20"/>
              </w:rPr>
            </w:pPr>
          </w:p>
        </w:tc>
        <w:tc>
          <w:tcPr>
            <w:tcW w:w="1830" w:type="pct"/>
            <w:tcBorders>
              <w:top w:val="nil"/>
              <w:left w:val="nil"/>
              <w:bottom w:val="single" w:sz="12" w:space="0" w:color="000000"/>
              <w:right w:val="nil"/>
            </w:tcBorders>
            <w:noWrap/>
            <w:vAlign w:val="center"/>
          </w:tcPr>
          <w:p w14:paraId="3810CDB2" w14:textId="77777777" w:rsidR="005253E1" w:rsidRDefault="00000000">
            <w:pPr>
              <w:jc w:val="center"/>
              <w:rPr>
                <w:rFonts w:eastAsia="SimSun"/>
                <w:b/>
                <w:bCs/>
                <w:sz w:val="20"/>
                <w:szCs w:val="20"/>
                <w:lang w:eastAsia="zh-CN"/>
              </w:rPr>
            </w:pPr>
            <w:r>
              <w:rPr>
                <w:rFonts w:eastAsia="SimSun" w:hint="eastAsia"/>
                <w:b/>
                <w:bCs/>
                <w:sz w:val="20"/>
                <w:szCs w:val="20"/>
                <w:lang w:eastAsia="zh-CN"/>
              </w:rPr>
              <w:t>OFDI</w:t>
            </w:r>
          </w:p>
        </w:tc>
        <w:tc>
          <w:tcPr>
            <w:tcW w:w="1726" w:type="pct"/>
            <w:tcBorders>
              <w:top w:val="nil"/>
              <w:left w:val="nil"/>
              <w:bottom w:val="single" w:sz="12" w:space="0" w:color="000000"/>
              <w:right w:val="nil"/>
            </w:tcBorders>
            <w:noWrap/>
            <w:vAlign w:val="center"/>
          </w:tcPr>
          <w:p w14:paraId="77AFFEFA" w14:textId="77777777" w:rsidR="005253E1" w:rsidRDefault="00000000">
            <w:pPr>
              <w:jc w:val="center"/>
              <w:rPr>
                <w:rFonts w:eastAsia="SimSun"/>
                <w:b/>
                <w:bCs/>
                <w:sz w:val="20"/>
                <w:szCs w:val="20"/>
                <w:lang w:eastAsia="zh-CN"/>
              </w:rPr>
            </w:pPr>
            <w:r>
              <w:rPr>
                <w:rFonts w:eastAsia="SimSun" w:hint="eastAsia"/>
                <w:b/>
                <w:bCs/>
                <w:sz w:val="20"/>
                <w:szCs w:val="20"/>
                <w:lang w:eastAsia="zh-CN"/>
              </w:rPr>
              <w:t>OFDI_F</w:t>
            </w:r>
          </w:p>
        </w:tc>
      </w:tr>
      <w:tr w:rsidR="005253E1" w14:paraId="5E1CB749" w14:textId="77777777">
        <w:trPr>
          <w:trHeight w:val="313"/>
        </w:trPr>
        <w:tc>
          <w:tcPr>
            <w:tcW w:w="1442" w:type="pct"/>
            <w:vMerge w:val="restart"/>
            <w:tcBorders>
              <w:top w:val="nil"/>
              <w:left w:val="nil"/>
              <w:bottom w:val="nil"/>
              <w:right w:val="nil"/>
            </w:tcBorders>
            <w:noWrap/>
            <w:vAlign w:val="center"/>
          </w:tcPr>
          <w:p w14:paraId="60F880FF" w14:textId="77777777" w:rsidR="005253E1" w:rsidRDefault="00000000">
            <w:pPr>
              <w:jc w:val="center"/>
              <w:rPr>
                <w:rFonts w:eastAsia="SimSun"/>
                <w:sz w:val="20"/>
                <w:szCs w:val="20"/>
                <w:lang w:eastAsia="zh-CN"/>
              </w:rPr>
            </w:pPr>
            <w:r>
              <w:rPr>
                <w:rFonts w:eastAsia="SimSun"/>
                <w:sz w:val="20"/>
                <w:szCs w:val="20"/>
                <w:lang w:eastAsia="zh-CN"/>
              </w:rPr>
              <w:t>ESG</w:t>
            </w:r>
          </w:p>
        </w:tc>
        <w:tc>
          <w:tcPr>
            <w:tcW w:w="1830" w:type="pct"/>
            <w:tcBorders>
              <w:top w:val="nil"/>
              <w:left w:val="nil"/>
              <w:bottom w:val="nil"/>
              <w:right w:val="nil"/>
            </w:tcBorders>
            <w:noWrap/>
            <w:vAlign w:val="center"/>
          </w:tcPr>
          <w:p w14:paraId="3879AF92" w14:textId="77777777" w:rsidR="005253E1" w:rsidRDefault="00000000">
            <w:pPr>
              <w:jc w:val="center"/>
              <w:rPr>
                <w:rFonts w:eastAsia="SimSun"/>
                <w:sz w:val="20"/>
                <w:szCs w:val="20"/>
                <w:lang w:eastAsia="zh-CN"/>
              </w:rPr>
            </w:pPr>
            <w:r>
              <w:rPr>
                <w:rFonts w:hint="eastAsia"/>
              </w:rPr>
              <w:t>76.828**</w:t>
            </w:r>
          </w:p>
        </w:tc>
        <w:tc>
          <w:tcPr>
            <w:tcW w:w="1726" w:type="pct"/>
            <w:tcBorders>
              <w:top w:val="nil"/>
              <w:left w:val="nil"/>
              <w:bottom w:val="nil"/>
              <w:right w:val="nil"/>
            </w:tcBorders>
            <w:noWrap/>
            <w:vAlign w:val="center"/>
          </w:tcPr>
          <w:p w14:paraId="2F515453" w14:textId="77777777" w:rsidR="005253E1" w:rsidRDefault="00000000">
            <w:pPr>
              <w:jc w:val="center"/>
              <w:rPr>
                <w:rFonts w:eastAsia="SimSun"/>
                <w:sz w:val="20"/>
                <w:szCs w:val="20"/>
                <w:lang w:eastAsia="zh-CN"/>
              </w:rPr>
            </w:pPr>
            <w:r>
              <w:rPr>
                <w:rFonts w:eastAsia="SimSun"/>
                <w:sz w:val="20"/>
                <w:szCs w:val="20"/>
                <w:lang w:eastAsia="zh-CN"/>
              </w:rPr>
              <w:t>0.586***</w:t>
            </w:r>
          </w:p>
        </w:tc>
      </w:tr>
      <w:tr w:rsidR="005253E1" w14:paraId="431AC442" w14:textId="77777777">
        <w:trPr>
          <w:trHeight w:val="236"/>
        </w:trPr>
        <w:tc>
          <w:tcPr>
            <w:tcW w:w="1442" w:type="pct"/>
            <w:vMerge/>
            <w:tcBorders>
              <w:top w:val="nil"/>
              <w:left w:val="nil"/>
              <w:bottom w:val="nil"/>
              <w:right w:val="nil"/>
            </w:tcBorders>
            <w:noWrap/>
            <w:vAlign w:val="center"/>
          </w:tcPr>
          <w:p w14:paraId="0EB06222" w14:textId="77777777" w:rsidR="005253E1" w:rsidRDefault="005253E1">
            <w:pPr>
              <w:jc w:val="center"/>
              <w:rPr>
                <w:rFonts w:eastAsia="SimSun"/>
                <w:sz w:val="20"/>
                <w:szCs w:val="20"/>
                <w:lang w:eastAsia="zh-CN"/>
              </w:rPr>
            </w:pPr>
          </w:p>
        </w:tc>
        <w:tc>
          <w:tcPr>
            <w:tcW w:w="1830" w:type="pct"/>
            <w:tcBorders>
              <w:top w:val="nil"/>
              <w:left w:val="nil"/>
              <w:bottom w:val="nil"/>
              <w:right w:val="nil"/>
            </w:tcBorders>
            <w:noWrap/>
            <w:vAlign w:val="center"/>
          </w:tcPr>
          <w:p w14:paraId="1FB17A6F" w14:textId="77777777" w:rsidR="005253E1" w:rsidRDefault="00000000">
            <w:pPr>
              <w:jc w:val="center"/>
              <w:rPr>
                <w:rFonts w:eastAsia="SimSun"/>
                <w:sz w:val="20"/>
                <w:szCs w:val="20"/>
                <w:lang w:eastAsia="zh-CN"/>
              </w:rPr>
            </w:pPr>
            <w:r>
              <w:rPr>
                <w:rFonts w:hint="eastAsia"/>
              </w:rPr>
              <w:t>(38.463)</w:t>
            </w:r>
          </w:p>
        </w:tc>
        <w:tc>
          <w:tcPr>
            <w:tcW w:w="1726" w:type="pct"/>
            <w:tcBorders>
              <w:top w:val="nil"/>
              <w:left w:val="nil"/>
              <w:bottom w:val="nil"/>
              <w:right w:val="nil"/>
            </w:tcBorders>
            <w:noWrap/>
            <w:vAlign w:val="center"/>
          </w:tcPr>
          <w:p w14:paraId="76B2C41F" w14:textId="77777777" w:rsidR="005253E1" w:rsidRDefault="00000000">
            <w:pPr>
              <w:jc w:val="center"/>
              <w:rPr>
                <w:rFonts w:eastAsia="SimSun"/>
                <w:sz w:val="20"/>
                <w:szCs w:val="20"/>
                <w:lang w:eastAsia="zh-CN"/>
              </w:rPr>
            </w:pPr>
            <w:r>
              <w:rPr>
                <w:rFonts w:eastAsia="SimSun"/>
                <w:sz w:val="20"/>
                <w:szCs w:val="20"/>
                <w:lang w:eastAsia="zh-CN"/>
              </w:rPr>
              <w:t>(0.227)</w:t>
            </w:r>
          </w:p>
        </w:tc>
      </w:tr>
      <w:tr w:rsidR="005253E1" w14:paraId="7556642A" w14:textId="77777777">
        <w:trPr>
          <w:trHeight w:val="244"/>
        </w:trPr>
        <w:tc>
          <w:tcPr>
            <w:tcW w:w="1442" w:type="pct"/>
            <w:vMerge w:val="restart"/>
            <w:tcBorders>
              <w:top w:val="nil"/>
              <w:left w:val="nil"/>
              <w:right w:val="nil"/>
            </w:tcBorders>
            <w:noWrap/>
            <w:vAlign w:val="center"/>
          </w:tcPr>
          <w:p w14:paraId="74E80080" w14:textId="77777777" w:rsidR="005253E1" w:rsidRDefault="00000000">
            <w:pPr>
              <w:jc w:val="center"/>
            </w:pPr>
            <w:r>
              <w:rPr>
                <w:rFonts w:hint="eastAsia"/>
              </w:rPr>
              <w:t>Anderson canon. corr. LM</w:t>
            </w:r>
          </w:p>
        </w:tc>
        <w:tc>
          <w:tcPr>
            <w:tcW w:w="1830" w:type="pct"/>
            <w:tcBorders>
              <w:top w:val="nil"/>
              <w:left w:val="nil"/>
              <w:bottom w:val="nil"/>
              <w:right w:val="nil"/>
            </w:tcBorders>
            <w:noWrap/>
            <w:vAlign w:val="center"/>
          </w:tcPr>
          <w:p w14:paraId="03681741" w14:textId="77777777" w:rsidR="005253E1" w:rsidRDefault="00000000">
            <w:pPr>
              <w:jc w:val="center"/>
              <w:rPr>
                <w:rFonts w:eastAsia="SimSun"/>
                <w:sz w:val="20"/>
                <w:szCs w:val="20"/>
                <w:lang w:eastAsia="zh-CN"/>
              </w:rPr>
            </w:pPr>
            <w:r>
              <w:rPr>
                <w:rFonts w:eastAsia="SimSun"/>
                <w:sz w:val="20"/>
                <w:szCs w:val="20"/>
                <w:lang w:eastAsia="zh-CN"/>
              </w:rPr>
              <w:t>20.722</w:t>
            </w:r>
          </w:p>
        </w:tc>
        <w:tc>
          <w:tcPr>
            <w:tcW w:w="1726" w:type="pct"/>
            <w:tcBorders>
              <w:top w:val="nil"/>
              <w:left w:val="nil"/>
              <w:bottom w:val="nil"/>
              <w:right w:val="nil"/>
            </w:tcBorders>
            <w:noWrap/>
            <w:vAlign w:val="center"/>
          </w:tcPr>
          <w:p w14:paraId="4B50C9B1" w14:textId="77777777" w:rsidR="005253E1" w:rsidRDefault="00000000">
            <w:pPr>
              <w:jc w:val="center"/>
              <w:rPr>
                <w:rFonts w:eastAsia="SimSun"/>
                <w:sz w:val="20"/>
                <w:szCs w:val="20"/>
                <w:lang w:eastAsia="zh-CN"/>
              </w:rPr>
            </w:pPr>
            <w:r>
              <w:rPr>
                <w:rFonts w:eastAsia="SimSun"/>
                <w:sz w:val="20"/>
                <w:szCs w:val="20"/>
                <w:lang w:eastAsia="zh-CN"/>
              </w:rPr>
              <w:t>28.798</w:t>
            </w:r>
          </w:p>
        </w:tc>
      </w:tr>
      <w:tr w:rsidR="005253E1" w14:paraId="5D29D72E" w14:textId="77777777">
        <w:trPr>
          <w:trHeight w:val="244"/>
        </w:trPr>
        <w:tc>
          <w:tcPr>
            <w:tcW w:w="1442" w:type="pct"/>
            <w:vMerge/>
            <w:tcBorders>
              <w:left w:val="nil"/>
              <w:bottom w:val="nil"/>
              <w:right w:val="nil"/>
            </w:tcBorders>
            <w:noWrap/>
            <w:vAlign w:val="center"/>
          </w:tcPr>
          <w:p w14:paraId="0E4D896F" w14:textId="77777777" w:rsidR="005253E1" w:rsidRDefault="005253E1">
            <w:pPr>
              <w:jc w:val="center"/>
            </w:pPr>
          </w:p>
        </w:tc>
        <w:tc>
          <w:tcPr>
            <w:tcW w:w="1830" w:type="pct"/>
            <w:tcBorders>
              <w:top w:val="nil"/>
              <w:left w:val="nil"/>
              <w:bottom w:val="nil"/>
              <w:right w:val="nil"/>
            </w:tcBorders>
            <w:noWrap/>
            <w:vAlign w:val="center"/>
          </w:tcPr>
          <w:p w14:paraId="4F9E29A3" w14:textId="77777777" w:rsidR="005253E1" w:rsidRDefault="00000000">
            <w:pPr>
              <w:jc w:val="center"/>
              <w:rPr>
                <w:rFonts w:eastAsia="SimSun"/>
                <w:sz w:val="20"/>
                <w:szCs w:val="20"/>
                <w:lang w:eastAsia="zh-CN"/>
              </w:rPr>
            </w:pPr>
            <w:r>
              <w:rPr>
                <w:rFonts w:eastAsia="SimSun"/>
                <w:sz w:val="20"/>
                <w:szCs w:val="20"/>
                <w:lang w:eastAsia="zh-CN"/>
              </w:rPr>
              <w:t>[0.000]</w:t>
            </w:r>
          </w:p>
        </w:tc>
        <w:tc>
          <w:tcPr>
            <w:tcW w:w="1726" w:type="pct"/>
            <w:tcBorders>
              <w:top w:val="nil"/>
              <w:left w:val="nil"/>
              <w:bottom w:val="nil"/>
              <w:right w:val="nil"/>
            </w:tcBorders>
            <w:noWrap/>
            <w:vAlign w:val="center"/>
          </w:tcPr>
          <w:p w14:paraId="01B0228B" w14:textId="77777777" w:rsidR="005253E1" w:rsidRDefault="00000000">
            <w:pPr>
              <w:jc w:val="center"/>
              <w:rPr>
                <w:rFonts w:eastAsia="SimSun"/>
                <w:sz w:val="20"/>
                <w:szCs w:val="20"/>
                <w:lang w:eastAsia="zh-CN"/>
              </w:rPr>
            </w:pPr>
            <w:r>
              <w:rPr>
                <w:rFonts w:eastAsia="SimSun"/>
                <w:sz w:val="20"/>
                <w:szCs w:val="20"/>
                <w:lang w:eastAsia="zh-CN"/>
              </w:rPr>
              <w:t>[0.000]</w:t>
            </w:r>
          </w:p>
        </w:tc>
      </w:tr>
      <w:tr w:rsidR="005253E1" w14:paraId="2108D149" w14:textId="77777777">
        <w:trPr>
          <w:trHeight w:val="244"/>
        </w:trPr>
        <w:tc>
          <w:tcPr>
            <w:tcW w:w="1442" w:type="pct"/>
            <w:vMerge w:val="restart"/>
            <w:tcBorders>
              <w:top w:val="nil"/>
              <w:left w:val="nil"/>
              <w:right w:val="nil"/>
            </w:tcBorders>
            <w:noWrap/>
            <w:vAlign w:val="center"/>
          </w:tcPr>
          <w:p w14:paraId="2930F1C1" w14:textId="77777777" w:rsidR="005253E1" w:rsidRDefault="00000000">
            <w:pPr>
              <w:jc w:val="center"/>
            </w:pPr>
            <w:r>
              <w:rPr>
                <w:rFonts w:hint="eastAsia"/>
              </w:rPr>
              <w:t>Cragg-Donald Wald F</w:t>
            </w:r>
          </w:p>
        </w:tc>
        <w:tc>
          <w:tcPr>
            <w:tcW w:w="1830" w:type="pct"/>
            <w:tcBorders>
              <w:top w:val="nil"/>
              <w:left w:val="nil"/>
              <w:bottom w:val="nil"/>
              <w:right w:val="nil"/>
            </w:tcBorders>
            <w:noWrap/>
            <w:vAlign w:val="center"/>
          </w:tcPr>
          <w:p w14:paraId="55B75520" w14:textId="77777777" w:rsidR="005253E1" w:rsidRDefault="00000000">
            <w:pPr>
              <w:jc w:val="center"/>
              <w:rPr>
                <w:rFonts w:eastAsia="SimSun"/>
                <w:sz w:val="20"/>
                <w:szCs w:val="20"/>
                <w:lang w:eastAsia="zh-CN"/>
              </w:rPr>
            </w:pPr>
            <w:r>
              <w:rPr>
                <w:rFonts w:eastAsia="SimSun"/>
                <w:sz w:val="20"/>
                <w:szCs w:val="20"/>
                <w:lang w:eastAsia="zh-CN"/>
              </w:rPr>
              <w:t>20.728</w:t>
            </w:r>
          </w:p>
        </w:tc>
        <w:tc>
          <w:tcPr>
            <w:tcW w:w="1726" w:type="pct"/>
            <w:tcBorders>
              <w:top w:val="nil"/>
              <w:left w:val="nil"/>
              <w:bottom w:val="nil"/>
              <w:right w:val="nil"/>
            </w:tcBorders>
            <w:noWrap/>
            <w:vAlign w:val="center"/>
          </w:tcPr>
          <w:p w14:paraId="7549888F" w14:textId="77777777" w:rsidR="005253E1" w:rsidRDefault="00000000">
            <w:pPr>
              <w:jc w:val="center"/>
              <w:rPr>
                <w:rFonts w:eastAsia="SimSun"/>
                <w:sz w:val="20"/>
                <w:szCs w:val="20"/>
                <w:lang w:eastAsia="zh-CN"/>
              </w:rPr>
            </w:pPr>
            <w:r>
              <w:rPr>
                <w:rFonts w:eastAsia="SimSun"/>
                <w:sz w:val="20"/>
                <w:szCs w:val="20"/>
                <w:lang w:eastAsia="zh-CN"/>
              </w:rPr>
              <w:t>28.837</w:t>
            </w:r>
          </w:p>
        </w:tc>
      </w:tr>
      <w:tr w:rsidR="005253E1" w14:paraId="7ED6C6F4" w14:textId="77777777">
        <w:trPr>
          <w:trHeight w:val="244"/>
        </w:trPr>
        <w:tc>
          <w:tcPr>
            <w:tcW w:w="1442" w:type="pct"/>
            <w:vMerge/>
            <w:tcBorders>
              <w:left w:val="nil"/>
              <w:bottom w:val="nil"/>
              <w:right w:val="nil"/>
            </w:tcBorders>
            <w:noWrap/>
            <w:vAlign w:val="center"/>
          </w:tcPr>
          <w:p w14:paraId="6A519065" w14:textId="77777777" w:rsidR="005253E1" w:rsidRDefault="005253E1">
            <w:pPr>
              <w:jc w:val="center"/>
            </w:pPr>
          </w:p>
        </w:tc>
        <w:tc>
          <w:tcPr>
            <w:tcW w:w="1830" w:type="pct"/>
            <w:tcBorders>
              <w:top w:val="nil"/>
              <w:left w:val="nil"/>
              <w:bottom w:val="nil"/>
              <w:right w:val="nil"/>
            </w:tcBorders>
            <w:noWrap/>
            <w:vAlign w:val="center"/>
          </w:tcPr>
          <w:p w14:paraId="561D5958" w14:textId="77777777" w:rsidR="005253E1" w:rsidRDefault="00000000">
            <w:pPr>
              <w:jc w:val="center"/>
              <w:rPr>
                <w:rFonts w:eastAsia="SimSun"/>
                <w:sz w:val="20"/>
                <w:szCs w:val="20"/>
                <w:lang w:eastAsia="zh-CN"/>
              </w:rPr>
            </w:pPr>
            <w:r>
              <w:rPr>
                <w:rFonts w:eastAsia="SimSun"/>
                <w:sz w:val="20"/>
                <w:szCs w:val="20"/>
                <w:lang w:eastAsia="zh-CN"/>
              </w:rPr>
              <w:t>{16.38}</w:t>
            </w:r>
          </w:p>
        </w:tc>
        <w:tc>
          <w:tcPr>
            <w:tcW w:w="1726" w:type="pct"/>
            <w:tcBorders>
              <w:top w:val="nil"/>
              <w:left w:val="nil"/>
              <w:bottom w:val="nil"/>
              <w:right w:val="nil"/>
            </w:tcBorders>
            <w:noWrap/>
            <w:vAlign w:val="center"/>
          </w:tcPr>
          <w:p w14:paraId="3EF958F7" w14:textId="77777777" w:rsidR="005253E1" w:rsidRDefault="00000000">
            <w:pPr>
              <w:jc w:val="center"/>
              <w:rPr>
                <w:rFonts w:eastAsia="SimSun"/>
                <w:sz w:val="20"/>
                <w:szCs w:val="20"/>
                <w:lang w:eastAsia="zh-CN"/>
              </w:rPr>
            </w:pPr>
            <w:r>
              <w:rPr>
                <w:rFonts w:eastAsia="SimSun"/>
                <w:sz w:val="20"/>
                <w:szCs w:val="20"/>
                <w:lang w:eastAsia="zh-CN"/>
              </w:rPr>
              <w:t>{16.38}</w:t>
            </w:r>
          </w:p>
        </w:tc>
      </w:tr>
      <w:tr w:rsidR="005253E1" w14:paraId="2AA8C5D5" w14:textId="77777777">
        <w:trPr>
          <w:trHeight w:val="244"/>
        </w:trPr>
        <w:tc>
          <w:tcPr>
            <w:tcW w:w="1442" w:type="pct"/>
            <w:tcBorders>
              <w:top w:val="nil"/>
              <w:left w:val="nil"/>
              <w:bottom w:val="nil"/>
              <w:right w:val="nil"/>
            </w:tcBorders>
            <w:noWrap/>
            <w:vAlign w:val="center"/>
          </w:tcPr>
          <w:p w14:paraId="109B8CEF" w14:textId="77777777" w:rsidR="005253E1" w:rsidRDefault="00000000">
            <w:pPr>
              <w:jc w:val="center"/>
              <w:rPr>
                <w:rFonts w:eastAsia="SimSun"/>
                <w:sz w:val="20"/>
                <w:szCs w:val="20"/>
                <w:lang w:eastAsia="zh-CN"/>
              </w:rPr>
            </w:pPr>
            <w:r>
              <w:rPr>
                <w:rFonts w:hint="eastAsia"/>
              </w:rPr>
              <w:t>Control Variables</w:t>
            </w:r>
          </w:p>
        </w:tc>
        <w:tc>
          <w:tcPr>
            <w:tcW w:w="1830" w:type="pct"/>
            <w:tcBorders>
              <w:top w:val="nil"/>
              <w:left w:val="nil"/>
              <w:bottom w:val="nil"/>
              <w:right w:val="nil"/>
            </w:tcBorders>
            <w:noWrap/>
            <w:vAlign w:val="center"/>
          </w:tcPr>
          <w:p w14:paraId="3A7A5DE7" w14:textId="77777777" w:rsidR="005253E1" w:rsidRDefault="00000000">
            <w:pPr>
              <w:jc w:val="center"/>
              <w:rPr>
                <w:rFonts w:eastAsia="SimSun"/>
                <w:sz w:val="20"/>
                <w:szCs w:val="20"/>
                <w:lang w:eastAsia="zh-CN"/>
              </w:rPr>
            </w:pPr>
            <w:r>
              <w:rPr>
                <w:rFonts w:eastAsia="SimSun"/>
                <w:sz w:val="20"/>
                <w:szCs w:val="20"/>
                <w:lang w:eastAsia="zh-CN"/>
              </w:rPr>
              <w:t>Yes</w:t>
            </w:r>
          </w:p>
        </w:tc>
        <w:tc>
          <w:tcPr>
            <w:tcW w:w="1726" w:type="pct"/>
            <w:tcBorders>
              <w:top w:val="nil"/>
              <w:left w:val="nil"/>
              <w:bottom w:val="nil"/>
              <w:right w:val="nil"/>
            </w:tcBorders>
            <w:noWrap/>
            <w:vAlign w:val="center"/>
          </w:tcPr>
          <w:p w14:paraId="03713FC9" w14:textId="77777777" w:rsidR="005253E1" w:rsidRDefault="00000000">
            <w:pPr>
              <w:jc w:val="center"/>
              <w:rPr>
                <w:rFonts w:eastAsia="SimSun"/>
                <w:sz w:val="20"/>
                <w:szCs w:val="20"/>
                <w:lang w:eastAsia="zh-CN"/>
              </w:rPr>
            </w:pPr>
            <w:r>
              <w:rPr>
                <w:rFonts w:eastAsia="SimSun"/>
                <w:sz w:val="20"/>
                <w:szCs w:val="20"/>
                <w:lang w:eastAsia="zh-CN"/>
              </w:rPr>
              <w:t>Yes</w:t>
            </w:r>
          </w:p>
        </w:tc>
      </w:tr>
      <w:tr w:rsidR="005253E1" w14:paraId="516DFAD2" w14:textId="77777777">
        <w:trPr>
          <w:trHeight w:val="244"/>
        </w:trPr>
        <w:tc>
          <w:tcPr>
            <w:tcW w:w="1442" w:type="pct"/>
            <w:tcBorders>
              <w:top w:val="nil"/>
              <w:left w:val="nil"/>
              <w:bottom w:val="nil"/>
              <w:right w:val="nil"/>
            </w:tcBorders>
            <w:noWrap/>
            <w:vAlign w:val="center"/>
          </w:tcPr>
          <w:p w14:paraId="27BA3E9E" w14:textId="77777777" w:rsidR="005253E1" w:rsidRDefault="00000000">
            <w:pPr>
              <w:jc w:val="center"/>
              <w:rPr>
                <w:rFonts w:eastAsia="SimSun"/>
                <w:sz w:val="20"/>
                <w:szCs w:val="20"/>
                <w:lang w:eastAsia="zh-CN"/>
              </w:rPr>
            </w:pPr>
            <w:r>
              <w:rPr>
                <w:rFonts w:eastAsia="SimSun"/>
                <w:sz w:val="20"/>
                <w:szCs w:val="20"/>
                <w:lang w:eastAsia="zh-CN"/>
              </w:rPr>
              <w:t>Individual FE</w:t>
            </w:r>
          </w:p>
        </w:tc>
        <w:tc>
          <w:tcPr>
            <w:tcW w:w="1830" w:type="pct"/>
            <w:tcBorders>
              <w:top w:val="nil"/>
              <w:left w:val="nil"/>
              <w:bottom w:val="nil"/>
              <w:right w:val="nil"/>
            </w:tcBorders>
            <w:noWrap/>
            <w:vAlign w:val="center"/>
          </w:tcPr>
          <w:p w14:paraId="2F00FCC1" w14:textId="77777777" w:rsidR="005253E1" w:rsidRDefault="00000000">
            <w:pPr>
              <w:jc w:val="center"/>
              <w:rPr>
                <w:rFonts w:eastAsia="SimSun"/>
                <w:sz w:val="20"/>
                <w:szCs w:val="20"/>
                <w:lang w:eastAsia="zh-CN"/>
              </w:rPr>
            </w:pPr>
            <w:r>
              <w:rPr>
                <w:rFonts w:eastAsia="SimSun"/>
                <w:sz w:val="20"/>
                <w:szCs w:val="20"/>
                <w:lang w:eastAsia="zh-CN"/>
              </w:rPr>
              <w:t>Yes</w:t>
            </w:r>
          </w:p>
        </w:tc>
        <w:tc>
          <w:tcPr>
            <w:tcW w:w="1726" w:type="pct"/>
            <w:tcBorders>
              <w:top w:val="nil"/>
              <w:left w:val="nil"/>
              <w:bottom w:val="nil"/>
              <w:right w:val="nil"/>
            </w:tcBorders>
            <w:noWrap/>
            <w:vAlign w:val="center"/>
          </w:tcPr>
          <w:p w14:paraId="53ED4B48" w14:textId="77777777" w:rsidR="005253E1" w:rsidRDefault="00000000">
            <w:pPr>
              <w:jc w:val="center"/>
              <w:rPr>
                <w:rFonts w:eastAsia="SimSun"/>
                <w:b/>
                <w:bCs/>
                <w:sz w:val="20"/>
                <w:szCs w:val="20"/>
                <w:lang w:eastAsia="zh-CN"/>
              </w:rPr>
            </w:pPr>
            <w:r>
              <w:rPr>
                <w:rFonts w:eastAsia="SimSun"/>
                <w:sz w:val="20"/>
                <w:szCs w:val="20"/>
                <w:lang w:eastAsia="zh-CN"/>
              </w:rPr>
              <w:t>Yes</w:t>
            </w:r>
          </w:p>
        </w:tc>
      </w:tr>
      <w:tr w:rsidR="005253E1" w14:paraId="548AD839" w14:textId="77777777">
        <w:trPr>
          <w:trHeight w:val="244"/>
        </w:trPr>
        <w:tc>
          <w:tcPr>
            <w:tcW w:w="1442" w:type="pct"/>
            <w:tcBorders>
              <w:top w:val="nil"/>
              <w:left w:val="nil"/>
              <w:bottom w:val="nil"/>
              <w:right w:val="nil"/>
            </w:tcBorders>
            <w:noWrap/>
            <w:vAlign w:val="center"/>
          </w:tcPr>
          <w:p w14:paraId="033C3930" w14:textId="77777777" w:rsidR="005253E1" w:rsidRDefault="00000000">
            <w:pPr>
              <w:jc w:val="center"/>
              <w:rPr>
                <w:rFonts w:eastAsia="SimSun"/>
                <w:sz w:val="20"/>
                <w:szCs w:val="20"/>
                <w:lang w:eastAsia="zh-CN"/>
              </w:rPr>
            </w:pPr>
            <w:r>
              <w:rPr>
                <w:rFonts w:eastAsia="SimSun"/>
                <w:sz w:val="20"/>
                <w:szCs w:val="20"/>
                <w:lang w:eastAsia="zh-CN"/>
              </w:rPr>
              <w:t>Year FE</w:t>
            </w:r>
          </w:p>
        </w:tc>
        <w:tc>
          <w:tcPr>
            <w:tcW w:w="1830" w:type="pct"/>
            <w:tcBorders>
              <w:top w:val="nil"/>
              <w:left w:val="nil"/>
              <w:bottom w:val="nil"/>
              <w:right w:val="nil"/>
            </w:tcBorders>
            <w:noWrap/>
            <w:vAlign w:val="center"/>
          </w:tcPr>
          <w:p w14:paraId="386A9352" w14:textId="77777777" w:rsidR="005253E1" w:rsidRDefault="00000000">
            <w:pPr>
              <w:jc w:val="center"/>
              <w:rPr>
                <w:rFonts w:eastAsia="SimSun"/>
                <w:sz w:val="20"/>
                <w:szCs w:val="20"/>
                <w:lang w:eastAsia="zh-CN"/>
              </w:rPr>
            </w:pPr>
            <w:r>
              <w:rPr>
                <w:rFonts w:eastAsia="SimSun"/>
                <w:sz w:val="20"/>
                <w:szCs w:val="20"/>
                <w:lang w:eastAsia="zh-CN"/>
              </w:rPr>
              <w:t>Yes</w:t>
            </w:r>
          </w:p>
        </w:tc>
        <w:tc>
          <w:tcPr>
            <w:tcW w:w="1726" w:type="pct"/>
            <w:tcBorders>
              <w:top w:val="nil"/>
              <w:left w:val="nil"/>
              <w:bottom w:val="nil"/>
              <w:right w:val="nil"/>
            </w:tcBorders>
            <w:noWrap/>
            <w:vAlign w:val="center"/>
          </w:tcPr>
          <w:p w14:paraId="6BA2830F" w14:textId="77777777" w:rsidR="005253E1" w:rsidRDefault="00000000">
            <w:pPr>
              <w:jc w:val="center"/>
              <w:rPr>
                <w:rFonts w:eastAsia="SimSun"/>
                <w:b/>
                <w:bCs/>
                <w:sz w:val="20"/>
                <w:szCs w:val="20"/>
                <w:lang w:eastAsia="zh-CN"/>
              </w:rPr>
            </w:pPr>
            <w:r>
              <w:rPr>
                <w:rFonts w:eastAsia="SimSun"/>
                <w:sz w:val="20"/>
                <w:szCs w:val="20"/>
                <w:lang w:eastAsia="zh-CN"/>
              </w:rPr>
              <w:t>Yes</w:t>
            </w:r>
          </w:p>
        </w:tc>
      </w:tr>
      <w:tr w:rsidR="005253E1" w14:paraId="5DA22887" w14:textId="77777777">
        <w:trPr>
          <w:trHeight w:val="244"/>
        </w:trPr>
        <w:tc>
          <w:tcPr>
            <w:tcW w:w="1442" w:type="pct"/>
            <w:tcBorders>
              <w:top w:val="nil"/>
              <w:left w:val="nil"/>
              <w:bottom w:val="nil"/>
              <w:right w:val="nil"/>
            </w:tcBorders>
            <w:noWrap/>
            <w:vAlign w:val="center"/>
          </w:tcPr>
          <w:p w14:paraId="6D95F39F" w14:textId="77777777" w:rsidR="005253E1" w:rsidRDefault="00000000">
            <w:pPr>
              <w:jc w:val="center"/>
              <w:rPr>
                <w:rFonts w:eastAsia="SimSun"/>
                <w:sz w:val="20"/>
                <w:szCs w:val="20"/>
                <w:lang w:eastAsia="zh-CN"/>
              </w:rPr>
            </w:pPr>
            <w:r>
              <w:rPr>
                <w:rFonts w:eastAsia="SimSun"/>
                <w:sz w:val="20"/>
                <w:szCs w:val="20"/>
                <w:lang w:eastAsia="zh-CN"/>
              </w:rPr>
              <w:t>Observations</w:t>
            </w:r>
          </w:p>
        </w:tc>
        <w:tc>
          <w:tcPr>
            <w:tcW w:w="1830" w:type="pct"/>
            <w:tcBorders>
              <w:top w:val="nil"/>
              <w:left w:val="nil"/>
              <w:bottom w:val="nil"/>
              <w:right w:val="nil"/>
            </w:tcBorders>
            <w:noWrap/>
            <w:vAlign w:val="center"/>
          </w:tcPr>
          <w:p w14:paraId="2CB010B3" w14:textId="77777777" w:rsidR="005253E1" w:rsidRDefault="00000000">
            <w:pPr>
              <w:jc w:val="center"/>
              <w:rPr>
                <w:rFonts w:eastAsia="SimSun"/>
                <w:sz w:val="20"/>
                <w:szCs w:val="20"/>
                <w:lang w:eastAsia="zh-CN"/>
              </w:rPr>
            </w:pPr>
            <w:r>
              <w:rPr>
                <w:rFonts w:hint="eastAsia"/>
              </w:rPr>
              <w:t>12104</w:t>
            </w:r>
          </w:p>
        </w:tc>
        <w:tc>
          <w:tcPr>
            <w:tcW w:w="1726" w:type="pct"/>
            <w:tcBorders>
              <w:top w:val="nil"/>
              <w:left w:val="nil"/>
              <w:bottom w:val="nil"/>
              <w:right w:val="nil"/>
            </w:tcBorders>
            <w:noWrap/>
            <w:vAlign w:val="center"/>
          </w:tcPr>
          <w:p w14:paraId="797D7944" w14:textId="77777777" w:rsidR="005253E1" w:rsidRDefault="00000000">
            <w:pPr>
              <w:jc w:val="center"/>
              <w:rPr>
                <w:rFonts w:eastAsia="SimSun"/>
                <w:sz w:val="20"/>
                <w:szCs w:val="20"/>
                <w:lang w:eastAsia="zh-CN"/>
              </w:rPr>
            </w:pPr>
            <w:r>
              <w:rPr>
                <w:rFonts w:hint="eastAsia"/>
              </w:rPr>
              <w:t>13,400</w:t>
            </w:r>
          </w:p>
        </w:tc>
      </w:tr>
      <w:tr w:rsidR="005253E1" w14:paraId="2E8BAB80" w14:textId="77777777">
        <w:trPr>
          <w:trHeight w:val="313"/>
        </w:trPr>
        <w:tc>
          <w:tcPr>
            <w:tcW w:w="1442" w:type="pct"/>
            <w:tcBorders>
              <w:top w:val="nil"/>
              <w:left w:val="nil"/>
              <w:bottom w:val="single" w:sz="12" w:space="0" w:color="000000"/>
              <w:right w:val="nil"/>
            </w:tcBorders>
            <w:noWrap/>
            <w:vAlign w:val="center"/>
          </w:tcPr>
          <w:p w14:paraId="30F9A294" w14:textId="77777777" w:rsidR="005253E1" w:rsidRDefault="00000000">
            <w:pPr>
              <w:jc w:val="center"/>
              <w:rPr>
                <w:rFonts w:eastAsia="SimSun"/>
                <w:sz w:val="20"/>
                <w:szCs w:val="20"/>
                <w:lang w:eastAsia="zh-CN"/>
              </w:rPr>
            </w:pPr>
            <w:r>
              <w:rPr>
                <w:rFonts w:eastAsia="SimSun"/>
                <w:sz w:val="20"/>
                <w:szCs w:val="20"/>
                <w:lang w:eastAsia="zh-CN"/>
              </w:rPr>
              <w:t>R</w:t>
            </w:r>
            <w:r>
              <w:rPr>
                <w:rFonts w:eastAsia="SimSun"/>
                <w:sz w:val="20"/>
                <w:szCs w:val="20"/>
                <w:vertAlign w:val="superscript"/>
                <w:lang w:eastAsia="zh-CN"/>
              </w:rPr>
              <w:t>2</w:t>
            </w:r>
          </w:p>
        </w:tc>
        <w:tc>
          <w:tcPr>
            <w:tcW w:w="1830" w:type="pct"/>
            <w:tcBorders>
              <w:top w:val="nil"/>
              <w:left w:val="nil"/>
              <w:bottom w:val="single" w:sz="12" w:space="0" w:color="000000"/>
              <w:right w:val="nil"/>
            </w:tcBorders>
            <w:noWrap/>
            <w:vAlign w:val="center"/>
          </w:tcPr>
          <w:p w14:paraId="73DED1F1" w14:textId="77777777" w:rsidR="005253E1" w:rsidRDefault="00000000">
            <w:pPr>
              <w:jc w:val="center"/>
              <w:rPr>
                <w:rFonts w:eastAsia="SimSun"/>
                <w:sz w:val="20"/>
                <w:szCs w:val="20"/>
                <w:lang w:eastAsia="zh-CN"/>
              </w:rPr>
            </w:pPr>
            <w:r>
              <w:rPr>
                <w:rFonts w:hint="eastAsia"/>
              </w:rPr>
              <w:t>0.0096</w:t>
            </w:r>
          </w:p>
        </w:tc>
        <w:tc>
          <w:tcPr>
            <w:tcW w:w="1726" w:type="pct"/>
            <w:tcBorders>
              <w:top w:val="nil"/>
              <w:left w:val="nil"/>
              <w:bottom w:val="single" w:sz="12" w:space="0" w:color="000000"/>
              <w:right w:val="nil"/>
            </w:tcBorders>
            <w:noWrap/>
            <w:vAlign w:val="center"/>
          </w:tcPr>
          <w:p w14:paraId="46290402" w14:textId="77777777" w:rsidR="005253E1" w:rsidRDefault="00000000">
            <w:pPr>
              <w:jc w:val="center"/>
              <w:rPr>
                <w:rFonts w:eastAsia="SimSun"/>
                <w:sz w:val="20"/>
                <w:szCs w:val="20"/>
                <w:lang w:eastAsia="zh-CN"/>
              </w:rPr>
            </w:pPr>
            <w:r>
              <w:rPr>
                <w:rFonts w:hint="eastAsia"/>
              </w:rPr>
              <w:t>0.0098</w:t>
            </w:r>
          </w:p>
        </w:tc>
      </w:tr>
    </w:tbl>
    <w:p w14:paraId="3F3F211F" w14:textId="77777777" w:rsidR="005253E1" w:rsidRDefault="00000000">
      <w:pPr>
        <w:rPr>
          <w:rFonts w:eastAsia="Times New Roman" w:cs="Times New Roman"/>
          <w:bCs/>
          <w:i/>
          <w:sz w:val="18"/>
          <w:szCs w:val="16"/>
          <w:lang w:eastAsia="zh-CN"/>
        </w:rPr>
      </w:pPr>
      <w:r>
        <w:rPr>
          <w:rFonts w:eastAsia="Times New Roman" w:cs="Times New Roman" w:hint="eastAsia"/>
          <w:bCs/>
          <w:i/>
          <w:sz w:val="18"/>
          <w:szCs w:val="16"/>
          <w:lang w:eastAsia="zh-CN"/>
        </w:rPr>
        <w:t>*Note: The values in [] are the p-values of the statistics, and the values in {} are the critical values at the 10% level of the Stock-Yogo test.</w:t>
      </w:r>
    </w:p>
    <w:p w14:paraId="73E67102" w14:textId="77777777" w:rsidR="005253E1" w:rsidRDefault="005253E1">
      <w:pPr>
        <w:rPr>
          <w:rFonts w:eastAsia="Times New Roman" w:cs="Times New Roman"/>
          <w:bCs/>
          <w:i/>
          <w:sz w:val="18"/>
          <w:szCs w:val="16"/>
          <w:lang w:eastAsia="zh-CN"/>
        </w:rPr>
      </w:pPr>
    </w:p>
    <w:p w14:paraId="6A8A5641"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5.3 Heterogeneity Test</w:t>
      </w:r>
    </w:p>
    <w:p w14:paraId="581BF79E" w14:textId="77777777" w:rsidR="005253E1" w:rsidRDefault="005253E1">
      <w:pPr>
        <w:pStyle w:val="AbstHead"/>
        <w:widowControl/>
        <w:spacing w:after="0"/>
        <w:jc w:val="both"/>
        <w:rPr>
          <w:rFonts w:eastAsia="Times New Roman"/>
          <w:szCs w:val="20"/>
          <w:lang w:eastAsia="zh-CN"/>
        </w:rPr>
      </w:pPr>
    </w:p>
    <w:p w14:paraId="43F759D7"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5.3.1 Whether State-Owned Enterprise.</w:t>
      </w:r>
    </w:p>
    <w:p w14:paraId="033E6719" w14:textId="77777777" w:rsidR="005253E1" w:rsidRDefault="005253E1">
      <w:pPr>
        <w:rPr>
          <w:lang w:eastAsia="zh-CN"/>
        </w:rPr>
      </w:pPr>
    </w:p>
    <w:p w14:paraId="0C05E355"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The coefficients for state-owned enterprises are -0.460 and 0.332, both not significant, indicating that ESG performance has no significant impact on the OFDI flow and frequency of state-owned enterprises. This is because the internationalization decisions of state-owned enterprises rely more on policy guidance or government resources, and the market signaling effect of ESG disclosure is relatively weak. Moreover, state-owned enterprises are generally subject to stricter environmental regulations, and their disclosure behavior has become normalized, resulting in insufficient marginal effects. In contrast, the coefficients for non-state-owned enterprises are 7.630 and 0.793, both significantly positive, reflecting that ESG performance promotes the OFDI flow and frequency of non-state-owned enterprises. Non-state-owned enterprises operate through market mechanisms, and better ESG performance can help them obtain green financing, reduce financing costs and investment risks, enhance their corporate image, and gain the trust of international investors.</w:t>
      </w:r>
    </w:p>
    <w:p w14:paraId="58EEDEAA" w14:textId="77777777" w:rsidR="005253E1" w:rsidRDefault="005253E1">
      <w:pPr>
        <w:pStyle w:val="Body"/>
        <w:widowControl/>
        <w:spacing w:after="0"/>
        <w:rPr>
          <w:rFonts w:eastAsia="Times New Roman"/>
          <w:sz w:val="20"/>
          <w:szCs w:val="20"/>
          <w:lang w:eastAsia="zh-CN"/>
        </w:rPr>
      </w:pPr>
    </w:p>
    <w:p w14:paraId="5EE105B9" w14:textId="77777777" w:rsidR="005253E1" w:rsidRDefault="005253E1">
      <w:pPr>
        <w:pStyle w:val="Heading3"/>
        <w:widowControl/>
        <w:numPr>
          <w:ilvl w:val="2"/>
          <w:numId w:val="0"/>
        </w:numPr>
        <w:adjustRightInd/>
        <w:spacing w:line="240" w:lineRule="auto"/>
        <w:rPr>
          <w:rFonts w:ascii="Arial" w:eastAsia="SimSun" w:hAnsi="Arial" w:cs="Arial"/>
          <w:b/>
          <w:kern w:val="0"/>
          <w:sz w:val="20"/>
          <w:szCs w:val="20"/>
          <w:u w:val="single"/>
          <w:lang w:eastAsia="zh-CN"/>
        </w:rPr>
      </w:pPr>
    </w:p>
    <w:p w14:paraId="79A5834A"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5.3.2 Whether High-Tech Enterprises.</w:t>
      </w:r>
    </w:p>
    <w:p w14:paraId="5DAA9C1A" w14:textId="77777777" w:rsidR="005253E1" w:rsidRDefault="005253E1">
      <w:pPr>
        <w:rPr>
          <w:lang w:eastAsia="zh-CN"/>
        </w:rPr>
      </w:pPr>
    </w:p>
    <w:p w14:paraId="753372C6"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High-tech enterprises show a significant positive correlation with OFDI flow and frequency at the 10% and 5% levels, respectively. Overseas investments by high-tech enterprises often involve technology-intensive fields, where host countries generally have higher ESG standards. Furthermore, the ESG practices of high-tech enterprises can strengthen technological barriers and create differentiated competitiveness. For example, Huawei enhances its recognition in the European market by combining 5G technology with carbon neutrality goals. ESG has no promoting effect on the OFDI of non-high-tech enterprises, or may </w:t>
      </w:r>
      <w:r>
        <w:rPr>
          <w:rFonts w:eastAsia="Times New Roman" w:hint="eastAsia"/>
          <w:sz w:val="20"/>
          <w:szCs w:val="20"/>
          <w:lang w:eastAsia="zh-CN"/>
        </w:rPr>
        <w:lastRenderedPageBreak/>
        <w:t>even have a slight negative impact.This is because their OFDI is often cost-driven, and ESG investments may increase short-term costs, weakening investment returns. Non-high-tech enterprises often invest in emerging markets with lower ESG standards, where local policies impose less stringent constraints on ESG, leading to a limited impact of ESG on investment decisions.</w:t>
      </w:r>
    </w:p>
    <w:p w14:paraId="51C71442" w14:textId="77777777" w:rsidR="005253E1" w:rsidRDefault="005253E1">
      <w:pPr>
        <w:pStyle w:val="Body"/>
        <w:widowControl/>
        <w:spacing w:after="0"/>
      </w:pPr>
    </w:p>
    <w:p w14:paraId="5D610B68"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5.3.3 Whether it is a coastal province.</w:t>
      </w:r>
    </w:p>
    <w:p w14:paraId="6EFF700B" w14:textId="77777777" w:rsidR="005253E1" w:rsidRDefault="005253E1">
      <w:pPr>
        <w:rPr>
          <w:lang w:eastAsia="zh-CN"/>
        </w:rPr>
      </w:pPr>
    </w:p>
    <w:p w14:paraId="587A38FA"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The coastal provinces have a higher degree of openness, and the agglomeration effect of enterprises is more pronounced. Logically, the situation of OFDI (Outward Foreign Direct Investment) should be more advantageous. The regression results also confirm this conclusion, with the coefficients for coastal areas are 7.476 (OFDI flow) and 1.373 (OFDI frequency), both significant at the 1% level, while in non-coastal areas, they are not significant. This is mainly due to the difference in the degree of economic openness, as the export-oriented economy in coastal areas clearly supports enterprises' overseas expansion.In places like Shenzhen and Shanghai Lingang, special economic zones, free trade zones, and open pilot zones have been established, allowing enterprises to enjoy more favorable tax incentives and other policy supports, which also strengthens their motivation for outward direct investment.</w:t>
      </w:r>
    </w:p>
    <w:p w14:paraId="63E8A6B6" w14:textId="77777777" w:rsidR="005253E1" w:rsidRDefault="005253E1">
      <w:pPr>
        <w:pStyle w:val="Body"/>
        <w:widowControl/>
        <w:spacing w:after="0"/>
      </w:pPr>
    </w:p>
    <w:p w14:paraId="6F50706D" w14:textId="77777777" w:rsidR="005253E1" w:rsidRDefault="00000000">
      <w:pPr>
        <w:widowControl/>
        <w:autoSpaceDE w:val="0"/>
        <w:autoSpaceDN w:val="0"/>
        <w:adjustRightInd w:val="0"/>
        <w:jc w:val="both"/>
        <w:rPr>
          <w:rFonts w:eastAsia="Times New Roman"/>
          <w:b/>
          <w:caps/>
          <w:szCs w:val="20"/>
          <w:lang w:eastAsia="zh-CN"/>
        </w:rPr>
      </w:pPr>
      <w:r>
        <w:rPr>
          <w:rFonts w:eastAsia="Times New Roman"/>
          <w:b/>
          <w:bCs/>
          <w:sz w:val="20"/>
          <w:lang w:eastAsia="zh-CN"/>
        </w:rPr>
        <w:t xml:space="preserve">Table </w:t>
      </w:r>
      <w:r>
        <w:rPr>
          <w:rFonts w:eastAsia="Times New Roman" w:hint="eastAsia"/>
          <w:b/>
          <w:bCs/>
          <w:sz w:val="20"/>
          <w:lang w:eastAsia="zh-CN"/>
        </w:rPr>
        <w:t>4</w:t>
      </w:r>
      <w:r>
        <w:rPr>
          <w:rFonts w:eastAsia="Times New Roman"/>
          <w:b/>
          <w:bCs/>
          <w:sz w:val="20"/>
          <w:lang w:eastAsia="zh-CN"/>
        </w:rPr>
        <w:t>: Heterogeneity Test Results: State-Owned Enterprises</w:t>
      </w:r>
    </w:p>
    <w:tbl>
      <w:tblPr>
        <w:tblW w:w="5000" w:type="pct"/>
        <w:tblLook w:val="04A0" w:firstRow="1" w:lastRow="0" w:firstColumn="1" w:lastColumn="0" w:noHBand="0" w:noVBand="1"/>
      </w:tblPr>
      <w:tblGrid>
        <w:gridCol w:w="1254"/>
        <w:gridCol w:w="2021"/>
        <w:gridCol w:w="2140"/>
        <w:gridCol w:w="2021"/>
        <w:gridCol w:w="2140"/>
      </w:tblGrid>
      <w:tr w:rsidR="005253E1" w14:paraId="5760B3A8" w14:textId="77777777">
        <w:trPr>
          <w:trHeight w:val="313"/>
        </w:trPr>
        <w:tc>
          <w:tcPr>
            <w:tcW w:w="674" w:type="pct"/>
            <w:vMerge w:val="restart"/>
            <w:tcBorders>
              <w:top w:val="single" w:sz="12" w:space="0" w:color="000000"/>
              <w:left w:val="nil"/>
              <w:bottom w:val="single" w:sz="12" w:space="0" w:color="000000"/>
              <w:right w:val="nil"/>
            </w:tcBorders>
            <w:noWrap/>
            <w:vAlign w:val="center"/>
          </w:tcPr>
          <w:p w14:paraId="7BF5FD68" w14:textId="77777777" w:rsidR="005253E1" w:rsidRDefault="00000000">
            <w:pPr>
              <w:jc w:val="center"/>
              <w:rPr>
                <w:rFonts w:eastAsia="SimSun"/>
                <w:b/>
                <w:bCs/>
                <w:sz w:val="20"/>
                <w:szCs w:val="20"/>
              </w:rPr>
            </w:pPr>
            <w:r>
              <w:rPr>
                <w:rFonts w:eastAsia="SimSun"/>
                <w:b/>
                <w:bCs/>
                <w:sz w:val="20"/>
                <w:szCs w:val="20"/>
                <w:lang w:eastAsia="zh-CN"/>
              </w:rPr>
              <w:t>Variable</w:t>
            </w:r>
          </w:p>
        </w:tc>
        <w:tc>
          <w:tcPr>
            <w:tcW w:w="2162" w:type="pct"/>
            <w:gridSpan w:val="2"/>
            <w:tcBorders>
              <w:top w:val="single" w:sz="12" w:space="0" w:color="000000"/>
              <w:left w:val="nil"/>
              <w:bottom w:val="nil"/>
              <w:right w:val="nil"/>
            </w:tcBorders>
            <w:noWrap/>
            <w:vAlign w:val="center"/>
          </w:tcPr>
          <w:p w14:paraId="270769B5" w14:textId="77777777" w:rsidR="005253E1" w:rsidRDefault="00000000">
            <w:pPr>
              <w:jc w:val="center"/>
              <w:rPr>
                <w:rFonts w:eastAsia="SimSun"/>
                <w:b/>
                <w:bCs/>
                <w:sz w:val="20"/>
                <w:szCs w:val="20"/>
                <w:lang w:eastAsia="zh-CN"/>
              </w:rPr>
            </w:pPr>
            <w:r>
              <w:rPr>
                <w:rFonts w:eastAsia="SimSun" w:hint="eastAsia"/>
                <w:b/>
                <w:bCs/>
                <w:sz w:val="20"/>
                <w:szCs w:val="20"/>
                <w:lang w:eastAsia="zh-CN"/>
              </w:rPr>
              <w:t>OFDI</w:t>
            </w:r>
          </w:p>
        </w:tc>
        <w:tc>
          <w:tcPr>
            <w:tcW w:w="2162" w:type="pct"/>
            <w:gridSpan w:val="2"/>
            <w:tcBorders>
              <w:top w:val="single" w:sz="12" w:space="0" w:color="000000"/>
              <w:left w:val="nil"/>
              <w:bottom w:val="nil"/>
              <w:right w:val="nil"/>
            </w:tcBorders>
            <w:noWrap/>
            <w:vAlign w:val="center"/>
          </w:tcPr>
          <w:p w14:paraId="626F0005" w14:textId="77777777" w:rsidR="005253E1" w:rsidRDefault="00000000">
            <w:pPr>
              <w:jc w:val="center"/>
              <w:rPr>
                <w:rFonts w:eastAsia="SimSun"/>
                <w:b/>
                <w:bCs/>
                <w:sz w:val="20"/>
                <w:szCs w:val="20"/>
                <w:lang w:eastAsia="zh-CN"/>
              </w:rPr>
            </w:pPr>
            <w:r>
              <w:rPr>
                <w:rFonts w:eastAsia="SimSun" w:hint="eastAsia"/>
                <w:b/>
                <w:bCs/>
                <w:sz w:val="20"/>
                <w:szCs w:val="20"/>
                <w:lang w:eastAsia="zh-CN"/>
              </w:rPr>
              <w:t>OFDI_F</w:t>
            </w:r>
          </w:p>
        </w:tc>
      </w:tr>
      <w:tr w:rsidR="005253E1" w14:paraId="3A830AC0" w14:textId="77777777">
        <w:trPr>
          <w:trHeight w:val="313"/>
        </w:trPr>
        <w:tc>
          <w:tcPr>
            <w:tcW w:w="674" w:type="pct"/>
            <w:vMerge/>
            <w:tcBorders>
              <w:top w:val="single" w:sz="12" w:space="0" w:color="000000"/>
              <w:left w:val="nil"/>
              <w:bottom w:val="single" w:sz="12" w:space="0" w:color="000000"/>
              <w:right w:val="nil"/>
            </w:tcBorders>
            <w:noWrap/>
            <w:vAlign w:val="center"/>
          </w:tcPr>
          <w:p w14:paraId="33D906D4" w14:textId="77777777" w:rsidR="005253E1" w:rsidRDefault="005253E1">
            <w:pPr>
              <w:jc w:val="center"/>
              <w:rPr>
                <w:rFonts w:eastAsia="SimSun"/>
                <w:b/>
                <w:bCs/>
                <w:sz w:val="20"/>
                <w:szCs w:val="20"/>
              </w:rPr>
            </w:pPr>
          </w:p>
        </w:tc>
        <w:tc>
          <w:tcPr>
            <w:tcW w:w="1005" w:type="pct"/>
            <w:tcBorders>
              <w:top w:val="nil"/>
              <w:left w:val="nil"/>
              <w:bottom w:val="single" w:sz="12" w:space="0" w:color="000000"/>
              <w:right w:val="nil"/>
            </w:tcBorders>
            <w:noWrap/>
            <w:vAlign w:val="center"/>
          </w:tcPr>
          <w:p w14:paraId="27E7C1D8" w14:textId="77777777" w:rsidR="005253E1" w:rsidRDefault="00000000">
            <w:pPr>
              <w:jc w:val="center"/>
              <w:rPr>
                <w:rFonts w:eastAsia="SimSun"/>
                <w:b/>
                <w:bCs/>
                <w:sz w:val="20"/>
                <w:szCs w:val="20"/>
                <w:lang w:eastAsia="zh-CN"/>
              </w:rPr>
            </w:pPr>
            <w:r>
              <w:rPr>
                <w:rFonts w:eastAsia="SimSun" w:hint="eastAsia"/>
                <w:b/>
                <w:bCs/>
                <w:sz w:val="20"/>
                <w:szCs w:val="20"/>
                <w:lang w:eastAsia="zh-CN"/>
              </w:rPr>
              <w:t>(1) State-Owned Enterprises</w:t>
            </w:r>
            <w:r>
              <w:rPr>
                <w:rFonts w:eastAsia="SimSun" w:hint="eastAsia"/>
                <w:b/>
                <w:bCs/>
                <w:sz w:val="20"/>
                <w:szCs w:val="20"/>
                <w:lang w:eastAsia="zh-CN"/>
              </w:rPr>
              <w:tab/>
            </w:r>
          </w:p>
        </w:tc>
        <w:tc>
          <w:tcPr>
            <w:tcW w:w="1157" w:type="pct"/>
            <w:tcBorders>
              <w:top w:val="nil"/>
              <w:left w:val="nil"/>
              <w:bottom w:val="single" w:sz="12" w:space="0" w:color="000000"/>
              <w:right w:val="nil"/>
            </w:tcBorders>
            <w:noWrap/>
            <w:vAlign w:val="center"/>
          </w:tcPr>
          <w:p w14:paraId="0104323F" w14:textId="77777777" w:rsidR="005253E1" w:rsidRDefault="00000000">
            <w:pPr>
              <w:jc w:val="center"/>
              <w:rPr>
                <w:rFonts w:eastAsia="SimSun"/>
                <w:b/>
                <w:bCs/>
                <w:sz w:val="20"/>
                <w:szCs w:val="20"/>
                <w:lang w:eastAsia="zh-CN"/>
              </w:rPr>
            </w:pPr>
            <w:r>
              <w:rPr>
                <w:rFonts w:eastAsia="SimSun" w:hint="eastAsia"/>
                <w:b/>
                <w:bCs/>
                <w:sz w:val="20"/>
                <w:szCs w:val="20"/>
                <w:lang w:eastAsia="zh-CN"/>
              </w:rPr>
              <w:t>(2) Non-State-Owned Enterprises</w:t>
            </w:r>
          </w:p>
        </w:tc>
        <w:tc>
          <w:tcPr>
            <w:tcW w:w="1005" w:type="pct"/>
            <w:tcBorders>
              <w:top w:val="nil"/>
              <w:left w:val="nil"/>
              <w:bottom w:val="single" w:sz="12" w:space="0" w:color="000000"/>
              <w:right w:val="nil"/>
            </w:tcBorders>
            <w:noWrap/>
            <w:vAlign w:val="center"/>
          </w:tcPr>
          <w:p w14:paraId="190845E6" w14:textId="77777777" w:rsidR="005253E1" w:rsidRDefault="00000000">
            <w:pPr>
              <w:jc w:val="center"/>
              <w:rPr>
                <w:rFonts w:eastAsia="SimSun"/>
                <w:b/>
                <w:bCs/>
                <w:sz w:val="20"/>
                <w:szCs w:val="20"/>
                <w:lang w:eastAsia="zh-CN"/>
              </w:rPr>
            </w:pPr>
            <w:r>
              <w:rPr>
                <w:rFonts w:eastAsia="SimSun" w:hint="eastAsia"/>
                <w:b/>
                <w:bCs/>
                <w:sz w:val="20"/>
                <w:szCs w:val="20"/>
                <w:lang w:eastAsia="zh-CN"/>
              </w:rPr>
              <w:t>(3) State-Owned Enterprises</w:t>
            </w:r>
            <w:r>
              <w:rPr>
                <w:rFonts w:eastAsia="SimSun" w:hint="eastAsia"/>
                <w:b/>
                <w:bCs/>
                <w:sz w:val="20"/>
                <w:szCs w:val="20"/>
                <w:lang w:eastAsia="zh-CN"/>
              </w:rPr>
              <w:tab/>
            </w:r>
          </w:p>
        </w:tc>
        <w:tc>
          <w:tcPr>
            <w:tcW w:w="1157" w:type="pct"/>
            <w:tcBorders>
              <w:top w:val="nil"/>
              <w:left w:val="nil"/>
              <w:bottom w:val="single" w:sz="12" w:space="0" w:color="000000"/>
              <w:right w:val="nil"/>
            </w:tcBorders>
            <w:noWrap/>
            <w:vAlign w:val="center"/>
          </w:tcPr>
          <w:p w14:paraId="6D6E4612" w14:textId="77777777" w:rsidR="005253E1" w:rsidRDefault="00000000">
            <w:pPr>
              <w:jc w:val="center"/>
              <w:rPr>
                <w:rFonts w:eastAsia="SimSun"/>
                <w:b/>
                <w:bCs/>
                <w:sz w:val="20"/>
                <w:szCs w:val="20"/>
                <w:lang w:eastAsia="zh-CN"/>
              </w:rPr>
            </w:pPr>
            <w:r>
              <w:rPr>
                <w:rFonts w:eastAsia="SimSun" w:hint="eastAsia"/>
                <w:b/>
                <w:bCs/>
                <w:sz w:val="20"/>
                <w:szCs w:val="20"/>
                <w:lang w:eastAsia="zh-CN"/>
              </w:rPr>
              <w:t>(4) Non-State-Owned Enterprises</w:t>
            </w:r>
          </w:p>
        </w:tc>
      </w:tr>
      <w:tr w:rsidR="005253E1" w14:paraId="5FDA7C93" w14:textId="77777777">
        <w:trPr>
          <w:trHeight w:val="313"/>
        </w:trPr>
        <w:tc>
          <w:tcPr>
            <w:tcW w:w="674" w:type="pct"/>
            <w:vMerge w:val="restart"/>
            <w:tcBorders>
              <w:top w:val="nil"/>
              <w:left w:val="nil"/>
              <w:bottom w:val="nil"/>
              <w:right w:val="nil"/>
            </w:tcBorders>
            <w:noWrap/>
            <w:vAlign w:val="center"/>
          </w:tcPr>
          <w:p w14:paraId="504040B0" w14:textId="77777777" w:rsidR="005253E1" w:rsidRDefault="00000000">
            <w:pPr>
              <w:jc w:val="center"/>
              <w:rPr>
                <w:lang w:eastAsia="zh-CN"/>
              </w:rPr>
            </w:pPr>
            <w:r>
              <w:rPr>
                <w:lang w:eastAsia="zh-CN"/>
              </w:rPr>
              <w:t>ESG</w:t>
            </w:r>
          </w:p>
        </w:tc>
        <w:tc>
          <w:tcPr>
            <w:tcW w:w="1005" w:type="pct"/>
            <w:tcBorders>
              <w:top w:val="nil"/>
              <w:left w:val="nil"/>
              <w:bottom w:val="nil"/>
              <w:right w:val="nil"/>
            </w:tcBorders>
            <w:noWrap/>
            <w:vAlign w:val="center"/>
          </w:tcPr>
          <w:p w14:paraId="4BFE9114" w14:textId="77777777" w:rsidR="005253E1" w:rsidRDefault="00000000">
            <w:pPr>
              <w:jc w:val="center"/>
              <w:rPr>
                <w:lang w:eastAsia="zh-CN"/>
              </w:rPr>
            </w:pPr>
            <w:r>
              <w:rPr>
                <w:rFonts w:hint="eastAsia"/>
                <w:lang w:eastAsia="zh-CN"/>
              </w:rPr>
              <w:t>-0.460</w:t>
            </w:r>
          </w:p>
        </w:tc>
        <w:tc>
          <w:tcPr>
            <w:tcW w:w="1157" w:type="pct"/>
            <w:tcBorders>
              <w:top w:val="nil"/>
              <w:left w:val="nil"/>
              <w:bottom w:val="nil"/>
              <w:right w:val="nil"/>
            </w:tcBorders>
            <w:noWrap/>
            <w:vAlign w:val="center"/>
          </w:tcPr>
          <w:p w14:paraId="001090C0" w14:textId="77777777" w:rsidR="005253E1" w:rsidRDefault="00000000">
            <w:pPr>
              <w:jc w:val="center"/>
              <w:rPr>
                <w:lang w:eastAsia="zh-CN"/>
              </w:rPr>
            </w:pPr>
            <w:r>
              <w:rPr>
                <w:rFonts w:hint="eastAsia"/>
                <w:lang w:eastAsia="zh-CN"/>
              </w:rPr>
              <w:t>7.630</w:t>
            </w:r>
            <w:r>
              <w:rPr>
                <w:lang w:eastAsia="zh-CN"/>
              </w:rPr>
              <w:t>***</w:t>
            </w:r>
          </w:p>
        </w:tc>
        <w:tc>
          <w:tcPr>
            <w:tcW w:w="1005" w:type="pct"/>
            <w:tcBorders>
              <w:top w:val="nil"/>
              <w:left w:val="nil"/>
              <w:bottom w:val="nil"/>
              <w:right w:val="nil"/>
            </w:tcBorders>
            <w:shd w:val="clear" w:color="auto" w:fill="FFFFFF"/>
            <w:noWrap/>
            <w:vAlign w:val="center"/>
          </w:tcPr>
          <w:p w14:paraId="168DB91E" w14:textId="77777777" w:rsidR="005253E1" w:rsidRDefault="00000000">
            <w:pPr>
              <w:jc w:val="center"/>
              <w:rPr>
                <w:lang w:eastAsia="zh-CN"/>
              </w:rPr>
            </w:pPr>
            <w:r>
              <w:rPr>
                <w:rFonts w:hint="eastAsia"/>
                <w:lang w:eastAsia="zh-CN"/>
              </w:rPr>
              <w:t>0.332</w:t>
            </w:r>
          </w:p>
        </w:tc>
        <w:tc>
          <w:tcPr>
            <w:tcW w:w="1157" w:type="pct"/>
            <w:tcBorders>
              <w:top w:val="nil"/>
              <w:left w:val="nil"/>
              <w:bottom w:val="nil"/>
              <w:right w:val="nil"/>
            </w:tcBorders>
            <w:shd w:val="clear" w:color="auto" w:fill="FFFFFF"/>
            <w:noWrap/>
            <w:vAlign w:val="center"/>
          </w:tcPr>
          <w:p w14:paraId="5603838C" w14:textId="77777777" w:rsidR="005253E1" w:rsidRDefault="00000000">
            <w:pPr>
              <w:jc w:val="center"/>
              <w:rPr>
                <w:lang w:eastAsia="zh-CN"/>
              </w:rPr>
            </w:pPr>
            <w:r>
              <w:rPr>
                <w:rFonts w:hint="eastAsia"/>
                <w:lang w:eastAsia="zh-CN"/>
              </w:rPr>
              <w:t>0.793</w:t>
            </w:r>
            <w:r>
              <w:rPr>
                <w:lang w:eastAsia="zh-CN"/>
              </w:rPr>
              <w:t>**</w:t>
            </w:r>
          </w:p>
        </w:tc>
      </w:tr>
      <w:tr w:rsidR="005253E1" w14:paraId="11935EAA" w14:textId="77777777">
        <w:trPr>
          <w:trHeight w:val="236"/>
        </w:trPr>
        <w:tc>
          <w:tcPr>
            <w:tcW w:w="674" w:type="pct"/>
            <w:vMerge/>
            <w:tcBorders>
              <w:top w:val="nil"/>
              <w:left w:val="nil"/>
              <w:bottom w:val="nil"/>
              <w:right w:val="nil"/>
            </w:tcBorders>
            <w:noWrap/>
            <w:vAlign w:val="center"/>
          </w:tcPr>
          <w:p w14:paraId="5BE9FE8C" w14:textId="77777777" w:rsidR="005253E1" w:rsidRDefault="005253E1">
            <w:pPr>
              <w:jc w:val="center"/>
              <w:rPr>
                <w:lang w:eastAsia="zh-CN"/>
              </w:rPr>
            </w:pPr>
          </w:p>
        </w:tc>
        <w:tc>
          <w:tcPr>
            <w:tcW w:w="1005" w:type="pct"/>
            <w:tcBorders>
              <w:top w:val="nil"/>
              <w:left w:val="nil"/>
              <w:bottom w:val="nil"/>
              <w:right w:val="nil"/>
            </w:tcBorders>
            <w:noWrap/>
            <w:vAlign w:val="center"/>
          </w:tcPr>
          <w:p w14:paraId="3AD73752" w14:textId="77777777" w:rsidR="005253E1" w:rsidRDefault="00000000">
            <w:pPr>
              <w:jc w:val="center"/>
              <w:rPr>
                <w:lang w:eastAsia="zh-CN"/>
              </w:rPr>
            </w:pPr>
            <w:r>
              <w:rPr>
                <w:rFonts w:hint="eastAsia"/>
                <w:lang w:eastAsia="zh-CN"/>
              </w:rPr>
              <w:t>(1.447)</w:t>
            </w:r>
          </w:p>
        </w:tc>
        <w:tc>
          <w:tcPr>
            <w:tcW w:w="1157" w:type="pct"/>
            <w:tcBorders>
              <w:top w:val="nil"/>
              <w:left w:val="nil"/>
              <w:bottom w:val="nil"/>
              <w:right w:val="nil"/>
            </w:tcBorders>
            <w:noWrap/>
            <w:vAlign w:val="center"/>
          </w:tcPr>
          <w:p w14:paraId="6D72254B" w14:textId="77777777" w:rsidR="005253E1" w:rsidRDefault="00000000">
            <w:pPr>
              <w:jc w:val="center"/>
              <w:rPr>
                <w:lang w:eastAsia="zh-CN"/>
              </w:rPr>
            </w:pPr>
            <w:r>
              <w:rPr>
                <w:rFonts w:hint="eastAsia"/>
                <w:lang w:eastAsia="zh-CN"/>
              </w:rPr>
              <w:t>（2.139）</w:t>
            </w:r>
          </w:p>
        </w:tc>
        <w:tc>
          <w:tcPr>
            <w:tcW w:w="1005" w:type="pct"/>
            <w:tcBorders>
              <w:top w:val="nil"/>
              <w:left w:val="nil"/>
              <w:bottom w:val="nil"/>
              <w:right w:val="nil"/>
            </w:tcBorders>
            <w:noWrap/>
            <w:vAlign w:val="center"/>
          </w:tcPr>
          <w:p w14:paraId="4F0DACA6" w14:textId="77777777" w:rsidR="005253E1" w:rsidRDefault="00000000">
            <w:pPr>
              <w:jc w:val="center"/>
              <w:rPr>
                <w:lang w:eastAsia="zh-CN"/>
              </w:rPr>
            </w:pPr>
            <w:r>
              <w:rPr>
                <w:rFonts w:hint="eastAsia"/>
                <w:lang w:eastAsia="zh-CN"/>
              </w:rPr>
              <w:t>（0.258）</w:t>
            </w:r>
          </w:p>
        </w:tc>
        <w:tc>
          <w:tcPr>
            <w:tcW w:w="1157" w:type="pct"/>
            <w:tcBorders>
              <w:top w:val="nil"/>
              <w:left w:val="nil"/>
              <w:bottom w:val="nil"/>
              <w:right w:val="nil"/>
            </w:tcBorders>
            <w:noWrap/>
            <w:vAlign w:val="center"/>
          </w:tcPr>
          <w:p w14:paraId="5AA546A0" w14:textId="77777777" w:rsidR="005253E1" w:rsidRDefault="00000000">
            <w:pPr>
              <w:jc w:val="center"/>
              <w:rPr>
                <w:lang w:eastAsia="zh-CN"/>
              </w:rPr>
            </w:pPr>
            <w:r>
              <w:rPr>
                <w:rFonts w:hint="eastAsia"/>
                <w:lang w:eastAsia="zh-CN"/>
              </w:rPr>
              <w:t>（0.364）</w:t>
            </w:r>
          </w:p>
        </w:tc>
      </w:tr>
      <w:tr w:rsidR="005253E1" w14:paraId="462BA486" w14:textId="77777777">
        <w:trPr>
          <w:trHeight w:val="244"/>
        </w:trPr>
        <w:tc>
          <w:tcPr>
            <w:tcW w:w="674" w:type="pct"/>
            <w:tcBorders>
              <w:top w:val="nil"/>
              <w:left w:val="nil"/>
              <w:bottom w:val="nil"/>
              <w:right w:val="nil"/>
            </w:tcBorders>
            <w:noWrap/>
            <w:vAlign w:val="center"/>
          </w:tcPr>
          <w:p w14:paraId="5DA360DE" w14:textId="77777777" w:rsidR="005253E1" w:rsidRDefault="00000000">
            <w:pPr>
              <w:jc w:val="center"/>
              <w:rPr>
                <w:lang w:eastAsia="zh-CN"/>
              </w:rPr>
            </w:pPr>
            <w:r>
              <w:rPr>
                <w:rFonts w:hint="eastAsia"/>
              </w:rPr>
              <w:t>Control Variables</w:t>
            </w:r>
          </w:p>
        </w:tc>
        <w:tc>
          <w:tcPr>
            <w:tcW w:w="1005" w:type="pct"/>
            <w:tcBorders>
              <w:top w:val="nil"/>
              <w:left w:val="nil"/>
              <w:bottom w:val="nil"/>
              <w:right w:val="nil"/>
            </w:tcBorders>
            <w:noWrap/>
            <w:vAlign w:val="center"/>
          </w:tcPr>
          <w:p w14:paraId="5FC81EEE"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1B577B16"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0619C0AE"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250183D7" w14:textId="77777777" w:rsidR="005253E1" w:rsidRDefault="00000000">
            <w:pPr>
              <w:jc w:val="center"/>
              <w:rPr>
                <w:lang w:eastAsia="zh-CN"/>
              </w:rPr>
            </w:pPr>
            <w:r>
              <w:rPr>
                <w:lang w:eastAsia="zh-CN"/>
              </w:rPr>
              <w:t>Yes</w:t>
            </w:r>
          </w:p>
        </w:tc>
      </w:tr>
      <w:tr w:rsidR="005253E1" w14:paraId="3F4CDEC4" w14:textId="77777777">
        <w:trPr>
          <w:trHeight w:val="244"/>
        </w:trPr>
        <w:tc>
          <w:tcPr>
            <w:tcW w:w="674" w:type="pct"/>
            <w:tcBorders>
              <w:top w:val="nil"/>
              <w:left w:val="nil"/>
              <w:bottom w:val="nil"/>
              <w:right w:val="nil"/>
            </w:tcBorders>
            <w:noWrap/>
            <w:vAlign w:val="center"/>
          </w:tcPr>
          <w:p w14:paraId="13538538" w14:textId="77777777" w:rsidR="005253E1" w:rsidRDefault="00000000">
            <w:pPr>
              <w:jc w:val="center"/>
              <w:rPr>
                <w:lang w:eastAsia="zh-CN"/>
              </w:rPr>
            </w:pPr>
            <w:r>
              <w:rPr>
                <w:lang w:eastAsia="zh-CN"/>
              </w:rPr>
              <w:t>Individual FE</w:t>
            </w:r>
          </w:p>
        </w:tc>
        <w:tc>
          <w:tcPr>
            <w:tcW w:w="1005" w:type="pct"/>
            <w:tcBorders>
              <w:top w:val="nil"/>
              <w:left w:val="nil"/>
              <w:bottom w:val="nil"/>
              <w:right w:val="nil"/>
            </w:tcBorders>
            <w:noWrap/>
            <w:vAlign w:val="center"/>
          </w:tcPr>
          <w:p w14:paraId="062A7556"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25E41C5E"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3B20F77F"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7AC3A98F" w14:textId="77777777" w:rsidR="005253E1" w:rsidRDefault="00000000">
            <w:pPr>
              <w:jc w:val="center"/>
              <w:rPr>
                <w:lang w:eastAsia="zh-CN"/>
              </w:rPr>
            </w:pPr>
            <w:r>
              <w:rPr>
                <w:lang w:eastAsia="zh-CN"/>
              </w:rPr>
              <w:t>Yes</w:t>
            </w:r>
          </w:p>
        </w:tc>
      </w:tr>
      <w:tr w:rsidR="005253E1" w14:paraId="61F4313D" w14:textId="77777777">
        <w:trPr>
          <w:trHeight w:val="244"/>
        </w:trPr>
        <w:tc>
          <w:tcPr>
            <w:tcW w:w="674" w:type="pct"/>
            <w:tcBorders>
              <w:top w:val="nil"/>
              <w:left w:val="nil"/>
              <w:bottom w:val="nil"/>
              <w:right w:val="nil"/>
            </w:tcBorders>
            <w:noWrap/>
            <w:vAlign w:val="center"/>
          </w:tcPr>
          <w:p w14:paraId="030ADCF3" w14:textId="77777777" w:rsidR="005253E1" w:rsidRDefault="00000000">
            <w:pPr>
              <w:jc w:val="center"/>
              <w:rPr>
                <w:rFonts w:eastAsia="SimSun"/>
                <w:sz w:val="20"/>
                <w:szCs w:val="20"/>
                <w:lang w:eastAsia="zh-CN"/>
              </w:rPr>
            </w:pPr>
            <w:r>
              <w:rPr>
                <w:rFonts w:eastAsia="SimSun"/>
                <w:sz w:val="20"/>
                <w:szCs w:val="20"/>
                <w:lang w:eastAsia="zh-CN"/>
              </w:rPr>
              <w:t>Year FE</w:t>
            </w:r>
          </w:p>
        </w:tc>
        <w:tc>
          <w:tcPr>
            <w:tcW w:w="1005" w:type="pct"/>
            <w:tcBorders>
              <w:top w:val="nil"/>
              <w:left w:val="nil"/>
              <w:bottom w:val="nil"/>
              <w:right w:val="nil"/>
            </w:tcBorders>
            <w:noWrap/>
            <w:vAlign w:val="center"/>
          </w:tcPr>
          <w:p w14:paraId="52CAFE4A" w14:textId="77777777" w:rsidR="005253E1" w:rsidRDefault="00000000">
            <w:pPr>
              <w:jc w:val="center"/>
              <w:rPr>
                <w:rFonts w:eastAsia="SimSun"/>
                <w:sz w:val="20"/>
                <w:szCs w:val="20"/>
                <w:lang w:eastAsia="zh-CN"/>
              </w:rPr>
            </w:pPr>
            <w:r>
              <w:rPr>
                <w:rFonts w:eastAsia="SimSun"/>
                <w:sz w:val="20"/>
                <w:szCs w:val="20"/>
                <w:lang w:eastAsia="zh-CN"/>
              </w:rPr>
              <w:t>Yes</w:t>
            </w:r>
          </w:p>
        </w:tc>
        <w:tc>
          <w:tcPr>
            <w:tcW w:w="1157" w:type="pct"/>
            <w:tcBorders>
              <w:top w:val="nil"/>
              <w:left w:val="nil"/>
              <w:bottom w:val="nil"/>
              <w:right w:val="nil"/>
            </w:tcBorders>
            <w:noWrap/>
            <w:vAlign w:val="center"/>
          </w:tcPr>
          <w:p w14:paraId="508A3693" w14:textId="77777777" w:rsidR="005253E1" w:rsidRDefault="00000000">
            <w:pPr>
              <w:jc w:val="center"/>
              <w:rPr>
                <w:rFonts w:eastAsia="SimSun"/>
                <w:b/>
                <w:bCs/>
                <w:sz w:val="20"/>
                <w:szCs w:val="20"/>
                <w:lang w:eastAsia="zh-CN"/>
              </w:rPr>
            </w:pPr>
            <w:r>
              <w:rPr>
                <w:rFonts w:eastAsia="SimSun"/>
                <w:sz w:val="20"/>
                <w:szCs w:val="20"/>
                <w:lang w:eastAsia="zh-CN"/>
              </w:rPr>
              <w:t>Yes</w:t>
            </w:r>
          </w:p>
        </w:tc>
        <w:tc>
          <w:tcPr>
            <w:tcW w:w="1005" w:type="pct"/>
            <w:tcBorders>
              <w:top w:val="nil"/>
              <w:left w:val="nil"/>
              <w:bottom w:val="nil"/>
              <w:right w:val="nil"/>
            </w:tcBorders>
            <w:noWrap/>
            <w:vAlign w:val="center"/>
          </w:tcPr>
          <w:p w14:paraId="615C8024" w14:textId="77777777" w:rsidR="005253E1" w:rsidRDefault="00000000">
            <w:pPr>
              <w:jc w:val="center"/>
              <w:rPr>
                <w:rFonts w:eastAsia="SimSun"/>
                <w:sz w:val="20"/>
                <w:szCs w:val="20"/>
                <w:lang w:eastAsia="zh-CN"/>
              </w:rPr>
            </w:pPr>
            <w:r>
              <w:rPr>
                <w:lang w:eastAsia="zh-CN"/>
              </w:rPr>
              <w:t>Yes</w:t>
            </w:r>
          </w:p>
        </w:tc>
        <w:tc>
          <w:tcPr>
            <w:tcW w:w="1157" w:type="pct"/>
            <w:tcBorders>
              <w:top w:val="nil"/>
              <w:left w:val="nil"/>
              <w:bottom w:val="nil"/>
              <w:right w:val="nil"/>
            </w:tcBorders>
            <w:noWrap/>
            <w:vAlign w:val="center"/>
          </w:tcPr>
          <w:p w14:paraId="34ACBDA5" w14:textId="77777777" w:rsidR="005253E1" w:rsidRDefault="00000000">
            <w:pPr>
              <w:jc w:val="center"/>
              <w:rPr>
                <w:rFonts w:eastAsia="SimSun"/>
                <w:sz w:val="20"/>
                <w:szCs w:val="20"/>
                <w:lang w:eastAsia="zh-CN"/>
              </w:rPr>
            </w:pPr>
            <w:r>
              <w:rPr>
                <w:lang w:eastAsia="zh-CN"/>
              </w:rPr>
              <w:t>Yes</w:t>
            </w:r>
          </w:p>
        </w:tc>
      </w:tr>
      <w:tr w:rsidR="005253E1" w14:paraId="090E9A16" w14:textId="77777777">
        <w:trPr>
          <w:trHeight w:val="244"/>
        </w:trPr>
        <w:tc>
          <w:tcPr>
            <w:tcW w:w="674" w:type="pct"/>
            <w:tcBorders>
              <w:top w:val="nil"/>
              <w:left w:val="nil"/>
              <w:bottom w:val="nil"/>
              <w:right w:val="nil"/>
            </w:tcBorders>
            <w:noWrap/>
            <w:vAlign w:val="center"/>
          </w:tcPr>
          <w:p w14:paraId="7011EA3E" w14:textId="77777777" w:rsidR="005253E1" w:rsidRDefault="00000000">
            <w:pPr>
              <w:jc w:val="center"/>
              <w:rPr>
                <w:rFonts w:eastAsia="SimSun"/>
                <w:sz w:val="20"/>
                <w:szCs w:val="20"/>
                <w:lang w:eastAsia="zh-CN"/>
              </w:rPr>
            </w:pPr>
            <w:r>
              <w:rPr>
                <w:rFonts w:eastAsia="SimSun"/>
                <w:sz w:val="20"/>
                <w:szCs w:val="20"/>
                <w:lang w:eastAsia="zh-CN"/>
              </w:rPr>
              <w:t>Observations</w:t>
            </w:r>
          </w:p>
        </w:tc>
        <w:tc>
          <w:tcPr>
            <w:tcW w:w="1926" w:type="dxa"/>
            <w:tcBorders>
              <w:top w:val="nil"/>
              <w:left w:val="nil"/>
              <w:bottom w:val="nil"/>
              <w:right w:val="nil"/>
            </w:tcBorders>
            <w:noWrap/>
            <w:vAlign w:val="center"/>
          </w:tcPr>
          <w:p w14:paraId="7A543ABD" w14:textId="77777777" w:rsidR="005253E1" w:rsidRDefault="00000000">
            <w:pPr>
              <w:jc w:val="center"/>
              <w:rPr>
                <w:rFonts w:eastAsia="SimSun"/>
                <w:sz w:val="20"/>
                <w:szCs w:val="20"/>
                <w:lang w:eastAsia="zh-CN"/>
              </w:rPr>
            </w:pPr>
            <w:r>
              <w:rPr>
                <w:rFonts w:eastAsia="SimSun" w:hint="eastAsia"/>
                <w:sz w:val="20"/>
                <w:szCs w:val="20"/>
                <w:lang w:eastAsia="zh-CN"/>
              </w:rPr>
              <w:t>6076</w:t>
            </w:r>
          </w:p>
        </w:tc>
        <w:tc>
          <w:tcPr>
            <w:tcW w:w="2216" w:type="dxa"/>
            <w:tcBorders>
              <w:top w:val="nil"/>
              <w:left w:val="nil"/>
              <w:bottom w:val="nil"/>
              <w:right w:val="nil"/>
            </w:tcBorders>
            <w:noWrap/>
            <w:vAlign w:val="center"/>
          </w:tcPr>
          <w:p w14:paraId="0C5E6C5C" w14:textId="77777777" w:rsidR="005253E1" w:rsidRDefault="00000000">
            <w:pPr>
              <w:jc w:val="center"/>
              <w:rPr>
                <w:rFonts w:eastAsia="SimSun"/>
                <w:sz w:val="20"/>
                <w:szCs w:val="20"/>
                <w:lang w:eastAsia="zh-CN"/>
              </w:rPr>
            </w:pPr>
            <w:r>
              <w:rPr>
                <w:rFonts w:eastAsia="SimSun" w:hint="eastAsia"/>
                <w:sz w:val="20"/>
                <w:szCs w:val="20"/>
                <w:lang w:eastAsia="zh-CN"/>
              </w:rPr>
              <w:t>4433</w:t>
            </w:r>
          </w:p>
        </w:tc>
        <w:tc>
          <w:tcPr>
            <w:tcW w:w="1926" w:type="dxa"/>
            <w:tcBorders>
              <w:top w:val="nil"/>
              <w:left w:val="nil"/>
              <w:bottom w:val="nil"/>
              <w:right w:val="nil"/>
            </w:tcBorders>
            <w:noWrap/>
            <w:vAlign w:val="center"/>
          </w:tcPr>
          <w:p w14:paraId="1D6FB71A" w14:textId="77777777" w:rsidR="005253E1" w:rsidRDefault="00000000">
            <w:pPr>
              <w:jc w:val="center"/>
              <w:rPr>
                <w:rFonts w:eastAsia="SimSun"/>
                <w:sz w:val="20"/>
                <w:szCs w:val="20"/>
                <w:lang w:eastAsia="zh-CN"/>
              </w:rPr>
            </w:pPr>
            <w:r>
              <w:rPr>
                <w:rFonts w:eastAsia="SimSun" w:hint="eastAsia"/>
                <w:sz w:val="20"/>
                <w:szCs w:val="20"/>
                <w:lang w:eastAsia="zh-CN"/>
              </w:rPr>
              <w:t>5803</w:t>
            </w:r>
          </w:p>
        </w:tc>
        <w:tc>
          <w:tcPr>
            <w:tcW w:w="2216" w:type="dxa"/>
            <w:tcBorders>
              <w:top w:val="nil"/>
              <w:left w:val="nil"/>
              <w:bottom w:val="nil"/>
              <w:right w:val="nil"/>
            </w:tcBorders>
            <w:noWrap/>
            <w:vAlign w:val="center"/>
          </w:tcPr>
          <w:p w14:paraId="61D02454" w14:textId="77777777" w:rsidR="005253E1" w:rsidRDefault="00000000">
            <w:pPr>
              <w:jc w:val="center"/>
              <w:rPr>
                <w:rFonts w:eastAsia="SimSun"/>
                <w:sz w:val="20"/>
                <w:szCs w:val="20"/>
                <w:lang w:eastAsia="zh-CN"/>
              </w:rPr>
            </w:pPr>
            <w:r>
              <w:rPr>
                <w:rFonts w:eastAsia="SimSun" w:hint="eastAsia"/>
                <w:sz w:val="20"/>
                <w:szCs w:val="20"/>
                <w:lang w:eastAsia="zh-CN"/>
              </w:rPr>
              <w:t>3988</w:t>
            </w:r>
          </w:p>
        </w:tc>
      </w:tr>
      <w:tr w:rsidR="005253E1" w14:paraId="0E9371CD" w14:textId="77777777">
        <w:trPr>
          <w:trHeight w:val="313"/>
        </w:trPr>
        <w:tc>
          <w:tcPr>
            <w:tcW w:w="674" w:type="pct"/>
            <w:tcBorders>
              <w:top w:val="nil"/>
              <w:left w:val="nil"/>
              <w:bottom w:val="single" w:sz="12" w:space="0" w:color="000000"/>
              <w:right w:val="nil"/>
            </w:tcBorders>
            <w:noWrap/>
            <w:vAlign w:val="center"/>
          </w:tcPr>
          <w:p w14:paraId="103A033B" w14:textId="77777777" w:rsidR="005253E1" w:rsidRDefault="00000000">
            <w:pPr>
              <w:jc w:val="center"/>
              <w:rPr>
                <w:rFonts w:eastAsia="SimSun"/>
                <w:sz w:val="20"/>
                <w:szCs w:val="20"/>
                <w:lang w:eastAsia="zh-CN"/>
              </w:rPr>
            </w:pPr>
            <w:r>
              <w:rPr>
                <w:rFonts w:eastAsia="SimSun"/>
                <w:sz w:val="20"/>
                <w:szCs w:val="20"/>
                <w:lang w:eastAsia="zh-CN"/>
              </w:rPr>
              <w:t>R2</w:t>
            </w:r>
          </w:p>
        </w:tc>
        <w:tc>
          <w:tcPr>
            <w:tcW w:w="1926" w:type="dxa"/>
            <w:tcBorders>
              <w:top w:val="nil"/>
              <w:left w:val="nil"/>
              <w:bottom w:val="single" w:sz="12" w:space="0" w:color="000000"/>
              <w:right w:val="nil"/>
            </w:tcBorders>
            <w:noWrap/>
            <w:vAlign w:val="center"/>
          </w:tcPr>
          <w:p w14:paraId="1C9A9B9E" w14:textId="77777777" w:rsidR="005253E1" w:rsidRDefault="00000000">
            <w:pPr>
              <w:jc w:val="center"/>
              <w:rPr>
                <w:rFonts w:eastAsia="SimSun"/>
                <w:sz w:val="20"/>
                <w:szCs w:val="20"/>
                <w:lang w:eastAsia="zh-CN"/>
              </w:rPr>
            </w:pPr>
            <w:r>
              <w:rPr>
                <w:rFonts w:eastAsia="SimSun" w:hint="eastAsia"/>
                <w:sz w:val="20"/>
                <w:szCs w:val="20"/>
                <w:lang w:eastAsia="zh-CN"/>
              </w:rPr>
              <w:t>0.092</w:t>
            </w:r>
          </w:p>
        </w:tc>
        <w:tc>
          <w:tcPr>
            <w:tcW w:w="2216" w:type="dxa"/>
            <w:tcBorders>
              <w:top w:val="nil"/>
              <w:left w:val="nil"/>
              <w:bottom w:val="single" w:sz="12" w:space="0" w:color="000000"/>
              <w:right w:val="nil"/>
            </w:tcBorders>
            <w:noWrap/>
            <w:vAlign w:val="center"/>
          </w:tcPr>
          <w:p w14:paraId="7250C42D" w14:textId="77777777" w:rsidR="005253E1" w:rsidRDefault="00000000">
            <w:pPr>
              <w:jc w:val="center"/>
              <w:rPr>
                <w:rFonts w:eastAsia="SimSun"/>
                <w:sz w:val="20"/>
                <w:szCs w:val="20"/>
                <w:lang w:eastAsia="zh-CN"/>
              </w:rPr>
            </w:pPr>
            <w:r>
              <w:rPr>
                <w:rFonts w:eastAsia="SimSun" w:hint="eastAsia"/>
                <w:sz w:val="20"/>
                <w:szCs w:val="20"/>
                <w:lang w:eastAsia="zh-CN"/>
              </w:rPr>
              <w:t>0.049</w:t>
            </w:r>
          </w:p>
        </w:tc>
        <w:tc>
          <w:tcPr>
            <w:tcW w:w="1926" w:type="dxa"/>
            <w:tcBorders>
              <w:top w:val="nil"/>
              <w:left w:val="nil"/>
              <w:bottom w:val="single" w:sz="12" w:space="0" w:color="000000"/>
              <w:right w:val="nil"/>
            </w:tcBorders>
            <w:noWrap/>
            <w:vAlign w:val="center"/>
          </w:tcPr>
          <w:p w14:paraId="1F82F300" w14:textId="77777777" w:rsidR="005253E1" w:rsidRDefault="00000000">
            <w:pPr>
              <w:jc w:val="center"/>
              <w:rPr>
                <w:rFonts w:eastAsia="SimSun"/>
                <w:sz w:val="20"/>
                <w:szCs w:val="20"/>
                <w:lang w:eastAsia="zh-CN"/>
              </w:rPr>
            </w:pPr>
            <w:r>
              <w:rPr>
                <w:rFonts w:eastAsia="SimSun" w:hint="eastAsia"/>
                <w:sz w:val="20"/>
                <w:szCs w:val="20"/>
                <w:lang w:eastAsia="zh-CN"/>
              </w:rPr>
              <w:t>0.090</w:t>
            </w:r>
          </w:p>
        </w:tc>
        <w:tc>
          <w:tcPr>
            <w:tcW w:w="2216" w:type="dxa"/>
            <w:tcBorders>
              <w:top w:val="nil"/>
              <w:left w:val="nil"/>
              <w:bottom w:val="single" w:sz="12" w:space="0" w:color="000000"/>
              <w:right w:val="nil"/>
            </w:tcBorders>
            <w:noWrap/>
            <w:vAlign w:val="center"/>
          </w:tcPr>
          <w:p w14:paraId="7DB11C31" w14:textId="77777777" w:rsidR="005253E1" w:rsidRDefault="00000000">
            <w:pPr>
              <w:jc w:val="center"/>
              <w:rPr>
                <w:rFonts w:eastAsia="SimSun"/>
                <w:sz w:val="20"/>
                <w:szCs w:val="20"/>
                <w:lang w:eastAsia="zh-CN"/>
              </w:rPr>
            </w:pPr>
            <w:r>
              <w:rPr>
                <w:rFonts w:eastAsia="SimSun" w:hint="eastAsia"/>
                <w:sz w:val="20"/>
                <w:szCs w:val="20"/>
                <w:lang w:eastAsia="zh-CN"/>
              </w:rPr>
              <w:t>0.046</w:t>
            </w:r>
          </w:p>
        </w:tc>
      </w:tr>
    </w:tbl>
    <w:p w14:paraId="49816B76" w14:textId="77777777" w:rsidR="005253E1" w:rsidRDefault="005253E1">
      <w:pPr>
        <w:pStyle w:val="Body"/>
        <w:widowControl/>
        <w:spacing w:after="0"/>
        <w:rPr>
          <w:b/>
          <w:bCs/>
          <w:sz w:val="18"/>
          <w:szCs w:val="18"/>
          <w:lang w:eastAsia="zh-CN"/>
        </w:rPr>
      </w:pPr>
    </w:p>
    <w:p w14:paraId="05046B3B" w14:textId="77777777" w:rsidR="005253E1" w:rsidRDefault="00000000">
      <w:pPr>
        <w:widowControl/>
        <w:autoSpaceDE w:val="0"/>
        <w:autoSpaceDN w:val="0"/>
        <w:adjustRightInd w:val="0"/>
        <w:jc w:val="both"/>
        <w:rPr>
          <w:b/>
          <w:bCs/>
          <w:sz w:val="18"/>
          <w:szCs w:val="18"/>
          <w:lang w:eastAsia="zh-CN"/>
        </w:rPr>
      </w:pPr>
      <w:r>
        <w:rPr>
          <w:rFonts w:eastAsia="Times New Roman"/>
          <w:b/>
          <w:bCs/>
          <w:sz w:val="20"/>
          <w:lang w:eastAsia="zh-CN"/>
        </w:rPr>
        <w:t xml:space="preserve">Table </w:t>
      </w:r>
      <w:r>
        <w:rPr>
          <w:rFonts w:eastAsia="Times New Roman" w:hint="eastAsia"/>
          <w:b/>
          <w:bCs/>
          <w:sz w:val="20"/>
          <w:lang w:eastAsia="zh-CN"/>
        </w:rPr>
        <w:t>5</w:t>
      </w:r>
      <w:r>
        <w:rPr>
          <w:rFonts w:eastAsia="Times New Roman"/>
          <w:b/>
          <w:bCs/>
          <w:sz w:val="20"/>
          <w:lang w:eastAsia="zh-CN"/>
        </w:rPr>
        <w:t>: Heterogeneity Test Results: High-tech Enterprises</w:t>
      </w:r>
    </w:p>
    <w:tbl>
      <w:tblPr>
        <w:tblW w:w="5000" w:type="pct"/>
        <w:tblLook w:val="04A0" w:firstRow="1" w:lastRow="0" w:firstColumn="1" w:lastColumn="0" w:noHBand="0" w:noVBand="1"/>
      </w:tblPr>
      <w:tblGrid>
        <w:gridCol w:w="1790"/>
        <w:gridCol w:w="1811"/>
        <w:gridCol w:w="2082"/>
        <w:gridCol w:w="1811"/>
        <w:gridCol w:w="2082"/>
      </w:tblGrid>
      <w:tr w:rsidR="005253E1" w14:paraId="7F4E56CE" w14:textId="77777777">
        <w:trPr>
          <w:trHeight w:val="313"/>
        </w:trPr>
        <w:tc>
          <w:tcPr>
            <w:tcW w:w="674" w:type="pct"/>
            <w:vMerge w:val="restart"/>
            <w:tcBorders>
              <w:top w:val="single" w:sz="12" w:space="0" w:color="000000"/>
              <w:left w:val="nil"/>
              <w:bottom w:val="single" w:sz="12" w:space="0" w:color="000000"/>
              <w:right w:val="nil"/>
            </w:tcBorders>
            <w:noWrap/>
            <w:vAlign w:val="center"/>
          </w:tcPr>
          <w:p w14:paraId="1592765A" w14:textId="77777777" w:rsidR="005253E1" w:rsidRDefault="00000000">
            <w:pPr>
              <w:jc w:val="center"/>
              <w:rPr>
                <w:rFonts w:eastAsia="SimSun"/>
                <w:b/>
                <w:bCs/>
                <w:sz w:val="20"/>
                <w:szCs w:val="20"/>
              </w:rPr>
            </w:pPr>
            <w:r>
              <w:rPr>
                <w:rFonts w:eastAsia="SimSun"/>
                <w:b/>
                <w:bCs/>
                <w:sz w:val="20"/>
                <w:szCs w:val="20"/>
                <w:lang w:eastAsia="zh-CN"/>
              </w:rPr>
              <w:t>Variable</w:t>
            </w:r>
          </w:p>
        </w:tc>
        <w:tc>
          <w:tcPr>
            <w:tcW w:w="2162" w:type="pct"/>
            <w:gridSpan w:val="2"/>
            <w:tcBorders>
              <w:top w:val="single" w:sz="12" w:space="0" w:color="000000"/>
              <w:left w:val="nil"/>
              <w:bottom w:val="nil"/>
              <w:right w:val="nil"/>
            </w:tcBorders>
            <w:noWrap/>
            <w:vAlign w:val="center"/>
          </w:tcPr>
          <w:p w14:paraId="2ED30BDA" w14:textId="77777777" w:rsidR="005253E1" w:rsidRDefault="00000000">
            <w:pPr>
              <w:jc w:val="center"/>
              <w:rPr>
                <w:rFonts w:eastAsia="SimSun"/>
                <w:b/>
                <w:bCs/>
                <w:sz w:val="20"/>
                <w:szCs w:val="20"/>
                <w:lang w:eastAsia="zh-CN"/>
              </w:rPr>
            </w:pPr>
            <w:r>
              <w:rPr>
                <w:rFonts w:eastAsia="SimSun" w:hint="eastAsia"/>
                <w:b/>
                <w:bCs/>
                <w:sz w:val="20"/>
                <w:szCs w:val="20"/>
                <w:lang w:eastAsia="zh-CN"/>
              </w:rPr>
              <w:t>OFDI</w:t>
            </w:r>
          </w:p>
        </w:tc>
        <w:tc>
          <w:tcPr>
            <w:tcW w:w="2162" w:type="pct"/>
            <w:gridSpan w:val="2"/>
            <w:tcBorders>
              <w:top w:val="single" w:sz="12" w:space="0" w:color="000000"/>
              <w:left w:val="nil"/>
              <w:bottom w:val="nil"/>
              <w:right w:val="nil"/>
            </w:tcBorders>
            <w:noWrap/>
            <w:vAlign w:val="center"/>
          </w:tcPr>
          <w:p w14:paraId="717A63AA" w14:textId="77777777" w:rsidR="005253E1" w:rsidRDefault="00000000">
            <w:pPr>
              <w:jc w:val="center"/>
              <w:rPr>
                <w:rFonts w:eastAsia="SimSun"/>
                <w:b/>
                <w:bCs/>
                <w:sz w:val="20"/>
                <w:szCs w:val="20"/>
                <w:lang w:eastAsia="zh-CN"/>
              </w:rPr>
            </w:pPr>
            <w:r>
              <w:rPr>
                <w:rFonts w:eastAsia="SimSun" w:hint="eastAsia"/>
                <w:b/>
                <w:bCs/>
                <w:sz w:val="20"/>
                <w:szCs w:val="20"/>
                <w:lang w:eastAsia="zh-CN"/>
              </w:rPr>
              <w:t>OFDI_F</w:t>
            </w:r>
          </w:p>
        </w:tc>
      </w:tr>
      <w:tr w:rsidR="005253E1" w14:paraId="4BC811A3" w14:textId="77777777">
        <w:trPr>
          <w:trHeight w:val="313"/>
        </w:trPr>
        <w:tc>
          <w:tcPr>
            <w:tcW w:w="674" w:type="pct"/>
            <w:vMerge/>
            <w:tcBorders>
              <w:top w:val="single" w:sz="12" w:space="0" w:color="000000"/>
              <w:left w:val="nil"/>
              <w:bottom w:val="single" w:sz="12" w:space="0" w:color="000000"/>
              <w:right w:val="nil"/>
            </w:tcBorders>
            <w:noWrap/>
            <w:vAlign w:val="center"/>
          </w:tcPr>
          <w:p w14:paraId="7B652C52" w14:textId="77777777" w:rsidR="005253E1" w:rsidRDefault="005253E1">
            <w:pPr>
              <w:jc w:val="center"/>
              <w:rPr>
                <w:rFonts w:eastAsia="SimSun"/>
                <w:b/>
                <w:bCs/>
                <w:sz w:val="20"/>
                <w:szCs w:val="20"/>
              </w:rPr>
            </w:pPr>
          </w:p>
        </w:tc>
        <w:tc>
          <w:tcPr>
            <w:tcW w:w="1926" w:type="dxa"/>
            <w:tcBorders>
              <w:top w:val="nil"/>
              <w:left w:val="nil"/>
              <w:bottom w:val="single" w:sz="12" w:space="0" w:color="000000"/>
              <w:right w:val="nil"/>
            </w:tcBorders>
            <w:noWrap/>
            <w:vAlign w:val="center"/>
          </w:tcPr>
          <w:p w14:paraId="73623FFF" w14:textId="77777777" w:rsidR="005253E1" w:rsidRDefault="00000000">
            <w:pPr>
              <w:jc w:val="center"/>
              <w:rPr>
                <w:rFonts w:eastAsia="SimSun"/>
                <w:b/>
                <w:bCs/>
                <w:sz w:val="20"/>
                <w:szCs w:val="20"/>
                <w:lang w:eastAsia="zh-CN"/>
              </w:rPr>
            </w:pPr>
            <w:r>
              <w:rPr>
                <w:rFonts w:eastAsia="SimSun" w:hint="eastAsia"/>
                <w:b/>
                <w:bCs/>
                <w:sz w:val="20"/>
                <w:szCs w:val="20"/>
                <w:lang w:eastAsia="zh-CN"/>
              </w:rPr>
              <w:t>(1) High-tech</w:t>
            </w:r>
          </w:p>
        </w:tc>
        <w:tc>
          <w:tcPr>
            <w:tcW w:w="2216" w:type="dxa"/>
            <w:tcBorders>
              <w:top w:val="nil"/>
              <w:left w:val="nil"/>
              <w:bottom w:val="single" w:sz="12" w:space="0" w:color="000000"/>
              <w:right w:val="nil"/>
            </w:tcBorders>
            <w:noWrap/>
            <w:vAlign w:val="center"/>
          </w:tcPr>
          <w:p w14:paraId="1B3DFD5E" w14:textId="77777777" w:rsidR="005253E1" w:rsidRDefault="00000000">
            <w:pPr>
              <w:jc w:val="center"/>
              <w:rPr>
                <w:rFonts w:eastAsia="SimSun"/>
                <w:b/>
                <w:bCs/>
                <w:sz w:val="20"/>
                <w:szCs w:val="20"/>
                <w:lang w:eastAsia="zh-CN"/>
              </w:rPr>
            </w:pPr>
            <w:r>
              <w:rPr>
                <w:rFonts w:eastAsia="SimSun" w:hint="eastAsia"/>
                <w:b/>
                <w:bCs/>
                <w:sz w:val="20"/>
                <w:szCs w:val="20"/>
                <w:lang w:eastAsia="zh-CN"/>
              </w:rPr>
              <w:t>(2) Non-high-tech</w:t>
            </w:r>
          </w:p>
        </w:tc>
        <w:tc>
          <w:tcPr>
            <w:tcW w:w="1926" w:type="dxa"/>
            <w:tcBorders>
              <w:top w:val="nil"/>
              <w:left w:val="nil"/>
              <w:bottom w:val="single" w:sz="12" w:space="0" w:color="000000"/>
              <w:right w:val="nil"/>
            </w:tcBorders>
            <w:noWrap/>
            <w:vAlign w:val="center"/>
          </w:tcPr>
          <w:p w14:paraId="342DCFFF" w14:textId="77777777" w:rsidR="005253E1" w:rsidRDefault="00000000">
            <w:pPr>
              <w:jc w:val="center"/>
              <w:rPr>
                <w:rFonts w:eastAsia="SimSun"/>
                <w:b/>
                <w:bCs/>
                <w:sz w:val="20"/>
                <w:szCs w:val="20"/>
                <w:lang w:eastAsia="zh-CN"/>
              </w:rPr>
            </w:pPr>
            <w:r>
              <w:rPr>
                <w:rFonts w:eastAsia="SimSun" w:hint="eastAsia"/>
                <w:b/>
                <w:bCs/>
                <w:sz w:val="20"/>
                <w:szCs w:val="20"/>
                <w:lang w:eastAsia="zh-CN"/>
              </w:rPr>
              <w:t>(3) High-tech</w:t>
            </w:r>
          </w:p>
        </w:tc>
        <w:tc>
          <w:tcPr>
            <w:tcW w:w="2216" w:type="dxa"/>
            <w:tcBorders>
              <w:top w:val="nil"/>
              <w:left w:val="nil"/>
              <w:bottom w:val="single" w:sz="12" w:space="0" w:color="000000"/>
              <w:right w:val="nil"/>
            </w:tcBorders>
            <w:noWrap/>
            <w:vAlign w:val="center"/>
          </w:tcPr>
          <w:p w14:paraId="5C91431A" w14:textId="77777777" w:rsidR="005253E1" w:rsidRDefault="00000000">
            <w:pPr>
              <w:jc w:val="center"/>
              <w:rPr>
                <w:rFonts w:eastAsia="SimSun"/>
                <w:b/>
                <w:bCs/>
                <w:sz w:val="20"/>
                <w:szCs w:val="20"/>
                <w:lang w:eastAsia="zh-CN"/>
              </w:rPr>
            </w:pPr>
            <w:r>
              <w:rPr>
                <w:rFonts w:eastAsia="SimSun" w:hint="eastAsia"/>
                <w:b/>
                <w:bCs/>
                <w:sz w:val="20"/>
                <w:szCs w:val="20"/>
                <w:lang w:eastAsia="zh-CN"/>
              </w:rPr>
              <w:t>(4) Non-high-tech</w:t>
            </w:r>
          </w:p>
        </w:tc>
      </w:tr>
      <w:tr w:rsidR="005253E1" w14:paraId="155EFBCD" w14:textId="77777777">
        <w:trPr>
          <w:trHeight w:val="313"/>
        </w:trPr>
        <w:tc>
          <w:tcPr>
            <w:tcW w:w="674" w:type="pct"/>
            <w:vMerge w:val="restart"/>
            <w:tcBorders>
              <w:top w:val="nil"/>
              <w:left w:val="nil"/>
              <w:bottom w:val="nil"/>
              <w:right w:val="nil"/>
            </w:tcBorders>
            <w:noWrap/>
            <w:vAlign w:val="center"/>
          </w:tcPr>
          <w:p w14:paraId="55598835" w14:textId="77777777" w:rsidR="005253E1" w:rsidRDefault="00000000">
            <w:pPr>
              <w:jc w:val="center"/>
              <w:rPr>
                <w:lang w:eastAsia="zh-CN"/>
              </w:rPr>
            </w:pPr>
            <w:r>
              <w:rPr>
                <w:lang w:eastAsia="zh-CN"/>
              </w:rPr>
              <w:t>ESG</w:t>
            </w:r>
          </w:p>
        </w:tc>
        <w:tc>
          <w:tcPr>
            <w:tcW w:w="1926" w:type="dxa"/>
            <w:tcBorders>
              <w:top w:val="nil"/>
              <w:left w:val="nil"/>
              <w:bottom w:val="nil"/>
              <w:right w:val="nil"/>
            </w:tcBorders>
            <w:noWrap/>
            <w:vAlign w:val="center"/>
          </w:tcPr>
          <w:p w14:paraId="66CB4BF8" w14:textId="77777777" w:rsidR="005253E1" w:rsidRDefault="00000000">
            <w:pPr>
              <w:jc w:val="center"/>
              <w:rPr>
                <w:lang w:eastAsia="zh-CN"/>
              </w:rPr>
            </w:pPr>
            <w:r>
              <w:rPr>
                <w:rFonts w:hint="eastAsia"/>
                <w:lang w:eastAsia="zh-CN"/>
              </w:rPr>
              <w:t>2.685</w:t>
            </w:r>
            <w:r>
              <w:rPr>
                <w:lang w:eastAsia="zh-CN"/>
              </w:rPr>
              <w:t>*</w:t>
            </w:r>
          </w:p>
        </w:tc>
        <w:tc>
          <w:tcPr>
            <w:tcW w:w="2216" w:type="dxa"/>
            <w:tcBorders>
              <w:top w:val="nil"/>
              <w:left w:val="nil"/>
              <w:bottom w:val="nil"/>
              <w:right w:val="nil"/>
            </w:tcBorders>
            <w:noWrap/>
            <w:vAlign w:val="center"/>
          </w:tcPr>
          <w:p w14:paraId="202E4675" w14:textId="77777777" w:rsidR="005253E1" w:rsidRDefault="00000000">
            <w:pPr>
              <w:jc w:val="center"/>
              <w:rPr>
                <w:lang w:eastAsia="zh-CN"/>
              </w:rPr>
            </w:pPr>
            <w:r>
              <w:rPr>
                <w:rFonts w:hint="eastAsia"/>
                <w:lang w:eastAsia="zh-CN"/>
              </w:rPr>
              <w:t>0.305</w:t>
            </w:r>
          </w:p>
        </w:tc>
        <w:tc>
          <w:tcPr>
            <w:tcW w:w="1926" w:type="dxa"/>
            <w:tcBorders>
              <w:top w:val="nil"/>
              <w:left w:val="nil"/>
              <w:bottom w:val="nil"/>
              <w:right w:val="nil"/>
            </w:tcBorders>
            <w:shd w:val="clear" w:color="auto" w:fill="FFFFFF"/>
            <w:noWrap/>
            <w:vAlign w:val="center"/>
          </w:tcPr>
          <w:p w14:paraId="2A51B66B" w14:textId="77777777" w:rsidR="005253E1" w:rsidRDefault="00000000">
            <w:pPr>
              <w:jc w:val="center"/>
              <w:rPr>
                <w:lang w:eastAsia="zh-CN"/>
              </w:rPr>
            </w:pPr>
            <w:r>
              <w:rPr>
                <w:rFonts w:hint="eastAsia"/>
                <w:lang w:eastAsia="zh-CN"/>
              </w:rPr>
              <w:t>0.564</w:t>
            </w:r>
            <w:r>
              <w:rPr>
                <w:lang w:eastAsia="zh-CN"/>
              </w:rPr>
              <w:t>**</w:t>
            </w:r>
          </w:p>
        </w:tc>
        <w:tc>
          <w:tcPr>
            <w:tcW w:w="2216" w:type="dxa"/>
            <w:tcBorders>
              <w:top w:val="nil"/>
              <w:left w:val="nil"/>
              <w:bottom w:val="nil"/>
              <w:right w:val="nil"/>
            </w:tcBorders>
            <w:shd w:val="clear" w:color="auto" w:fill="FFFFFF"/>
            <w:noWrap/>
            <w:vAlign w:val="center"/>
          </w:tcPr>
          <w:p w14:paraId="1BCFFE64" w14:textId="77777777" w:rsidR="005253E1" w:rsidRDefault="00000000">
            <w:pPr>
              <w:jc w:val="center"/>
              <w:rPr>
                <w:lang w:eastAsia="zh-CN"/>
              </w:rPr>
            </w:pPr>
            <w:r>
              <w:rPr>
                <w:rFonts w:hint="eastAsia"/>
                <w:lang w:eastAsia="zh-CN"/>
              </w:rPr>
              <w:t>-0.690</w:t>
            </w:r>
            <w:r>
              <w:rPr>
                <w:lang w:eastAsia="zh-CN"/>
              </w:rPr>
              <w:t>*</w:t>
            </w:r>
          </w:p>
        </w:tc>
      </w:tr>
      <w:tr w:rsidR="005253E1" w14:paraId="3F9EC5EC" w14:textId="77777777">
        <w:trPr>
          <w:trHeight w:val="236"/>
        </w:trPr>
        <w:tc>
          <w:tcPr>
            <w:tcW w:w="674" w:type="pct"/>
            <w:vMerge/>
            <w:tcBorders>
              <w:top w:val="nil"/>
              <w:left w:val="nil"/>
              <w:bottom w:val="nil"/>
              <w:right w:val="nil"/>
            </w:tcBorders>
            <w:noWrap/>
            <w:vAlign w:val="center"/>
          </w:tcPr>
          <w:p w14:paraId="77EEA729" w14:textId="77777777" w:rsidR="005253E1" w:rsidRDefault="005253E1">
            <w:pPr>
              <w:jc w:val="center"/>
              <w:rPr>
                <w:lang w:eastAsia="zh-CN"/>
              </w:rPr>
            </w:pPr>
          </w:p>
        </w:tc>
        <w:tc>
          <w:tcPr>
            <w:tcW w:w="1005" w:type="pct"/>
            <w:tcBorders>
              <w:top w:val="nil"/>
              <w:left w:val="nil"/>
              <w:bottom w:val="nil"/>
              <w:right w:val="nil"/>
            </w:tcBorders>
            <w:noWrap/>
            <w:vAlign w:val="center"/>
          </w:tcPr>
          <w:p w14:paraId="198FB8DF" w14:textId="77777777" w:rsidR="005253E1" w:rsidRDefault="00000000">
            <w:pPr>
              <w:jc w:val="center"/>
              <w:rPr>
                <w:lang w:eastAsia="zh-CN"/>
              </w:rPr>
            </w:pPr>
            <w:r>
              <w:rPr>
                <w:rFonts w:hint="eastAsia"/>
                <w:lang w:eastAsia="zh-CN"/>
              </w:rPr>
              <w:t>(1.368)</w:t>
            </w:r>
          </w:p>
        </w:tc>
        <w:tc>
          <w:tcPr>
            <w:tcW w:w="1157" w:type="pct"/>
            <w:tcBorders>
              <w:top w:val="nil"/>
              <w:left w:val="nil"/>
              <w:bottom w:val="nil"/>
              <w:right w:val="nil"/>
            </w:tcBorders>
            <w:noWrap/>
            <w:vAlign w:val="center"/>
          </w:tcPr>
          <w:p w14:paraId="39B408EC" w14:textId="77777777" w:rsidR="005253E1" w:rsidRDefault="00000000">
            <w:pPr>
              <w:jc w:val="center"/>
              <w:rPr>
                <w:lang w:eastAsia="zh-CN"/>
              </w:rPr>
            </w:pPr>
            <w:r>
              <w:rPr>
                <w:rFonts w:hint="eastAsia"/>
                <w:lang w:eastAsia="zh-CN"/>
              </w:rPr>
              <w:t>(2.367)</w:t>
            </w:r>
          </w:p>
        </w:tc>
        <w:tc>
          <w:tcPr>
            <w:tcW w:w="1005" w:type="pct"/>
            <w:tcBorders>
              <w:top w:val="nil"/>
              <w:left w:val="nil"/>
              <w:bottom w:val="nil"/>
              <w:right w:val="nil"/>
            </w:tcBorders>
            <w:noWrap/>
            <w:vAlign w:val="center"/>
          </w:tcPr>
          <w:p w14:paraId="4AC70B44" w14:textId="77777777" w:rsidR="005253E1" w:rsidRDefault="00000000">
            <w:pPr>
              <w:jc w:val="center"/>
              <w:rPr>
                <w:lang w:eastAsia="zh-CN"/>
              </w:rPr>
            </w:pPr>
            <w:r>
              <w:rPr>
                <w:rFonts w:hint="eastAsia"/>
                <w:lang w:eastAsia="zh-CN"/>
              </w:rPr>
              <w:t>(0.232)</w:t>
            </w:r>
          </w:p>
        </w:tc>
        <w:tc>
          <w:tcPr>
            <w:tcW w:w="1157" w:type="pct"/>
            <w:tcBorders>
              <w:top w:val="nil"/>
              <w:left w:val="nil"/>
              <w:bottom w:val="nil"/>
              <w:right w:val="nil"/>
            </w:tcBorders>
            <w:noWrap/>
            <w:vAlign w:val="center"/>
          </w:tcPr>
          <w:p w14:paraId="51081F1F" w14:textId="77777777" w:rsidR="005253E1" w:rsidRDefault="00000000">
            <w:pPr>
              <w:jc w:val="center"/>
              <w:rPr>
                <w:lang w:eastAsia="zh-CN"/>
              </w:rPr>
            </w:pPr>
            <w:r>
              <w:rPr>
                <w:rFonts w:hint="eastAsia"/>
                <w:lang w:eastAsia="zh-CN"/>
              </w:rPr>
              <w:t>(0.394)</w:t>
            </w:r>
          </w:p>
        </w:tc>
      </w:tr>
      <w:tr w:rsidR="005253E1" w14:paraId="74B32467" w14:textId="77777777">
        <w:trPr>
          <w:trHeight w:val="244"/>
        </w:trPr>
        <w:tc>
          <w:tcPr>
            <w:tcW w:w="674" w:type="pct"/>
            <w:tcBorders>
              <w:top w:val="nil"/>
              <w:left w:val="nil"/>
              <w:bottom w:val="nil"/>
              <w:right w:val="nil"/>
            </w:tcBorders>
            <w:noWrap/>
            <w:vAlign w:val="center"/>
          </w:tcPr>
          <w:p w14:paraId="491BCA85" w14:textId="77777777" w:rsidR="005253E1" w:rsidRDefault="00000000">
            <w:pPr>
              <w:jc w:val="center"/>
              <w:rPr>
                <w:lang w:eastAsia="zh-CN"/>
              </w:rPr>
            </w:pPr>
            <w:r>
              <w:rPr>
                <w:rFonts w:hint="eastAsia"/>
              </w:rPr>
              <w:t>Control Variables</w:t>
            </w:r>
          </w:p>
        </w:tc>
        <w:tc>
          <w:tcPr>
            <w:tcW w:w="1005" w:type="pct"/>
            <w:tcBorders>
              <w:top w:val="nil"/>
              <w:left w:val="nil"/>
              <w:bottom w:val="nil"/>
              <w:right w:val="nil"/>
            </w:tcBorders>
            <w:noWrap/>
            <w:vAlign w:val="center"/>
          </w:tcPr>
          <w:p w14:paraId="4A353DB6"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778D5072"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035423BF"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4DEC1374" w14:textId="77777777" w:rsidR="005253E1" w:rsidRDefault="00000000">
            <w:pPr>
              <w:jc w:val="center"/>
              <w:rPr>
                <w:lang w:eastAsia="zh-CN"/>
              </w:rPr>
            </w:pPr>
            <w:r>
              <w:rPr>
                <w:lang w:eastAsia="zh-CN"/>
              </w:rPr>
              <w:t>Yes</w:t>
            </w:r>
          </w:p>
        </w:tc>
      </w:tr>
      <w:tr w:rsidR="005253E1" w14:paraId="4350E1F8" w14:textId="77777777">
        <w:trPr>
          <w:trHeight w:val="244"/>
        </w:trPr>
        <w:tc>
          <w:tcPr>
            <w:tcW w:w="674" w:type="pct"/>
            <w:tcBorders>
              <w:top w:val="nil"/>
              <w:left w:val="nil"/>
              <w:bottom w:val="nil"/>
              <w:right w:val="nil"/>
            </w:tcBorders>
            <w:noWrap/>
            <w:vAlign w:val="center"/>
          </w:tcPr>
          <w:p w14:paraId="17887D67" w14:textId="77777777" w:rsidR="005253E1" w:rsidRDefault="00000000">
            <w:pPr>
              <w:jc w:val="center"/>
              <w:rPr>
                <w:lang w:eastAsia="zh-CN"/>
              </w:rPr>
            </w:pPr>
            <w:r>
              <w:rPr>
                <w:lang w:eastAsia="zh-CN"/>
              </w:rPr>
              <w:t>Individual FE</w:t>
            </w:r>
          </w:p>
        </w:tc>
        <w:tc>
          <w:tcPr>
            <w:tcW w:w="1005" w:type="pct"/>
            <w:tcBorders>
              <w:top w:val="nil"/>
              <w:left w:val="nil"/>
              <w:bottom w:val="nil"/>
              <w:right w:val="nil"/>
            </w:tcBorders>
            <w:noWrap/>
            <w:vAlign w:val="center"/>
          </w:tcPr>
          <w:p w14:paraId="6A3FA72A"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26FCF2CA"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50FB04E0"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48F6E8E1" w14:textId="77777777" w:rsidR="005253E1" w:rsidRDefault="00000000">
            <w:pPr>
              <w:jc w:val="center"/>
              <w:rPr>
                <w:lang w:eastAsia="zh-CN"/>
              </w:rPr>
            </w:pPr>
            <w:r>
              <w:rPr>
                <w:lang w:eastAsia="zh-CN"/>
              </w:rPr>
              <w:t>Yes</w:t>
            </w:r>
          </w:p>
        </w:tc>
      </w:tr>
      <w:tr w:rsidR="005253E1" w14:paraId="42789900" w14:textId="77777777">
        <w:trPr>
          <w:trHeight w:val="244"/>
        </w:trPr>
        <w:tc>
          <w:tcPr>
            <w:tcW w:w="674" w:type="pct"/>
            <w:tcBorders>
              <w:top w:val="nil"/>
              <w:left w:val="nil"/>
              <w:bottom w:val="nil"/>
              <w:right w:val="nil"/>
            </w:tcBorders>
            <w:noWrap/>
            <w:vAlign w:val="center"/>
          </w:tcPr>
          <w:p w14:paraId="10F9C5F5" w14:textId="77777777" w:rsidR="005253E1" w:rsidRDefault="00000000">
            <w:pPr>
              <w:jc w:val="center"/>
              <w:rPr>
                <w:rFonts w:eastAsia="SimSun"/>
                <w:sz w:val="20"/>
                <w:szCs w:val="20"/>
                <w:lang w:eastAsia="zh-CN"/>
              </w:rPr>
            </w:pPr>
            <w:r>
              <w:rPr>
                <w:rFonts w:eastAsia="SimSun"/>
                <w:sz w:val="20"/>
                <w:szCs w:val="20"/>
                <w:lang w:eastAsia="zh-CN"/>
              </w:rPr>
              <w:t>Year FE</w:t>
            </w:r>
          </w:p>
        </w:tc>
        <w:tc>
          <w:tcPr>
            <w:tcW w:w="1005" w:type="pct"/>
            <w:tcBorders>
              <w:top w:val="nil"/>
              <w:left w:val="nil"/>
              <w:bottom w:val="nil"/>
              <w:right w:val="nil"/>
            </w:tcBorders>
            <w:noWrap/>
            <w:vAlign w:val="center"/>
          </w:tcPr>
          <w:p w14:paraId="592BF9D4"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071C3234"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5FBEB5DA"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3253588B" w14:textId="77777777" w:rsidR="005253E1" w:rsidRDefault="00000000">
            <w:pPr>
              <w:jc w:val="center"/>
              <w:rPr>
                <w:lang w:eastAsia="zh-CN"/>
              </w:rPr>
            </w:pPr>
            <w:r>
              <w:rPr>
                <w:lang w:eastAsia="zh-CN"/>
              </w:rPr>
              <w:t>Yes</w:t>
            </w:r>
          </w:p>
        </w:tc>
      </w:tr>
      <w:tr w:rsidR="005253E1" w14:paraId="0F018B27" w14:textId="77777777">
        <w:trPr>
          <w:trHeight w:val="244"/>
        </w:trPr>
        <w:tc>
          <w:tcPr>
            <w:tcW w:w="674" w:type="pct"/>
            <w:tcBorders>
              <w:top w:val="nil"/>
              <w:left w:val="nil"/>
              <w:bottom w:val="nil"/>
              <w:right w:val="nil"/>
            </w:tcBorders>
            <w:noWrap/>
            <w:vAlign w:val="center"/>
          </w:tcPr>
          <w:p w14:paraId="279259F0" w14:textId="77777777" w:rsidR="005253E1" w:rsidRDefault="00000000">
            <w:pPr>
              <w:jc w:val="center"/>
              <w:rPr>
                <w:rFonts w:eastAsia="SimSun"/>
                <w:sz w:val="20"/>
                <w:szCs w:val="20"/>
                <w:lang w:eastAsia="zh-CN"/>
              </w:rPr>
            </w:pPr>
            <w:r>
              <w:rPr>
                <w:rFonts w:eastAsia="SimSun"/>
                <w:sz w:val="20"/>
                <w:szCs w:val="20"/>
                <w:lang w:eastAsia="zh-CN"/>
              </w:rPr>
              <w:t>Observations</w:t>
            </w:r>
          </w:p>
        </w:tc>
        <w:tc>
          <w:tcPr>
            <w:tcW w:w="1926" w:type="dxa"/>
            <w:tcBorders>
              <w:top w:val="nil"/>
              <w:left w:val="nil"/>
              <w:bottom w:val="nil"/>
              <w:right w:val="nil"/>
            </w:tcBorders>
            <w:noWrap/>
            <w:vAlign w:val="center"/>
          </w:tcPr>
          <w:p w14:paraId="349103DC" w14:textId="77777777" w:rsidR="005253E1" w:rsidRDefault="00000000">
            <w:pPr>
              <w:jc w:val="center"/>
              <w:rPr>
                <w:lang w:eastAsia="zh-CN"/>
              </w:rPr>
            </w:pPr>
            <w:r>
              <w:rPr>
                <w:rFonts w:hint="eastAsia"/>
                <w:lang w:eastAsia="zh-CN"/>
              </w:rPr>
              <w:t>3028</w:t>
            </w:r>
          </w:p>
        </w:tc>
        <w:tc>
          <w:tcPr>
            <w:tcW w:w="2216" w:type="dxa"/>
            <w:tcBorders>
              <w:top w:val="nil"/>
              <w:left w:val="nil"/>
              <w:bottom w:val="nil"/>
              <w:right w:val="nil"/>
            </w:tcBorders>
            <w:noWrap/>
            <w:vAlign w:val="center"/>
          </w:tcPr>
          <w:p w14:paraId="3A4DE730" w14:textId="77777777" w:rsidR="005253E1" w:rsidRDefault="00000000">
            <w:pPr>
              <w:jc w:val="center"/>
              <w:rPr>
                <w:lang w:eastAsia="zh-CN"/>
              </w:rPr>
            </w:pPr>
            <w:r>
              <w:rPr>
                <w:rFonts w:hint="eastAsia"/>
                <w:lang w:eastAsia="zh-CN"/>
              </w:rPr>
              <w:t>8189</w:t>
            </w:r>
          </w:p>
        </w:tc>
        <w:tc>
          <w:tcPr>
            <w:tcW w:w="1926" w:type="dxa"/>
            <w:tcBorders>
              <w:top w:val="nil"/>
              <w:left w:val="nil"/>
              <w:bottom w:val="nil"/>
              <w:right w:val="nil"/>
            </w:tcBorders>
            <w:noWrap/>
            <w:vAlign w:val="center"/>
          </w:tcPr>
          <w:p w14:paraId="59AAF53A" w14:textId="77777777" w:rsidR="005253E1" w:rsidRDefault="00000000">
            <w:pPr>
              <w:jc w:val="center"/>
              <w:rPr>
                <w:lang w:eastAsia="zh-CN"/>
              </w:rPr>
            </w:pPr>
            <w:r>
              <w:rPr>
                <w:rFonts w:hint="eastAsia"/>
                <w:lang w:eastAsia="zh-CN"/>
              </w:rPr>
              <w:t>3028</w:t>
            </w:r>
          </w:p>
        </w:tc>
        <w:tc>
          <w:tcPr>
            <w:tcW w:w="2216" w:type="dxa"/>
            <w:tcBorders>
              <w:top w:val="nil"/>
              <w:left w:val="nil"/>
              <w:bottom w:val="nil"/>
              <w:right w:val="nil"/>
            </w:tcBorders>
            <w:noWrap/>
            <w:vAlign w:val="center"/>
          </w:tcPr>
          <w:p w14:paraId="0E8E9547" w14:textId="77777777" w:rsidR="005253E1" w:rsidRDefault="00000000">
            <w:pPr>
              <w:jc w:val="center"/>
              <w:rPr>
                <w:lang w:eastAsia="zh-CN"/>
              </w:rPr>
            </w:pPr>
            <w:r>
              <w:rPr>
                <w:rFonts w:hint="eastAsia"/>
                <w:lang w:eastAsia="zh-CN"/>
              </w:rPr>
              <w:t>8189</w:t>
            </w:r>
          </w:p>
        </w:tc>
      </w:tr>
      <w:tr w:rsidR="005253E1" w14:paraId="74F5FDE7" w14:textId="77777777">
        <w:trPr>
          <w:trHeight w:val="313"/>
        </w:trPr>
        <w:tc>
          <w:tcPr>
            <w:tcW w:w="674" w:type="pct"/>
            <w:tcBorders>
              <w:top w:val="nil"/>
              <w:left w:val="nil"/>
              <w:bottom w:val="single" w:sz="12" w:space="0" w:color="000000"/>
              <w:right w:val="nil"/>
            </w:tcBorders>
            <w:noWrap/>
            <w:vAlign w:val="center"/>
          </w:tcPr>
          <w:p w14:paraId="49442026" w14:textId="77777777" w:rsidR="005253E1" w:rsidRDefault="00000000">
            <w:pPr>
              <w:jc w:val="center"/>
              <w:rPr>
                <w:rFonts w:eastAsia="SimSun"/>
                <w:sz w:val="20"/>
                <w:szCs w:val="20"/>
                <w:lang w:eastAsia="zh-CN"/>
              </w:rPr>
            </w:pPr>
            <w:r>
              <w:rPr>
                <w:rFonts w:eastAsia="SimSun"/>
                <w:sz w:val="20"/>
                <w:szCs w:val="20"/>
                <w:lang w:eastAsia="zh-CN"/>
              </w:rPr>
              <w:t>R2</w:t>
            </w:r>
          </w:p>
        </w:tc>
        <w:tc>
          <w:tcPr>
            <w:tcW w:w="1926" w:type="dxa"/>
            <w:tcBorders>
              <w:top w:val="nil"/>
              <w:left w:val="nil"/>
              <w:bottom w:val="single" w:sz="12" w:space="0" w:color="000000"/>
              <w:right w:val="nil"/>
            </w:tcBorders>
            <w:noWrap/>
            <w:vAlign w:val="center"/>
          </w:tcPr>
          <w:p w14:paraId="5592287F" w14:textId="77777777" w:rsidR="005253E1" w:rsidRDefault="00000000">
            <w:pPr>
              <w:jc w:val="center"/>
              <w:rPr>
                <w:lang w:eastAsia="zh-CN"/>
              </w:rPr>
            </w:pPr>
            <w:r>
              <w:rPr>
                <w:rFonts w:hint="eastAsia"/>
                <w:lang w:eastAsia="zh-CN"/>
              </w:rPr>
              <w:t>0.053</w:t>
            </w:r>
          </w:p>
        </w:tc>
        <w:tc>
          <w:tcPr>
            <w:tcW w:w="2216" w:type="dxa"/>
            <w:tcBorders>
              <w:top w:val="nil"/>
              <w:left w:val="nil"/>
              <w:bottom w:val="single" w:sz="12" w:space="0" w:color="000000"/>
              <w:right w:val="nil"/>
            </w:tcBorders>
            <w:noWrap/>
            <w:vAlign w:val="center"/>
          </w:tcPr>
          <w:p w14:paraId="6328700B" w14:textId="77777777" w:rsidR="005253E1" w:rsidRDefault="00000000">
            <w:pPr>
              <w:jc w:val="center"/>
              <w:rPr>
                <w:lang w:eastAsia="zh-CN"/>
              </w:rPr>
            </w:pPr>
            <w:r>
              <w:rPr>
                <w:rFonts w:hint="eastAsia"/>
                <w:lang w:eastAsia="zh-CN"/>
              </w:rPr>
              <w:t>0.057</w:t>
            </w:r>
          </w:p>
        </w:tc>
        <w:tc>
          <w:tcPr>
            <w:tcW w:w="1926" w:type="dxa"/>
            <w:tcBorders>
              <w:top w:val="nil"/>
              <w:left w:val="nil"/>
              <w:bottom w:val="single" w:sz="12" w:space="0" w:color="000000"/>
              <w:right w:val="nil"/>
            </w:tcBorders>
            <w:noWrap/>
            <w:vAlign w:val="center"/>
          </w:tcPr>
          <w:p w14:paraId="215F4305" w14:textId="77777777" w:rsidR="005253E1" w:rsidRDefault="00000000">
            <w:pPr>
              <w:jc w:val="center"/>
              <w:rPr>
                <w:lang w:eastAsia="zh-CN"/>
              </w:rPr>
            </w:pPr>
            <w:r>
              <w:rPr>
                <w:rFonts w:hint="eastAsia"/>
                <w:lang w:eastAsia="zh-CN"/>
              </w:rPr>
              <w:t>0.064</w:t>
            </w:r>
          </w:p>
        </w:tc>
        <w:tc>
          <w:tcPr>
            <w:tcW w:w="2216" w:type="dxa"/>
            <w:tcBorders>
              <w:top w:val="nil"/>
              <w:left w:val="nil"/>
              <w:bottom w:val="single" w:sz="12" w:space="0" w:color="000000"/>
              <w:right w:val="nil"/>
            </w:tcBorders>
            <w:noWrap/>
            <w:vAlign w:val="center"/>
          </w:tcPr>
          <w:p w14:paraId="5E9AD54E" w14:textId="77777777" w:rsidR="005253E1" w:rsidRDefault="00000000">
            <w:pPr>
              <w:jc w:val="center"/>
              <w:rPr>
                <w:lang w:eastAsia="zh-CN"/>
              </w:rPr>
            </w:pPr>
            <w:r>
              <w:rPr>
                <w:rFonts w:hint="eastAsia"/>
                <w:lang w:eastAsia="zh-CN"/>
              </w:rPr>
              <w:t>0.057</w:t>
            </w:r>
          </w:p>
        </w:tc>
      </w:tr>
    </w:tbl>
    <w:p w14:paraId="1C1A8EB1" w14:textId="77777777" w:rsidR="005253E1" w:rsidRDefault="005253E1">
      <w:pPr>
        <w:pStyle w:val="Body"/>
        <w:widowControl/>
        <w:spacing w:after="0"/>
        <w:rPr>
          <w:b/>
          <w:bCs/>
          <w:sz w:val="18"/>
          <w:szCs w:val="18"/>
          <w:lang w:eastAsia="zh-CN"/>
        </w:rPr>
      </w:pPr>
    </w:p>
    <w:p w14:paraId="41E0D4DF" w14:textId="77777777" w:rsidR="005253E1" w:rsidRDefault="00000000">
      <w:pPr>
        <w:widowControl/>
        <w:autoSpaceDE w:val="0"/>
        <w:autoSpaceDN w:val="0"/>
        <w:adjustRightInd w:val="0"/>
        <w:jc w:val="both"/>
        <w:rPr>
          <w:b/>
          <w:bCs/>
          <w:sz w:val="18"/>
          <w:szCs w:val="18"/>
          <w:lang w:eastAsia="zh-CN"/>
        </w:rPr>
      </w:pPr>
      <w:r>
        <w:rPr>
          <w:rFonts w:eastAsia="Times New Roman"/>
          <w:b/>
          <w:bCs/>
          <w:sz w:val="20"/>
          <w:lang w:eastAsia="zh-CN"/>
        </w:rPr>
        <w:t xml:space="preserve">Table </w:t>
      </w:r>
      <w:r>
        <w:rPr>
          <w:rFonts w:eastAsia="Times New Roman" w:hint="eastAsia"/>
          <w:b/>
          <w:bCs/>
          <w:sz w:val="20"/>
          <w:lang w:eastAsia="zh-CN"/>
        </w:rPr>
        <w:t>6</w:t>
      </w:r>
      <w:r>
        <w:rPr>
          <w:rFonts w:eastAsia="Times New Roman"/>
          <w:b/>
          <w:bCs/>
          <w:sz w:val="20"/>
          <w:lang w:eastAsia="zh-CN"/>
        </w:rPr>
        <w:t>: Heterogeneity Test Results: Coastal Enterprises</w:t>
      </w:r>
    </w:p>
    <w:tbl>
      <w:tblPr>
        <w:tblW w:w="5000" w:type="pct"/>
        <w:tblLook w:val="04A0" w:firstRow="1" w:lastRow="0" w:firstColumn="1" w:lastColumn="0" w:noHBand="0" w:noVBand="1"/>
      </w:tblPr>
      <w:tblGrid>
        <w:gridCol w:w="1790"/>
        <w:gridCol w:w="1811"/>
        <w:gridCol w:w="2082"/>
        <w:gridCol w:w="1811"/>
        <w:gridCol w:w="2082"/>
      </w:tblGrid>
      <w:tr w:rsidR="005253E1" w14:paraId="23903642" w14:textId="77777777">
        <w:trPr>
          <w:trHeight w:val="313"/>
        </w:trPr>
        <w:tc>
          <w:tcPr>
            <w:tcW w:w="674" w:type="pct"/>
            <w:vMerge w:val="restart"/>
            <w:tcBorders>
              <w:top w:val="single" w:sz="12" w:space="0" w:color="000000"/>
              <w:left w:val="nil"/>
              <w:bottom w:val="single" w:sz="12" w:space="0" w:color="000000"/>
              <w:right w:val="nil"/>
            </w:tcBorders>
            <w:noWrap/>
            <w:vAlign w:val="center"/>
          </w:tcPr>
          <w:p w14:paraId="69534E2B" w14:textId="77777777" w:rsidR="005253E1" w:rsidRDefault="00000000">
            <w:pPr>
              <w:jc w:val="center"/>
              <w:rPr>
                <w:rFonts w:eastAsia="SimSun"/>
                <w:b/>
                <w:bCs/>
                <w:sz w:val="20"/>
                <w:szCs w:val="20"/>
              </w:rPr>
            </w:pPr>
            <w:r>
              <w:rPr>
                <w:rFonts w:eastAsia="SimSun"/>
                <w:b/>
                <w:bCs/>
                <w:sz w:val="20"/>
                <w:szCs w:val="20"/>
                <w:lang w:eastAsia="zh-CN"/>
              </w:rPr>
              <w:t>Variable</w:t>
            </w:r>
          </w:p>
        </w:tc>
        <w:tc>
          <w:tcPr>
            <w:tcW w:w="2162" w:type="pct"/>
            <w:gridSpan w:val="2"/>
            <w:tcBorders>
              <w:top w:val="single" w:sz="12" w:space="0" w:color="000000"/>
              <w:left w:val="nil"/>
              <w:bottom w:val="nil"/>
              <w:right w:val="nil"/>
            </w:tcBorders>
            <w:noWrap/>
            <w:vAlign w:val="center"/>
          </w:tcPr>
          <w:p w14:paraId="3BEABBB0" w14:textId="77777777" w:rsidR="005253E1" w:rsidRDefault="00000000">
            <w:pPr>
              <w:jc w:val="center"/>
              <w:rPr>
                <w:rFonts w:eastAsia="SimSun"/>
                <w:b/>
                <w:bCs/>
                <w:sz w:val="20"/>
                <w:szCs w:val="20"/>
                <w:lang w:eastAsia="zh-CN"/>
              </w:rPr>
            </w:pPr>
            <w:r>
              <w:rPr>
                <w:rFonts w:eastAsia="SimSun" w:hint="eastAsia"/>
                <w:b/>
                <w:bCs/>
                <w:sz w:val="20"/>
                <w:szCs w:val="20"/>
                <w:lang w:eastAsia="zh-CN"/>
              </w:rPr>
              <w:t>OFDI</w:t>
            </w:r>
          </w:p>
        </w:tc>
        <w:tc>
          <w:tcPr>
            <w:tcW w:w="2162" w:type="pct"/>
            <w:gridSpan w:val="2"/>
            <w:tcBorders>
              <w:top w:val="single" w:sz="12" w:space="0" w:color="000000"/>
              <w:left w:val="nil"/>
              <w:bottom w:val="nil"/>
              <w:right w:val="nil"/>
            </w:tcBorders>
            <w:noWrap/>
            <w:vAlign w:val="center"/>
          </w:tcPr>
          <w:p w14:paraId="372F1047" w14:textId="77777777" w:rsidR="005253E1" w:rsidRDefault="00000000">
            <w:pPr>
              <w:jc w:val="center"/>
              <w:rPr>
                <w:rFonts w:eastAsia="SimSun"/>
                <w:b/>
                <w:bCs/>
                <w:sz w:val="20"/>
                <w:szCs w:val="20"/>
                <w:lang w:eastAsia="zh-CN"/>
              </w:rPr>
            </w:pPr>
            <w:r>
              <w:rPr>
                <w:rFonts w:eastAsia="SimSun" w:hint="eastAsia"/>
                <w:b/>
                <w:bCs/>
                <w:sz w:val="20"/>
                <w:szCs w:val="20"/>
                <w:lang w:eastAsia="zh-CN"/>
              </w:rPr>
              <w:t>OFDI_F</w:t>
            </w:r>
          </w:p>
        </w:tc>
      </w:tr>
      <w:tr w:rsidR="005253E1" w14:paraId="4170C6F8" w14:textId="77777777">
        <w:trPr>
          <w:trHeight w:val="313"/>
        </w:trPr>
        <w:tc>
          <w:tcPr>
            <w:tcW w:w="674" w:type="pct"/>
            <w:vMerge/>
            <w:tcBorders>
              <w:top w:val="single" w:sz="12" w:space="0" w:color="000000"/>
              <w:left w:val="nil"/>
              <w:bottom w:val="single" w:sz="12" w:space="0" w:color="000000"/>
              <w:right w:val="nil"/>
            </w:tcBorders>
            <w:noWrap/>
            <w:vAlign w:val="center"/>
          </w:tcPr>
          <w:p w14:paraId="6E7E39DF" w14:textId="77777777" w:rsidR="005253E1" w:rsidRDefault="005253E1">
            <w:pPr>
              <w:jc w:val="center"/>
              <w:rPr>
                <w:rFonts w:eastAsia="SimSun"/>
                <w:b/>
                <w:bCs/>
                <w:sz w:val="20"/>
                <w:szCs w:val="20"/>
              </w:rPr>
            </w:pPr>
          </w:p>
        </w:tc>
        <w:tc>
          <w:tcPr>
            <w:tcW w:w="1926" w:type="dxa"/>
            <w:tcBorders>
              <w:top w:val="nil"/>
              <w:left w:val="nil"/>
              <w:bottom w:val="single" w:sz="12" w:space="0" w:color="000000"/>
              <w:right w:val="nil"/>
            </w:tcBorders>
            <w:noWrap/>
            <w:vAlign w:val="center"/>
          </w:tcPr>
          <w:p w14:paraId="7B7F0D2E" w14:textId="77777777" w:rsidR="005253E1" w:rsidRDefault="00000000">
            <w:pPr>
              <w:jc w:val="center"/>
              <w:rPr>
                <w:rFonts w:eastAsia="SimSun"/>
                <w:b/>
                <w:bCs/>
                <w:sz w:val="20"/>
                <w:szCs w:val="20"/>
                <w:lang w:eastAsia="zh-CN"/>
              </w:rPr>
            </w:pPr>
            <w:r>
              <w:rPr>
                <w:rFonts w:eastAsia="SimSun" w:hint="eastAsia"/>
                <w:b/>
                <w:bCs/>
                <w:sz w:val="20"/>
                <w:szCs w:val="20"/>
                <w:lang w:eastAsia="zh-CN"/>
              </w:rPr>
              <w:t>(1) Coastal</w:t>
            </w:r>
          </w:p>
        </w:tc>
        <w:tc>
          <w:tcPr>
            <w:tcW w:w="2216" w:type="dxa"/>
            <w:tcBorders>
              <w:top w:val="nil"/>
              <w:left w:val="nil"/>
              <w:bottom w:val="single" w:sz="12" w:space="0" w:color="000000"/>
              <w:right w:val="nil"/>
            </w:tcBorders>
            <w:noWrap/>
            <w:vAlign w:val="center"/>
          </w:tcPr>
          <w:p w14:paraId="54299093" w14:textId="77777777" w:rsidR="005253E1" w:rsidRDefault="00000000">
            <w:pPr>
              <w:jc w:val="center"/>
              <w:rPr>
                <w:rFonts w:eastAsia="SimSun"/>
                <w:b/>
                <w:bCs/>
                <w:sz w:val="20"/>
                <w:szCs w:val="20"/>
                <w:lang w:eastAsia="zh-CN"/>
              </w:rPr>
            </w:pPr>
            <w:r>
              <w:rPr>
                <w:rFonts w:eastAsia="SimSun" w:hint="eastAsia"/>
                <w:b/>
                <w:bCs/>
                <w:sz w:val="20"/>
                <w:szCs w:val="20"/>
                <w:lang w:eastAsia="zh-CN"/>
              </w:rPr>
              <w:t>(2) Non-coastal</w:t>
            </w:r>
          </w:p>
        </w:tc>
        <w:tc>
          <w:tcPr>
            <w:tcW w:w="1926" w:type="dxa"/>
            <w:tcBorders>
              <w:top w:val="nil"/>
              <w:left w:val="nil"/>
              <w:bottom w:val="single" w:sz="12" w:space="0" w:color="000000"/>
              <w:right w:val="nil"/>
            </w:tcBorders>
            <w:noWrap/>
            <w:vAlign w:val="center"/>
          </w:tcPr>
          <w:p w14:paraId="599C42C6" w14:textId="77777777" w:rsidR="005253E1" w:rsidRDefault="00000000">
            <w:pPr>
              <w:jc w:val="center"/>
              <w:rPr>
                <w:rFonts w:eastAsia="SimSun"/>
                <w:b/>
                <w:bCs/>
                <w:sz w:val="20"/>
                <w:szCs w:val="20"/>
                <w:lang w:eastAsia="zh-CN"/>
              </w:rPr>
            </w:pPr>
            <w:r>
              <w:rPr>
                <w:rFonts w:eastAsia="SimSun" w:hint="eastAsia"/>
                <w:b/>
                <w:bCs/>
                <w:sz w:val="20"/>
                <w:szCs w:val="20"/>
                <w:lang w:eastAsia="zh-CN"/>
              </w:rPr>
              <w:t>(3) Coastal</w:t>
            </w:r>
          </w:p>
        </w:tc>
        <w:tc>
          <w:tcPr>
            <w:tcW w:w="2216" w:type="dxa"/>
            <w:tcBorders>
              <w:top w:val="nil"/>
              <w:left w:val="nil"/>
              <w:bottom w:val="single" w:sz="12" w:space="0" w:color="000000"/>
              <w:right w:val="nil"/>
            </w:tcBorders>
            <w:noWrap/>
            <w:vAlign w:val="center"/>
          </w:tcPr>
          <w:p w14:paraId="5ABA8AEF" w14:textId="77777777" w:rsidR="005253E1" w:rsidRDefault="00000000">
            <w:pPr>
              <w:jc w:val="center"/>
              <w:rPr>
                <w:rFonts w:eastAsia="SimSun"/>
                <w:b/>
                <w:bCs/>
                <w:sz w:val="20"/>
                <w:szCs w:val="20"/>
                <w:lang w:eastAsia="zh-CN"/>
              </w:rPr>
            </w:pPr>
            <w:r>
              <w:rPr>
                <w:rFonts w:eastAsia="SimSun" w:hint="eastAsia"/>
                <w:b/>
                <w:bCs/>
                <w:sz w:val="20"/>
                <w:szCs w:val="20"/>
                <w:lang w:eastAsia="zh-CN"/>
              </w:rPr>
              <w:t>(4) Non-coastal</w:t>
            </w:r>
          </w:p>
        </w:tc>
      </w:tr>
      <w:tr w:rsidR="005253E1" w14:paraId="784A191B" w14:textId="77777777">
        <w:trPr>
          <w:trHeight w:val="313"/>
        </w:trPr>
        <w:tc>
          <w:tcPr>
            <w:tcW w:w="674" w:type="pct"/>
            <w:vMerge w:val="restart"/>
            <w:tcBorders>
              <w:top w:val="nil"/>
              <w:left w:val="nil"/>
              <w:bottom w:val="nil"/>
              <w:right w:val="nil"/>
            </w:tcBorders>
            <w:noWrap/>
            <w:vAlign w:val="center"/>
          </w:tcPr>
          <w:p w14:paraId="1E8DF143" w14:textId="77777777" w:rsidR="005253E1" w:rsidRDefault="00000000">
            <w:pPr>
              <w:jc w:val="center"/>
              <w:rPr>
                <w:lang w:eastAsia="zh-CN"/>
              </w:rPr>
            </w:pPr>
            <w:r>
              <w:rPr>
                <w:lang w:eastAsia="zh-CN"/>
              </w:rPr>
              <w:t>ESG</w:t>
            </w:r>
          </w:p>
        </w:tc>
        <w:tc>
          <w:tcPr>
            <w:tcW w:w="1926" w:type="dxa"/>
            <w:tcBorders>
              <w:top w:val="nil"/>
              <w:left w:val="nil"/>
              <w:bottom w:val="nil"/>
              <w:right w:val="nil"/>
            </w:tcBorders>
            <w:noWrap/>
            <w:vAlign w:val="center"/>
          </w:tcPr>
          <w:p w14:paraId="466D50A9" w14:textId="77777777" w:rsidR="005253E1" w:rsidRDefault="00000000">
            <w:pPr>
              <w:jc w:val="center"/>
              <w:rPr>
                <w:lang w:eastAsia="zh-CN"/>
              </w:rPr>
            </w:pPr>
            <w:r>
              <w:rPr>
                <w:rFonts w:hint="eastAsia"/>
                <w:lang w:eastAsia="zh-CN"/>
              </w:rPr>
              <w:t>7.476</w:t>
            </w:r>
            <w:r>
              <w:rPr>
                <w:lang w:eastAsia="zh-CN"/>
              </w:rPr>
              <w:t>***</w:t>
            </w:r>
          </w:p>
        </w:tc>
        <w:tc>
          <w:tcPr>
            <w:tcW w:w="2216" w:type="dxa"/>
            <w:tcBorders>
              <w:top w:val="nil"/>
              <w:left w:val="nil"/>
              <w:bottom w:val="nil"/>
              <w:right w:val="nil"/>
            </w:tcBorders>
            <w:noWrap/>
            <w:vAlign w:val="center"/>
          </w:tcPr>
          <w:p w14:paraId="6ABC3B82" w14:textId="77777777" w:rsidR="005253E1" w:rsidRDefault="00000000">
            <w:pPr>
              <w:jc w:val="center"/>
              <w:rPr>
                <w:lang w:eastAsia="zh-CN"/>
              </w:rPr>
            </w:pPr>
            <w:r>
              <w:rPr>
                <w:rFonts w:hint="eastAsia"/>
                <w:lang w:eastAsia="zh-CN"/>
              </w:rPr>
              <w:t>-1.780</w:t>
            </w:r>
          </w:p>
        </w:tc>
        <w:tc>
          <w:tcPr>
            <w:tcW w:w="1926" w:type="dxa"/>
            <w:tcBorders>
              <w:top w:val="nil"/>
              <w:left w:val="nil"/>
              <w:bottom w:val="nil"/>
              <w:right w:val="nil"/>
            </w:tcBorders>
            <w:shd w:val="clear" w:color="auto" w:fill="FFFFFF"/>
            <w:noWrap/>
            <w:vAlign w:val="center"/>
          </w:tcPr>
          <w:p w14:paraId="5243DB71" w14:textId="77777777" w:rsidR="005253E1" w:rsidRDefault="00000000">
            <w:pPr>
              <w:jc w:val="center"/>
              <w:rPr>
                <w:lang w:eastAsia="zh-CN"/>
              </w:rPr>
            </w:pPr>
            <w:r>
              <w:rPr>
                <w:rFonts w:hint="eastAsia"/>
                <w:lang w:eastAsia="zh-CN"/>
              </w:rPr>
              <w:t>1.373</w:t>
            </w:r>
            <w:r>
              <w:rPr>
                <w:lang w:eastAsia="zh-CN"/>
              </w:rPr>
              <w:t>***</w:t>
            </w:r>
          </w:p>
        </w:tc>
        <w:tc>
          <w:tcPr>
            <w:tcW w:w="2216" w:type="dxa"/>
            <w:tcBorders>
              <w:top w:val="nil"/>
              <w:left w:val="nil"/>
              <w:bottom w:val="nil"/>
              <w:right w:val="nil"/>
            </w:tcBorders>
            <w:shd w:val="clear" w:color="auto" w:fill="FFFFFF"/>
            <w:noWrap/>
            <w:vAlign w:val="center"/>
          </w:tcPr>
          <w:p w14:paraId="10466980" w14:textId="77777777" w:rsidR="005253E1" w:rsidRDefault="00000000">
            <w:pPr>
              <w:jc w:val="center"/>
              <w:rPr>
                <w:lang w:eastAsia="zh-CN"/>
              </w:rPr>
            </w:pPr>
            <w:r>
              <w:rPr>
                <w:rFonts w:hint="eastAsia"/>
                <w:lang w:eastAsia="zh-CN"/>
              </w:rPr>
              <w:t>-0.733</w:t>
            </w:r>
            <w:r>
              <w:rPr>
                <w:lang w:eastAsia="zh-CN"/>
              </w:rPr>
              <w:t>***</w:t>
            </w:r>
          </w:p>
        </w:tc>
      </w:tr>
      <w:tr w:rsidR="005253E1" w14:paraId="42387C0A" w14:textId="77777777">
        <w:trPr>
          <w:trHeight w:val="236"/>
        </w:trPr>
        <w:tc>
          <w:tcPr>
            <w:tcW w:w="674" w:type="pct"/>
            <w:vMerge/>
            <w:tcBorders>
              <w:top w:val="nil"/>
              <w:left w:val="nil"/>
              <w:bottom w:val="nil"/>
              <w:right w:val="nil"/>
            </w:tcBorders>
            <w:noWrap/>
            <w:vAlign w:val="center"/>
          </w:tcPr>
          <w:p w14:paraId="4DB21732" w14:textId="77777777" w:rsidR="005253E1" w:rsidRDefault="005253E1">
            <w:pPr>
              <w:jc w:val="center"/>
              <w:rPr>
                <w:lang w:eastAsia="zh-CN"/>
              </w:rPr>
            </w:pPr>
          </w:p>
        </w:tc>
        <w:tc>
          <w:tcPr>
            <w:tcW w:w="1005" w:type="pct"/>
            <w:tcBorders>
              <w:top w:val="nil"/>
              <w:left w:val="nil"/>
              <w:bottom w:val="nil"/>
              <w:right w:val="nil"/>
            </w:tcBorders>
            <w:noWrap/>
            <w:vAlign w:val="center"/>
          </w:tcPr>
          <w:p w14:paraId="4430B2B4" w14:textId="77777777" w:rsidR="005253E1" w:rsidRDefault="00000000">
            <w:pPr>
              <w:jc w:val="center"/>
              <w:rPr>
                <w:lang w:eastAsia="zh-CN"/>
              </w:rPr>
            </w:pPr>
            <w:r>
              <w:rPr>
                <w:rFonts w:hint="eastAsia"/>
                <w:lang w:eastAsia="zh-CN"/>
              </w:rPr>
              <w:t>(1.671)</w:t>
            </w:r>
          </w:p>
        </w:tc>
        <w:tc>
          <w:tcPr>
            <w:tcW w:w="1157" w:type="pct"/>
            <w:tcBorders>
              <w:top w:val="nil"/>
              <w:left w:val="nil"/>
              <w:bottom w:val="nil"/>
              <w:right w:val="nil"/>
            </w:tcBorders>
            <w:noWrap/>
            <w:vAlign w:val="center"/>
          </w:tcPr>
          <w:p w14:paraId="1B447F8E" w14:textId="77777777" w:rsidR="005253E1" w:rsidRDefault="00000000">
            <w:pPr>
              <w:jc w:val="center"/>
              <w:rPr>
                <w:lang w:eastAsia="zh-CN"/>
              </w:rPr>
            </w:pPr>
            <w:r>
              <w:rPr>
                <w:rFonts w:hint="eastAsia"/>
                <w:lang w:eastAsia="zh-CN"/>
              </w:rPr>
              <w:t>(1.628)</w:t>
            </w:r>
          </w:p>
        </w:tc>
        <w:tc>
          <w:tcPr>
            <w:tcW w:w="1005" w:type="pct"/>
            <w:tcBorders>
              <w:top w:val="nil"/>
              <w:left w:val="nil"/>
              <w:bottom w:val="nil"/>
              <w:right w:val="nil"/>
            </w:tcBorders>
            <w:noWrap/>
            <w:vAlign w:val="center"/>
          </w:tcPr>
          <w:p w14:paraId="2DDE2E19" w14:textId="77777777" w:rsidR="005253E1" w:rsidRDefault="00000000">
            <w:pPr>
              <w:jc w:val="center"/>
              <w:rPr>
                <w:lang w:eastAsia="zh-CN"/>
              </w:rPr>
            </w:pPr>
            <w:r>
              <w:rPr>
                <w:rFonts w:hint="eastAsia"/>
                <w:lang w:eastAsia="zh-CN"/>
              </w:rPr>
              <w:t>(0.292)</w:t>
            </w:r>
          </w:p>
        </w:tc>
        <w:tc>
          <w:tcPr>
            <w:tcW w:w="1157" w:type="pct"/>
            <w:tcBorders>
              <w:top w:val="nil"/>
              <w:left w:val="nil"/>
              <w:bottom w:val="nil"/>
              <w:right w:val="nil"/>
            </w:tcBorders>
            <w:noWrap/>
            <w:vAlign w:val="center"/>
          </w:tcPr>
          <w:p w14:paraId="3F9B41CF" w14:textId="77777777" w:rsidR="005253E1" w:rsidRDefault="00000000">
            <w:pPr>
              <w:jc w:val="center"/>
              <w:rPr>
                <w:lang w:eastAsia="zh-CN"/>
              </w:rPr>
            </w:pPr>
            <w:r>
              <w:rPr>
                <w:rFonts w:hint="eastAsia"/>
                <w:lang w:eastAsia="zh-CN"/>
              </w:rPr>
              <w:t>(0.256)</w:t>
            </w:r>
          </w:p>
        </w:tc>
      </w:tr>
      <w:tr w:rsidR="005253E1" w14:paraId="71542517" w14:textId="77777777">
        <w:trPr>
          <w:trHeight w:val="244"/>
        </w:trPr>
        <w:tc>
          <w:tcPr>
            <w:tcW w:w="674" w:type="pct"/>
            <w:tcBorders>
              <w:top w:val="nil"/>
              <w:left w:val="nil"/>
              <w:bottom w:val="nil"/>
              <w:right w:val="nil"/>
            </w:tcBorders>
            <w:noWrap/>
            <w:vAlign w:val="center"/>
          </w:tcPr>
          <w:p w14:paraId="0BFB5D4F" w14:textId="77777777" w:rsidR="005253E1" w:rsidRDefault="00000000">
            <w:pPr>
              <w:jc w:val="center"/>
              <w:rPr>
                <w:lang w:eastAsia="zh-CN"/>
              </w:rPr>
            </w:pPr>
            <w:r>
              <w:rPr>
                <w:rFonts w:hint="eastAsia"/>
              </w:rPr>
              <w:t>Control Variables</w:t>
            </w:r>
          </w:p>
        </w:tc>
        <w:tc>
          <w:tcPr>
            <w:tcW w:w="1005" w:type="pct"/>
            <w:tcBorders>
              <w:top w:val="nil"/>
              <w:left w:val="nil"/>
              <w:bottom w:val="nil"/>
              <w:right w:val="nil"/>
            </w:tcBorders>
            <w:noWrap/>
            <w:vAlign w:val="center"/>
          </w:tcPr>
          <w:p w14:paraId="453752BA"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766D77CB"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609998DC"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7F8A2255" w14:textId="77777777" w:rsidR="005253E1" w:rsidRDefault="00000000">
            <w:pPr>
              <w:jc w:val="center"/>
              <w:rPr>
                <w:lang w:eastAsia="zh-CN"/>
              </w:rPr>
            </w:pPr>
            <w:r>
              <w:rPr>
                <w:lang w:eastAsia="zh-CN"/>
              </w:rPr>
              <w:t>Yes</w:t>
            </w:r>
          </w:p>
        </w:tc>
      </w:tr>
      <w:tr w:rsidR="005253E1" w14:paraId="4949135D" w14:textId="77777777">
        <w:trPr>
          <w:trHeight w:val="244"/>
        </w:trPr>
        <w:tc>
          <w:tcPr>
            <w:tcW w:w="674" w:type="pct"/>
            <w:tcBorders>
              <w:top w:val="nil"/>
              <w:left w:val="nil"/>
              <w:bottom w:val="nil"/>
              <w:right w:val="nil"/>
            </w:tcBorders>
            <w:noWrap/>
            <w:vAlign w:val="center"/>
          </w:tcPr>
          <w:p w14:paraId="441FDA44" w14:textId="77777777" w:rsidR="005253E1" w:rsidRDefault="00000000">
            <w:pPr>
              <w:jc w:val="center"/>
              <w:rPr>
                <w:lang w:eastAsia="zh-CN"/>
              </w:rPr>
            </w:pPr>
            <w:r>
              <w:rPr>
                <w:lang w:eastAsia="zh-CN"/>
              </w:rPr>
              <w:t>Individual FE</w:t>
            </w:r>
          </w:p>
        </w:tc>
        <w:tc>
          <w:tcPr>
            <w:tcW w:w="1005" w:type="pct"/>
            <w:tcBorders>
              <w:top w:val="nil"/>
              <w:left w:val="nil"/>
              <w:bottom w:val="nil"/>
              <w:right w:val="nil"/>
            </w:tcBorders>
            <w:noWrap/>
            <w:vAlign w:val="center"/>
          </w:tcPr>
          <w:p w14:paraId="150546BC"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06776095"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2CC0F624"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01AF9DE5" w14:textId="77777777" w:rsidR="005253E1" w:rsidRDefault="00000000">
            <w:pPr>
              <w:jc w:val="center"/>
              <w:rPr>
                <w:lang w:eastAsia="zh-CN"/>
              </w:rPr>
            </w:pPr>
            <w:r>
              <w:rPr>
                <w:lang w:eastAsia="zh-CN"/>
              </w:rPr>
              <w:t>Yes</w:t>
            </w:r>
          </w:p>
        </w:tc>
      </w:tr>
      <w:tr w:rsidR="005253E1" w14:paraId="09F29FF8" w14:textId="77777777">
        <w:trPr>
          <w:trHeight w:val="244"/>
        </w:trPr>
        <w:tc>
          <w:tcPr>
            <w:tcW w:w="674" w:type="pct"/>
            <w:tcBorders>
              <w:top w:val="nil"/>
              <w:left w:val="nil"/>
              <w:bottom w:val="nil"/>
              <w:right w:val="nil"/>
            </w:tcBorders>
            <w:noWrap/>
            <w:vAlign w:val="center"/>
          </w:tcPr>
          <w:p w14:paraId="1378A0F8" w14:textId="77777777" w:rsidR="005253E1" w:rsidRDefault="00000000">
            <w:pPr>
              <w:jc w:val="center"/>
              <w:rPr>
                <w:rFonts w:eastAsia="SimSun"/>
                <w:sz w:val="20"/>
                <w:szCs w:val="20"/>
                <w:lang w:eastAsia="zh-CN"/>
              </w:rPr>
            </w:pPr>
            <w:r>
              <w:rPr>
                <w:rFonts w:eastAsia="SimSun"/>
                <w:sz w:val="20"/>
                <w:szCs w:val="20"/>
                <w:lang w:eastAsia="zh-CN"/>
              </w:rPr>
              <w:t>Year FE</w:t>
            </w:r>
          </w:p>
        </w:tc>
        <w:tc>
          <w:tcPr>
            <w:tcW w:w="1005" w:type="pct"/>
            <w:tcBorders>
              <w:top w:val="nil"/>
              <w:left w:val="nil"/>
              <w:bottom w:val="nil"/>
              <w:right w:val="nil"/>
            </w:tcBorders>
            <w:noWrap/>
            <w:vAlign w:val="center"/>
          </w:tcPr>
          <w:p w14:paraId="15C40DD5"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1D535FA6" w14:textId="77777777" w:rsidR="005253E1" w:rsidRDefault="00000000">
            <w:pPr>
              <w:jc w:val="center"/>
              <w:rPr>
                <w:lang w:eastAsia="zh-CN"/>
              </w:rPr>
            </w:pPr>
            <w:r>
              <w:rPr>
                <w:lang w:eastAsia="zh-CN"/>
              </w:rPr>
              <w:t>Yes</w:t>
            </w:r>
          </w:p>
        </w:tc>
        <w:tc>
          <w:tcPr>
            <w:tcW w:w="1005" w:type="pct"/>
            <w:tcBorders>
              <w:top w:val="nil"/>
              <w:left w:val="nil"/>
              <w:bottom w:val="nil"/>
              <w:right w:val="nil"/>
            </w:tcBorders>
            <w:noWrap/>
            <w:vAlign w:val="center"/>
          </w:tcPr>
          <w:p w14:paraId="228930C8" w14:textId="77777777" w:rsidR="005253E1" w:rsidRDefault="00000000">
            <w:pPr>
              <w:jc w:val="center"/>
              <w:rPr>
                <w:lang w:eastAsia="zh-CN"/>
              </w:rPr>
            </w:pPr>
            <w:r>
              <w:rPr>
                <w:lang w:eastAsia="zh-CN"/>
              </w:rPr>
              <w:t>Yes</w:t>
            </w:r>
          </w:p>
        </w:tc>
        <w:tc>
          <w:tcPr>
            <w:tcW w:w="1157" w:type="pct"/>
            <w:tcBorders>
              <w:top w:val="nil"/>
              <w:left w:val="nil"/>
              <w:bottom w:val="nil"/>
              <w:right w:val="nil"/>
            </w:tcBorders>
            <w:noWrap/>
            <w:vAlign w:val="center"/>
          </w:tcPr>
          <w:p w14:paraId="04213B75" w14:textId="77777777" w:rsidR="005253E1" w:rsidRDefault="00000000">
            <w:pPr>
              <w:jc w:val="center"/>
              <w:rPr>
                <w:lang w:eastAsia="zh-CN"/>
              </w:rPr>
            </w:pPr>
            <w:r>
              <w:rPr>
                <w:lang w:eastAsia="zh-CN"/>
              </w:rPr>
              <w:t>Yes</w:t>
            </w:r>
          </w:p>
        </w:tc>
      </w:tr>
      <w:tr w:rsidR="005253E1" w14:paraId="6934BDF1" w14:textId="77777777">
        <w:trPr>
          <w:trHeight w:val="244"/>
        </w:trPr>
        <w:tc>
          <w:tcPr>
            <w:tcW w:w="674" w:type="pct"/>
            <w:tcBorders>
              <w:top w:val="nil"/>
              <w:left w:val="nil"/>
              <w:bottom w:val="nil"/>
              <w:right w:val="nil"/>
            </w:tcBorders>
            <w:noWrap/>
            <w:vAlign w:val="center"/>
          </w:tcPr>
          <w:p w14:paraId="3BEFA3DE" w14:textId="77777777" w:rsidR="005253E1" w:rsidRDefault="00000000">
            <w:pPr>
              <w:jc w:val="center"/>
              <w:rPr>
                <w:rFonts w:eastAsia="SimSun"/>
                <w:sz w:val="20"/>
                <w:szCs w:val="20"/>
                <w:lang w:eastAsia="zh-CN"/>
              </w:rPr>
            </w:pPr>
            <w:r>
              <w:rPr>
                <w:rFonts w:eastAsia="SimSun"/>
                <w:sz w:val="20"/>
                <w:szCs w:val="20"/>
                <w:lang w:eastAsia="zh-CN"/>
              </w:rPr>
              <w:t>Observations</w:t>
            </w:r>
          </w:p>
        </w:tc>
        <w:tc>
          <w:tcPr>
            <w:tcW w:w="1926" w:type="dxa"/>
            <w:tcBorders>
              <w:top w:val="nil"/>
              <w:left w:val="nil"/>
              <w:bottom w:val="nil"/>
              <w:right w:val="nil"/>
            </w:tcBorders>
            <w:noWrap/>
            <w:vAlign w:val="center"/>
          </w:tcPr>
          <w:p w14:paraId="736E4D05" w14:textId="77777777" w:rsidR="005253E1" w:rsidRDefault="00000000">
            <w:pPr>
              <w:jc w:val="center"/>
              <w:rPr>
                <w:lang w:eastAsia="zh-CN"/>
              </w:rPr>
            </w:pPr>
            <w:r>
              <w:rPr>
                <w:rFonts w:hint="eastAsia"/>
                <w:lang w:eastAsia="zh-CN"/>
              </w:rPr>
              <w:t>6169</w:t>
            </w:r>
          </w:p>
        </w:tc>
        <w:tc>
          <w:tcPr>
            <w:tcW w:w="2216" w:type="dxa"/>
            <w:tcBorders>
              <w:top w:val="nil"/>
              <w:left w:val="nil"/>
              <w:bottom w:val="nil"/>
              <w:right w:val="nil"/>
            </w:tcBorders>
            <w:noWrap/>
            <w:vAlign w:val="center"/>
          </w:tcPr>
          <w:p w14:paraId="698D9CB2" w14:textId="77777777" w:rsidR="005253E1" w:rsidRDefault="00000000">
            <w:pPr>
              <w:jc w:val="center"/>
              <w:rPr>
                <w:lang w:eastAsia="zh-CN"/>
              </w:rPr>
            </w:pPr>
            <w:r>
              <w:rPr>
                <w:rFonts w:hint="eastAsia"/>
                <w:lang w:eastAsia="zh-CN"/>
              </w:rPr>
              <w:t>5048</w:t>
            </w:r>
          </w:p>
        </w:tc>
        <w:tc>
          <w:tcPr>
            <w:tcW w:w="1926" w:type="dxa"/>
            <w:tcBorders>
              <w:top w:val="nil"/>
              <w:left w:val="nil"/>
              <w:bottom w:val="nil"/>
              <w:right w:val="nil"/>
            </w:tcBorders>
            <w:noWrap/>
            <w:vAlign w:val="center"/>
          </w:tcPr>
          <w:p w14:paraId="78C13772" w14:textId="77777777" w:rsidR="005253E1" w:rsidRDefault="00000000">
            <w:pPr>
              <w:jc w:val="center"/>
              <w:rPr>
                <w:lang w:eastAsia="zh-CN"/>
              </w:rPr>
            </w:pPr>
            <w:r>
              <w:rPr>
                <w:rFonts w:hint="eastAsia"/>
                <w:lang w:eastAsia="zh-CN"/>
              </w:rPr>
              <w:t>6169</w:t>
            </w:r>
          </w:p>
        </w:tc>
        <w:tc>
          <w:tcPr>
            <w:tcW w:w="2216" w:type="dxa"/>
            <w:tcBorders>
              <w:top w:val="nil"/>
              <w:left w:val="nil"/>
              <w:bottom w:val="nil"/>
              <w:right w:val="nil"/>
            </w:tcBorders>
            <w:noWrap/>
            <w:vAlign w:val="center"/>
          </w:tcPr>
          <w:p w14:paraId="27790800" w14:textId="77777777" w:rsidR="005253E1" w:rsidRDefault="00000000">
            <w:pPr>
              <w:jc w:val="center"/>
              <w:rPr>
                <w:lang w:eastAsia="zh-CN"/>
              </w:rPr>
            </w:pPr>
            <w:r>
              <w:rPr>
                <w:rFonts w:hint="eastAsia"/>
                <w:lang w:eastAsia="zh-CN"/>
              </w:rPr>
              <w:t>5048</w:t>
            </w:r>
          </w:p>
        </w:tc>
      </w:tr>
      <w:tr w:rsidR="005253E1" w14:paraId="57F49E35" w14:textId="77777777">
        <w:trPr>
          <w:trHeight w:val="313"/>
        </w:trPr>
        <w:tc>
          <w:tcPr>
            <w:tcW w:w="674" w:type="pct"/>
            <w:tcBorders>
              <w:top w:val="nil"/>
              <w:left w:val="nil"/>
              <w:bottom w:val="single" w:sz="12" w:space="0" w:color="000000"/>
              <w:right w:val="nil"/>
            </w:tcBorders>
            <w:noWrap/>
            <w:vAlign w:val="center"/>
          </w:tcPr>
          <w:p w14:paraId="2767AD81" w14:textId="77777777" w:rsidR="005253E1" w:rsidRDefault="00000000">
            <w:pPr>
              <w:jc w:val="center"/>
              <w:rPr>
                <w:rFonts w:eastAsia="SimSun"/>
                <w:sz w:val="20"/>
                <w:szCs w:val="20"/>
                <w:lang w:eastAsia="zh-CN"/>
              </w:rPr>
            </w:pPr>
            <w:r>
              <w:rPr>
                <w:rFonts w:eastAsia="SimSun"/>
                <w:sz w:val="20"/>
                <w:szCs w:val="20"/>
                <w:lang w:eastAsia="zh-CN"/>
              </w:rPr>
              <w:t>R2</w:t>
            </w:r>
          </w:p>
        </w:tc>
        <w:tc>
          <w:tcPr>
            <w:tcW w:w="1926" w:type="dxa"/>
            <w:tcBorders>
              <w:top w:val="nil"/>
              <w:left w:val="nil"/>
              <w:bottom w:val="single" w:sz="12" w:space="0" w:color="000000"/>
              <w:right w:val="nil"/>
            </w:tcBorders>
            <w:noWrap/>
            <w:vAlign w:val="center"/>
          </w:tcPr>
          <w:p w14:paraId="4F77F75E" w14:textId="77777777" w:rsidR="005253E1" w:rsidRDefault="00000000">
            <w:pPr>
              <w:jc w:val="center"/>
              <w:rPr>
                <w:lang w:eastAsia="zh-CN"/>
              </w:rPr>
            </w:pPr>
            <w:r>
              <w:rPr>
                <w:rFonts w:hint="eastAsia"/>
                <w:lang w:eastAsia="zh-CN"/>
              </w:rPr>
              <w:t>0.059</w:t>
            </w:r>
          </w:p>
        </w:tc>
        <w:tc>
          <w:tcPr>
            <w:tcW w:w="2216" w:type="dxa"/>
            <w:tcBorders>
              <w:top w:val="nil"/>
              <w:left w:val="nil"/>
              <w:bottom w:val="single" w:sz="12" w:space="0" w:color="000000"/>
              <w:right w:val="nil"/>
            </w:tcBorders>
            <w:noWrap/>
            <w:vAlign w:val="center"/>
          </w:tcPr>
          <w:p w14:paraId="4859B241" w14:textId="77777777" w:rsidR="005253E1" w:rsidRDefault="00000000">
            <w:pPr>
              <w:jc w:val="center"/>
              <w:rPr>
                <w:lang w:eastAsia="zh-CN"/>
              </w:rPr>
            </w:pPr>
            <w:r>
              <w:rPr>
                <w:rFonts w:hint="eastAsia"/>
                <w:lang w:eastAsia="zh-CN"/>
              </w:rPr>
              <w:t>0.079</w:t>
            </w:r>
          </w:p>
        </w:tc>
        <w:tc>
          <w:tcPr>
            <w:tcW w:w="1926" w:type="dxa"/>
            <w:tcBorders>
              <w:top w:val="nil"/>
              <w:left w:val="nil"/>
              <w:bottom w:val="single" w:sz="12" w:space="0" w:color="000000"/>
              <w:right w:val="nil"/>
            </w:tcBorders>
            <w:noWrap/>
            <w:vAlign w:val="center"/>
          </w:tcPr>
          <w:p w14:paraId="3418510A" w14:textId="77777777" w:rsidR="005253E1" w:rsidRDefault="00000000">
            <w:pPr>
              <w:jc w:val="center"/>
              <w:rPr>
                <w:lang w:eastAsia="zh-CN"/>
              </w:rPr>
            </w:pPr>
            <w:r>
              <w:rPr>
                <w:rFonts w:hint="eastAsia"/>
                <w:lang w:eastAsia="zh-CN"/>
              </w:rPr>
              <w:t>0.078</w:t>
            </w:r>
          </w:p>
        </w:tc>
        <w:tc>
          <w:tcPr>
            <w:tcW w:w="2216" w:type="dxa"/>
            <w:tcBorders>
              <w:top w:val="nil"/>
              <w:left w:val="nil"/>
              <w:bottom w:val="single" w:sz="12" w:space="0" w:color="000000"/>
              <w:right w:val="nil"/>
            </w:tcBorders>
            <w:noWrap/>
            <w:vAlign w:val="center"/>
          </w:tcPr>
          <w:p w14:paraId="23E9B5EA" w14:textId="77777777" w:rsidR="005253E1" w:rsidRDefault="00000000">
            <w:pPr>
              <w:jc w:val="center"/>
              <w:rPr>
                <w:lang w:eastAsia="zh-CN"/>
              </w:rPr>
            </w:pPr>
            <w:r>
              <w:rPr>
                <w:rFonts w:hint="eastAsia"/>
                <w:lang w:eastAsia="zh-CN"/>
              </w:rPr>
              <w:t>0.062</w:t>
            </w:r>
          </w:p>
        </w:tc>
      </w:tr>
    </w:tbl>
    <w:p w14:paraId="5E664D0A" w14:textId="77777777" w:rsidR="005253E1" w:rsidRDefault="005253E1">
      <w:pPr>
        <w:pStyle w:val="Body"/>
        <w:widowControl/>
        <w:spacing w:after="0"/>
        <w:rPr>
          <w:b/>
          <w:bCs/>
          <w:sz w:val="18"/>
          <w:szCs w:val="18"/>
          <w:lang w:eastAsia="zh-CN"/>
        </w:rPr>
      </w:pPr>
    </w:p>
    <w:p w14:paraId="15A66728" w14:textId="7777777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5.4 Mechanism Test</w:t>
      </w:r>
    </w:p>
    <w:p w14:paraId="2BD019F0" w14:textId="77777777" w:rsidR="005253E1" w:rsidRDefault="005253E1">
      <w:pPr>
        <w:pStyle w:val="Body"/>
        <w:widowControl/>
        <w:spacing w:after="0"/>
        <w:rPr>
          <w:b/>
          <w:bCs/>
          <w:sz w:val="18"/>
          <w:szCs w:val="18"/>
          <w:lang w:eastAsia="zh-CN"/>
        </w:rPr>
      </w:pPr>
    </w:p>
    <w:p w14:paraId="697FCCB3"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The existing literature has provided a solid theoretical foundation for the aforementioned transmission paths. Specifically, regarding the impact of financing constraints on enterprises' outward foreign direct investment (OFDI), Yin Lijuan et al. (2026) pointed out that financing constraints are a key factor limiting enterprises' ability to engage in OFDI. Financial regulatory policies significantly suppress the scale of OFDI for enterprises with a high degree of financialization by exacerbating financing constraints, and this suppression effect is more pronounced in non-state-owned enterprises and those with lower operating cash flow levels. Qu Tianyou et al. (2025) found that improvements in both internal and external financing capabilities not only increase the probability of OFDI decision-making but also significantly expand the scale and breadth of investment. The alleviation of financing constraints provides necessary financial support for enterprises' overseas expansion. In terms of innovation levels, Liu Zhizhong et al. (2026) indicated that strengthening the technological advantages of overseas investment is a core driving force for enterprises to engage in OFDI. The competitive advantages brought by technological innovation can help enterprises enter international markets through technology output and cooperation, while also creating conditions for establishing R&amp;D centers in host countries and obtaining reverse technology spillovers.</w:t>
      </w:r>
    </w:p>
    <w:p w14:paraId="66DCD7ED" w14:textId="77777777" w:rsidR="005253E1" w:rsidRDefault="005253E1">
      <w:pPr>
        <w:pStyle w:val="Body"/>
        <w:widowControl/>
        <w:spacing w:after="0"/>
        <w:rPr>
          <w:rFonts w:eastAsia="Times New Roman"/>
          <w:sz w:val="20"/>
          <w:szCs w:val="20"/>
          <w:lang w:eastAsia="zh-CN"/>
        </w:rPr>
      </w:pPr>
    </w:p>
    <w:p w14:paraId="41548453"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Based on the theoretical analysis above, this paper will reveal the mechanisms of action from two aspects: enterprises' financing constraints and innovation levels. To this end, this paper references Jiang Ting's (2022) research and sets the following model:</w:t>
      </w:r>
    </w:p>
    <w:p w14:paraId="62654D33" w14:textId="77777777" w:rsidR="005253E1" w:rsidRDefault="005253E1">
      <w:pPr>
        <w:pStyle w:val="Body"/>
        <w:widowControl/>
        <w:spacing w:after="0"/>
        <w:rPr>
          <w:rFonts w:eastAsia="Times New Roman"/>
          <w:sz w:val="20"/>
          <w:szCs w:val="20"/>
          <w:lang w:eastAsia="zh-CN"/>
        </w:rPr>
      </w:pPr>
    </w:p>
    <w:p w14:paraId="634F90B1" w14:textId="77777777" w:rsidR="005253E1" w:rsidRDefault="00000000">
      <w:pPr>
        <w:jc w:val="right"/>
        <w:rPr>
          <w:rFonts w:eastAsia="SimSun"/>
          <w:sz w:val="20"/>
          <w:szCs w:val="20"/>
          <w:lang w:eastAsia="zh-CN"/>
        </w:rPr>
      </w:pP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Mediator</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0</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1</m:t>
            </m:r>
          </m:sub>
        </m:sSub>
        <m:r>
          <w:rPr>
            <w:rFonts w:ascii="Cambria Math" w:eastAsia="Google Sans Text" w:hAnsi="Cambria Math" w:cs="Google Sans Text"/>
            <w:color w:val="1F1F1F"/>
            <w:sz w:val="21"/>
            <w:szCs w:val="21"/>
            <w:lang w:eastAsia="zh-CN"/>
          </w:rPr>
          <m:t>ESG+</m:t>
        </m:r>
        <m:sSub>
          <m:sSubPr>
            <m:ctrlPr>
              <w:rPr>
                <w:rFonts w:ascii="Cambria Math" w:eastAsia="Google Sans Text" w:hAnsi="Cambria Math" w:cs="Google Sans Text"/>
                <w:i/>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2</m:t>
            </m:r>
          </m:sub>
        </m:sSub>
        <m:nary>
          <m:naryPr>
            <m:chr m:val="∑"/>
            <m:limLoc m:val="undOvr"/>
            <m:subHide m:val="1"/>
            <m:supHide m:val="1"/>
            <m:ctrlPr>
              <w:rPr>
                <w:rFonts w:ascii="Cambria Math" w:eastAsia="Google Sans Text" w:hAnsi="Cambria Math" w:cs="Google Sans Text"/>
                <w:i/>
                <w:color w:val="1F1F1F"/>
                <w:sz w:val="21"/>
                <w:szCs w:val="21"/>
                <w:lang w:eastAsia="zh-CN"/>
              </w:rPr>
            </m:ctrlPr>
          </m:naryPr>
          <m:sub/>
          <m:sup/>
          <m:e>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e>
        </m:nary>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ascii="Google Sans Text" w:eastAsia="Google Sans Text" w:hAnsi="Google Sans Text" w:cs="Google Sans Text"/>
          <w:i/>
          <w:iCs/>
          <w:color w:val="1F1F1F"/>
          <w:lang w:eastAsia="zh-CN"/>
        </w:rPr>
        <w:t xml:space="preserve"> </w:t>
      </w:r>
      <w:r>
        <w:rPr>
          <w:rFonts w:ascii="Google Sans Text" w:eastAsia="Google Sans Text" w:hAnsi="Google Sans Text" w:cs="Google Sans Text"/>
          <w:color w:val="1F1F1F"/>
          <w:lang w:eastAsia="zh-CN"/>
        </w:rPr>
        <w:t xml:space="preserve">  </w:t>
      </w:r>
      <w:r>
        <w:rPr>
          <w:rFonts w:ascii="Google Sans Text" w:eastAsia="Google Sans Text" w:hAnsi="Google Sans Text" w:cs="Google Sans Text" w:hint="eastAsia"/>
          <w:color w:val="1F1F1F"/>
          <w:lang w:eastAsia="zh-CN"/>
        </w:rPr>
        <w:t xml:space="preserve">     </w:t>
      </w:r>
      <w:r>
        <w:rPr>
          <w:rFonts w:ascii="Google Sans Text" w:eastAsia="Google Sans Text" w:hAnsi="Google Sans Text" w:cs="Google Sans Text"/>
          <w:color w:val="1F1F1F"/>
          <w:lang w:eastAsia="zh-CN"/>
        </w:rPr>
        <w:t xml:space="preserve">  </w:t>
      </w:r>
      <w:r>
        <w:rPr>
          <w:rFonts w:eastAsia="SimSun"/>
          <w:sz w:val="20"/>
          <w:szCs w:val="20"/>
          <w:lang w:eastAsia="zh-CN"/>
        </w:rPr>
        <w:t>（</w:t>
      </w:r>
      <w:r>
        <w:rPr>
          <w:rFonts w:eastAsia="SimSun" w:hint="eastAsia"/>
          <w:sz w:val="20"/>
          <w:szCs w:val="20"/>
          <w:lang w:eastAsia="zh-CN"/>
        </w:rPr>
        <w:t>3</w:t>
      </w:r>
      <w:r>
        <w:rPr>
          <w:rFonts w:eastAsia="SimSun"/>
          <w:sz w:val="20"/>
          <w:szCs w:val="20"/>
          <w:lang w:eastAsia="zh-CN"/>
        </w:rPr>
        <w:t>）</w:t>
      </w:r>
    </w:p>
    <w:p w14:paraId="7E6EB71B" w14:textId="77777777" w:rsidR="005253E1" w:rsidRDefault="005253E1">
      <w:pPr>
        <w:pStyle w:val="Body"/>
        <w:widowControl/>
        <w:spacing w:after="0"/>
        <w:rPr>
          <w:rFonts w:eastAsia="Times New Roman"/>
          <w:sz w:val="20"/>
          <w:szCs w:val="20"/>
          <w:lang w:eastAsia="zh-CN"/>
        </w:rPr>
      </w:pPr>
    </w:p>
    <w:p w14:paraId="78737AB8"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 xml:space="preserve">Where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Mediator</m:t>
            </m:r>
          </m:e>
          <m:sub>
            <m:r>
              <w:rPr>
                <w:rFonts w:ascii="Cambria Math" w:eastAsia="Google Sans Text" w:hAnsi="Cambria Math" w:cs="Google Sans Text"/>
                <w:color w:val="1F1F1F"/>
                <w:sz w:val="21"/>
                <w:szCs w:val="21"/>
                <w:lang w:eastAsia="zh-CN"/>
              </w:rPr>
              <m:t>it</m:t>
            </m:r>
          </m:sub>
        </m:sSub>
      </m:oMath>
      <w:r>
        <w:rPr>
          <w:rFonts w:eastAsia="Google Sans Text" w:hAnsi="Cambria Math" w:cs="Google Sans Text" w:hint="eastAsia"/>
          <w:iCs/>
          <w:color w:val="1F1F1F"/>
          <w:sz w:val="21"/>
          <w:szCs w:val="21"/>
          <w:lang w:eastAsia="zh-CN"/>
        </w:rPr>
        <w:t xml:space="preserve"> </w:t>
      </w:r>
      <w:r>
        <w:rPr>
          <w:rFonts w:eastAsia="Times New Roman" w:hint="eastAsia"/>
          <w:sz w:val="20"/>
          <w:szCs w:val="20"/>
          <w:lang w:eastAsia="zh-CN"/>
        </w:rPr>
        <w:t>is the mediating variable, representing financing constraints (SA) and innovation levels (Patent), respectively. The meanings and measurement methods of the other variables are consistent with those in model (1) and will not be elaborated on here.</w:t>
      </w:r>
    </w:p>
    <w:p w14:paraId="0137E50D" w14:textId="77777777" w:rsidR="005253E1" w:rsidRDefault="005253E1">
      <w:pPr>
        <w:pStyle w:val="Body"/>
        <w:widowControl/>
        <w:spacing w:after="0"/>
        <w:rPr>
          <w:rFonts w:eastAsia="Times New Roman"/>
          <w:sz w:val="20"/>
          <w:szCs w:val="20"/>
          <w:lang w:eastAsia="zh-CN"/>
        </w:rPr>
      </w:pPr>
    </w:p>
    <w:p w14:paraId="585ACF1B"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5.4.1 Relaxing financing constraints.</w:t>
      </w:r>
    </w:p>
    <w:p w14:paraId="2EC81F2B" w14:textId="77777777" w:rsidR="005253E1" w:rsidRDefault="005253E1">
      <w:pPr>
        <w:pStyle w:val="Body"/>
        <w:widowControl/>
        <w:spacing w:after="0"/>
        <w:rPr>
          <w:b/>
          <w:bCs/>
          <w:sz w:val="18"/>
          <w:szCs w:val="18"/>
          <w:lang w:eastAsia="zh-CN"/>
        </w:rPr>
      </w:pPr>
    </w:p>
    <w:p w14:paraId="4E608A30"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For enterprises planning to expand overseas, funding is one of the key factors limiting their ability to engage in OFDI. To verify this, this paper will use the SA index as a proxy variable for financing constraints in the regression analysis. The regression results are shown in column (1) of Table 7, where the coefficient of ESG is -0.274, which is significantly negative at the 1% significance level, indicating that the improvement in enterprises' ESG performance promotes an increase in OFDI by alleviating financing constraints (lowering the SA index).The enhancement of ESG significantly strengthens the market competitiveness of enterprises, and enterprises with strong market competitiveness are often viewed as having higher growth potential and lower investment risks, making it easier for them to attract the attention of financial institutions and investors.</w:t>
      </w:r>
    </w:p>
    <w:p w14:paraId="68A23DE9" w14:textId="77777777" w:rsidR="005253E1" w:rsidRDefault="005253E1">
      <w:pPr>
        <w:pStyle w:val="Body"/>
        <w:widowControl/>
        <w:spacing w:after="0"/>
        <w:rPr>
          <w:rFonts w:eastAsia="Times New Roman"/>
          <w:sz w:val="20"/>
          <w:szCs w:val="20"/>
          <w:lang w:eastAsia="zh-CN"/>
        </w:rPr>
      </w:pPr>
    </w:p>
    <w:p w14:paraId="332DF1C1" w14:textId="77777777" w:rsidR="005253E1" w:rsidRDefault="00000000">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5.4.2 Technological spillover effects.</w:t>
      </w:r>
    </w:p>
    <w:p w14:paraId="04A0585A" w14:textId="77777777" w:rsidR="005253E1" w:rsidRDefault="005253E1">
      <w:pPr>
        <w:pStyle w:val="Body"/>
        <w:widowControl/>
        <w:spacing w:after="0"/>
        <w:rPr>
          <w:b/>
          <w:bCs/>
          <w:sz w:val="18"/>
          <w:szCs w:val="18"/>
          <w:lang w:eastAsia="zh-CN"/>
        </w:rPr>
      </w:pPr>
    </w:p>
    <w:p w14:paraId="166A2301"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To explore whether the external output of enterprise technology affects its OFDI decision-making, this paper uses the number of invention authorizations to measure the spillover effects of innovative technology. From the results of the mechanism test, the coefficient is 1.323, which is significantly positively correlated at the 1% level, indicating that the echnological spillover effect of enterprises indeed plays a mediating role in promoting their OFDI through ESG performance.</w:t>
      </w:r>
    </w:p>
    <w:p w14:paraId="00CD9A95" w14:textId="77777777" w:rsidR="005253E1" w:rsidRDefault="005253E1">
      <w:pPr>
        <w:pStyle w:val="Body"/>
        <w:widowControl/>
        <w:spacing w:after="0"/>
        <w:rPr>
          <w:rFonts w:eastAsia="Times New Roman"/>
          <w:sz w:val="20"/>
          <w:szCs w:val="20"/>
          <w:lang w:eastAsia="zh-CN"/>
        </w:rPr>
      </w:pPr>
    </w:p>
    <w:p w14:paraId="6AB008F6"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lastRenderedPageBreak/>
        <w:t>After the Bootstrap test, the z-value of the SA index is 14.72, and the p-value is 0.000. The z-value of invention authorization is 4.86, and the p-value is 0.000, both of which are less than the common significance level (e.g., 0.05), indicating that the mediating effect is statistically significant. In other words, the ESG performance of enterprises affects their financing constraints and technological innovation, thereby bringing about technological spillover effects, which in turn have a significant impact on OFDI.</w:t>
      </w:r>
    </w:p>
    <w:p w14:paraId="7E54C677" w14:textId="77777777" w:rsidR="005253E1" w:rsidRDefault="00000000">
      <w:pPr>
        <w:pStyle w:val="Body"/>
        <w:widowControl/>
        <w:spacing w:after="0"/>
        <w:rPr>
          <w:rFonts w:eastAsia="Times New Roman"/>
          <w:sz w:val="20"/>
          <w:szCs w:val="20"/>
          <w:lang w:eastAsia="zh-CN"/>
        </w:rPr>
      </w:pPr>
      <w:r>
        <w:rPr>
          <w:rFonts w:eastAsia="Times New Roman" w:hint="eastAsia"/>
          <w:sz w:val="20"/>
          <w:szCs w:val="20"/>
          <w:lang w:eastAsia="zh-CN"/>
        </w:rPr>
        <w:t>This study verifies the dual transmission path of financing constraints and technology spillovers. As for the path of financing constraints, this study finds that ESG performance can significantly reduce the SA index of enterprises, which is consistent with the investor confidence transmission mechanism proposed by Guan et al. (2025). Good ESG performance can send a signal of stable operation and controllable risks to international investors. So as to reduce the cost of overseas financing and provide financial support for OFDI. As for the technology spillover path, this study finds that ESG performance can significantly increase the number of invention patents granted by enterprises, that is, ESG practices can encourage enterprises to increase investment in green technology R&amp;D, form differentiated technological advantages, and further promote OFDI through technology output.</w:t>
      </w:r>
    </w:p>
    <w:p w14:paraId="154ECDA0" w14:textId="77777777" w:rsidR="005253E1" w:rsidRDefault="005253E1">
      <w:pPr>
        <w:pStyle w:val="Body"/>
        <w:widowControl/>
        <w:spacing w:after="0"/>
        <w:rPr>
          <w:lang w:eastAsia="zh-CN"/>
        </w:rPr>
      </w:pPr>
    </w:p>
    <w:p w14:paraId="0B33397C" w14:textId="77777777" w:rsidR="005253E1" w:rsidRDefault="00000000">
      <w:pPr>
        <w:widowControl/>
        <w:autoSpaceDE w:val="0"/>
        <w:autoSpaceDN w:val="0"/>
        <w:adjustRightInd w:val="0"/>
        <w:jc w:val="both"/>
        <w:rPr>
          <w:rFonts w:eastAsia="Times New Roman"/>
          <w:b/>
          <w:bCs/>
          <w:sz w:val="20"/>
          <w:lang w:eastAsia="zh-CN"/>
        </w:rPr>
      </w:pPr>
      <w:r>
        <w:rPr>
          <w:rFonts w:eastAsia="Times New Roman" w:hint="eastAsia"/>
          <w:b/>
          <w:bCs/>
          <w:sz w:val="20"/>
          <w:lang w:eastAsia="zh-CN"/>
        </w:rPr>
        <w:t>Table 7: Mechanism Test Results</w:t>
      </w:r>
    </w:p>
    <w:tbl>
      <w:tblPr>
        <w:tblW w:w="4995" w:type="pct"/>
        <w:tblLook w:val="04A0" w:firstRow="1" w:lastRow="0" w:firstColumn="1" w:lastColumn="0" w:noHBand="0" w:noVBand="1"/>
      </w:tblPr>
      <w:tblGrid>
        <w:gridCol w:w="3791"/>
        <w:gridCol w:w="2467"/>
        <w:gridCol w:w="3308"/>
      </w:tblGrid>
      <w:tr w:rsidR="005253E1" w14:paraId="7032C969" w14:textId="77777777">
        <w:trPr>
          <w:trHeight w:val="350"/>
        </w:trPr>
        <w:tc>
          <w:tcPr>
            <w:tcW w:w="1981" w:type="pct"/>
            <w:vMerge w:val="restart"/>
            <w:tcBorders>
              <w:top w:val="single" w:sz="12" w:space="0" w:color="000000"/>
              <w:left w:val="nil"/>
              <w:bottom w:val="single" w:sz="12" w:space="0" w:color="000000"/>
              <w:right w:val="nil"/>
            </w:tcBorders>
            <w:noWrap/>
            <w:vAlign w:val="center"/>
          </w:tcPr>
          <w:p w14:paraId="47311307" w14:textId="77777777" w:rsidR="005253E1" w:rsidRDefault="00000000">
            <w:pPr>
              <w:jc w:val="center"/>
              <w:rPr>
                <w:rFonts w:eastAsia="SimSun"/>
                <w:b/>
                <w:bCs/>
                <w:sz w:val="20"/>
                <w:szCs w:val="20"/>
              </w:rPr>
            </w:pPr>
            <w:r>
              <w:rPr>
                <w:rFonts w:eastAsia="SimSun"/>
                <w:b/>
                <w:bCs/>
                <w:sz w:val="20"/>
                <w:szCs w:val="20"/>
                <w:lang w:eastAsia="zh-CN"/>
              </w:rPr>
              <w:t>Variable</w:t>
            </w:r>
          </w:p>
        </w:tc>
        <w:tc>
          <w:tcPr>
            <w:tcW w:w="1289" w:type="pct"/>
            <w:tcBorders>
              <w:top w:val="single" w:sz="12" w:space="0" w:color="000000"/>
              <w:left w:val="nil"/>
              <w:bottom w:val="single" w:sz="12" w:space="0" w:color="auto"/>
              <w:right w:val="nil"/>
            </w:tcBorders>
            <w:noWrap/>
            <w:vAlign w:val="center"/>
          </w:tcPr>
          <w:p w14:paraId="40B3CA3C" w14:textId="77777777" w:rsidR="005253E1" w:rsidRDefault="00000000">
            <w:pPr>
              <w:jc w:val="center"/>
              <w:rPr>
                <w:rFonts w:eastAsia="SimSun"/>
                <w:b/>
                <w:bCs/>
                <w:sz w:val="20"/>
                <w:szCs w:val="20"/>
                <w:lang w:eastAsia="zh-CN"/>
              </w:rPr>
            </w:pPr>
            <w:r>
              <w:rPr>
                <w:rFonts w:eastAsia="SimSun" w:hint="eastAsia"/>
                <w:b/>
                <w:bCs/>
                <w:sz w:val="20"/>
                <w:szCs w:val="20"/>
                <w:lang w:eastAsia="zh-CN"/>
              </w:rPr>
              <w:t>SA</w:t>
            </w:r>
          </w:p>
        </w:tc>
        <w:tc>
          <w:tcPr>
            <w:tcW w:w="1729" w:type="pct"/>
            <w:tcBorders>
              <w:top w:val="single" w:sz="12" w:space="0" w:color="000000"/>
              <w:left w:val="nil"/>
              <w:bottom w:val="single" w:sz="12" w:space="0" w:color="auto"/>
              <w:right w:val="nil"/>
            </w:tcBorders>
            <w:noWrap/>
            <w:vAlign w:val="center"/>
          </w:tcPr>
          <w:p w14:paraId="4C623FB4" w14:textId="77777777" w:rsidR="005253E1" w:rsidRDefault="00000000">
            <w:pPr>
              <w:jc w:val="center"/>
              <w:rPr>
                <w:rFonts w:eastAsia="SimSun"/>
                <w:b/>
                <w:bCs/>
                <w:sz w:val="20"/>
                <w:szCs w:val="20"/>
                <w:lang w:eastAsia="zh-CN"/>
              </w:rPr>
            </w:pPr>
            <w:r>
              <w:rPr>
                <w:rFonts w:eastAsia="SimSun" w:hint="eastAsia"/>
                <w:b/>
                <w:bCs/>
                <w:sz w:val="20"/>
                <w:szCs w:val="20"/>
                <w:lang w:eastAsia="zh-CN"/>
              </w:rPr>
              <w:t>Patent</w:t>
            </w:r>
          </w:p>
        </w:tc>
      </w:tr>
      <w:tr w:rsidR="005253E1" w14:paraId="0B51041D" w14:textId="77777777">
        <w:trPr>
          <w:trHeight w:val="313"/>
        </w:trPr>
        <w:tc>
          <w:tcPr>
            <w:tcW w:w="1981" w:type="pct"/>
            <w:vMerge w:val="restart"/>
            <w:tcBorders>
              <w:top w:val="nil"/>
              <w:left w:val="nil"/>
              <w:bottom w:val="nil"/>
              <w:right w:val="nil"/>
            </w:tcBorders>
            <w:noWrap/>
            <w:vAlign w:val="center"/>
          </w:tcPr>
          <w:p w14:paraId="6765A5FF" w14:textId="77777777" w:rsidR="005253E1" w:rsidRDefault="00000000">
            <w:pPr>
              <w:jc w:val="center"/>
              <w:rPr>
                <w:lang w:eastAsia="zh-CN"/>
              </w:rPr>
            </w:pPr>
            <w:r>
              <w:rPr>
                <w:lang w:eastAsia="zh-CN"/>
              </w:rPr>
              <w:t>ESG</w:t>
            </w:r>
          </w:p>
        </w:tc>
        <w:tc>
          <w:tcPr>
            <w:tcW w:w="1289" w:type="pct"/>
            <w:tcBorders>
              <w:top w:val="single" w:sz="12" w:space="0" w:color="auto"/>
              <w:left w:val="nil"/>
              <w:bottom w:val="nil"/>
              <w:right w:val="nil"/>
            </w:tcBorders>
            <w:noWrap/>
            <w:vAlign w:val="center"/>
          </w:tcPr>
          <w:p w14:paraId="419E145C" w14:textId="77777777" w:rsidR="005253E1" w:rsidRDefault="00000000">
            <w:pPr>
              <w:jc w:val="center"/>
              <w:rPr>
                <w:lang w:eastAsia="zh-CN"/>
              </w:rPr>
            </w:pPr>
            <w:r>
              <w:rPr>
                <w:rFonts w:hint="eastAsia"/>
                <w:lang w:eastAsia="zh-CN"/>
              </w:rPr>
              <w:t>-0.274***</w:t>
            </w:r>
          </w:p>
        </w:tc>
        <w:tc>
          <w:tcPr>
            <w:tcW w:w="1729" w:type="pct"/>
            <w:tcBorders>
              <w:top w:val="single" w:sz="12" w:space="0" w:color="auto"/>
              <w:left w:val="nil"/>
              <w:bottom w:val="nil"/>
              <w:right w:val="nil"/>
            </w:tcBorders>
            <w:noWrap/>
            <w:vAlign w:val="center"/>
          </w:tcPr>
          <w:p w14:paraId="687FD666" w14:textId="77777777" w:rsidR="005253E1" w:rsidRDefault="00000000">
            <w:pPr>
              <w:jc w:val="center"/>
              <w:rPr>
                <w:lang w:eastAsia="zh-CN"/>
              </w:rPr>
            </w:pPr>
            <w:r>
              <w:rPr>
                <w:rFonts w:hint="eastAsia"/>
                <w:lang w:eastAsia="zh-CN"/>
              </w:rPr>
              <w:t>1.323***</w:t>
            </w:r>
          </w:p>
        </w:tc>
      </w:tr>
      <w:tr w:rsidR="005253E1" w14:paraId="1A437416" w14:textId="77777777">
        <w:trPr>
          <w:trHeight w:val="236"/>
        </w:trPr>
        <w:tc>
          <w:tcPr>
            <w:tcW w:w="1981" w:type="pct"/>
            <w:vMerge/>
            <w:tcBorders>
              <w:top w:val="nil"/>
              <w:left w:val="nil"/>
              <w:bottom w:val="nil"/>
              <w:right w:val="nil"/>
            </w:tcBorders>
            <w:noWrap/>
            <w:vAlign w:val="center"/>
          </w:tcPr>
          <w:p w14:paraId="3E178615" w14:textId="77777777" w:rsidR="005253E1" w:rsidRDefault="005253E1">
            <w:pPr>
              <w:jc w:val="center"/>
              <w:rPr>
                <w:lang w:eastAsia="zh-CN"/>
              </w:rPr>
            </w:pPr>
          </w:p>
        </w:tc>
        <w:tc>
          <w:tcPr>
            <w:tcW w:w="1289" w:type="pct"/>
            <w:tcBorders>
              <w:top w:val="nil"/>
              <w:left w:val="nil"/>
              <w:bottom w:val="nil"/>
              <w:right w:val="nil"/>
            </w:tcBorders>
            <w:noWrap/>
            <w:vAlign w:val="center"/>
          </w:tcPr>
          <w:p w14:paraId="277F9A4A" w14:textId="77777777" w:rsidR="005253E1" w:rsidRDefault="00000000">
            <w:pPr>
              <w:jc w:val="center"/>
              <w:rPr>
                <w:lang w:eastAsia="zh-CN"/>
              </w:rPr>
            </w:pPr>
            <w:r>
              <w:rPr>
                <w:rFonts w:hint="eastAsia"/>
                <w:lang w:eastAsia="zh-CN"/>
              </w:rPr>
              <w:t>(0.0129)</w:t>
            </w:r>
          </w:p>
        </w:tc>
        <w:tc>
          <w:tcPr>
            <w:tcW w:w="1729" w:type="pct"/>
            <w:tcBorders>
              <w:top w:val="nil"/>
              <w:left w:val="nil"/>
              <w:bottom w:val="nil"/>
              <w:right w:val="nil"/>
            </w:tcBorders>
            <w:noWrap/>
            <w:vAlign w:val="center"/>
          </w:tcPr>
          <w:p w14:paraId="654EC75F" w14:textId="77777777" w:rsidR="005253E1" w:rsidRDefault="00000000">
            <w:pPr>
              <w:jc w:val="center"/>
              <w:rPr>
                <w:lang w:eastAsia="zh-CN"/>
              </w:rPr>
            </w:pPr>
            <w:r>
              <w:rPr>
                <w:rFonts w:hint="eastAsia"/>
                <w:lang w:eastAsia="zh-CN"/>
              </w:rPr>
              <w:t xml:space="preserve"> (0.0372)</w:t>
            </w:r>
          </w:p>
        </w:tc>
      </w:tr>
      <w:tr w:rsidR="005253E1" w14:paraId="6ED4516C" w14:textId="77777777">
        <w:trPr>
          <w:trHeight w:val="244"/>
        </w:trPr>
        <w:tc>
          <w:tcPr>
            <w:tcW w:w="1981" w:type="pct"/>
            <w:tcBorders>
              <w:top w:val="nil"/>
              <w:left w:val="nil"/>
              <w:bottom w:val="nil"/>
              <w:right w:val="nil"/>
            </w:tcBorders>
            <w:noWrap/>
            <w:vAlign w:val="center"/>
          </w:tcPr>
          <w:p w14:paraId="28C92B0A" w14:textId="77777777" w:rsidR="005253E1" w:rsidRDefault="00000000">
            <w:pPr>
              <w:jc w:val="center"/>
              <w:rPr>
                <w:lang w:eastAsia="zh-CN"/>
              </w:rPr>
            </w:pPr>
            <w:r>
              <w:rPr>
                <w:rFonts w:hint="eastAsia"/>
              </w:rPr>
              <w:t>Control Variables</w:t>
            </w:r>
          </w:p>
        </w:tc>
        <w:tc>
          <w:tcPr>
            <w:tcW w:w="1289" w:type="pct"/>
            <w:tcBorders>
              <w:top w:val="nil"/>
              <w:left w:val="nil"/>
              <w:bottom w:val="nil"/>
              <w:right w:val="nil"/>
            </w:tcBorders>
            <w:noWrap/>
            <w:vAlign w:val="center"/>
          </w:tcPr>
          <w:p w14:paraId="4884D734" w14:textId="77777777" w:rsidR="005253E1" w:rsidRDefault="00000000">
            <w:pPr>
              <w:jc w:val="center"/>
              <w:rPr>
                <w:lang w:eastAsia="zh-CN"/>
              </w:rPr>
            </w:pPr>
            <w:r>
              <w:rPr>
                <w:lang w:eastAsia="zh-CN"/>
              </w:rPr>
              <w:t>Yes</w:t>
            </w:r>
          </w:p>
        </w:tc>
        <w:tc>
          <w:tcPr>
            <w:tcW w:w="1729" w:type="pct"/>
            <w:tcBorders>
              <w:top w:val="nil"/>
              <w:left w:val="nil"/>
              <w:bottom w:val="nil"/>
              <w:right w:val="nil"/>
            </w:tcBorders>
            <w:noWrap/>
            <w:vAlign w:val="center"/>
          </w:tcPr>
          <w:p w14:paraId="2B40C50D" w14:textId="77777777" w:rsidR="005253E1" w:rsidRDefault="00000000">
            <w:pPr>
              <w:jc w:val="center"/>
              <w:rPr>
                <w:lang w:eastAsia="zh-CN"/>
              </w:rPr>
            </w:pPr>
            <w:r>
              <w:rPr>
                <w:lang w:eastAsia="zh-CN"/>
              </w:rPr>
              <w:t>Yes</w:t>
            </w:r>
          </w:p>
        </w:tc>
      </w:tr>
      <w:tr w:rsidR="005253E1" w14:paraId="559157A2" w14:textId="77777777">
        <w:trPr>
          <w:trHeight w:val="244"/>
        </w:trPr>
        <w:tc>
          <w:tcPr>
            <w:tcW w:w="1981" w:type="pct"/>
            <w:tcBorders>
              <w:top w:val="nil"/>
              <w:left w:val="nil"/>
              <w:bottom w:val="nil"/>
              <w:right w:val="nil"/>
            </w:tcBorders>
            <w:noWrap/>
            <w:vAlign w:val="center"/>
          </w:tcPr>
          <w:p w14:paraId="624483EF" w14:textId="77777777" w:rsidR="005253E1" w:rsidRDefault="00000000">
            <w:pPr>
              <w:jc w:val="center"/>
              <w:rPr>
                <w:lang w:eastAsia="zh-CN"/>
              </w:rPr>
            </w:pPr>
            <w:r>
              <w:rPr>
                <w:lang w:eastAsia="zh-CN"/>
              </w:rPr>
              <w:t>Individual FE</w:t>
            </w:r>
          </w:p>
        </w:tc>
        <w:tc>
          <w:tcPr>
            <w:tcW w:w="1289" w:type="pct"/>
            <w:tcBorders>
              <w:top w:val="nil"/>
              <w:left w:val="nil"/>
              <w:bottom w:val="nil"/>
              <w:right w:val="nil"/>
            </w:tcBorders>
            <w:noWrap/>
            <w:vAlign w:val="center"/>
          </w:tcPr>
          <w:p w14:paraId="798650A5" w14:textId="77777777" w:rsidR="005253E1" w:rsidRDefault="00000000">
            <w:pPr>
              <w:jc w:val="center"/>
              <w:rPr>
                <w:lang w:eastAsia="zh-CN"/>
              </w:rPr>
            </w:pPr>
            <w:r>
              <w:rPr>
                <w:lang w:eastAsia="zh-CN"/>
              </w:rPr>
              <w:t>Yes</w:t>
            </w:r>
          </w:p>
        </w:tc>
        <w:tc>
          <w:tcPr>
            <w:tcW w:w="1729" w:type="pct"/>
            <w:tcBorders>
              <w:top w:val="nil"/>
              <w:left w:val="nil"/>
              <w:bottom w:val="nil"/>
              <w:right w:val="nil"/>
            </w:tcBorders>
            <w:noWrap/>
            <w:vAlign w:val="center"/>
          </w:tcPr>
          <w:p w14:paraId="30D0CE91" w14:textId="77777777" w:rsidR="005253E1" w:rsidRDefault="00000000">
            <w:pPr>
              <w:jc w:val="center"/>
              <w:rPr>
                <w:lang w:eastAsia="zh-CN"/>
              </w:rPr>
            </w:pPr>
            <w:r>
              <w:rPr>
                <w:lang w:eastAsia="zh-CN"/>
              </w:rPr>
              <w:t>Yes</w:t>
            </w:r>
          </w:p>
        </w:tc>
      </w:tr>
      <w:tr w:rsidR="005253E1" w14:paraId="6A135F79" w14:textId="77777777">
        <w:trPr>
          <w:trHeight w:val="244"/>
        </w:trPr>
        <w:tc>
          <w:tcPr>
            <w:tcW w:w="1981" w:type="pct"/>
            <w:tcBorders>
              <w:top w:val="nil"/>
              <w:left w:val="nil"/>
              <w:bottom w:val="nil"/>
              <w:right w:val="nil"/>
            </w:tcBorders>
            <w:noWrap/>
            <w:vAlign w:val="center"/>
          </w:tcPr>
          <w:p w14:paraId="43DBBC37" w14:textId="77777777" w:rsidR="005253E1" w:rsidRDefault="00000000">
            <w:pPr>
              <w:jc w:val="center"/>
              <w:rPr>
                <w:rFonts w:eastAsia="SimSun"/>
                <w:sz w:val="20"/>
                <w:szCs w:val="20"/>
                <w:lang w:eastAsia="zh-CN"/>
              </w:rPr>
            </w:pPr>
            <w:r>
              <w:rPr>
                <w:rFonts w:eastAsia="SimSun"/>
                <w:sz w:val="20"/>
                <w:szCs w:val="20"/>
                <w:lang w:eastAsia="zh-CN"/>
              </w:rPr>
              <w:t>Year FE</w:t>
            </w:r>
          </w:p>
        </w:tc>
        <w:tc>
          <w:tcPr>
            <w:tcW w:w="1289" w:type="pct"/>
            <w:tcBorders>
              <w:top w:val="nil"/>
              <w:left w:val="nil"/>
              <w:bottom w:val="nil"/>
              <w:right w:val="nil"/>
            </w:tcBorders>
            <w:noWrap/>
            <w:vAlign w:val="center"/>
          </w:tcPr>
          <w:p w14:paraId="5FD06611" w14:textId="77777777" w:rsidR="005253E1" w:rsidRDefault="00000000">
            <w:pPr>
              <w:jc w:val="center"/>
              <w:rPr>
                <w:lang w:eastAsia="zh-CN"/>
              </w:rPr>
            </w:pPr>
            <w:r>
              <w:rPr>
                <w:lang w:eastAsia="zh-CN"/>
              </w:rPr>
              <w:t>Yes</w:t>
            </w:r>
          </w:p>
        </w:tc>
        <w:tc>
          <w:tcPr>
            <w:tcW w:w="1729" w:type="pct"/>
            <w:tcBorders>
              <w:top w:val="nil"/>
              <w:left w:val="nil"/>
              <w:bottom w:val="nil"/>
              <w:right w:val="nil"/>
            </w:tcBorders>
            <w:noWrap/>
            <w:vAlign w:val="center"/>
          </w:tcPr>
          <w:p w14:paraId="58E87D14" w14:textId="77777777" w:rsidR="005253E1" w:rsidRDefault="00000000">
            <w:pPr>
              <w:jc w:val="center"/>
              <w:rPr>
                <w:lang w:eastAsia="zh-CN"/>
              </w:rPr>
            </w:pPr>
            <w:r>
              <w:rPr>
                <w:lang w:eastAsia="zh-CN"/>
              </w:rPr>
              <w:t>Yes</w:t>
            </w:r>
          </w:p>
        </w:tc>
      </w:tr>
      <w:tr w:rsidR="005253E1" w14:paraId="78CFEC62" w14:textId="77777777">
        <w:trPr>
          <w:trHeight w:val="244"/>
        </w:trPr>
        <w:tc>
          <w:tcPr>
            <w:tcW w:w="1981" w:type="pct"/>
            <w:tcBorders>
              <w:top w:val="nil"/>
              <w:left w:val="nil"/>
              <w:bottom w:val="nil"/>
              <w:right w:val="nil"/>
            </w:tcBorders>
            <w:noWrap/>
            <w:vAlign w:val="center"/>
          </w:tcPr>
          <w:p w14:paraId="0442A4CA" w14:textId="77777777" w:rsidR="005253E1" w:rsidRDefault="00000000">
            <w:pPr>
              <w:jc w:val="center"/>
              <w:rPr>
                <w:rFonts w:eastAsia="SimSun"/>
                <w:sz w:val="20"/>
                <w:szCs w:val="20"/>
                <w:lang w:eastAsia="zh-CN"/>
              </w:rPr>
            </w:pPr>
            <w:r>
              <w:rPr>
                <w:rFonts w:eastAsia="SimSun"/>
                <w:sz w:val="20"/>
                <w:szCs w:val="20"/>
                <w:lang w:eastAsia="zh-CN"/>
              </w:rPr>
              <w:t>Observations</w:t>
            </w:r>
          </w:p>
        </w:tc>
        <w:tc>
          <w:tcPr>
            <w:tcW w:w="1289" w:type="pct"/>
            <w:tcBorders>
              <w:top w:val="nil"/>
              <w:left w:val="nil"/>
              <w:bottom w:val="nil"/>
              <w:right w:val="nil"/>
            </w:tcBorders>
            <w:noWrap/>
            <w:vAlign w:val="center"/>
          </w:tcPr>
          <w:p w14:paraId="0BB88837" w14:textId="77777777" w:rsidR="005253E1" w:rsidRDefault="00000000">
            <w:pPr>
              <w:jc w:val="center"/>
              <w:rPr>
                <w:lang w:eastAsia="zh-CN"/>
              </w:rPr>
            </w:pPr>
            <w:r>
              <w:rPr>
                <w:rFonts w:hint="eastAsia"/>
                <w:lang w:eastAsia="zh-CN"/>
              </w:rPr>
              <w:t>11160</w:t>
            </w:r>
          </w:p>
        </w:tc>
        <w:tc>
          <w:tcPr>
            <w:tcW w:w="1729" w:type="pct"/>
            <w:tcBorders>
              <w:top w:val="nil"/>
              <w:left w:val="nil"/>
              <w:bottom w:val="nil"/>
              <w:right w:val="nil"/>
            </w:tcBorders>
            <w:noWrap/>
            <w:vAlign w:val="center"/>
          </w:tcPr>
          <w:p w14:paraId="414E6D9D" w14:textId="77777777" w:rsidR="005253E1" w:rsidRDefault="00000000">
            <w:pPr>
              <w:jc w:val="center"/>
              <w:rPr>
                <w:lang w:eastAsia="zh-CN"/>
              </w:rPr>
            </w:pPr>
            <w:r>
              <w:rPr>
                <w:rFonts w:hint="eastAsia"/>
                <w:lang w:eastAsia="zh-CN"/>
              </w:rPr>
              <w:t>12368</w:t>
            </w:r>
          </w:p>
        </w:tc>
      </w:tr>
      <w:tr w:rsidR="005253E1" w14:paraId="4F1DD3EF" w14:textId="77777777">
        <w:trPr>
          <w:trHeight w:val="313"/>
        </w:trPr>
        <w:tc>
          <w:tcPr>
            <w:tcW w:w="1981" w:type="pct"/>
            <w:tcBorders>
              <w:top w:val="nil"/>
              <w:left w:val="nil"/>
              <w:bottom w:val="single" w:sz="12" w:space="0" w:color="000000"/>
              <w:right w:val="nil"/>
            </w:tcBorders>
            <w:noWrap/>
            <w:vAlign w:val="center"/>
          </w:tcPr>
          <w:p w14:paraId="5BAC6F53" w14:textId="77777777" w:rsidR="005253E1" w:rsidRDefault="00000000">
            <w:pPr>
              <w:jc w:val="center"/>
              <w:rPr>
                <w:rFonts w:eastAsia="SimSun"/>
                <w:sz w:val="20"/>
                <w:szCs w:val="20"/>
                <w:lang w:eastAsia="zh-CN"/>
              </w:rPr>
            </w:pPr>
            <w:r>
              <w:rPr>
                <w:rFonts w:eastAsia="SimSun"/>
                <w:sz w:val="20"/>
                <w:szCs w:val="20"/>
                <w:lang w:eastAsia="zh-CN"/>
              </w:rPr>
              <w:t>R2</w:t>
            </w:r>
          </w:p>
        </w:tc>
        <w:tc>
          <w:tcPr>
            <w:tcW w:w="1289" w:type="pct"/>
            <w:tcBorders>
              <w:top w:val="nil"/>
              <w:left w:val="nil"/>
              <w:bottom w:val="single" w:sz="12" w:space="0" w:color="000000"/>
              <w:right w:val="nil"/>
            </w:tcBorders>
            <w:noWrap/>
            <w:vAlign w:val="center"/>
          </w:tcPr>
          <w:p w14:paraId="0137A995" w14:textId="77777777" w:rsidR="005253E1" w:rsidRDefault="00000000">
            <w:pPr>
              <w:jc w:val="center"/>
              <w:rPr>
                <w:lang w:eastAsia="zh-CN"/>
              </w:rPr>
            </w:pPr>
            <w:r>
              <w:rPr>
                <w:rFonts w:hint="eastAsia"/>
                <w:lang w:eastAsia="zh-CN"/>
              </w:rPr>
              <w:t>0.9539</w:t>
            </w:r>
          </w:p>
        </w:tc>
        <w:tc>
          <w:tcPr>
            <w:tcW w:w="1729" w:type="pct"/>
            <w:tcBorders>
              <w:top w:val="nil"/>
              <w:left w:val="nil"/>
              <w:bottom w:val="single" w:sz="12" w:space="0" w:color="000000"/>
              <w:right w:val="nil"/>
            </w:tcBorders>
            <w:noWrap/>
            <w:vAlign w:val="center"/>
          </w:tcPr>
          <w:p w14:paraId="4F717838" w14:textId="77777777" w:rsidR="005253E1" w:rsidRDefault="00000000">
            <w:pPr>
              <w:jc w:val="center"/>
              <w:rPr>
                <w:lang w:eastAsia="zh-CN"/>
              </w:rPr>
            </w:pPr>
            <w:r>
              <w:rPr>
                <w:rFonts w:hint="eastAsia"/>
                <w:lang w:eastAsia="zh-CN"/>
              </w:rPr>
              <w:t>0.0343</w:t>
            </w:r>
          </w:p>
        </w:tc>
      </w:tr>
    </w:tbl>
    <w:p w14:paraId="46586A17" w14:textId="77777777" w:rsidR="005253E1" w:rsidRDefault="005253E1">
      <w:pPr>
        <w:pStyle w:val="AbstHead"/>
        <w:widowControl/>
        <w:spacing w:after="0"/>
        <w:jc w:val="both"/>
        <w:rPr>
          <w:rFonts w:eastAsia="Times New Roman"/>
          <w:szCs w:val="20"/>
          <w:lang w:eastAsia="zh-CN"/>
        </w:rPr>
      </w:pPr>
    </w:p>
    <w:p w14:paraId="48EACE45" w14:textId="564F5167" w:rsidR="005253E1" w:rsidRDefault="00000000">
      <w:pPr>
        <w:pStyle w:val="AbstHead"/>
        <w:widowControl/>
        <w:spacing w:after="0"/>
        <w:jc w:val="both"/>
        <w:rPr>
          <w:rFonts w:eastAsia="Times New Roman"/>
          <w:szCs w:val="20"/>
          <w:lang w:eastAsia="zh-CN"/>
        </w:rPr>
      </w:pPr>
      <w:r>
        <w:rPr>
          <w:rFonts w:eastAsia="Times New Roman" w:hint="eastAsia"/>
          <w:szCs w:val="20"/>
          <w:lang w:eastAsia="zh-CN"/>
        </w:rPr>
        <w:t>6. Conclusions and Policy Recommendations</w:t>
      </w:r>
    </w:p>
    <w:p w14:paraId="72F805B4" w14:textId="77777777" w:rsidR="005253E1" w:rsidRDefault="005253E1">
      <w:pPr>
        <w:pStyle w:val="1"/>
        <w:spacing w:before="0" w:after="0" w:line="240" w:lineRule="auto"/>
        <w:ind w:firstLineChars="0" w:firstLine="0"/>
        <w:rPr>
          <w:rFonts w:ascii="Arial" w:hAnsi="Arial"/>
          <w:sz w:val="20"/>
          <w:szCs w:val="20"/>
        </w:rPr>
      </w:pPr>
    </w:p>
    <w:p w14:paraId="2FFFC606"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 xml:space="preserve">In summary, this article systematically examines the impact and mechanism of corporate ESG performance on OFDI based on data from A-share listed companies in Shanghai and Shenzhen from 2006 to 2024. The regression coefficient of ESG performance is significantly positive at the 1% level, and the conclusion remains robust even after changing the sample range, adjusting control variables, and addressing endogeneity issues. This indicates that the ESG performance of enterprises has a significant promoting effect on both the OFDI flow and investment frequency of the enterprises. The alleviation of financing constraints and technology spillover are two core paths through which ESG promotes OFDI of enterprises. On one hand, good ESG performance can reduce the information asymmetry between enterprises and investors through the signaling effect, alleviate the financing constraints of enterprises, and provide sufficient financial support for OFDI; on the other hand, ESG practices can drive enterprises to increase investment in green technology research and development, improve technological innovation levels, form differentiated technological competitive advantages, and then promote OFDI expansion through technology export. </w:t>
      </w:r>
    </w:p>
    <w:p w14:paraId="025CA2EF" w14:textId="77777777" w:rsidR="005253E1" w:rsidRDefault="005253E1">
      <w:pPr>
        <w:pStyle w:val="1"/>
        <w:spacing w:before="0" w:after="0" w:line="240" w:lineRule="auto"/>
        <w:ind w:firstLineChars="0" w:firstLine="0"/>
        <w:rPr>
          <w:rFonts w:ascii="Arial" w:hAnsi="Arial"/>
          <w:sz w:val="20"/>
          <w:szCs w:val="20"/>
        </w:rPr>
      </w:pPr>
    </w:p>
    <w:p w14:paraId="36E35AA1"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 xml:space="preserve">However, there are still core limitations: first, it only uses Bloomberg's comprehensive ESG score without breaking down the environmental, social, and governance sub-dimensions, which cannot reveal the differentiated effects of each dimension on OFDI; second, it only measures OFDI in terms of flow and frequency, without addressing investment performance, investment models, location choices, and other quality and structural characteristics; third, it only verifies two mechanisms: financing constraints and technology spillovers, without considering paths such as brand value and supply chain resilience, nor including key heterogeneous factors like host country ESG regulation and institutional quality; fourth, the sample only covers listed companies, limiting the external validity of the conclusions. </w:t>
      </w:r>
    </w:p>
    <w:p w14:paraId="4B18A7FC" w14:textId="77777777" w:rsidR="005253E1" w:rsidRDefault="005253E1">
      <w:pPr>
        <w:pStyle w:val="1"/>
        <w:spacing w:before="0" w:after="0" w:line="240" w:lineRule="auto"/>
        <w:ind w:firstLineChars="0" w:firstLine="0"/>
        <w:rPr>
          <w:rFonts w:ascii="Arial" w:hAnsi="Arial"/>
          <w:sz w:val="20"/>
          <w:szCs w:val="20"/>
        </w:rPr>
      </w:pPr>
    </w:p>
    <w:p w14:paraId="0BF142B2"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 xml:space="preserve">To address these shortcomings, future research can deepen in four aspects: first, subdivide ESG sub-dimensions and conduct comparative analysis of their impact intensity and mechanism differences on different types of OFDI; second, expand the measurement dimensions of OFDI, focusing on exploring the </w:t>
      </w:r>
      <w:r>
        <w:rPr>
          <w:rFonts w:ascii="Arial" w:hAnsi="Arial" w:hint="eastAsia"/>
          <w:sz w:val="20"/>
          <w:szCs w:val="20"/>
        </w:rPr>
        <w:lastRenderedPageBreak/>
        <w:t>impact of ESG on the quality and structure of overseas investments; third, improve mechanism and heterogeneity analysis by incorporating host country characteristics and the moderating effects of external policies; fourth, identify and analyze the risks related to ESG performance and their impact on foreign direct investment. At the same time, expand the sample to include non-listed enterprises, and conduct research by integrating ESG with topics such as OFDI resilience and green OFDI. This will provide more comprehensive theoretical support for the internationalization of enterprises.</w:t>
      </w:r>
    </w:p>
    <w:p w14:paraId="41985977" w14:textId="77777777" w:rsidR="005253E1" w:rsidRDefault="005253E1"/>
    <w:p w14:paraId="0CAD09EB"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Based on the above conclusions, the following policy recommendations are proposed:</w:t>
      </w:r>
    </w:p>
    <w:p w14:paraId="65622E1F" w14:textId="77777777" w:rsidR="005253E1" w:rsidRDefault="005253E1">
      <w:pPr>
        <w:rPr>
          <w:lang w:eastAsia="zh-CN"/>
        </w:rPr>
      </w:pPr>
    </w:p>
    <w:p w14:paraId="02904C7C"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First, establish the "framework" of the ESG management system: It is necessary to clarify the responsibilities of various departments and positions in promoting ESG work, viewing ESG as a "tool" for enhancing competitiveness rather than merely a cost burden. In particular, small and medium-sized enterprises and traditional industries should actively learn from and draw on the experiences of leading ESG companies, integrating ESG concepts into their development strategies. Incorporate ESG concepts into the interaction model between corporate development and stakeholders, and establish a reward and punishment assessment system that integrates ESG.An effective governance mechanism can improve the decision-making efficiency and risk management capabilities of enterprises, ensuring the scientific and rational nature of investment decisions.</w:t>
      </w:r>
    </w:p>
    <w:p w14:paraId="74D2CFC4" w14:textId="77777777" w:rsidR="005253E1" w:rsidRDefault="005253E1">
      <w:pPr>
        <w:rPr>
          <w:lang w:eastAsia="zh-CN"/>
        </w:rPr>
      </w:pPr>
    </w:p>
    <w:p w14:paraId="56797E2D"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Second, efforts should be made in ESG information disclosure: Companies should follow relevant standards and guidelines to ensure that the disclosed information is true, accurate, and complete. Collaborating with third-party verification agencies can add a "safety lock" to the credibility of ESG reports, enhancing the trust of investors and other stakeholders in the company.Investment in social responsibility by companies can promote harmonious coexistence with the host country community, laying a foundation for the long-term development of the company.</w:t>
      </w:r>
    </w:p>
    <w:p w14:paraId="0DEA6B61" w14:textId="77777777" w:rsidR="005253E1" w:rsidRDefault="005253E1">
      <w:pPr>
        <w:rPr>
          <w:lang w:eastAsia="zh-CN"/>
        </w:rPr>
      </w:pPr>
    </w:p>
    <w:p w14:paraId="75261258"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Third, increase investment in green technology innovation: Utilize technological innovation to optimize ESG performance and enhance core competitiveness. Investment and innovation in green technology can not only help companies build a good image in the environmental protection field but also open the door to international markets through technology export and cooperation.Leverage technological advantages to promote foreign direct investment, transfer advanced technology overseas, or establish R&amp;D centers in the host country to gain reverse technology spillovers.</w:t>
      </w:r>
    </w:p>
    <w:p w14:paraId="509ABD51" w14:textId="77777777" w:rsidR="005253E1" w:rsidRDefault="005253E1">
      <w:pPr>
        <w:rPr>
          <w:lang w:eastAsia="zh-CN"/>
        </w:rPr>
      </w:pPr>
    </w:p>
    <w:p w14:paraId="5B5DB64C"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Fourth, the government should play a "conducting role": Formulate and improve relevant policies and regulations, incorporating ESG evaluation factors into the approval of foreign investment, tax incentives, and financial subsidies. Provide more policy support and incentives to companies with excellent ESG performance, guiding them to actively engage in foreign direct investment.</w:t>
      </w:r>
    </w:p>
    <w:p w14:paraId="352774B3" w14:textId="77777777" w:rsidR="005253E1" w:rsidRDefault="005253E1">
      <w:pPr>
        <w:rPr>
          <w:lang w:eastAsia="zh-CN"/>
        </w:rPr>
      </w:pPr>
    </w:p>
    <w:p w14:paraId="45B4D0DE" w14:textId="77777777" w:rsidR="005253E1" w:rsidRDefault="00000000">
      <w:pPr>
        <w:pStyle w:val="1"/>
        <w:spacing w:before="0" w:after="0" w:line="240" w:lineRule="auto"/>
        <w:ind w:firstLineChars="0" w:firstLine="0"/>
        <w:rPr>
          <w:rFonts w:ascii="Arial" w:hAnsi="Arial"/>
          <w:sz w:val="20"/>
          <w:szCs w:val="20"/>
        </w:rPr>
      </w:pPr>
      <w:r>
        <w:rPr>
          <w:rFonts w:ascii="Arial" w:hAnsi="Arial" w:hint="eastAsia"/>
          <w:sz w:val="20"/>
          <w:szCs w:val="20"/>
        </w:rPr>
        <w:t>Finally, "Unified planning" of ESG disclosure standards: Integrate the requirements of the Securities Regulatory Commission, exchanges, industry associations, and other parties to construct a unified and standardized ESG disclosure standard. At the same time, actively promote the alignment of domestic standards with international guidelines (such as GRI, TCFD) to enhance the transparency and comparability of domestic companies in the international market. Shift ESG information disclosure from the realm of corporate social responsibility to the field of securities regulation, transitioning from "voluntary disclosure" to a combined model of "mandatory + voluntary."</w:t>
      </w:r>
    </w:p>
    <w:p w14:paraId="44BDA652" w14:textId="77777777" w:rsidR="005253E1" w:rsidRDefault="005253E1"/>
    <w:p w14:paraId="21762114" w14:textId="77777777" w:rsidR="005253E1" w:rsidRDefault="005253E1">
      <w:pPr>
        <w:pStyle w:val="ReferHead"/>
        <w:spacing w:after="0"/>
        <w:jc w:val="both"/>
        <w:rPr>
          <w:b w:val="0"/>
          <w:caps w:val="0"/>
          <w:sz w:val="20"/>
        </w:rPr>
      </w:pPr>
    </w:p>
    <w:p w14:paraId="4BDFAFE4" w14:textId="77777777" w:rsidR="005253E1" w:rsidRDefault="00000000">
      <w:pPr>
        <w:pStyle w:val="ReferHead"/>
        <w:spacing w:after="0"/>
        <w:jc w:val="both"/>
        <w:rPr>
          <w:bCs/>
        </w:rPr>
      </w:pPr>
      <w:r>
        <w:rPr>
          <w:rFonts w:hint="eastAsia"/>
          <w:bCs/>
        </w:rPr>
        <w:t>Data Availability Statement</w:t>
      </w:r>
    </w:p>
    <w:p w14:paraId="5F6B9D6F" w14:textId="77777777" w:rsidR="005253E1" w:rsidRDefault="005253E1">
      <w:pPr>
        <w:pStyle w:val="ReferHead"/>
        <w:spacing w:after="0"/>
        <w:jc w:val="both"/>
        <w:rPr>
          <w:b w:val="0"/>
          <w:caps w:val="0"/>
          <w:sz w:val="20"/>
        </w:rPr>
      </w:pPr>
    </w:p>
    <w:p w14:paraId="3E83A2D6" w14:textId="77777777" w:rsidR="005253E1" w:rsidRDefault="00000000">
      <w:pPr>
        <w:pStyle w:val="ReferHead"/>
        <w:spacing w:after="0"/>
        <w:jc w:val="both"/>
        <w:rPr>
          <w:b w:val="0"/>
          <w:caps w:val="0"/>
          <w:sz w:val="20"/>
        </w:rPr>
      </w:pPr>
      <w:r>
        <w:rPr>
          <w:rFonts w:hint="eastAsia"/>
          <w:b w:val="0"/>
          <w:caps w:val="0"/>
          <w:sz w:val="20"/>
        </w:rPr>
        <w:t>The datasets generated and analyzed during the current study are derived from publicly available macro-level databases (such as the Wind Data</w:t>
      </w:r>
      <w:r>
        <w:rPr>
          <w:rFonts w:eastAsia="SimSun" w:hint="eastAsia"/>
          <w:b w:val="0"/>
          <w:caps w:val="0"/>
          <w:sz w:val="20"/>
          <w:lang w:eastAsia="zh-CN"/>
        </w:rPr>
        <w:t>b</w:t>
      </w:r>
      <w:r>
        <w:rPr>
          <w:rFonts w:hint="eastAsia"/>
          <w:b w:val="0"/>
          <w:caps w:val="0"/>
          <w:sz w:val="20"/>
        </w:rPr>
        <w:t>ase). The aggregated data and replication codes supporting the findings of this study are available from the corresponding author upon reasonable request.</w:t>
      </w:r>
    </w:p>
    <w:p w14:paraId="5B0ABAB7" w14:textId="77777777" w:rsidR="005253E1" w:rsidRDefault="005253E1">
      <w:pPr>
        <w:pStyle w:val="ReferHead"/>
        <w:spacing w:after="0"/>
        <w:jc w:val="both"/>
        <w:rPr>
          <w:b w:val="0"/>
          <w:caps w:val="0"/>
          <w:sz w:val="20"/>
        </w:rPr>
      </w:pPr>
    </w:p>
    <w:p w14:paraId="45A9E98E" w14:textId="77777777" w:rsidR="005253E1" w:rsidRDefault="00000000">
      <w:pPr>
        <w:widowControl/>
        <w:spacing w:after="200" w:line="276" w:lineRule="auto"/>
        <w:rPr>
          <w:rFonts w:eastAsia="Times New Roman"/>
          <w:b/>
          <w:bCs/>
          <w:lang w:val="en-GB" w:eastAsia="en-GB"/>
        </w:rPr>
      </w:pPr>
      <w:r>
        <w:rPr>
          <w:rFonts w:eastAsia="Times New Roman"/>
          <w:b/>
          <w:bCs/>
          <w:lang w:val="en-GB" w:eastAsia="en-GB"/>
        </w:rPr>
        <w:t>COMPETING INTERESTS DISCLAIMER:</w:t>
      </w:r>
    </w:p>
    <w:p w14:paraId="2271B5B8" w14:textId="77777777" w:rsidR="005253E1" w:rsidRDefault="00000000">
      <w:pPr>
        <w:widowControl/>
        <w:spacing w:after="200" w:line="276" w:lineRule="auto"/>
        <w:rPr>
          <w:rFonts w:eastAsia="Times New Roman"/>
          <w:lang w:val="en-GB" w:eastAsia="en-GB"/>
        </w:rPr>
      </w:pPr>
      <w:r>
        <w:rPr>
          <w:rFonts w:eastAsia="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7F55121B" w14:textId="77777777" w:rsidR="005253E1" w:rsidRDefault="00000000">
      <w:pPr>
        <w:rPr>
          <w:b/>
        </w:rPr>
      </w:pPr>
      <w:r>
        <w:rPr>
          <w:b/>
        </w:rPr>
        <w:t>Disclaimer (Artificial intelligence)</w:t>
      </w:r>
    </w:p>
    <w:p w14:paraId="7DA493D6" w14:textId="77777777" w:rsidR="005253E1" w:rsidRDefault="00000000">
      <w:pPr>
        <w:rPr>
          <w:rFonts w:eastAsia="Times New Roman"/>
          <w:szCs w:val="20"/>
          <w:lang w:eastAsia="zh-CN"/>
        </w:rPr>
      </w:pPr>
      <w:r>
        <w:t xml:space="preserve">Author(s) hereby declare that NO generative AI technologies such as Large Language Models (ChatGPT, COPILOT, etc.) and text-to-image generators have been used during the writing or editing of this manuscript. </w:t>
      </w:r>
    </w:p>
    <w:p w14:paraId="2DC866AA" w14:textId="77777777" w:rsidR="005253E1" w:rsidRDefault="005253E1">
      <w:pPr>
        <w:rPr>
          <w:rFonts w:eastAsia="Times New Roman"/>
          <w:szCs w:val="20"/>
          <w:lang w:eastAsia="zh-CN"/>
        </w:rPr>
      </w:pPr>
    </w:p>
    <w:p w14:paraId="7C174D37" w14:textId="77777777" w:rsidR="005253E1" w:rsidRDefault="00000000">
      <w:pPr>
        <w:pStyle w:val="ReferHead"/>
        <w:widowControl/>
        <w:spacing w:after="0"/>
        <w:jc w:val="both"/>
        <w:rPr>
          <w:rFonts w:eastAsia="Times New Roman"/>
          <w:szCs w:val="20"/>
          <w:lang w:eastAsia="zh-CN"/>
        </w:rPr>
      </w:pPr>
      <w:r>
        <w:rPr>
          <w:rFonts w:eastAsia="Times New Roman" w:hint="eastAsia"/>
          <w:szCs w:val="20"/>
          <w:lang w:eastAsia="zh-CN"/>
        </w:rPr>
        <w:t>References</w:t>
      </w:r>
    </w:p>
    <w:p w14:paraId="24FA1F6F" w14:textId="77777777" w:rsidR="005253E1" w:rsidRDefault="005253E1">
      <w:pPr>
        <w:pStyle w:val="ReferHead"/>
        <w:widowControl/>
        <w:spacing w:after="0"/>
        <w:jc w:val="both"/>
        <w:rPr>
          <w:rFonts w:eastAsia="Times New Roman"/>
          <w:szCs w:val="20"/>
          <w:lang w:eastAsia="zh-CN"/>
        </w:rPr>
      </w:pPr>
    </w:p>
    <w:p w14:paraId="2A94A0E5"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Le Chang, Yaqing Su &amp; Jing Li. (2026). ESG Performance and the Phase-Dependent Resilience of Outward Foreign Direct Investment: Evidence from Chinese Multinationals. Sustainability, 18(7), 3407-3407.</w:t>
      </w:r>
    </w:p>
    <w:p w14:paraId="22ED342E"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Feng Wang, Huadan Han &amp; Lei Zeng. (2026). The ESG performance of companies and their outward foreign direct investment: evidence from China. International Journal of Emerging Markets, 21(1), 25-46.</w:t>
      </w:r>
    </w:p>
    <w:p w14:paraId="00F78B07"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Xin Guan, Xinyue Wu &amp; Wenli Zheng. (2025). ESG Performance, Investor Confidence, and Foreign Direct Investment: Evidence from Listed Companies in China. Emerging Markets Finance and Trade, 61(11), 3406-3422.</w:t>
      </w:r>
    </w:p>
    <w:p w14:paraId="339D3581"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Jing Zhou, Kaiwen Wu &amp; Youwei Li. (2025). Does firm internationalization improve ESG performance? Evidence from China. International Review of Economics and Finance, 101, 104168-104168.</w:t>
      </w:r>
    </w:p>
    <w:p w14:paraId="311A64EA"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Souad Bannour &amp; Nagwa Amin Abdelkawy. (2024). Sovereign ESG and Foreign Direct Investment in the GCC: The Amplifying Role of Trade Openness in Economic Diversification. Sustainability, 16(21), 9326-9326.</w:t>
      </w:r>
    </w:p>
    <w:p w14:paraId="5C9E3C2F"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Lingli Qing, Abd Alwahed Dagestani, Eun Young Nam &amp; Chengqi Wang. (2024). Does firm-level exposure to climate change influence inward foreign direct investment? Revealing the moderating role of ESG performance. Corporate Social Responsibility and Environmental Management, 31(6), 6167-6183.</w:t>
      </w:r>
    </w:p>
    <w:p w14:paraId="3D77D118"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Muhammad Usman Khurram, Wajih Abbassi, Yifan Chen &amp; Lifeng Chen. (2024). Outward foreign investment performance, digital transformation, and ESG performance: Evidence from China. Global Finance Journal, 60, 100963.</w:t>
      </w:r>
    </w:p>
    <w:p w14:paraId="389D6B2C"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Jing Zeng, Bingqian Zhang &amp; Kevin K. Li. (2024). The impact of free trade zones on ESG performance: Evidence from China. International Review of Economics and Finance, 91, 1110-1122.</w:t>
      </w:r>
    </w:p>
    <w:p w14:paraId="0A254E94"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Xiali Wang, Kangjun Ren, Lanhua Li, Yuhao Qiao &amp; Bao Wu. (2024). How does ESG performance impact corporate outward foreign direct investment? Journal of International Financial Management &amp; Accounting, 35(2), 534-583.</w:t>
      </w:r>
    </w:p>
    <w:p w14:paraId="54444434"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Yang Feng, Chen Tingwei &amp; Zhang Zongbin. (2023). Can environmental, social, and governance performance drive two-way foreign direct investment behavior? Evidence from Chinese listed companies. Journal of Cleaner Production, 430,126789</w:t>
      </w:r>
      <w:r>
        <w:rPr>
          <w:rFonts w:ascii="Arial" w:hAnsi="Arial"/>
          <w:sz w:val="20"/>
          <w:szCs w:val="20"/>
        </w:rPr>
        <w:t>.</w:t>
      </w:r>
    </w:p>
    <w:p w14:paraId="59F960D2"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Ioannis Katsampoxakis, Anastasia Griva &amp; Stylianos Xanthopoulos. (2026). ESG Investments: a Study of Their Role in Risk Management and Sustainable Economic Growth. Journal of the Knowledge Economy, (prepublish), 1-26.</w:t>
      </w:r>
    </w:p>
    <w:p w14:paraId="4F0441A3"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Hai Hong Trinh. (2026). Corporate ESG profile, innovation investment, and cost of debt financing: Global evidence from uncertainty episodes. Strategic Business Research, 2(1), 100079-100079.</w:t>
      </w:r>
    </w:p>
    <w:p w14:paraId="7156F2E3"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Salman Khan. (2026). Financial development and climate risk: unpacking the mediating role of ESG performance. Finance Research Letters, 94, 109654-109654.</w:t>
      </w:r>
    </w:p>
    <w:p w14:paraId="2FB0E527"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Dang Thi Quynh Anh, Luu Thu Quang, Nguyen Duy Linh, Tran Duc Thuc &amp; Tran Hoang Vu. (2026). Does ESG Contribute to Pump-and-Dump Schemes of Insider Investors on the Stock Market? Economics, 20(1), 20250192-20250192.</w:t>
      </w:r>
    </w:p>
    <w:p w14:paraId="3053D838"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Long Tang, Jin Hu, Peter J. Stauvermann &amp; Ziyi Xiong. (2026). The impact of short-term debt for long-term investment on corporate ESG performance. Finance Research Letters, 91, 109459-109459.</w:t>
      </w:r>
    </w:p>
    <w:p w14:paraId="1B9AA806"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Guoyu Mao &amp; Tharitsaya Kongkaew.(2026).ESG’s path to value: the role of total factor productivity and R&amp;D innovation investment.Journal of Chinese Economic and Business Studies,24(1),127-150.</w:t>
      </w:r>
    </w:p>
    <w:p w14:paraId="172CB331"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lastRenderedPageBreak/>
        <w:t xml:space="preserve"> </w:t>
      </w:r>
      <w:r>
        <w:rPr>
          <w:rFonts w:ascii="Arial" w:hAnsi="Arial" w:hint="default"/>
          <w:sz w:val="20"/>
          <w:szCs w:val="20"/>
        </w:rPr>
        <w:t>Mariam Elbayar,Taicir Mezghani &amp; Mouna Boujelbène Abbes.(2026).Fear and Greed Amid Market Turmoil : Impact on Stock Markets, ESG Assets, and Green Fintech.Journal of Chinese Economic and Business Studies,24(1),71-104.</w:t>
      </w:r>
    </w:p>
    <w:p w14:paraId="28E31D71"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Vicente J. Bermejo,Antonino Emanuele Rizzo &amp; Mohammed Zakriya.(2026).What drives corporate ESG? Disentangling the importance of investors and managers.Journal of Financial Intermediation,65,101194-101194.</w:t>
      </w:r>
    </w:p>
    <w:p w14:paraId="2BED4C32"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Paul, J., &amp; Benito, G. R. (2018). A review of research on outward foreign direct investment from emerging countries, including China: what do we know, how do we know and where should we be heading?. Asia Pacific Business Review, 24(1), 90-115.</w:t>
      </w:r>
    </w:p>
    <w:p w14:paraId="4990F354"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Kyrkilis, D., &amp; Pantelidis, P. (2003). Macroeconomic determinants of outward foreign direct investment. International Journal of Social Economics, 30(7), 827-836.</w:t>
      </w:r>
    </w:p>
    <w:p w14:paraId="58D3BD33"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Shi, W., Sun, S. L., Yan, D., &amp; Zhu, Z. (2017). Institutional fragility and outward foreign direct investment from China. Journal of International Business Studies, 48(4), 452-476.</w:t>
      </w:r>
    </w:p>
    <w:p w14:paraId="4E0E25A4"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Chen, W., Zhang, L., Jiang, P., Meng, F., &amp; Sun, Q. (2022). Can digital transformation improve the information environment of the capital market? Evidence from the analysts' prediction behaviour. Accounting &amp; Finance, 62(2), 2543-2578.</w:t>
      </w:r>
    </w:p>
    <w:p w14:paraId="0FC6F5CC"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Campbell, J. T., Eden, L., &amp; Miller, S. R. (2012). Multinationals and corporate social responsibility in host countries: Does distance matter?. Journal of international business studies, 43(1), 84-106.</w:t>
      </w:r>
    </w:p>
    <w:p w14:paraId="5ED05831"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Hadlock, C. J., &amp; Pierce, J. R. (2010). New evidence on measuring financial constraints: Moving beyond the KZ index. The review of financial studies, 23(5), 1909-1940.</w:t>
      </w:r>
    </w:p>
    <w:p w14:paraId="79D43BC5"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Doh, J. P., &amp; Guay, T. R. (2006). Corporate social responsibility, public policy, and NGO activism in Europe and the United States: An institutional</w:t>
      </w:r>
      <w:r>
        <w:rPr>
          <w:rFonts w:ascii="Arial" w:hAnsi="Arial"/>
          <w:sz w:val="20"/>
          <w:szCs w:val="20"/>
        </w:rPr>
        <w:t>‐</w:t>
      </w:r>
      <w:r>
        <w:rPr>
          <w:rFonts w:ascii="Arial" w:hAnsi="Arial"/>
          <w:sz w:val="20"/>
          <w:szCs w:val="20"/>
        </w:rPr>
        <w:t>stakeholder perspective. Journal of Management studies, 43(1), 47-73.</w:t>
      </w:r>
    </w:p>
    <w:p w14:paraId="5E05EAF4" w14:textId="77777777" w:rsidR="005253E1" w:rsidRDefault="00000000">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Matten, D., &amp; Moon, J. (2008). </w:t>
      </w:r>
      <w:r>
        <w:rPr>
          <w:rFonts w:ascii="Arial" w:hAnsi="Arial"/>
          <w:sz w:val="20"/>
          <w:szCs w:val="20"/>
        </w:rPr>
        <w:t>“</w:t>
      </w:r>
      <w:r>
        <w:rPr>
          <w:rFonts w:ascii="Arial" w:hAnsi="Arial"/>
          <w:sz w:val="20"/>
          <w:szCs w:val="20"/>
        </w:rPr>
        <w:t>Implicit</w:t>
      </w:r>
      <w:r>
        <w:rPr>
          <w:rFonts w:ascii="Arial" w:hAnsi="Arial"/>
          <w:sz w:val="20"/>
          <w:szCs w:val="20"/>
        </w:rPr>
        <w:t>”</w:t>
      </w:r>
      <w:r>
        <w:rPr>
          <w:rFonts w:ascii="Arial" w:hAnsi="Arial"/>
          <w:sz w:val="20"/>
          <w:szCs w:val="20"/>
        </w:rPr>
        <w:t xml:space="preserve"> and </w:t>
      </w:r>
      <w:r>
        <w:rPr>
          <w:rFonts w:ascii="Arial" w:hAnsi="Arial"/>
          <w:sz w:val="20"/>
          <w:szCs w:val="20"/>
        </w:rPr>
        <w:t>“</w:t>
      </w:r>
      <w:r>
        <w:rPr>
          <w:rFonts w:ascii="Arial" w:hAnsi="Arial"/>
          <w:sz w:val="20"/>
          <w:szCs w:val="20"/>
        </w:rPr>
        <w:t>explicit</w:t>
      </w:r>
      <w:r>
        <w:rPr>
          <w:rFonts w:ascii="Arial" w:hAnsi="Arial"/>
          <w:sz w:val="20"/>
          <w:szCs w:val="20"/>
        </w:rPr>
        <w:t>”</w:t>
      </w:r>
      <w:r>
        <w:rPr>
          <w:rFonts w:ascii="Arial" w:hAnsi="Arial"/>
          <w:sz w:val="20"/>
          <w:szCs w:val="20"/>
        </w:rPr>
        <w:t xml:space="preserve"> CSR: A conceptual framework for a comparative understanding of corporate social responsibility. Academy of management Review, 33(2), 404-424.</w:t>
      </w:r>
    </w:p>
    <w:p w14:paraId="24136C2F" w14:textId="77777777" w:rsidR="005253E1" w:rsidRDefault="005253E1"/>
    <w:sectPr w:rsidR="005253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D4CD" w14:textId="77777777" w:rsidR="00776914" w:rsidRDefault="00776914">
      <w:r>
        <w:separator/>
      </w:r>
    </w:p>
  </w:endnote>
  <w:endnote w:type="continuationSeparator" w:id="0">
    <w:p w14:paraId="5D96E852" w14:textId="77777777" w:rsidR="00776914" w:rsidRDefault="0077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ogle Sans">
    <w:altName w:val="Segoe Print"/>
    <w:charset w:val="00"/>
    <w:family w:val="auto"/>
    <w:pitch w:val="default"/>
  </w:font>
  <w:font w:name="Google Sans Tex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7370" w14:textId="77777777" w:rsidR="005253E1" w:rsidRDefault="0052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4A8C" w14:textId="77777777" w:rsidR="005253E1" w:rsidRDefault="00000000">
    <w:pPr>
      <w:pStyle w:val="Footer"/>
    </w:pPr>
    <w:r>
      <w:rPr>
        <w:noProof/>
      </w:rPr>
      <mc:AlternateContent>
        <mc:Choice Requires="wps">
          <w:drawing>
            <wp:anchor distT="0" distB="0" distL="114300" distR="114300" simplePos="0" relativeHeight="251660288" behindDoc="0" locked="0" layoutInCell="1" allowOverlap="1" wp14:anchorId="0F85A5C5" wp14:editId="153531D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CB324" w14:textId="77777777" w:rsidR="005253E1"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85A5C5"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6CB324" w14:textId="77777777" w:rsidR="005253E1"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9CF3" w14:textId="77777777" w:rsidR="005253E1" w:rsidRDefault="0052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8532" w14:textId="77777777" w:rsidR="00776914" w:rsidRDefault="00776914">
      <w:r>
        <w:separator/>
      </w:r>
    </w:p>
  </w:footnote>
  <w:footnote w:type="continuationSeparator" w:id="0">
    <w:p w14:paraId="4EBF72EE" w14:textId="77777777" w:rsidR="00776914" w:rsidRDefault="0077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4991" w14:textId="77777777" w:rsidR="005253E1" w:rsidRDefault="00000000">
    <w:pPr>
      <w:pStyle w:val="Header"/>
    </w:pPr>
    <w:r>
      <w:pict w14:anchorId="5F238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36626" o:spid="_x0000_s1026" type="#_x0000_t136" style="position:absolute;margin-left:0;margin-top:0;width:592.85pt;height:66.9pt;rotation:315;z-index:-251654144;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7FA" w14:textId="77777777" w:rsidR="005253E1" w:rsidRDefault="00000000">
    <w:pPr>
      <w:pStyle w:val="Header"/>
    </w:pPr>
    <w:r>
      <w:pict w14:anchorId="70AF4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36627" o:spid="_x0000_s1027" type="#_x0000_t136" style="position:absolute;margin-left:0;margin-top:0;width:592.85pt;height:66.9pt;rotation:315;z-index:-251653120;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9C4E" w14:textId="77777777" w:rsidR="005253E1" w:rsidRDefault="00000000">
    <w:pPr>
      <w:pStyle w:val="Header"/>
    </w:pPr>
    <w:r>
      <w:pict w14:anchorId="34C5A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36625" o:spid="_x0000_s1025"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09CCC"/>
    <w:multiLevelType w:val="singleLevel"/>
    <w:tmpl w:val="8E109CCC"/>
    <w:lvl w:ilvl="0">
      <w:start w:val="1"/>
      <w:numFmt w:val="decimal"/>
      <w:suff w:val="nothing"/>
      <w:lvlText w:val="[%1]"/>
      <w:lvlJc w:val="left"/>
      <w:pPr>
        <w:ind w:left="0" w:firstLine="0"/>
      </w:pPr>
      <w:rPr>
        <w:rFonts w:hint="default"/>
      </w:rPr>
    </w:lvl>
  </w:abstractNum>
  <w:num w:numId="1" w16cid:durableId="90460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0864CCD"/>
    <w:rsid w:val="0008758D"/>
    <w:rsid w:val="00127F5C"/>
    <w:rsid w:val="00134D9D"/>
    <w:rsid w:val="00254024"/>
    <w:rsid w:val="00402E51"/>
    <w:rsid w:val="004563EF"/>
    <w:rsid w:val="005253E1"/>
    <w:rsid w:val="00542D7F"/>
    <w:rsid w:val="0056545C"/>
    <w:rsid w:val="00674C07"/>
    <w:rsid w:val="006A6D6F"/>
    <w:rsid w:val="00776914"/>
    <w:rsid w:val="00A31F40"/>
    <w:rsid w:val="00B9018A"/>
    <w:rsid w:val="00B969A7"/>
    <w:rsid w:val="00BB4F60"/>
    <w:rsid w:val="00CC2F01"/>
    <w:rsid w:val="00DF21BA"/>
    <w:rsid w:val="00E67C3D"/>
    <w:rsid w:val="00E702BD"/>
    <w:rsid w:val="00EA233A"/>
    <w:rsid w:val="00F63925"/>
    <w:rsid w:val="0737795B"/>
    <w:rsid w:val="0E1327A4"/>
    <w:rsid w:val="0FD0094D"/>
    <w:rsid w:val="10864CCD"/>
    <w:rsid w:val="13A9398F"/>
    <w:rsid w:val="19794F57"/>
    <w:rsid w:val="207847DD"/>
    <w:rsid w:val="20F63F8C"/>
    <w:rsid w:val="2ED3590C"/>
    <w:rsid w:val="316715D0"/>
    <w:rsid w:val="344A041F"/>
    <w:rsid w:val="35AB75E3"/>
    <w:rsid w:val="36C344B8"/>
    <w:rsid w:val="39551D3F"/>
    <w:rsid w:val="4C653BF0"/>
    <w:rsid w:val="4D38293A"/>
    <w:rsid w:val="50830AE8"/>
    <w:rsid w:val="50EC4DE0"/>
    <w:rsid w:val="54161C73"/>
    <w:rsid w:val="54FB37B9"/>
    <w:rsid w:val="61B17569"/>
    <w:rsid w:val="69586E9C"/>
    <w:rsid w:val="69BD2E65"/>
    <w:rsid w:val="7D51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522363"/>
  <w15:docId w15:val="{D2DE812C-90BD-4DD4-88BB-6678D50F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eastAsia="Arial" w:hAnsi="Arial" w:cs="Arial"/>
      <w:sz w:val="22"/>
      <w:szCs w:val="22"/>
    </w:rPr>
  </w:style>
  <w:style w:type="paragraph" w:styleId="Heading1">
    <w:name w:val="heading 1"/>
    <w:next w:val="Normal"/>
    <w:qFormat/>
    <w:pPr>
      <w:widowControl w:val="0"/>
      <w:tabs>
        <w:tab w:val="left" w:pos="3600"/>
        <w:tab w:val="center" w:pos="4677"/>
      </w:tabs>
      <w:adjustRightInd w:val="0"/>
      <w:spacing w:line="360" w:lineRule="auto"/>
      <w:outlineLvl w:val="0"/>
    </w:pPr>
    <w:rPr>
      <w:rFonts w:eastAsia="SimHei"/>
      <w:kern w:val="2"/>
      <w:sz w:val="32"/>
      <w:szCs w:val="32"/>
    </w:rPr>
  </w:style>
  <w:style w:type="paragraph" w:styleId="Heading2">
    <w:name w:val="heading 2"/>
    <w:next w:val="Normal"/>
    <w:qFormat/>
    <w:pPr>
      <w:widowControl w:val="0"/>
      <w:adjustRightInd w:val="0"/>
      <w:spacing w:line="360" w:lineRule="auto"/>
      <w:outlineLvl w:val="1"/>
    </w:pPr>
    <w:rPr>
      <w:rFonts w:eastAsia="SimHei"/>
      <w:kern w:val="2"/>
      <w:sz w:val="30"/>
      <w:szCs w:val="30"/>
    </w:rPr>
  </w:style>
  <w:style w:type="paragraph" w:styleId="Heading3">
    <w:name w:val="heading 3"/>
    <w:next w:val="Normal"/>
    <w:qFormat/>
    <w:pPr>
      <w:widowControl w:val="0"/>
      <w:adjustRightInd w:val="0"/>
      <w:spacing w:line="360" w:lineRule="auto"/>
      <w:outlineLvl w:val="2"/>
    </w:pPr>
    <w:rPr>
      <w:rFonts w:eastAsia="SimHei"/>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26E5" w:themeColor="hyperlink"/>
      <w:u w:val="single"/>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AbstHead">
    <w:name w:val="Abst Head"/>
    <w:basedOn w:val="MainHead"/>
    <w:qFormat/>
  </w:style>
  <w:style w:type="paragraph" w:customStyle="1" w:styleId="MainHead">
    <w:name w:val="Main Head"/>
    <w:basedOn w:val="Normal"/>
    <w:qFormat/>
    <w:pPr>
      <w:keepNext/>
      <w:spacing w:after="240"/>
    </w:pPr>
    <w:rPr>
      <w:b/>
      <w:caps/>
    </w:rPr>
  </w:style>
  <w:style w:type="paragraph" w:customStyle="1" w:styleId="a">
    <w:name w:val="英文摘要正文"/>
    <w:next w:val="Normal"/>
    <w:qFormat/>
    <w:pPr>
      <w:widowControl w:val="0"/>
      <w:adjustRightInd w:val="0"/>
      <w:spacing w:line="360" w:lineRule="auto"/>
      <w:ind w:firstLineChars="200" w:firstLine="480"/>
      <w:jc w:val="both"/>
    </w:pPr>
    <w:rPr>
      <w:kern w:val="2"/>
      <w:sz w:val="24"/>
      <w:szCs w:val="24"/>
    </w:rPr>
  </w:style>
  <w:style w:type="paragraph" w:customStyle="1" w:styleId="Body">
    <w:name w:val="Body"/>
    <w:basedOn w:val="Normal"/>
    <w:qFormat/>
    <w:pPr>
      <w:spacing w:after="240"/>
      <w:jc w:val="both"/>
    </w:pPr>
  </w:style>
  <w:style w:type="paragraph" w:customStyle="1" w:styleId="1">
    <w:name w:val="论文正文1"/>
    <w:basedOn w:val="Normal"/>
    <w:next w:val="Normal"/>
    <w:qFormat/>
    <w:pPr>
      <w:spacing w:before="120" w:after="120" w:line="312" w:lineRule="auto"/>
      <w:ind w:firstLineChars="200" w:firstLine="720"/>
      <w:jc w:val="both"/>
    </w:pPr>
    <w:rPr>
      <w:rFonts w:ascii="Times New Roman" w:eastAsia="SimSun" w:hAnsi="Times New Roman"/>
      <w:lang w:eastAsia="zh-CN"/>
    </w:rPr>
  </w:style>
  <w:style w:type="paragraph" w:customStyle="1" w:styleId="ReferHead">
    <w:name w:val="Refer Head"/>
    <w:basedOn w:val="MainHead"/>
    <w:qFormat/>
  </w:style>
  <w:style w:type="paragraph" w:customStyle="1" w:styleId="a0">
    <w:name w:val="参考文献"/>
    <w:basedOn w:val="Normal"/>
    <w:qFormat/>
    <w:pPr>
      <w:spacing w:line="312" w:lineRule="auto"/>
    </w:pPr>
    <w:rPr>
      <w:rFonts w:ascii="Times New Roman" w:eastAsia="SimSun" w:hAnsi="Times New Roman" w:hint="eastAsia"/>
      <w:sz w:val="18"/>
      <w:lang w:eastAsia="zh-CN"/>
    </w:rPr>
  </w:style>
  <w:style w:type="paragraph" w:customStyle="1" w:styleId="AcknHead">
    <w:name w:val="Ackn Head"/>
    <w:basedOn w:val="MainHead"/>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9568</Words>
  <Characters>54541</Characters>
  <Application>Microsoft Office Word</Application>
  <DocSecurity>0</DocSecurity>
  <Lines>454</Lines>
  <Paragraphs>127</Paragraphs>
  <ScaleCrop>false</ScaleCrop>
  <Company/>
  <LinksUpToDate>false</LinksUpToDate>
  <CharactersWithSpaces>63982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dc:creator>
  <cp:lastModifiedBy>Editor Acc 101</cp:lastModifiedBy>
  <cp:revision>18</cp:revision>
  <dcterms:created xsi:type="dcterms:W3CDTF">2026-05-01T08:04:00Z</dcterms:created>
  <dcterms:modified xsi:type="dcterms:W3CDTF">2026-05-13T06:18:00Z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E9F2880E89ED43488524BB8DAB3D9A77_13</vt:lpwstr>
  </property>
  <property fmtid="{D5CDD505-2E9C-101B-9397-08002B2CF9AE}" pid="4" name="KSOTemplateDocerSaveRecord">
    <vt:lpwstr>eyJoZGlkIjoiMzNmZGQ1ODExZmNkZmZkNWI3OTkyYWVmMGQ2YjQ0YzIiLCJ1c2VySWQiOiI2Njg1MTc0MTgifQ==</vt:lpwstr>
  </property>
</Properties>
</file>