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F31EE" w14:textId="1D833D34" w:rsidR="007913AA" w:rsidRPr="006F0895" w:rsidRDefault="00292EC5" w:rsidP="00910619">
      <w:pPr>
        <w:spacing w:line="240" w:lineRule="auto"/>
        <w:jc w:val="center"/>
        <w:rPr>
          <w:rFonts w:cs="Times New Roman"/>
          <w:b/>
          <w:bCs/>
          <w:szCs w:val="24"/>
        </w:rPr>
      </w:pPr>
      <w:r>
        <w:rPr>
          <w:rFonts w:cs="Times New Roman"/>
          <w:b/>
          <w:bCs/>
          <w:szCs w:val="24"/>
        </w:rPr>
        <w:t>E</w:t>
      </w:r>
      <w:r w:rsidR="005A4F1F" w:rsidRPr="006F0895">
        <w:rPr>
          <w:rFonts w:cs="Times New Roman"/>
          <w:b/>
          <w:bCs/>
          <w:szCs w:val="24"/>
        </w:rPr>
        <w:t xml:space="preserve">nergy consumption, </w:t>
      </w:r>
      <w:r w:rsidR="00A561C7" w:rsidRPr="006F0895">
        <w:rPr>
          <w:rFonts w:cs="Times New Roman"/>
          <w:b/>
          <w:bCs/>
          <w:szCs w:val="24"/>
        </w:rPr>
        <w:t>e</w:t>
      </w:r>
      <w:r w:rsidR="005A4F1F" w:rsidRPr="006F0895">
        <w:rPr>
          <w:rFonts w:cs="Times New Roman"/>
          <w:b/>
          <w:bCs/>
          <w:szCs w:val="24"/>
        </w:rPr>
        <w:t xml:space="preserve">conomic growth, </w:t>
      </w:r>
      <w:r w:rsidR="00A226AF" w:rsidRPr="006F0895">
        <w:rPr>
          <w:rFonts w:cs="Times New Roman"/>
          <w:b/>
          <w:bCs/>
          <w:szCs w:val="24"/>
        </w:rPr>
        <w:t>f</w:t>
      </w:r>
      <w:r w:rsidR="005A4F1F" w:rsidRPr="006F0895">
        <w:rPr>
          <w:rFonts w:cs="Times New Roman"/>
          <w:b/>
          <w:bCs/>
          <w:szCs w:val="24"/>
        </w:rPr>
        <w:t>inancial development</w:t>
      </w:r>
      <w:r w:rsidR="009916D7" w:rsidRPr="006F0895">
        <w:rPr>
          <w:rFonts w:cs="Times New Roman"/>
          <w:b/>
          <w:bCs/>
          <w:szCs w:val="24"/>
        </w:rPr>
        <w:t xml:space="preserve"> and </w:t>
      </w:r>
      <w:r w:rsidR="00142F12">
        <w:rPr>
          <w:rFonts w:cs="Times New Roman"/>
          <w:b/>
          <w:bCs/>
          <w:szCs w:val="24"/>
        </w:rPr>
        <w:t>environmental sustainability</w:t>
      </w:r>
      <w:r>
        <w:rPr>
          <w:rFonts w:cs="Times New Roman"/>
          <w:b/>
          <w:bCs/>
          <w:szCs w:val="24"/>
        </w:rPr>
        <w:t>. Evidence from</w:t>
      </w:r>
      <w:r w:rsidR="009916D7" w:rsidRPr="006F0895">
        <w:rPr>
          <w:rFonts w:cs="Times New Roman"/>
          <w:b/>
          <w:bCs/>
          <w:szCs w:val="24"/>
        </w:rPr>
        <w:t xml:space="preserve"> </w:t>
      </w:r>
      <w:r w:rsidR="00A561C7" w:rsidRPr="006F0895">
        <w:rPr>
          <w:rFonts w:cs="Times New Roman"/>
          <w:b/>
          <w:bCs/>
          <w:szCs w:val="24"/>
        </w:rPr>
        <w:t>S</w:t>
      </w:r>
      <w:r w:rsidR="009916D7" w:rsidRPr="006F0895">
        <w:rPr>
          <w:rFonts w:cs="Times New Roman"/>
          <w:b/>
          <w:bCs/>
          <w:szCs w:val="24"/>
        </w:rPr>
        <w:t>ub-</w:t>
      </w:r>
      <w:r w:rsidR="00A561C7" w:rsidRPr="006F0895">
        <w:rPr>
          <w:rFonts w:cs="Times New Roman"/>
          <w:b/>
          <w:bCs/>
          <w:szCs w:val="24"/>
        </w:rPr>
        <w:t>S</w:t>
      </w:r>
      <w:r w:rsidR="009916D7" w:rsidRPr="006F0895">
        <w:rPr>
          <w:rFonts w:cs="Times New Roman"/>
          <w:b/>
          <w:bCs/>
          <w:szCs w:val="24"/>
        </w:rPr>
        <w:t>aharan Africa</w:t>
      </w:r>
      <w:r>
        <w:rPr>
          <w:rFonts w:cs="Times New Roman"/>
          <w:b/>
          <w:bCs/>
          <w:szCs w:val="24"/>
        </w:rPr>
        <w:t xml:space="preserve"> Region</w:t>
      </w:r>
    </w:p>
    <w:p w14:paraId="6C6B50C6" w14:textId="77777777" w:rsidR="003200EF" w:rsidRPr="006F0895" w:rsidRDefault="003200EF" w:rsidP="00910619">
      <w:pPr>
        <w:spacing w:line="240" w:lineRule="auto"/>
        <w:rPr>
          <w:rFonts w:cs="Times New Roman"/>
          <w:b/>
          <w:bCs/>
          <w:szCs w:val="24"/>
        </w:rPr>
      </w:pPr>
      <w:bookmarkStart w:id="0" w:name="_Hlk176695196"/>
      <w:bookmarkStart w:id="1" w:name="_Hlk176191455"/>
    </w:p>
    <w:p w14:paraId="59D79853" w14:textId="77A79890" w:rsidR="00676D40" w:rsidRDefault="00676D40" w:rsidP="00910619">
      <w:pPr>
        <w:pStyle w:val="NoSpacing"/>
        <w:rPr>
          <w:rFonts w:ascii="Times New Roman" w:hAnsi="Times New Roman"/>
          <w:sz w:val="24"/>
          <w:szCs w:val="24"/>
        </w:rPr>
      </w:pPr>
    </w:p>
    <w:p w14:paraId="7394BE20" w14:textId="77777777" w:rsidR="001D3F9F" w:rsidRPr="006F0895" w:rsidRDefault="001D3F9F" w:rsidP="00910619">
      <w:pPr>
        <w:pStyle w:val="NoSpacing"/>
        <w:rPr>
          <w:rFonts w:ascii="Times New Roman" w:hAnsi="Times New Roman"/>
          <w:sz w:val="24"/>
          <w:szCs w:val="24"/>
        </w:rPr>
      </w:pPr>
    </w:p>
    <w:p w14:paraId="60B6C910" w14:textId="77777777" w:rsidR="005A4F1F" w:rsidRPr="00F14D3D" w:rsidRDefault="005A4F1F" w:rsidP="00910619">
      <w:pPr>
        <w:spacing w:line="240" w:lineRule="auto"/>
        <w:rPr>
          <w:rFonts w:cs="Times New Roman"/>
          <w:b/>
          <w:bCs/>
          <w:szCs w:val="24"/>
        </w:rPr>
      </w:pPr>
      <w:r w:rsidRPr="00F14D3D">
        <w:rPr>
          <w:rFonts w:cs="Times New Roman"/>
          <w:b/>
          <w:bCs/>
          <w:szCs w:val="24"/>
        </w:rPr>
        <w:t>Abstract</w:t>
      </w:r>
    </w:p>
    <w:p w14:paraId="5F4C50CA" w14:textId="02CCC018" w:rsidR="003C1C22" w:rsidRDefault="005A4F1F" w:rsidP="00910619">
      <w:pPr>
        <w:spacing w:line="240" w:lineRule="auto"/>
        <w:jc w:val="both"/>
        <w:rPr>
          <w:rFonts w:cs="Times New Roman"/>
          <w:color w:val="000000"/>
          <w:szCs w:val="24"/>
        </w:rPr>
      </w:pPr>
      <w:r>
        <w:t xml:space="preserve">This study examines how renewable energy consumption, non-renewable energy consumption, financial development, and economic growth influence </w:t>
      </w:r>
      <w:r w:rsidR="004B55C3">
        <w:t>environmental sustainability</w:t>
      </w:r>
      <w:r>
        <w:t xml:space="preserve"> in Sub-Saharan Africa. Using panel data for 22 Sub-Saharan African countries over 2000–2023 </w:t>
      </w:r>
      <w:r w:rsidR="00392557">
        <w:t>which is 528 country-year observations</w:t>
      </w:r>
      <w:r>
        <w:t xml:space="preserve">, we estimate a dynamic emissions model with the system Generalized Method of Moments to address endogeneity and persistence, and we report fixed-effects and random-effects estimates as robustness checks. The results show that </w:t>
      </w:r>
      <w:r w:rsidR="00392557">
        <w:t>renewable energy consumption</w:t>
      </w:r>
      <w:r>
        <w:t xml:space="preserve"> is </w:t>
      </w:r>
      <w:r w:rsidR="00C5691D">
        <w:t>associated</w:t>
      </w:r>
      <w:r>
        <w:t xml:space="preserve"> with lower emissions, while </w:t>
      </w:r>
      <w:r w:rsidR="00392557">
        <w:t>non-renewable energy consumption</w:t>
      </w:r>
      <w:r>
        <w:t xml:space="preserve">, </w:t>
      </w:r>
      <w:r w:rsidR="00392557">
        <w:t>foreign direct investment</w:t>
      </w:r>
      <w:r>
        <w:t xml:space="preserve">, and </w:t>
      </w:r>
      <w:r w:rsidR="00392557">
        <w:t>economic growth</w:t>
      </w:r>
      <w:r>
        <w:t xml:space="preserve"> are associated with higher emissions. These findings imply that accelerating the deployment of renewables</w:t>
      </w:r>
      <w:r w:rsidR="00392557">
        <w:t xml:space="preserve"> </w:t>
      </w:r>
      <w:r>
        <w:t>supported by green finance and supportive regulation</w:t>
      </w:r>
      <w:r w:rsidR="00392557">
        <w:t xml:space="preserve"> </w:t>
      </w:r>
      <w:r>
        <w:t>can help decouple growth from emissions</w:t>
      </w:r>
      <w:r w:rsidR="004F526D">
        <w:t xml:space="preserve"> and enhance environmental sustainability</w:t>
      </w:r>
      <w:r>
        <w:t>. From an operations research perspective, the estimated coefficients provide empirically grounded parameters for multi-objective decision models that balance emissions reduction with energy security and economic development in SSA.</w:t>
      </w:r>
      <w:r w:rsidR="00C5691D">
        <w:t xml:space="preserve"> </w:t>
      </w:r>
      <w:r w:rsidR="004F526D">
        <w:rPr>
          <w:rFonts w:cs="Times New Roman"/>
          <w:szCs w:val="24"/>
        </w:rPr>
        <w:t>P</w:t>
      </w:r>
      <w:r w:rsidR="00C5691D" w:rsidRPr="00581861">
        <w:rPr>
          <w:rFonts w:cs="Times New Roman"/>
          <w:szCs w:val="24"/>
        </w:rPr>
        <w:t xml:space="preserve">olicymakers and practitioners in the energy sector, as well as government leaders, need to focus on incorporating renewable resources into their energy strategies to counteract </w:t>
      </w:r>
      <w:r w:rsidR="00C5691D">
        <w:rPr>
          <w:rFonts w:cs="Times New Roman"/>
          <w:szCs w:val="24"/>
        </w:rPr>
        <w:t>environmental sustainability</w:t>
      </w:r>
      <w:r w:rsidR="001E03B5">
        <w:rPr>
          <w:rFonts w:cs="Times New Roman"/>
          <w:szCs w:val="24"/>
        </w:rPr>
        <w:t>.</w:t>
      </w:r>
    </w:p>
    <w:p w14:paraId="0DC43764" w14:textId="77777777" w:rsidR="003200EF" w:rsidRDefault="003200EF" w:rsidP="00910619">
      <w:pPr>
        <w:spacing w:line="240" w:lineRule="auto"/>
        <w:jc w:val="both"/>
        <w:rPr>
          <w:rFonts w:eastAsia="Calibri" w:cs="Times New Roman"/>
          <w:b/>
          <w:bCs/>
          <w:color w:val="000000"/>
          <w:szCs w:val="24"/>
        </w:rPr>
      </w:pPr>
    </w:p>
    <w:p w14:paraId="3B8DC148" w14:textId="77777777" w:rsidR="001C3EF6" w:rsidRDefault="001C3EF6" w:rsidP="00910619">
      <w:pPr>
        <w:spacing w:line="240" w:lineRule="auto"/>
        <w:jc w:val="both"/>
        <w:rPr>
          <w:rFonts w:eastAsia="Calibri" w:cs="Times New Roman"/>
          <w:color w:val="000000"/>
          <w:szCs w:val="24"/>
        </w:rPr>
      </w:pPr>
      <w:r w:rsidRPr="00392557">
        <w:rPr>
          <w:b/>
          <w:bCs/>
        </w:rPr>
        <w:t>Keywords</w:t>
      </w:r>
      <w:r>
        <w:t>: Global warming, Fossil fuels, financial sector, Energy use, System GMM, fixed effects, random effects, Sub-Saharan Africa</w:t>
      </w:r>
    </w:p>
    <w:bookmarkEnd w:id="0"/>
    <w:p w14:paraId="5F5FD5D0" w14:textId="77777777" w:rsidR="005A4F1F" w:rsidRPr="00F14D3D" w:rsidRDefault="005A4F1F" w:rsidP="00910619">
      <w:pPr>
        <w:pStyle w:val="ListParagraph"/>
        <w:numPr>
          <w:ilvl w:val="0"/>
          <w:numId w:val="1"/>
        </w:numPr>
        <w:spacing w:line="240" w:lineRule="auto"/>
        <w:ind w:left="357" w:hanging="357"/>
        <w:jc w:val="both"/>
        <w:rPr>
          <w:rFonts w:ascii="Times New Roman" w:eastAsia="Calibri" w:hAnsi="Times New Roman"/>
          <w:b/>
          <w:bCs/>
          <w:color w:val="000000"/>
          <w:szCs w:val="24"/>
        </w:rPr>
      </w:pPr>
      <w:r w:rsidRPr="00F14D3D">
        <w:rPr>
          <w:rFonts w:ascii="Times New Roman" w:eastAsia="Calibri" w:hAnsi="Times New Roman"/>
          <w:b/>
          <w:bCs/>
          <w:color w:val="000000"/>
          <w:szCs w:val="24"/>
        </w:rPr>
        <w:t xml:space="preserve">Introduction </w:t>
      </w:r>
    </w:p>
    <w:p w14:paraId="2BB43149" w14:textId="77777777" w:rsidR="00590322" w:rsidRPr="00590322" w:rsidRDefault="00590322" w:rsidP="00590322">
      <w:pPr>
        <w:spacing w:after="240" w:line="240" w:lineRule="auto"/>
        <w:jc w:val="both"/>
        <w:rPr>
          <w:rFonts w:cs="Times New Roman"/>
          <w:color w:val="000000" w:themeColor="text1"/>
          <w:szCs w:val="24"/>
        </w:rPr>
      </w:pPr>
      <w:bookmarkStart w:id="2" w:name="_Hlk176690442"/>
      <w:bookmarkEnd w:id="1"/>
      <w:r w:rsidRPr="00590322">
        <w:rPr>
          <w:rFonts w:cs="Times New Roman"/>
          <w:color w:val="000000" w:themeColor="text1"/>
          <w:szCs w:val="24"/>
        </w:rPr>
        <w:t>Warming and climate change remain the most prominent international issues (</w:t>
      </w:r>
      <w:proofErr w:type="spellStart"/>
      <w:r w:rsidRPr="00590322">
        <w:rPr>
          <w:rFonts w:cs="Times New Roman"/>
          <w:color w:val="000000" w:themeColor="text1"/>
          <w:szCs w:val="24"/>
        </w:rPr>
        <w:t>Stepanov</w:t>
      </w:r>
      <w:proofErr w:type="spellEnd"/>
      <w:r w:rsidRPr="00590322">
        <w:rPr>
          <w:rFonts w:cs="Times New Roman"/>
          <w:color w:val="000000" w:themeColor="text1"/>
          <w:szCs w:val="24"/>
        </w:rPr>
        <w:t xml:space="preserve"> et al., 2023). The burning of fossil fuels such as oil, natural gas, and coal leads to the emission of higher levels of GHGs, such as carbon dioxide, thus creating environmental issues (Wang &amp; Azam, 2024). Among the effects of climate change include drought, natural disasters such as floods, and health effects (</w:t>
      </w:r>
      <w:proofErr w:type="spellStart"/>
      <w:r w:rsidRPr="00590322">
        <w:rPr>
          <w:rFonts w:cs="Times New Roman"/>
          <w:color w:val="000000" w:themeColor="text1"/>
          <w:szCs w:val="24"/>
        </w:rPr>
        <w:t>Pizzorni</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Innocenti</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Tollin</w:t>
      </w:r>
      <w:proofErr w:type="spellEnd"/>
      <w:r w:rsidRPr="00590322">
        <w:rPr>
          <w:rFonts w:cs="Times New Roman"/>
          <w:color w:val="000000" w:themeColor="text1"/>
          <w:szCs w:val="24"/>
        </w:rPr>
        <w:t>, 2024). Emissions resulting from burning fossil fuels have emerged as the major cause of climate change and air pollution. Approximatively, over seven million people have died each year due to air pollution, both indoor and outdoor sources (WHO, 2017).</w:t>
      </w:r>
    </w:p>
    <w:p w14:paraId="5F4BF9A8"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Recently, greenhouse gas emissions, especially carbon dioxide, have focused considerable attention because of their negative effects on climate change and global warming (Ramirez-</w:t>
      </w:r>
      <w:proofErr w:type="spellStart"/>
      <w:r w:rsidRPr="00590322">
        <w:rPr>
          <w:rFonts w:cs="Times New Roman"/>
          <w:color w:val="000000" w:themeColor="text1"/>
          <w:szCs w:val="24"/>
        </w:rPr>
        <w:t>Corredores</w:t>
      </w:r>
      <w:proofErr w:type="spellEnd"/>
      <w:r w:rsidRPr="00590322">
        <w:rPr>
          <w:rFonts w:cs="Times New Roman"/>
          <w:color w:val="000000" w:themeColor="text1"/>
          <w:szCs w:val="24"/>
        </w:rPr>
        <w:t xml:space="preserve">, Goldwasser &amp; </w:t>
      </w:r>
      <w:proofErr w:type="spellStart"/>
      <w:r w:rsidRPr="00590322">
        <w:rPr>
          <w:rFonts w:cs="Times New Roman"/>
          <w:color w:val="000000" w:themeColor="text1"/>
          <w:szCs w:val="24"/>
        </w:rPr>
        <w:t>Falabella</w:t>
      </w:r>
      <w:proofErr w:type="spellEnd"/>
      <w:r w:rsidRPr="00590322">
        <w:rPr>
          <w:rFonts w:cs="Times New Roman"/>
          <w:color w:val="000000" w:themeColor="text1"/>
          <w:szCs w:val="24"/>
        </w:rPr>
        <w:t>, 2023). The need to control and reduce environmental pollution and carbon dioxide emission has become a pressing priority (</w:t>
      </w:r>
      <w:proofErr w:type="spellStart"/>
      <w:r w:rsidRPr="00590322">
        <w:rPr>
          <w:rFonts w:cs="Times New Roman"/>
          <w:color w:val="000000" w:themeColor="text1"/>
          <w:szCs w:val="24"/>
        </w:rPr>
        <w:t>Kwakwa</w:t>
      </w:r>
      <w:proofErr w:type="spellEnd"/>
      <w:r w:rsidRPr="00590322">
        <w:rPr>
          <w:rFonts w:cs="Times New Roman"/>
          <w:color w:val="000000" w:themeColor="text1"/>
          <w:szCs w:val="24"/>
        </w:rPr>
        <w:t>, 2023). Emissions of the targeted greenhouse gases have been indicated in the Kyoto Protocol of 1997, where the basic goal is to limit warming below 2°C by reducing greenhouse gas emissions. After this agreement, countries have increasingly turned to more sustainable energy sources (</w:t>
      </w:r>
      <w:proofErr w:type="spellStart"/>
      <w:r w:rsidRPr="00590322">
        <w:rPr>
          <w:rFonts w:cs="Times New Roman"/>
          <w:color w:val="000000" w:themeColor="text1"/>
          <w:szCs w:val="24"/>
        </w:rPr>
        <w:t>Eskander</w:t>
      </w:r>
      <w:proofErr w:type="spellEnd"/>
      <w:r w:rsidRPr="00590322">
        <w:rPr>
          <w:rFonts w:cs="Times New Roman"/>
          <w:color w:val="000000" w:themeColor="text1"/>
          <w:szCs w:val="24"/>
        </w:rPr>
        <w:t xml:space="preserve"> &amp; Fankhauser, 2020). The need for this protocol was reiterated during the Paris Climate Conference in 2015, referred to as COP21, which received-wide global acceptance and witnessed ratification by 195 countries. The Paris Agreement seeks to keep global warming below a level of 2°C above pre-industrial levels, with a view to pursing a limit below 1.5°C, hence making it possible for countries to access and address climate change in a better way. The biggest step in this direction </w:t>
      </w:r>
      <w:r w:rsidRPr="00590322">
        <w:rPr>
          <w:rFonts w:cs="Times New Roman"/>
          <w:color w:val="000000" w:themeColor="text1"/>
          <w:szCs w:val="24"/>
        </w:rPr>
        <w:lastRenderedPageBreak/>
        <w:t xml:space="preserve">is relying on renewable energy sources rather than fossil fuels. Renewable energy sources will meet two-thirds of total energy demand in 2050, thus reducing greenhouse gas emission markedly, according to a forecast by </w:t>
      </w:r>
      <w:proofErr w:type="spellStart"/>
      <w:r w:rsidRPr="00590322">
        <w:rPr>
          <w:rFonts w:cs="Times New Roman"/>
          <w:color w:val="000000" w:themeColor="text1"/>
          <w:szCs w:val="24"/>
        </w:rPr>
        <w:t>Gielen</w:t>
      </w:r>
      <w:proofErr w:type="spellEnd"/>
      <w:r w:rsidRPr="00590322">
        <w:rPr>
          <w:rFonts w:cs="Times New Roman"/>
          <w:color w:val="000000" w:themeColor="text1"/>
          <w:szCs w:val="24"/>
        </w:rPr>
        <w:t xml:space="preserve"> et al. in 2019.</w:t>
      </w:r>
    </w:p>
    <w:p w14:paraId="5068E8A3"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The EKC model proposes that environment and economic systems follow an inverted-U curve where pollutants and GDP have an inversely proportional relationship (</w:t>
      </w:r>
      <w:proofErr w:type="spellStart"/>
      <w:r w:rsidRPr="00590322">
        <w:rPr>
          <w:rFonts w:cs="Times New Roman"/>
          <w:color w:val="000000" w:themeColor="text1"/>
          <w:szCs w:val="24"/>
        </w:rPr>
        <w:t>Weimin</w:t>
      </w:r>
      <w:proofErr w:type="spellEnd"/>
      <w:r w:rsidRPr="00590322">
        <w:rPr>
          <w:rFonts w:cs="Times New Roman"/>
          <w:color w:val="000000" w:themeColor="text1"/>
          <w:szCs w:val="24"/>
        </w:rPr>
        <w:t xml:space="preserve"> et al., 2022). Higher GDP leads to increased pollutants in an economy, but this decreases in a subsequent stage with a critical threshold. Although studies have come up with mixed reactions concerning the validation of EKC, very few studies have focused on least developed countries and developing nations in comparison to least developed countries, developed countries, developing countries, and developed countries/developing countries simultaneously. Research started with Kraft &amp; Kraft in 1978 on Energy-Growth Linkages.</w:t>
      </w:r>
    </w:p>
    <w:p w14:paraId="2D14D15F"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Emerging economies in Sub-Saharan Africa remain largely dependent on oil, coal, and gas to a great extent in order to realize a higher level of economic growth (</w:t>
      </w:r>
      <w:proofErr w:type="spellStart"/>
      <w:r w:rsidRPr="00590322">
        <w:rPr>
          <w:rFonts w:cs="Times New Roman"/>
          <w:color w:val="000000" w:themeColor="text1"/>
          <w:szCs w:val="24"/>
        </w:rPr>
        <w:t>Copinschi</w:t>
      </w:r>
      <w:proofErr w:type="spellEnd"/>
      <w:r w:rsidRPr="00590322">
        <w:rPr>
          <w:rFonts w:cs="Times New Roman"/>
          <w:color w:val="000000" w:themeColor="text1"/>
          <w:szCs w:val="24"/>
        </w:rPr>
        <w:t>, 2022). However, these economies' heavy reliance on fossil fuels raise doubts over low levels of economic development (Baz et al., 2021). The overdependence on non-renewable fuels has boosted economic performance, but this can present a very negative impact on biodiversity and ecological status in these regions, which have higher levels of gases and other waste produced from burning these fuels in massive quantities over a short period of time (</w:t>
      </w:r>
      <w:proofErr w:type="spellStart"/>
      <w:r w:rsidRPr="00590322">
        <w:rPr>
          <w:rFonts w:cs="Times New Roman"/>
          <w:color w:val="000000" w:themeColor="text1"/>
          <w:szCs w:val="24"/>
        </w:rPr>
        <w:t>Wolde-Rufael</w:t>
      </w:r>
      <w:proofErr w:type="spellEnd"/>
      <w:r w:rsidRPr="00590322">
        <w:rPr>
          <w:rFonts w:cs="Times New Roman"/>
          <w:color w:val="000000" w:themeColor="text1"/>
          <w:szCs w:val="24"/>
        </w:rPr>
        <w:t xml:space="preserve">, 2005; Narayan &amp; Smyth, 2005; </w:t>
      </w:r>
      <w:proofErr w:type="spellStart"/>
      <w:r w:rsidRPr="00590322">
        <w:rPr>
          <w:rFonts w:cs="Times New Roman"/>
          <w:color w:val="000000" w:themeColor="text1"/>
          <w:szCs w:val="24"/>
        </w:rPr>
        <w:t>Halicioglu</w:t>
      </w:r>
      <w:proofErr w:type="spellEnd"/>
      <w:r w:rsidRPr="00590322">
        <w:rPr>
          <w:rFonts w:cs="Times New Roman"/>
          <w:color w:val="000000" w:themeColor="text1"/>
          <w:szCs w:val="24"/>
        </w:rPr>
        <w:t>, 2011). Although developing economies rely on access to non-renewable fuel sources in a very cheap manner in order to realize a higher level of economic performance, these economies show a reluctance in discarding these fuel sources in order to prioritize other matters such as alleviating a higher level of poverty, improving food security, and increased economic performance, which in some cases can have higher prioritized significance than environmental status in countries under these considerations (</w:t>
      </w:r>
      <w:proofErr w:type="spellStart"/>
      <w:r w:rsidRPr="00590322">
        <w:rPr>
          <w:rFonts w:cs="Times New Roman"/>
          <w:color w:val="000000" w:themeColor="text1"/>
          <w:szCs w:val="24"/>
        </w:rPr>
        <w:t>Sadorsky</w:t>
      </w:r>
      <w:proofErr w:type="spellEnd"/>
      <w:r w:rsidRPr="00590322">
        <w:rPr>
          <w:rFonts w:cs="Times New Roman"/>
          <w:color w:val="000000" w:themeColor="text1"/>
          <w:szCs w:val="24"/>
        </w:rPr>
        <w:t xml:space="preserve">, 2012; </w:t>
      </w:r>
      <w:proofErr w:type="spellStart"/>
      <w:r w:rsidRPr="00590322">
        <w:rPr>
          <w:rFonts w:cs="Times New Roman"/>
          <w:color w:val="000000" w:themeColor="text1"/>
          <w:szCs w:val="24"/>
        </w:rPr>
        <w:t>Bekhet</w:t>
      </w:r>
      <w:proofErr w:type="spellEnd"/>
      <w:r w:rsidRPr="00590322">
        <w:rPr>
          <w:rFonts w:cs="Times New Roman"/>
          <w:color w:val="000000" w:themeColor="text1"/>
          <w:szCs w:val="24"/>
        </w:rPr>
        <w:t xml:space="preserve"> &amp; Harun, 2012). The negative impact presented by increased fuel usage in countries in search of higher levels of economic performance remains underappreciated in studies surrounding lower levels of economies despite producing negative health</w:t>
      </w:r>
    </w:p>
    <w:p w14:paraId="293F835F" w14:textId="59D6AECB"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 xml:space="preserve">Sub-Saharan Africa is highlighted in connection with the generation of </w:t>
      </w:r>
      <w:r w:rsidR="004B55C3">
        <w:rPr>
          <w:rFonts w:cs="Times New Roman"/>
          <w:color w:val="000000" w:themeColor="text1"/>
          <w:szCs w:val="24"/>
        </w:rPr>
        <w:t>environmental sustainability</w:t>
      </w:r>
      <w:r w:rsidRPr="00590322">
        <w:rPr>
          <w:rFonts w:cs="Times New Roman"/>
          <w:color w:val="000000" w:themeColor="text1"/>
          <w:szCs w:val="24"/>
        </w:rPr>
        <w:t xml:space="preserve"> and other pollutants, which cause a substantial level of ecological damage (</w:t>
      </w:r>
      <w:proofErr w:type="spellStart"/>
      <w:r w:rsidRPr="00590322">
        <w:rPr>
          <w:rFonts w:cs="Times New Roman"/>
          <w:color w:val="000000" w:themeColor="text1"/>
          <w:szCs w:val="24"/>
        </w:rPr>
        <w:t>Byaro</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Nkonoki</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Mafwolo</w:t>
      </w:r>
      <w:proofErr w:type="spellEnd"/>
      <w:r w:rsidRPr="00590322">
        <w:rPr>
          <w:rFonts w:cs="Times New Roman"/>
          <w:color w:val="000000" w:themeColor="text1"/>
          <w:szCs w:val="24"/>
        </w:rPr>
        <w:t>, 2023). Moreover, air pollution alone accounts for five hundred thousand early deaths each year in Sub-Saharan Africa (World Health Organization, 2016). Industrialization in developing nations greatly supports energy generation; in contrast, the hinterland's overdependence on fossil fuels leads to ecological damage, including air pollution, diseases, and land degradation (</w:t>
      </w:r>
      <w:proofErr w:type="spellStart"/>
      <w:r w:rsidRPr="00590322">
        <w:rPr>
          <w:rFonts w:cs="Times New Roman"/>
          <w:color w:val="000000" w:themeColor="text1"/>
          <w:szCs w:val="24"/>
        </w:rPr>
        <w:t>Bailis</w:t>
      </w:r>
      <w:proofErr w:type="spellEnd"/>
      <w:r w:rsidRPr="00590322">
        <w:rPr>
          <w:rFonts w:cs="Times New Roman"/>
          <w:color w:val="000000" w:themeColor="text1"/>
          <w:szCs w:val="24"/>
        </w:rPr>
        <w:t xml:space="preserve"> et al., 2005; </w:t>
      </w:r>
      <w:proofErr w:type="spellStart"/>
      <w:r w:rsidRPr="00590322">
        <w:rPr>
          <w:rFonts w:cs="Times New Roman"/>
          <w:color w:val="000000" w:themeColor="text1"/>
          <w:szCs w:val="24"/>
        </w:rPr>
        <w:t>Arouri</w:t>
      </w:r>
      <w:proofErr w:type="spellEnd"/>
      <w:r w:rsidRPr="00590322">
        <w:rPr>
          <w:rFonts w:cs="Times New Roman"/>
          <w:color w:val="000000" w:themeColor="text1"/>
          <w:szCs w:val="24"/>
        </w:rPr>
        <w:t xml:space="preserve"> et al., 2012; Al-</w:t>
      </w:r>
      <w:proofErr w:type="spellStart"/>
      <w:r w:rsidRPr="00590322">
        <w:rPr>
          <w:rFonts w:cs="Times New Roman"/>
          <w:color w:val="000000" w:themeColor="text1"/>
          <w:szCs w:val="24"/>
        </w:rPr>
        <w:t>Mulali</w:t>
      </w:r>
      <w:proofErr w:type="spellEnd"/>
      <w:r w:rsidRPr="00590322">
        <w:rPr>
          <w:rFonts w:cs="Times New Roman"/>
          <w:color w:val="000000" w:themeColor="text1"/>
          <w:szCs w:val="24"/>
        </w:rPr>
        <w:t xml:space="preserve"> &amp; Sab, 2012; </w:t>
      </w:r>
      <w:proofErr w:type="spellStart"/>
      <w:r w:rsidRPr="00590322">
        <w:rPr>
          <w:rFonts w:cs="Times New Roman"/>
          <w:color w:val="000000" w:themeColor="text1"/>
          <w:szCs w:val="24"/>
        </w:rPr>
        <w:t>Kivyiro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Arminen</w:t>
      </w:r>
      <w:proofErr w:type="spellEnd"/>
      <w:r w:rsidRPr="00590322">
        <w:rPr>
          <w:rFonts w:cs="Times New Roman"/>
          <w:color w:val="000000" w:themeColor="text1"/>
          <w:szCs w:val="24"/>
        </w:rPr>
        <w:t>, 2014). On the other hand, despite these circumstances, the developing nation of Sub-Saharan Africa remains largely reliant on fossil fuels because of their lower cost in generating industries (</w:t>
      </w:r>
      <w:proofErr w:type="spellStart"/>
      <w:r w:rsidRPr="00590322">
        <w:rPr>
          <w:rFonts w:cs="Times New Roman"/>
          <w:color w:val="000000" w:themeColor="text1"/>
          <w:szCs w:val="24"/>
        </w:rPr>
        <w:t>Destek</w:t>
      </w:r>
      <w:proofErr w:type="spellEnd"/>
      <w:r w:rsidRPr="00590322">
        <w:rPr>
          <w:rFonts w:cs="Times New Roman"/>
          <w:color w:val="000000" w:themeColor="text1"/>
          <w:szCs w:val="24"/>
        </w:rPr>
        <w:t xml:space="preserve"> &amp; Aslan, 2017). On a traditional basis in standard economies, greenhouse gas emissions in production have remained externalities not incorporated into production cost structures, making a need for increased government regulation to counter pollution. The aggravated consequences of global warming are increasingly becoming interlinked with society, economy, and ecology, all closely associated with developmental matrices in developing Sub-Saharan Africa (</w:t>
      </w:r>
      <w:proofErr w:type="spellStart"/>
      <w:r w:rsidRPr="00590322">
        <w:rPr>
          <w:rFonts w:cs="Times New Roman"/>
          <w:color w:val="000000" w:themeColor="text1"/>
          <w:szCs w:val="24"/>
        </w:rPr>
        <w:t>Kivyiro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Arminen</w:t>
      </w:r>
      <w:proofErr w:type="spellEnd"/>
      <w:r w:rsidRPr="00590322">
        <w:rPr>
          <w:rFonts w:cs="Times New Roman"/>
          <w:color w:val="000000" w:themeColor="text1"/>
          <w:szCs w:val="24"/>
        </w:rPr>
        <w:t xml:space="preserve">, 2014; </w:t>
      </w:r>
      <w:proofErr w:type="spellStart"/>
      <w:r w:rsidRPr="00590322">
        <w:rPr>
          <w:rFonts w:cs="Times New Roman"/>
          <w:color w:val="000000" w:themeColor="text1"/>
          <w:szCs w:val="24"/>
        </w:rPr>
        <w:t>Menyah</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Wolde-Rufael</w:t>
      </w:r>
      <w:proofErr w:type="spellEnd"/>
      <w:r w:rsidRPr="00590322">
        <w:rPr>
          <w:rFonts w:cs="Times New Roman"/>
          <w:color w:val="000000" w:themeColor="text1"/>
          <w:szCs w:val="24"/>
        </w:rPr>
        <w:t xml:space="preserve">, 2010; </w:t>
      </w:r>
      <w:proofErr w:type="spellStart"/>
      <w:r w:rsidRPr="00590322">
        <w:rPr>
          <w:rFonts w:cs="Times New Roman"/>
          <w:color w:val="000000" w:themeColor="text1"/>
          <w:szCs w:val="24"/>
        </w:rPr>
        <w:t>Sebri</w:t>
      </w:r>
      <w:proofErr w:type="spellEnd"/>
      <w:r w:rsidRPr="00590322">
        <w:rPr>
          <w:rFonts w:cs="Times New Roman"/>
          <w:color w:val="000000" w:themeColor="text1"/>
          <w:szCs w:val="24"/>
        </w:rPr>
        <w:t xml:space="preserve"> &amp; Ben-</w:t>
      </w:r>
      <w:proofErr w:type="spellStart"/>
      <w:r w:rsidRPr="00590322">
        <w:rPr>
          <w:rFonts w:cs="Times New Roman"/>
          <w:color w:val="000000" w:themeColor="text1"/>
          <w:szCs w:val="24"/>
        </w:rPr>
        <w:t>Salha</w:t>
      </w:r>
      <w:proofErr w:type="spellEnd"/>
      <w:r w:rsidRPr="00590322">
        <w:rPr>
          <w:rFonts w:cs="Times New Roman"/>
          <w:color w:val="000000" w:themeColor="text1"/>
          <w:szCs w:val="24"/>
        </w:rPr>
        <w:t xml:space="preserve">, 2014; Esso &amp; </w:t>
      </w:r>
      <w:proofErr w:type="spellStart"/>
      <w:r w:rsidRPr="00590322">
        <w:rPr>
          <w:rFonts w:cs="Times New Roman"/>
          <w:color w:val="000000" w:themeColor="text1"/>
          <w:szCs w:val="24"/>
        </w:rPr>
        <w:t>Keho</w:t>
      </w:r>
      <w:proofErr w:type="spellEnd"/>
      <w:r w:rsidRPr="00590322">
        <w:rPr>
          <w:rFonts w:cs="Times New Roman"/>
          <w:color w:val="000000" w:themeColor="text1"/>
          <w:szCs w:val="24"/>
        </w:rPr>
        <w:t xml:space="preserve">, 2016). To deal with these ecological issues, a need arises for a transition </w:t>
      </w:r>
      <w:r w:rsidRPr="00590322">
        <w:rPr>
          <w:rFonts w:cs="Times New Roman"/>
          <w:color w:val="000000" w:themeColor="text1"/>
          <w:szCs w:val="24"/>
        </w:rPr>
        <w:lastRenderedPageBreak/>
        <w:t>towards more eco-conscious developmental paradigms in this developing region of Sub-Saharan Africa (Hanif &amp; Gago-de-Santos, 2017).</w:t>
      </w:r>
    </w:p>
    <w:p w14:paraId="7C45ED50" w14:textId="34A7BE7A"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In Sub-Saharan Africa, climate change views have been noted to be divergent in nature (</w:t>
      </w:r>
      <w:proofErr w:type="spellStart"/>
      <w:r w:rsidRPr="00590322">
        <w:rPr>
          <w:rFonts w:cs="Times New Roman"/>
          <w:color w:val="000000" w:themeColor="text1"/>
          <w:szCs w:val="24"/>
        </w:rPr>
        <w:t>Belianska</w:t>
      </w:r>
      <w:proofErr w:type="spellEnd"/>
      <w:r w:rsidRPr="00590322">
        <w:rPr>
          <w:rFonts w:cs="Times New Roman"/>
          <w:color w:val="000000" w:themeColor="text1"/>
          <w:szCs w:val="24"/>
        </w:rPr>
        <w:t xml:space="preserve"> et al., 2022). The biodiversity in this region is very susceptible to climate change. Additionally, on average, oil remains the main source of energy used in a bid to meet demand; with a 2.6% increase in </w:t>
      </w:r>
      <w:r w:rsidR="004B55C3">
        <w:rPr>
          <w:rFonts w:cs="Times New Roman"/>
          <w:color w:val="000000" w:themeColor="text1"/>
          <w:szCs w:val="24"/>
        </w:rPr>
        <w:t>environmental sustainability</w:t>
      </w:r>
      <w:r w:rsidRPr="00590322">
        <w:rPr>
          <w:rFonts w:cs="Times New Roman"/>
          <w:color w:val="000000" w:themeColor="text1"/>
          <w:szCs w:val="24"/>
        </w:rPr>
        <w:t xml:space="preserve"> over 2005-2015 compared to other regions in the world (World Health Organization 2016). The interplay in these sectors can be considered less explored in the context of African countries, including their responses to using non-renewable energy sources such as oil in relation to economic growth (Cole, 2004; Collier et al., 2008; </w:t>
      </w:r>
      <w:proofErr w:type="spellStart"/>
      <w:r w:rsidRPr="00590322">
        <w:rPr>
          <w:rFonts w:cs="Times New Roman"/>
          <w:color w:val="000000" w:themeColor="text1"/>
          <w:szCs w:val="24"/>
        </w:rPr>
        <w:t>Sulemana</w:t>
      </w:r>
      <w:proofErr w:type="spellEnd"/>
      <w:r w:rsidRPr="00590322">
        <w:rPr>
          <w:rFonts w:cs="Times New Roman"/>
          <w:color w:val="000000" w:themeColor="text1"/>
          <w:szCs w:val="24"/>
        </w:rPr>
        <w:t xml:space="preserve"> et al., 2017). A new oil-driven economy may suffer from trade-offs in policies where policies controlling the emission of CO2 gases might affect growth in regions where gas and oil are important engines of fuel-driven economies. Algeria, Angola, Egypt, Gabon, and Nigeria have shown a marked increase in natural gas and petroleum product consumption, with a comparative increase in GDP per capita and </w:t>
      </w:r>
      <w:r w:rsidR="004B55C3">
        <w:rPr>
          <w:rFonts w:cs="Times New Roman"/>
          <w:color w:val="000000" w:themeColor="text1"/>
          <w:szCs w:val="24"/>
        </w:rPr>
        <w:t>Environmental sustainability</w:t>
      </w:r>
      <w:r w:rsidRPr="00590322">
        <w:rPr>
          <w:rFonts w:cs="Times New Roman"/>
          <w:color w:val="000000" w:themeColor="text1"/>
          <w:szCs w:val="24"/>
        </w:rPr>
        <w:t xml:space="preserve">. For instance, natural gas consumption rose from 107.9 billion cubic feet in 1980 to 759.5 billion cubic feet in 2015. While petroleum products rose from 116.4 to 339.2 thousand barrels a day in 2015. Meanwhile, GDP per capita increased by 15% and </w:t>
      </w:r>
      <w:r w:rsidR="001E7807">
        <w:rPr>
          <w:rFonts w:cs="Times New Roman"/>
          <w:color w:val="000000" w:themeColor="text1"/>
          <w:szCs w:val="24"/>
        </w:rPr>
        <w:t>carbon emission</w:t>
      </w:r>
      <w:r w:rsidRPr="00590322">
        <w:rPr>
          <w:rFonts w:cs="Times New Roman"/>
          <w:color w:val="000000" w:themeColor="text1"/>
          <w:szCs w:val="24"/>
        </w:rPr>
        <w:t xml:space="preserve"> increased by 144% during the years 1990-2015.</w:t>
      </w:r>
    </w:p>
    <w:p w14:paraId="2E31851B"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Anwar, Shabir, and Hussain proved in their 2011 study that financial systems have sustainability and developmental effects in economy since the early 2000s. Although mixed information is available in research concerning the interdependence of ecological quality and financial evolution, financial development can make investments in other kinds of technology more accessible to businesses and consumers in a country (</w:t>
      </w:r>
      <w:proofErr w:type="spellStart"/>
      <w:r w:rsidRPr="00590322">
        <w:rPr>
          <w:rFonts w:cs="Times New Roman"/>
          <w:color w:val="000000" w:themeColor="text1"/>
          <w:szCs w:val="24"/>
        </w:rPr>
        <w:t>Gök</w:t>
      </w:r>
      <w:proofErr w:type="spellEnd"/>
      <w:r w:rsidRPr="00590322">
        <w:rPr>
          <w:rFonts w:cs="Times New Roman"/>
          <w:color w:val="000000" w:themeColor="text1"/>
          <w:szCs w:val="24"/>
        </w:rPr>
        <w:t xml:space="preserve">, 2020). Green technology implementation and lower emission methods of production come along with a broad financial basis (Anger &amp; Barker, 2015; Atsu et al., 2021; Kim et al., 2023; Qayyum et al., 2021; </w:t>
      </w:r>
      <w:proofErr w:type="spellStart"/>
      <w:r w:rsidRPr="00590322">
        <w:rPr>
          <w:rFonts w:cs="Times New Roman"/>
          <w:color w:val="000000" w:themeColor="text1"/>
          <w:szCs w:val="24"/>
        </w:rPr>
        <w:t>Meo</w:t>
      </w:r>
      <w:proofErr w:type="spellEnd"/>
      <w:r w:rsidRPr="00590322">
        <w:rPr>
          <w:rFonts w:cs="Times New Roman"/>
          <w:color w:val="000000" w:themeColor="text1"/>
          <w:szCs w:val="24"/>
        </w:rPr>
        <w:t xml:space="preserve"> &amp; Karim, 2022). However, a broad financial basis can incentivize industries increasing the level of CO2 emissions in certain situations too. Businesses and people can use energy-consuming devices for financial purposes too (</w:t>
      </w:r>
      <w:proofErr w:type="spellStart"/>
      <w:r w:rsidRPr="00590322">
        <w:rPr>
          <w:rFonts w:cs="Times New Roman"/>
          <w:color w:val="000000" w:themeColor="text1"/>
          <w:szCs w:val="24"/>
        </w:rPr>
        <w:t>Gök</w:t>
      </w:r>
      <w:proofErr w:type="spellEnd"/>
      <w:r w:rsidRPr="00590322">
        <w:rPr>
          <w:rFonts w:cs="Times New Roman"/>
          <w:color w:val="000000" w:themeColor="text1"/>
          <w:szCs w:val="24"/>
        </w:rPr>
        <w:t xml:space="preserve">, 2020; Kim et al., 2023; Jiang &amp; Ma, 2019; Yao &amp; Zhang, 2021). Common financial development indicators, such as stock market and credit provided to private sector entities, do not cover financial developments in a complete manner. As explained in studies conducted by Bayar et al. in 2020 and </w:t>
      </w:r>
      <w:proofErr w:type="spellStart"/>
      <w:r w:rsidRPr="00590322">
        <w:rPr>
          <w:rFonts w:cs="Times New Roman"/>
          <w:color w:val="000000" w:themeColor="text1"/>
          <w:szCs w:val="24"/>
        </w:rPr>
        <w:t>Svirydzenka</w:t>
      </w:r>
      <w:proofErr w:type="spellEnd"/>
      <w:r w:rsidRPr="00590322">
        <w:rPr>
          <w:rFonts w:cs="Times New Roman"/>
          <w:color w:val="000000" w:themeColor="text1"/>
          <w:szCs w:val="24"/>
        </w:rPr>
        <w:t xml:space="preserve"> in 2016, Financial Development Index accounts offered by IMF offer a wide insight into financial systems in countries, including dimensions such as size &amp; liquidity, financial service access, and financial efficiency not considered in other indices (IMF, 2020a).</w:t>
      </w:r>
    </w:p>
    <w:p w14:paraId="30B21581" w14:textId="09A3E2BD" w:rsid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The Sub-Saharan region has an energy landscape marked by a paradox in which huge potential and strong economic barriers coexist (</w:t>
      </w:r>
      <w:proofErr w:type="spellStart"/>
      <w:r w:rsidRPr="00590322">
        <w:rPr>
          <w:rFonts w:cs="Times New Roman"/>
          <w:color w:val="000000" w:themeColor="text1"/>
          <w:szCs w:val="24"/>
        </w:rPr>
        <w:t>Sackeyfio</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Sackeyfio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Pusca</w:t>
      </w:r>
      <w:proofErr w:type="spellEnd"/>
      <w:r w:rsidRPr="00590322">
        <w:rPr>
          <w:rFonts w:cs="Times New Roman"/>
          <w:color w:val="000000" w:themeColor="text1"/>
          <w:szCs w:val="24"/>
        </w:rPr>
        <w:t>, 2018). Energy poverty and a lack of infrastructure for renewable energy sources are deeply ingrained despite having ample renewable resources such as hydropower, wind, and solar energy available. Biomass energy continues to be a readily available source of energy despite polluting and negatively impacting human health (</w:t>
      </w:r>
      <w:proofErr w:type="spellStart"/>
      <w:r w:rsidRPr="00590322">
        <w:rPr>
          <w:rFonts w:cs="Times New Roman"/>
          <w:color w:val="000000" w:themeColor="text1"/>
          <w:szCs w:val="24"/>
        </w:rPr>
        <w:t>Moyo</w:t>
      </w:r>
      <w:proofErr w:type="spellEnd"/>
      <w:r w:rsidRPr="00590322">
        <w:rPr>
          <w:rFonts w:cs="Times New Roman"/>
          <w:color w:val="000000" w:themeColor="text1"/>
          <w:szCs w:val="24"/>
        </w:rPr>
        <w:t xml:space="preserve"> et al., 2014). A lack of growth and development driven by non-renewable sources of energy can worsen these circumstances. Current trends in increasing capital expenditure in renewable energy and lower production costs based on technological improvements have placed renewable resources on the horizon of solid economic performance. Research shows an increase in capital expenditure in renewable energy resulting in increased productivity in all sectors and increased employment opportunities, making a substantial impact on GDP in emerging economies such as countries in Sub-Saharan Africa (</w:t>
      </w:r>
      <w:proofErr w:type="spellStart"/>
      <w:r w:rsidRPr="00590322">
        <w:rPr>
          <w:rFonts w:cs="Times New Roman"/>
          <w:color w:val="000000" w:themeColor="text1"/>
          <w:szCs w:val="24"/>
        </w:rPr>
        <w:t>Oyegbile</w:t>
      </w:r>
      <w:proofErr w:type="spellEnd"/>
      <w:r w:rsidRPr="00590322">
        <w:rPr>
          <w:rFonts w:cs="Times New Roman"/>
          <w:color w:val="000000" w:themeColor="text1"/>
          <w:szCs w:val="24"/>
        </w:rPr>
        <w:t xml:space="preserve"> et al., 2024). In this research, the System </w:t>
      </w:r>
      <w:r w:rsidRPr="00590322">
        <w:rPr>
          <w:rFonts w:cs="Times New Roman"/>
          <w:color w:val="000000" w:themeColor="text1"/>
          <w:szCs w:val="24"/>
        </w:rPr>
        <w:lastRenderedPageBreak/>
        <w:t xml:space="preserve">Generalized Method of Moments (GMM) technique is used to investigate interconnections between consumption of renewable energy resources, nonrenewable energy consumption, financial development, economic growth, and </w:t>
      </w:r>
      <w:r w:rsidR="004B55C3">
        <w:rPr>
          <w:rFonts w:cs="Times New Roman"/>
          <w:color w:val="000000" w:themeColor="text1"/>
          <w:szCs w:val="24"/>
        </w:rPr>
        <w:t>environmental sustainability</w:t>
      </w:r>
      <w:r w:rsidRPr="00590322">
        <w:rPr>
          <w:rFonts w:cs="Times New Roman"/>
          <w:color w:val="000000" w:themeColor="text1"/>
          <w:szCs w:val="24"/>
        </w:rPr>
        <w:t xml:space="preserve"> in Sub-Saharan Africa.</w:t>
      </w:r>
    </w:p>
    <w:p w14:paraId="675789F0" w14:textId="3B1C2AA4" w:rsid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 xml:space="preserve">Additionally, robustness tests are used through Fixed and Random Effects methods. The research utilizes a multivariate model customized to fit the unique relationships between energy and the economy in this region. Furthermore, this research aims to help address endogeneity, which results from interconnections between economic growth, consumption of energy resources, and </w:t>
      </w:r>
      <w:r w:rsidR="004B55C3">
        <w:rPr>
          <w:rFonts w:cs="Times New Roman"/>
          <w:color w:val="000000" w:themeColor="text1"/>
          <w:szCs w:val="24"/>
        </w:rPr>
        <w:t>environmental sustainability</w:t>
      </w:r>
      <w:r w:rsidRPr="00590322">
        <w:rPr>
          <w:rFonts w:cs="Times New Roman"/>
          <w:color w:val="000000" w:themeColor="text1"/>
          <w:szCs w:val="24"/>
        </w:rPr>
        <w:t xml:space="preserve"> through a System GMM technique. Given an operational perspective, the relationships among emissions, energy, and growth can be formulated as an optimization problem where policymakers choose energy and financial indicators to achieve a goal of lowered emissions with sustained growth and energy security. As such, this research contributes not only to established statistical correlations but also to evidence suitable for application in optimization contexts, including multi-criteria optimization analysis, where model parameters and constraints are based on assumed elasticities and tested relationships in accordance with existing literature studies in organizational contexts presented in literature such as </w:t>
      </w:r>
      <w:proofErr w:type="spellStart"/>
      <w:r w:rsidRPr="00590322">
        <w:rPr>
          <w:rFonts w:cs="Times New Roman"/>
          <w:color w:val="000000" w:themeColor="text1"/>
          <w:szCs w:val="24"/>
        </w:rPr>
        <w:t>Mkwizu</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Matama</w:t>
      </w:r>
      <w:proofErr w:type="spellEnd"/>
      <w:r w:rsidRPr="00590322">
        <w:rPr>
          <w:rFonts w:cs="Times New Roman"/>
          <w:color w:val="000000" w:themeColor="text1"/>
          <w:szCs w:val="24"/>
        </w:rPr>
        <w:t xml:space="preserve">, 2019; </w:t>
      </w:r>
      <w:proofErr w:type="spellStart"/>
      <w:r w:rsidRPr="00590322">
        <w:rPr>
          <w:rFonts w:cs="Times New Roman"/>
          <w:color w:val="000000" w:themeColor="text1"/>
          <w:szCs w:val="24"/>
        </w:rPr>
        <w:t>Nyeko</w:t>
      </w:r>
      <w:proofErr w:type="spellEnd"/>
      <w:r w:rsidRPr="00590322">
        <w:rPr>
          <w:rFonts w:cs="Times New Roman"/>
          <w:color w:val="000000" w:themeColor="text1"/>
          <w:szCs w:val="24"/>
        </w:rPr>
        <w:t xml:space="preserve"> et al., 2021; </w:t>
      </w:r>
      <w:proofErr w:type="spellStart"/>
      <w:r w:rsidRPr="00590322">
        <w:rPr>
          <w:rFonts w:cs="Times New Roman"/>
          <w:color w:val="000000" w:themeColor="text1"/>
          <w:szCs w:val="24"/>
        </w:rPr>
        <w:t>Obedgiu</w:t>
      </w:r>
      <w:proofErr w:type="spellEnd"/>
      <w:r w:rsidRPr="00590322">
        <w:rPr>
          <w:rFonts w:cs="Times New Roman"/>
          <w:color w:val="000000" w:themeColor="text1"/>
          <w:szCs w:val="24"/>
        </w:rPr>
        <w:t xml:space="preserve"> et al., 2022; </w:t>
      </w:r>
      <w:proofErr w:type="spellStart"/>
      <w:r w:rsidRPr="00590322">
        <w:rPr>
          <w:rFonts w:cs="Times New Roman"/>
          <w:color w:val="000000" w:themeColor="text1"/>
          <w:szCs w:val="24"/>
        </w:rPr>
        <w:t>Walugembe</w:t>
      </w:r>
      <w:proofErr w:type="spellEnd"/>
      <w:r w:rsidRPr="00590322">
        <w:rPr>
          <w:rFonts w:cs="Times New Roman"/>
          <w:color w:val="000000" w:themeColor="text1"/>
          <w:szCs w:val="24"/>
        </w:rPr>
        <w:t xml:space="preserve"> et al., 2023; and in </w:t>
      </w:r>
      <w:proofErr w:type="spellStart"/>
      <w:r w:rsidRPr="00590322">
        <w:rPr>
          <w:rFonts w:cs="Times New Roman"/>
          <w:color w:val="000000" w:themeColor="text1"/>
          <w:szCs w:val="24"/>
        </w:rPr>
        <w:t>Bagenda</w:t>
      </w:r>
      <w:proofErr w:type="spellEnd"/>
      <w:r w:rsidRPr="00590322">
        <w:rPr>
          <w:rFonts w:cs="Times New Roman"/>
          <w:color w:val="000000" w:themeColor="text1"/>
          <w:szCs w:val="24"/>
        </w:rPr>
        <w:t xml:space="preserve"> et al., 2017.</w:t>
      </w:r>
    </w:p>
    <w:p w14:paraId="5A4BD88E" w14:textId="0ED77AFF" w:rsidR="00572881" w:rsidRDefault="00590322" w:rsidP="00590322">
      <w:pPr>
        <w:spacing w:after="240" w:line="240" w:lineRule="auto"/>
        <w:jc w:val="both"/>
        <w:rPr>
          <w:rFonts w:cs="Times New Roman"/>
          <w:szCs w:val="24"/>
        </w:rPr>
      </w:pPr>
      <w:r w:rsidRPr="00590322">
        <w:rPr>
          <w:rFonts w:cs="Times New Roman"/>
          <w:color w:val="000000" w:themeColor="text1"/>
          <w:szCs w:val="24"/>
        </w:rPr>
        <w:t xml:space="preserve">The case study on Sub-Saharan Africa is driven by a variety of factors. First, this region is hampered by large energy challenges, such as a dependency on non-renewable energy sources and a lack of renewable energy investment (International Energy Agency, 2019). Moreover, the interplay among these factors—energy, economic development, and the environment—is of vital importance because regional energy consumption trends impact negatively or positively on environmental sustainability and growth. Rapid industrialization and population increase in most countries in this region have increased energy demand, thus increasing </w:t>
      </w:r>
      <w:r w:rsidR="004B55C3">
        <w:rPr>
          <w:rFonts w:cs="Times New Roman"/>
          <w:color w:val="000000" w:themeColor="text1"/>
          <w:szCs w:val="24"/>
        </w:rPr>
        <w:t>environmental sustainability</w:t>
      </w:r>
      <w:r w:rsidRPr="00590322">
        <w:rPr>
          <w:rFonts w:cs="Times New Roman"/>
          <w:color w:val="000000" w:themeColor="text1"/>
          <w:szCs w:val="24"/>
        </w:rPr>
        <w:t xml:space="preserve"> in this region. Therefore, it is vital to examine if green energy can fuel growth, overcoming negative environmental impacts. Secondly, financial developments in this region are not balanced; hence it is important to examine the role this financial growth can have in fueling long-run growth and investment in green energy</w:t>
      </w:r>
      <w:r w:rsidR="00572881" w:rsidRPr="00572881">
        <w:rPr>
          <w:rFonts w:cs="Times New Roman"/>
          <w:szCs w:val="24"/>
        </w:rPr>
        <w:t xml:space="preserve">. </w:t>
      </w:r>
    </w:p>
    <w:p w14:paraId="2ABFA5DD" w14:textId="77777777" w:rsidR="001B70DD" w:rsidRDefault="003200EF" w:rsidP="00910619">
      <w:pPr>
        <w:spacing w:after="240" w:line="240" w:lineRule="auto"/>
        <w:jc w:val="both"/>
        <w:rPr>
          <w:rFonts w:cs="Times New Roman"/>
          <w:szCs w:val="24"/>
        </w:rPr>
      </w:pPr>
      <w:r>
        <w:rPr>
          <w:rFonts w:cs="Times New Roman"/>
          <w:szCs w:val="24"/>
        </w:rPr>
        <w:t>T</w:t>
      </w:r>
      <w:r w:rsidR="00572881" w:rsidRPr="00572881">
        <w:rPr>
          <w:rFonts w:cs="Times New Roman"/>
          <w:szCs w:val="24"/>
        </w:rPr>
        <w:t>he rest of the paper is organized</w:t>
      </w:r>
      <w:r>
        <w:rPr>
          <w:rFonts w:cs="Times New Roman"/>
          <w:szCs w:val="24"/>
        </w:rPr>
        <w:t xml:space="preserve"> as follows:</w:t>
      </w:r>
      <w:r w:rsidR="00572881" w:rsidRPr="00572881">
        <w:rPr>
          <w:rFonts w:cs="Times New Roman"/>
          <w:szCs w:val="24"/>
        </w:rPr>
        <w:t xml:space="preserve"> </w:t>
      </w:r>
      <w:r>
        <w:rPr>
          <w:rFonts w:cs="Times New Roman"/>
          <w:szCs w:val="24"/>
        </w:rPr>
        <w:t xml:space="preserve">Section </w:t>
      </w:r>
      <w:r w:rsidR="00EF2560">
        <w:rPr>
          <w:rFonts w:cs="Times New Roman"/>
          <w:szCs w:val="24"/>
        </w:rPr>
        <w:t xml:space="preserve">2 </w:t>
      </w:r>
      <w:r w:rsidR="00E6099F">
        <w:rPr>
          <w:rFonts w:cs="Times New Roman"/>
          <w:szCs w:val="24"/>
        </w:rPr>
        <w:t>presents</w:t>
      </w:r>
      <w:r>
        <w:rPr>
          <w:rFonts w:cs="Times New Roman"/>
          <w:szCs w:val="24"/>
        </w:rPr>
        <w:t xml:space="preserve"> </w:t>
      </w:r>
      <w:r w:rsidR="00E6099F">
        <w:rPr>
          <w:rFonts w:cs="Times New Roman"/>
          <w:szCs w:val="24"/>
        </w:rPr>
        <w:t xml:space="preserve">the </w:t>
      </w:r>
      <w:r w:rsidR="00572881" w:rsidRPr="00572881">
        <w:rPr>
          <w:rFonts w:cs="Times New Roman"/>
          <w:szCs w:val="24"/>
        </w:rPr>
        <w:t>theoretical framework</w:t>
      </w:r>
      <w:r>
        <w:rPr>
          <w:rFonts w:cs="Times New Roman"/>
          <w:szCs w:val="24"/>
        </w:rPr>
        <w:t xml:space="preserve"> relevant to this study; Section 3 </w:t>
      </w:r>
      <w:r w:rsidR="00E6099F">
        <w:rPr>
          <w:rFonts w:cs="Times New Roman"/>
          <w:szCs w:val="24"/>
        </w:rPr>
        <w:t>presents</w:t>
      </w:r>
      <w:r>
        <w:rPr>
          <w:rFonts w:cs="Times New Roman"/>
          <w:szCs w:val="24"/>
        </w:rPr>
        <w:t xml:space="preserve"> </w:t>
      </w:r>
      <w:r w:rsidR="00E6099F">
        <w:rPr>
          <w:rFonts w:cs="Times New Roman"/>
          <w:szCs w:val="24"/>
        </w:rPr>
        <w:t xml:space="preserve">an </w:t>
      </w:r>
      <w:r>
        <w:rPr>
          <w:rFonts w:cs="Times New Roman"/>
          <w:szCs w:val="24"/>
        </w:rPr>
        <w:t xml:space="preserve">empirical review and highlight of hypothesis development; Section 4 </w:t>
      </w:r>
      <w:r w:rsidR="00E6099F">
        <w:rPr>
          <w:rFonts w:cs="Times New Roman"/>
          <w:szCs w:val="24"/>
        </w:rPr>
        <w:t>focuses</w:t>
      </w:r>
      <w:r>
        <w:rPr>
          <w:rFonts w:cs="Times New Roman"/>
          <w:szCs w:val="24"/>
        </w:rPr>
        <w:t xml:space="preserve"> on the methods and materials for this study;</w:t>
      </w:r>
      <w:r w:rsidR="007825DB">
        <w:rPr>
          <w:rFonts w:cs="Times New Roman"/>
          <w:szCs w:val="24"/>
        </w:rPr>
        <w:t xml:space="preserve"> </w:t>
      </w:r>
      <w:r>
        <w:rPr>
          <w:rFonts w:cs="Times New Roman"/>
          <w:szCs w:val="24"/>
        </w:rPr>
        <w:t xml:space="preserve">empirical findings </w:t>
      </w:r>
      <w:r w:rsidR="007825DB">
        <w:rPr>
          <w:rFonts w:cs="Times New Roman"/>
          <w:szCs w:val="24"/>
        </w:rPr>
        <w:t xml:space="preserve">and discussion are the focus of Section </w:t>
      </w:r>
      <w:r w:rsidR="00EF2560">
        <w:rPr>
          <w:rFonts w:cs="Times New Roman"/>
          <w:szCs w:val="24"/>
        </w:rPr>
        <w:t>5. while</w:t>
      </w:r>
      <w:r w:rsidR="007825DB">
        <w:rPr>
          <w:rFonts w:cs="Times New Roman"/>
          <w:szCs w:val="24"/>
        </w:rPr>
        <w:t xml:space="preserve"> Section 6 </w:t>
      </w:r>
      <w:r w:rsidR="00E6099F">
        <w:rPr>
          <w:rFonts w:cs="Times New Roman"/>
          <w:szCs w:val="24"/>
        </w:rPr>
        <w:t>presents</w:t>
      </w:r>
      <w:r w:rsidR="007825DB">
        <w:rPr>
          <w:rFonts w:cs="Times New Roman"/>
          <w:szCs w:val="24"/>
        </w:rPr>
        <w:t xml:space="preserve"> the conclusion and policy implication of the study, respectively.</w:t>
      </w:r>
    </w:p>
    <w:p w14:paraId="7585264E" w14:textId="77777777" w:rsidR="0004132A" w:rsidRPr="001B70DD" w:rsidRDefault="0004132A" w:rsidP="00910619">
      <w:pPr>
        <w:pStyle w:val="NormalWeb"/>
        <w:numPr>
          <w:ilvl w:val="0"/>
          <w:numId w:val="16"/>
        </w:numPr>
        <w:ind w:left="357" w:hanging="357"/>
        <w:jc w:val="both"/>
        <w:rPr>
          <w:b/>
          <w:bCs/>
        </w:rPr>
      </w:pPr>
      <w:r w:rsidRPr="001B70DD">
        <w:rPr>
          <w:b/>
          <w:bCs/>
        </w:rPr>
        <w:t>Theoretical framework</w:t>
      </w:r>
    </w:p>
    <w:p w14:paraId="5AAA1434" w14:textId="77777777" w:rsidR="00590322" w:rsidRDefault="00590322" w:rsidP="00590322">
      <w:pPr>
        <w:spacing w:line="240" w:lineRule="auto"/>
        <w:jc w:val="both"/>
      </w:pPr>
      <w:bookmarkStart w:id="3" w:name="_Hlk176690561"/>
      <w:bookmarkEnd w:id="2"/>
      <w:r>
        <w:t>As per operations research, these theoretical elements described in this section clarify the manner in which these empirical relationships can be articulated into a model using objective function elements such as emission minimization, constraint elements such as fulfilling energy demand, and such other policy elements such as share of renewable energy and financial deepening.</w:t>
      </w:r>
    </w:p>
    <w:p w14:paraId="49D5EECC" w14:textId="77777777" w:rsidR="00590322" w:rsidRDefault="00590322" w:rsidP="00590322">
      <w:pPr>
        <w:spacing w:line="240" w:lineRule="auto"/>
        <w:jc w:val="both"/>
      </w:pPr>
    </w:p>
    <w:p w14:paraId="2F36F522" w14:textId="77777777" w:rsidR="00590322" w:rsidRDefault="00590322" w:rsidP="00590322">
      <w:pPr>
        <w:spacing w:line="240" w:lineRule="auto"/>
        <w:jc w:val="both"/>
      </w:pPr>
      <w:r>
        <w:t xml:space="preserve">Among basic models of economic growth, the Solow Growth Model (Solow, 1956) focuses especially on capital accumulation, labor, and technological change as key drivers of growth. Differing from above models, especially in application, this model gives relatively less importance to energy consumption and environmental damage. A more accurate and realistic outlook can be </w:t>
      </w:r>
      <w:r>
        <w:lastRenderedPageBreak/>
        <w:t xml:space="preserve">obtained with Endogenous Growth Theory, according to which technological advancements and investments in human capital are vital for encouraging continuous growth in an economy (Jones &amp; </w:t>
      </w:r>
      <w:proofErr w:type="spellStart"/>
      <w:r>
        <w:t>Manuelli</w:t>
      </w:r>
      <w:proofErr w:type="spellEnd"/>
      <w:r>
        <w:t>, 2005). This is very relevant in the current analysis because it makes possible a consideration of both renewable and non-renewable sources of energy in a model of growth. Here, renewable energy sources can work as an impetus to support sustainable growth, but non-renewable energy sources may prove to be a hindrance in this respect because of resource depletion and environmental damage.</w:t>
      </w:r>
    </w:p>
    <w:p w14:paraId="6A66D7D7" w14:textId="77777777" w:rsidR="00590322" w:rsidRDefault="00590322" w:rsidP="00590322">
      <w:pPr>
        <w:spacing w:line="240" w:lineRule="auto"/>
        <w:jc w:val="both"/>
      </w:pPr>
    </w:p>
    <w:p w14:paraId="06733FAE" w14:textId="77777777" w:rsidR="00590322" w:rsidRDefault="00590322" w:rsidP="00590322">
      <w:pPr>
        <w:spacing w:line="240" w:lineRule="auto"/>
        <w:jc w:val="both"/>
      </w:pPr>
      <w:r>
        <w:t>Financial development, in combination with technological innovation, is emphasized as facilitating endogenous growth in these models. It is assumed in these models that financial markets function in an efficient manner. Therefore, investments in clean technology and other related renewable energy can lead to sustainable economic growth in these models (Shahbaz et al., 2013). Energy consumption, economic growth, and GHG emissions are considered a very important intermediary in these models through which financial development affects other outcomes.</w:t>
      </w:r>
    </w:p>
    <w:p w14:paraId="0E5EB142" w14:textId="77777777" w:rsidR="00590322" w:rsidRDefault="00590322" w:rsidP="00590322">
      <w:pPr>
        <w:spacing w:line="240" w:lineRule="auto"/>
        <w:jc w:val="both"/>
      </w:pPr>
    </w:p>
    <w:p w14:paraId="61C2E98C" w14:textId="2452D59A" w:rsidR="00590322" w:rsidRDefault="00590322" w:rsidP="00590322">
      <w:pPr>
        <w:spacing w:line="240" w:lineRule="auto"/>
        <w:jc w:val="both"/>
      </w:pPr>
      <w:r>
        <w:t xml:space="preserve">The Environmental Kuznets Curve Hypothesis asserts that economic growth can co-exist with environmental degradation in countries during the early stages of industrialization and when they rely on non-renewable forms of energy in raising higher levels of </w:t>
      </w:r>
      <w:r w:rsidR="004B55C3">
        <w:t>environmental sustainability</w:t>
      </w:r>
      <w:r>
        <w:t xml:space="preserve">. But when a particular level of income is attained, they switch to cleaner forms of energy and incorporate stricter demands for controlling these emissions in lowering them (Grossman, 1991). Using EKC, this research describes how renewable energy consumption, economic, and financial developments have an interplay in lowering levels of </w:t>
      </w:r>
      <w:r w:rsidR="004B55C3">
        <w:t>environmental sustainability</w:t>
      </w:r>
      <w:r>
        <w:t>.</w:t>
      </w:r>
    </w:p>
    <w:p w14:paraId="0D867F06" w14:textId="77777777" w:rsidR="00590322" w:rsidRDefault="00590322" w:rsidP="00590322">
      <w:pPr>
        <w:spacing w:line="240" w:lineRule="auto"/>
        <w:jc w:val="both"/>
      </w:pPr>
    </w:p>
    <w:p w14:paraId="7BC3B084" w14:textId="569165D2" w:rsidR="00590322" w:rsidRDefault="00590322" w:rsidP="00590322">
      <w:pPr>
        <w:spacing w:line="240" w:lineRule="auto"/>
        <w:jc w:val="both"/>
      </w:pPr>
      <w:r>
        <w:t xml:space="preserve">Jorgenson and </w:t>
      </w:r>
      <w:proofErr w:type="spellStart"/>
      <w:r>
        <w:t>Wilcoxen</w:t>
      </w:r>
      <w:proofErr w:type="spellEnd"/>
      <w:r>
        <w:t xml:space="preserve"> offer a framework of "Intertemporal General Equilibrium Models," which incorporates energy consumption, economic expansion, and environmental degradation. Such models highlight the significance of taking a temporal perspective when assessing trade-offs in both short-term economic gains from non-renewable resource consumption and future consequences related to climate change. Or, they suggest other methods such as using carbon taxes or trading systems to address such connections. The results of our analysis suggest financial development in Sub-Saharan Africa, where rapid industrialization happens simultaneously with increased </w:t>
      </w:r>
      <w:r w:rsidR="004B55C3">
        <w:t>environmental sustainability</w:t>
      </w:r>
      <w:r>
        <w:t xml:space="preserve"> in the temporal sense, can fuel investment in alternative energy resources to mitigate environmental damage without undermining economic expansion.</w:t>
      </w:r>
    </w:p>
    <w:p w14:paraId="1D579FA8" w14:textId="77777777" w:rsidR="00590322" w:rsidRDefault="00590322" w:rsidP="00590322">
      <w:pPr>
        <w:spacing w:line="240" w:lineRule="auto"/>
        <w:jc w:val="both"/>
      </w:pPr>
    </w:p>
    <w:p w14:paraId="108713A2" w14:textId="58514097" w:rsidR="00DE22BC" w:rsidRPr="00DE22BC" w:rsidRDefault="00590322" w:rsidP="00590322">
      <w:pPr>
        <w:spacing w:line="240" w:lineRule="auto"/>
        <w:jc w:val="both"/>
        <w:rPr>
          <w:rFonts w:cs="Times New Roman"/>
          <w:szCs w:val="24"/>
        </w:rPr>
      </w:pPr>
      <w:r>
        <w:t xml:space="preserve">Through the Resource-Based View, economies can gain an advantage in terms of efficient handling of resources such as energy. In this model, renewable energy is a resource of great potential and significance in ensuring sustainable growth. Although economies prefer to invest in renewable rather than non-renewable resources, financial development is necessary to supplement investment in such sectors. Such a change is necessary in order to promote a decrease in </w:t>
      </w:r>
      <w:r w:rsidR="004B55C3">
        <w:t>environmental sustainability</w:t>
      </w:r>
      <w:r>
        <w:t xml:space="preserve"> and achieve a degree of sustainability in economies (Kolstad &amp; </w:t>
      </w:r>
      <w:proofErr w:type="spellStart"/>
      <w:r>
        <w:t>Krautkraemer</w:t>
      </w:r>
      <w:proofErr w:type="spellEnd"/>
      <w:r>
        <w:t xml:space="preserve">, 1993). According to Ricci (2007), environmental policies can either hinder or foster economic growth. Policies focusing on increasing consumption of renewable energy sources can boost factor productiveness, hence increasing economic growth. Financial development in this case serves as a catalyst in encouraging investments in renewable energy sources and in firms that cut </w:t>
      </w:r>
      <w:r w:rsidR="004B55C3">
        <w:t>environmental sustainability</w:t>
      </w:r>
      <w:r>
        <w:t xml:space="preserve">. The focus, therefore, is placed on uncovering channels through </w:t>
      </w:r>
      <w:r>
        <w:lastRenderedPageBreak/>
        <w:t>which financial development and consumption of energy interact in influencing the interplay between the energy sector and economic growth</w:t>
      </w:r>
      <w:r w:rsidR="00DE22BC" w:rsidRPr="00DE22BC">
        <w:rPr>
          <w:rFonts w:cs="Times New Roman"/>
          <w:szCs w:val="24"/>
        </w:rPr>
        <w:t xml:space="preserve">. </w:t>
      </w:r>
    </w:p>
    <w:p w14:paraId="2908E6E0" w14:textId="77777777" w:rsidR="0004132A" w:rsidRPr="00F14D3D" w:rsidRDefault="0004132A" w:rsidP="00910619">
      <w:pPr>
        <w:pStyle w:val="ListParagraph"/>
        <w:numPr>
          <w:ilvl w:val="0"/>
          <w:numId w:val="16"/>
        </w:numPr>
        <w:spacing w:line="240" w:lineRule="auto"/>
        <w:ind w:left="357" w:hanging="357"/>
        <w:jc w:val="both"/>
        <w:rPr>
          <w:rFonts w:ascii="Times New Roman" w:eastAsia="Calibri" w:hAnsi="Times New Roman"/>
          <w:b/>
          <w:bCs/>
          <w:color w:val="000000"/>
          <w:szCs w:val="24"/>
        </w:rPr>
      </w:pPr>
      <w:r w:rsidRPr="00F14D3D">
        <w:rPr>
          <w:rFonts w:ascii="Times New Roman" w:eastAsia="Calibri" w:hAnsi="Times New Roman"/>
          <w:b/>
          <w:bCs/>
          <w:color w:val="000000"/>
          <w:szCs w:val="24"/>
        </w:rPr>
        <w:t>Empirical Literature Review and Hypothesis Development</w:t>
      </w:r>
    </w:p>
    <w:bookmarkEnd w:id="3"/>
    <w:p w14:paraId="558DDB9E" w14:textId="754270EE" w:rsidR="00545691" w:rsidRPr="00F14D3D" w:rsidRDefault="007825DB" w:rsidP="00910619">
      <w:pPr>
        <w:spacing w:line="240" w:lineRule="auto"/>
        <w:jc w:val="both"/>
        <w:rPr>
          <w:rFonts w:cs="Times New Roman"/>
          <w:color w:val="000000" w:themeColor="text1"/>
          <w:szCs w:val="24"/>
        </w:rPr>
      </w:pPr>
      <w:r>
        <w:rPr>
          <w:rFonts w:cs="Times New Roman"/>
          <w:b/>
          <w:bCs/>
          <w:color w:val="000000" w:themeColor="text1"/>
          <w:szCs w:val="24"/>
        </w:rPr>
        <w:t>3.1.</w:t>
      </w:r>
      <w:r>
        <w:rPr>
          <w:rFonts w:cs="Times New Roman"/>
          <w:b/>
          <w:bCs/>
          <w:color w:val="000000" w:themeColor="text1"/>
          <w:szCs w:val="24"/>
        </w:rPr>
        <w:tab/>
      </w:r>
      <w:r w:rsidR="00545691" w:rsidRPr="00F14D3D">
        <w:rPr>
          <w:rFonts w:cs="Times New Roman"/>
          <w:b/>
          <w:bCs/>
          <w:color w:val="000000" w:themeColor="text1"/>
          <w:szCs w:val="24"/>
        </w:rPr>
        <w:t xml:space="preserve">Renewable energy consumption and </w:t>
      </w:r>
      <w:r w:rsidR="004B55C3">
        <w:rPr>
          <w:rFonts w:cs="Times New Roman"/>
          <w:b/>
          <w:bCs/>
          <w:color w:val="000000" w:themeColor="text1"/>
          <w:szCs w:val="24"/>
        </w:rPr>
        <w:t>environmental sustainability</w:t>
      </w:r>
    </w:p>
    <w:p w14:paraId="00615CE3" w14:textId="77777777" w:rsidR="00590322" w:rsidRPr="00590322" w:rsidRDefault="00590322" w:rsidP="00590322">
      <w:pPr>
        <w:spacing w:line="240" w:lineRule="auto"/>
        <w:jc w:val="both"/>
        <w:rPr>
          <w:rFonts w:cs="Times New Roman"/>
          <w:szCs w:val="24"/>
        </w:rPr>
      </w:pPr>
      <w:proofErr w:type="spellStart"/>
      <w:r w:rsidRPr="00590322">
        <w:rPr>
          <w:rFonts w:cs="Times New Roman"/>
          <w:szCs w:val="24"/>
        </w:rPr>
        <w:t>Destek</w:t>
      </w:r>
      <w:proofErr w:type="spellEnd"/>
      <w:r w:rsidRPr="00590322">
        <w:rPr>
          <w:rFonts w:cs="Times New Roman"/>
          <w:szCs w:val="24"/>
        </w:rPr>
        <w:t xml:space="preserve"> and Aslan (2017) examine the relationship among the usage of clean energy, economic growth, and climate change during the time period 1991–2014. The study mainly focuses on solar, wind, biomass, and hydroelectric power. Renewable energy resources are deemed very important for eradicating pollution in the environment and for making way for a sustainable future for all over the world. Their findings show that hydroelectricity is the most efficient form of renewable energy in diminishing pollution in the environment among these countries. Usman et al. (2022) examine the effects of nuclear and clean energy on environmental pollution in Pakistan using the NARDL approach. Their findings show that indirect variation of nuclear energy affects the environment negatively, but direct or indirect variation of clean energy largely improves climatic quality. They suggest using nuclear and clean energy in Pakistan towards achieving a clean and sustainable future.</w:t>
      </w:r>
    </w:p>
    <w:p w14:paraId="32352644" w14:textId="77777777" w:rsidR="00590322" w:rsidRPr="00590322" w:rsidRDefault="00590322" w:rsidP="00590322">
      <w:pPr>
        <w:spacing w:line="240" w:lineRule="auto"/>
        <w:jc w:val="both"/>
        <w:rPr>
          <w:rFonts w:cs="Times New Roman"/>
          <w:szCs w:val="24"/>
        </w:rPr>
      </w:pPr>
    </w:p>
    <w:p w14:paraId="523B5195" w14:textId="691C44A5" w:rsidR="00886C64" w:rsidRPr="007B28BD" w:rsidRDefault="00590322" w:rsidP="00590322">
      <w:pPr>
        <w:spacing w:line="240" w:lineRule="auto"/>
        <w:jc w:val="both"/>
        <w:rPr>
          <w:rFonts w:cs="Times New Roman"/>
          <w:szCs w:val="24"/>
        </w:rPr>
      </w:pPr>
      <w:r w:rsidRPr="00590322">
        <w:rPr>
          <w:rFonts w:cs="Times New Roman"/>
          <w:szCs w:val="24"/>
        </w:rPr>
        <w:t xml:space="preserve">Jalil and </w:t>
      </w:r>
      <w:proofErr w:type="spellStart"/>
      <w:r w:rsidRPr="00590322">
        <w:rPr>
          <w:rFonts w:cs="Times New Roman"/>
          <w:szCs w:val="24"/>
        </w:rPr>
        <w:t>Feridun</w:t>
      </w:r>
      <w:proofErr w:type="spellEnd"/>
      <w:r w:rsidRPr="00590322">
        <w:rPr>
          <w:rFonts w:cs="Times New Roman"/>
          <w:szCs w:val="24"/>
        </w:rPr>
        <w:t xml:space="preserve"> (2011) examine the relationship between energy consumption and CO2 emissions. Using the autoregressive distributed lag (ARDL) bounds test, they tested Chinese data from 1953 to 2016 and found that total energy production has a positive influence on environmental pollution. Dong et al. (2017) used the Granger causality test and augmented mean group estimator on a study from 1985 to 2016 and discovered that energy consumption leads to increased </w:t>
      </w:r>
      <w:r w:rsidR="004B55C3">
        <w:rPr>
          <w:rFonts w:cs="Times New Roman"/>
          <w:szCs w:val="24"/>
        </w:rPr>
        <w:t>environmental sustainability</w:t>
      </w:r>
      <w:r w:rsidRPr="00590322">
        <w:rPr>
          <w:rFonts w:cs="Times New Roman"/>
          <w:szCs w:val="24"/>
        </w:rPr>
        <w:t xml:space="preserve"> and poor environmental conditions. They found a negative relationship and a two-way causality relationship among energy consumption and </w:t>
      </w:r>
      <w:r w:rsidR="004B55C3">
        <w:rPr>
          <w:rFonts w:cs="Times New Roman"/>
          <w:szCs w:val="24"/>
        </w:rPr>
        <w:t>environmental sustainability</w:t>
      </w:r>
      <w:r w:rsidRPr="00590322">
        <w:rPr>
          <w:rFonts w:cs="Times New Roman"/>
          <w:szCs w:val="24"/>
        </w:rPr>
        <w:t xml:space="preserve">. </w:t>
      </w:r>
      <w:proofErr w:type="spellStart"/>
      <w:r w:rsidRPr="00590322">
        <w:rPr>
          <w:rFonts w:cs="Times New Roman"/>
          <w:szCs w:val="24"/>
        </w:rPr>
        <w:t>Pata</w:t>
      </w:r>
      <w:proofErr w:type="spellEnd"/>
      <w:r w:rsidRPr="00590322">
        <w:rPr>
          <w:rFonts w:cs="Times New Roman"/>
          <w:szCs w:val="24"/>
        </w:rPr>
        <w:t xml:space="preserve"> (2018) found both a negative effect and a positive effect of renewable energy on CO2 emissions in a study in Turkey. In a research undertaken among five European countries, </w:t>
      </w:r>
      <w:proofErr w:type="spellStart"/>
      <w:r w:rsidRPr="00590322">
        <w:rPr>
          <w:rFonts w:cs="Times New Roman"/>
          <w:szCs w:val="24"/>
        </w:rPr>
        <w:t>Balsalobre</w:t>
      </w:r>
      <w:proofErr w:type="spellEnd"/>
      <w:r w:rsidRPr="00590322">
        <w:rPr>
          <w:rFonts w:cs="Times New Roman"/>
          <w:szCs w:val="24"/>
        </w:rPr>
        <w:t xml:space="preserve"> et al. (2018) studied the influence of renewable energy, trade liberalization, GDP, and natural resources on </w:t>
      </w:r>
      <w:r w:rsidR="004B55C3">
        <w:rPr>
          <w:rFonts w:cs="Times New Roman"/>
          <w:szCs w:val="24"/>
        </w:rPr>
        <w:t>environmental sustainability</w:t>
      </w:r>
      <w:r w:rsidRPr="00590322">
        <w:rPr>
          <w:rFonts w:cs="Times New Roman"/>
          <w:szCs w:val="24"/>
        </w:rPr>
        <w:t xml:space="preserve"> and found that natural resources have a positive influence on improving environmental quality, but GDP and trade liberalization have a positive influence on increasing </w:t>
      </w:r>
      <w:r w:rsidR="004B55C3">
        <w:rPr>
          <w:rFonts w:cs="Times New Roman"/>
          <w:szCs w:val="24"/>
        </w:rPr>
        <w:t>environmental sustainability</w:t>
      </w:r>
      <w:r w:rsidRPr="00590322">
        <w:rPr>
          <w:rFonts w:cs="Times New Roman"/>
          <w:szCs w:val="24"/>
        </w:rPr>
        <w:t xml:space="preserve">. Hao et al. (2021) and Khan et al. (2020) studied the inter-linkages among renewable energy and environmental quality among G-7 countries and concluded that environmental quality is enhanced by renewable energy. Similar researches were conducted by Bao and Xu (2019); </w:t>
      </w:r>
      <w:proofErr w:type="spellStart"/>
      <w:r w:rsidRPr="00590322">
        <w:rPr>
          <w:rFonts w:cs="Times New Roman"/>
          <w:szCs w:val="24"/>
        </w:rPr>
        <w:t>Charfeddine</w:t>
      </w:r>
      <w:proofErr w:type="spellEnd"/>
      <w:r w:rsidRPr="00590322">
        <w:rPr>
          <w:rFonts w:cs="Times New Roman"/>
          <w:szCs w:val="24"/>
        </w:rPr>
        <w:t xml:space="preserve"> and </w:t>
      </w:r>
      <w:proofErr w:type="spellStart"/>
      <w:r w:rsidRPr="00590322">
        <w:rPr>
          <w:rFonts w:cs="Times New Roman"/>
          <w:szCs w:val="24"/>
        </w:rPr>
        <w:t>Kahia</w:t>
      </w:r>
      <w:proofErr w:type="spellEnd"/>
      <w:r w:rsidRPr="00590322">
        <w:rPr>
          <w:rFonts w:cs="Times New Roman"/>
          <w:szCs w:val="24"/>
        </w:rPr>
        <w:t xml:space="preserve"> (2019); Rahman and </w:t>
      </w:r>
      <w:proofErr w:type="spellStart"/>
      <w:r w:rsidRPr="00590322">
        <w:rPr>
          <w:rFonts w:cs="Times New Roman"/>
          <w:szCs w:val="24"/>
        </w:rPr>
        <w:t>Velayutham</w:t>
      </w:r>
      <w:proofErr w:type="spellEnd"/>
      <w:r w:rsidRPr="00590322">
        <w:rPr>
          <w:rFonts w:cs="Times New Roman"/>
          <w:szCs w:val="24"/>
        </w:rPr>
        <w:t xml:space="preserve"> (2020); and </w:t>
      </w:r>
      <w:proofErr w:type="spellStart"/>
      <w:r w:rsidRPr="00590322">
        <w:rPr>
          <w:rFonts w:cs="Times New Roman"/>
          <w:szCs w:val="24"/>
        </w:rPr>
        <w:t>Uzar</w:t>
      </w:r>
      <w:proofErr w:type="spellEnd"/>
      <w:r w:rsidRPr="00590322">
        <w:rPr>
          <w:rFonts w:cs="Times New Roman"/>
          <w:szCs w:val="24"/>
        </w:rPr>
        <w:t xml:space="preserve"> (2020) among others concerning renewable energy and </w:t>
      </w:r>
      <w:r w:rsidR="004B55C3">
        <w:rPr>
          <w:rFonts w:cs="Times New Roman"/>
          <w:szCs w:val="24"/>
        </w:rPr>
        <w:t>environmental sustainability</w:t>
      </w:r>
      <w:r w:rsidRPr="00590322">
        <w:rPr>
          <w:rFonts w:cs="Times New Roman"/>
          <w:szCs w:val="24"/>
        </w:rPr>
        <w:t xml:space="preserve">. </w:t>
      </w:r>
      <w:proofErr w:type="spellStart"/>
      <w:r w:rsidRPr="00590322">
        <w:rPr>
          <w:rFonts w:cs="Times New Roman"/>
          <w:szCs w:val="24"/>
        </w:rPr>
        <w:t>Ehigiamusoe</w:t>
      </w:r>
      <w:proofErr w:type="spellEnd"/>
      <w:r w:rsidRPr="00590322">
        <w:rPr>
          <w:rFonts w:cs="Times New Roman"/>
          <w:szCs w:val="24"/>
        </w:rPr>
        <w:t xml:space="preserve"> and Dogan (2022) investigate the impact of renewable energy and real income on </w:t>
      </w:r>
      <w:r w:rsidR="004B55C3">
        <w:rPr>
          <w:rFonts w:cs="Times New Roman"/>
          <w:szCs w:val="24"/>
        </w:rPr>
        <w:t>environmental sustainability</w:t>
      </w:r>
      <w:r w:rsidRPr="00590322">
        <w:rPr>
          <w:rFonts w:cs="Times New Roman"/>
          <w:szCs w:val="24"/>
        </w:rPr>
        <w:t xml:space="preserve"> in developed and developing nations and find evidence that renewable energy offsets </w:t>
      </w:r>
      <w:r w:rsidR="004B55C3">
        <w:rPr>
          <w:rFonts w:cs="Times New Roman"/>
          <w:szCs w:val="24"/>
        </w:rPr>
        <w:t>environmental sustainability</w:t>
      </w:r>
      <w:r w:rsidRPr="00590322">
        <w:rPr>
          <w:rFonts w:cs="Times New Roman"/>
          <w:szCs w:val="24"/>
        </w:rPr>
        <w:t xml:space="preserve">. Rahman, Sultana, and </w:t>
      </w:r>
      <w:proofErr w:type="spellStart"/>
      <w:r w:rsidRPr="00590322">
        <w:rPr>
          <w:rFonts w:cs="Times New Roman"/>
          <w:szCs w:val="24"/>
        </w:rPr>
        <w:t>Velayutham</w:t>
      </w:r>
      <w:proofErr w:type="spellEnd"/>
      <w:r w:rsidRPr="00590322">
        <w:rPr>
          <w:rFonts w:cs="Times New Roman"/>
          <w:szCs w:val="24"/>
        </w:rPr>
        <w:t xml:space="preserve"> (2022) used the ARDL approach to study the impact of renewable energy on </w:t>
      </w:r>
      <w:r w:rsidR="004B55C3">
        <w:rPr>
          <w:rFonts w:cs="Times New Roman"/>
          <w:szCs w:val="24"/>
        </w:rPr>
        <w:t>environmental sustainability</w:t>
      </w:r>
      <w:r w:rsidRPr="00590322">
        <w:rPr>
          <w:rFonts w:cs="Times New Roman"/>
          <w:szCs w:val="24"/>
        </w:rPr>
        <w:t xml:space="preserve"> in the top 25 emerging economies and concluded that renewable energy decreases the intensity of </w:t>
      </w:r>
      <w:r w:rsidR="004B55C3">
        <w:rPr>
          <w:rFonts w:cs="Times New Roman"/>
          <w:szCs w:val="24"/>
        </w:rPr>
        <w:t>environmental sustainability</w:t>
      </w:r>
      <w:r w:rsidRPr="00590322">
        <w:rPr>
          <w:rFonts w:cs="Times New Roman"/>
          <w:szCs w:val="24"/>
        </w:rPr>
        <w:t xml:space="preserve"> from 1990 to 2018. </w:t>
      </w:r>
      <w:proofErr w:type="spellStart"/>
      <w:r w:rsidRPr="00590322">
        <w:rPr>
          <w:rFonts w:cs="Times New Roman"/>
          <w:szCs w:val="24"/>
        </w:rPr>
        <w:t>Vujović</w:t>
      </w:r>
      <w:proofErr w:type="spellEnd"/>
      <w:r w:rsidRPr="00590322">
        <w:rPr>
          <w:rFonts w:cs="Times New Roman"/>
          <w:szCs w:val="24"/>
        </w:rPr>
        <w:t xml:space="preserve"> et al. in 2018 proved that when countries adopt renewable energy, their level of </w:t>
      </w:r>
      <w:r w:rsidR="004B55C3">
        <w:rPr>
          <w:rFonts w:cs="Times New Roman"/>
          <w:szCs w:val="24"/>
        </w:rPr>
        <w:t>environmental sustainability</w:t>
      </w:r>
      <w:r w:rsidRPr="00590322">
        <w:rPr>
          <w:rFonts w:cs="Times New Roman"/>
          <w:szCs w:val="24"/>
        </w:rPr>
        <w:t xml:space="preserve"> decreases. </w:t>
      </w:r>
      <w:proofErr w:type="spellStart"/>
      <w:r w:rsidRPr="00590322">
        <w:rPr>
          <w:rFonts w:cs="Times New Roman"/>
          <w:szCs w:val="24"/>
        </w:rPr>
        <w:t>Namahoro</w:t>
      </w:r>
      <w:proofErr w:type="spellEnd"/>
      <w:r w:rsidRPr="00590322">
        <w:rPr>
          <w:rFonts w:cs="Times New Roman"/>
          <w:szCs w:val="24"/>
        </w:rPr>
        <w:t xml:space="preserve"> et al. in 2021 presented a decrease in </w:t>
      </w:r>
      <w:r w:rsidR="004B55C3">
        <w:rPr>
          <w:rFonts w:cs="Times New Roman"/>
          <w:szCs w:val="24"/>
        </w:rPr>
        <w:t>environmental sustainability</w:t>
      </w:r>
      <w:r w:rsidRPr="00590322">
        <w:rPr>
          <w:rFonts w:cs="Times New Roman"/>
          <w:szCs w:val="24"/>
        </w:rPr>
        <w:t xml:space="preserve"> in over 50 African nations with different income levels spread across different regions from 1980 to 2018. </w:t>
      </w:r>
      <w:proofErr w:type="spellStart"/>
      <w:r w:rsidRPr="00590322">
        <w:rPr>
          <w:rFonts w:cs="Times New Roman"/>
          <w:szCs w:val="24"/>
        </w:rPr>
        <w:t>Kartal</w:t>
      </w:r>
      <w:proofErr w:type="spellEnd"/>
      <w:r w:rsidRPr="00590322">
        <w:rPr>
          <w:rFonts w:cs="Times New Roman"/>
          <w:szCs w:val="24"/>
        </w:rPr>
        <w:t xml:space="preserve"> et al. in 2022 studied the effect of disaggregated energy consumption in terms of environmental degradation in the United States and explained that differences in intensity over time, frequency, quantiles, and levels matter</w:t>
      </w:r>
      <w:r w:rsidR="00886C64">
        <w:t>.</w:t>
      </w:r>
    </w:p>
    <w:p w14:paraId="48B596D9" w14:textId="77777777" w:rsidR="00886C64" w:rsidRPr="007B28BD" w:rsidRDefault="00886C64" w:rsidP="00910619">
      <w:pPr>
        <w:spacing w:line="240" w:lineRule="auto"/>
        <w:jc w:val="both"/>
        <w:rPr>
          <w:rFonts w:cs="Times New Roman"/>
          <w:szCs w:val="24"/>
        </w:rPr>
      </w:pPr>
      <w:r w:rsidRPr="007B28BD">
        <w:rPr>
          <w:rFonts w:cs="Times New Roman"/>
          <w:szCs w:val="24"/>
        </w:rPr>
        <w:lastRenderedPageBreak/>
        <w:t>Drawing from the theoretical and empirical analyses, we propose the following hypotheses:</w:t>
      </w:r>
    </w:p>
    <w:p w14:paraId="7968D4E0" w14:textId="571A2189" w:rsidR="000A479B" w:rsidRDefault="000A479B" w:rsidP="00910619">
      <w:pPr>
        <w:spacing w:line="240" w:lineRule="auto"/>
        <w:jc w:val="both"/>
        <w:rPr>
          <w:rFonts w:eastAsia="Calibri" w:cs="Times New Roman"/>
          <w:i/>
          <w:iCs/>
          <w:color w:val="000000"/>
          <w:szCs w:val="24"/>
        </w:rPr>
      </w:pPr>
      <w:r>
        <w:t xml:space="preserve">H1. Renewable energy consumption has a negative effect on </w:t>
      </w:r>
      <w:r w:rsidR="004B55C3">
        <w:t>environmental sustainability</w:t>
      </w:r>
      <w:r>
        <w:t xml:space="preserve"> in SSA.</w:t>
      </w:r>
    </w:p>
    <w:p w14:paraId="45BB919B" w14:textId="77777777" w:rsidR="00645E83" w:rsidRPr="007B28BD" w:rsidRDefault="00645E83" w:rsidP="00910619">
      <w:pPr>
        <w:spacing w:line="240" w:lineRule="auto"/>
        <w:jc w:val="both"/>
        <w:rPr>
          <w:rFonts w:cs="Times New Roman"/>
          <w:szCs w:val="24"/>
        </w:rPr>
      </w:pPr>
    </w:p>
    <w:p w14:paraId="47CDC771" w14:textId="39A2004A" w:rsidR="00545691" w:rsidRPr="00F14D3D"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3.2.</w:t>
      </w:r>
      <w:r>
        <w:rPr>
          <w:rFonts w:cs="Times New Roman"/>
          <w:b/>
          <w:bCs/>
          <w:color w:val="000000" w:themeColor="text1"/>
          <w:szCs w:val="24"/>
        </w:rPr>
        <w:tab/>
      </w:r>
      <w:r w:rsidR="00545691" w:rsidRPr="00F14D3D">
        <w:rPr>
          <w:rFonts w:cs="Times New Roman"/>
          <w:b/>
          <w:bCs/>
          <w:color w:val="000000" w:themeColor="text1"/>
          <w:szCs w:val="24"/>
        </w:rPr>
        <w:t xml:space="preserve">Non-renewable energy consumption and </w:t>
      </w:r>
      <w:r w:rsidR="004B55C3">
        <w:rPr>
          <w:rFonts w:cs="Times New Roman"/>
          <w:b/>
          <w:bCs/>
          <w:color w:val="000000" w:themeColor="text1"/>
          <w:szCs w:val="24"/>
        </w:rPr>
        <w:t>environmental sustainability</w:t>
      </w:r>
    </w:p>
    <w:p w14:paraId="3DD361E6" w14:textId="77777777" w:rsidR="00590322" w:rsidRPr="00590322" w:rsidRDefault="00590322" w:rsidP="00590322">
      <w:pPr>
        <w:spacing w:line="240" w:lineRule="auto"/>
        <w:jc w:val="both"/>
        <w:rPr>
          <w:rFonts w:cs="Times New Roman"/>
          <w:szCs w:val="24"/>
        </w:rPr>
      </w:pPr>
      <w:proofErr w:type="spellStart"/>
      <w:r w:rsidRPr="00590322">
        <w:rPr>
          <w:rFonts w:cs="Times New Roman"/>
          <w:szCs w:val="24"/>
        </w:rPr>
        <w:t>Pata</w:t>
      </w:r>
      <w:proofErr w:type="spellEnd"/>
      <w:r w:rsidRPr="00590322">
        <w:rPr>
          <w:rFonts w:cs="Times New Roman"/>
          <w:szCs w:val="24"/>
        </w:rPr>
        <w:t xml:space="preserve"> (2021) focused on assessing the effects of economic complexity, globalization, and the usage of renewable and non-renewable sources of energy in regards to CO2 emission and ecological footprints in connection with the Environmental Kuznets Curve hypothesis in the United States. Through an integrated cointegration test using not one but three different models, this study spanned a time series of 1980-2016. The major conclusion reveals that the inverted-U shaped EKC curve in connection with economic complexity and environmental degradation is applicable in the case of the United States. Furthermore, environmental degradation lessens with enhanced globalization and usage of renewable energy, but non-renewable energy consumption worsens environmental degradation.</w:t>
      </w:r>
    </w:p>
    <w:p w14:paraId="715F8AA5" w14:textId="77777777" w:rsidR="00590322" w:rsidRPr="00590322" w:rsidRDefault="00590322" w:rsidP="00590322">
      <w:pPr>
        <w:spacing w:line="240" w:lineRule="auto"/>
        <w:jc w:val="both"/>
        <w:rPr>
          <w:rFonts w:cs="Times New Roman"/>
          <w:szCs w:val="24"/>
        </w:rPr>
      </w:pPr>
    </w:p>
    <w:p w14:paraId="7956D0D4" w14:textId="5AB83A5C" w:rsidR="00590322" w:rsidRPr="00590322" w:rsidRDefault="00590322" w:rsidP="00590322">
      <w:pPr>
        <w:spacing w:line="240" w:lineRule="auto"/>
        <w:jc w:val="both"/>
        <w:rPr>
          <w:rFonts w:cs="Times New Roman"/>
          <w:szCs w:val="24"/>
        </w:rPr>
      </w:pPr>
      <w:r w:rsidRPr="00590322">
        <w:rPr>
          <w:rFonts w:cs="Times New Roman"/>
          <w:szCs w:val="24"/>
        </w:rPr>
        <w:t xml:space="preserve">Zhang et al. (2023) studied the correlation among consumption of renewable and non-renewable energy resources, </w:t>
      </w:r>
      <w:r w:rsidR="004B55C3">
        <w:rPr>
          <w:rFonts w:cs="Times New Roman"/>
          <w:szCs w:val="24"/>
        </w:rPr>
        <w:t>environmental sustainability</w:t>
      </w:r>
      <w:r w:rsidRPr="00590322">
        <w:rPr>
          <w:rFonts w:cs="Times New Roman"/>
          <w:szCs w:val="24"/>
        </w:rPr>
        <w:t xml:space="preserve">, and GDP in China, India, Bangladesh, Japan, South Korea, and Singapore. They used a time series covering 1975 to 2020 and employed panel augmented mean group methods. Their findings suggest that an increase in non-renewable energy consumption increases long-run </w:t>
      </w:r>
      <w:r w:rsidR="004B55C3">
        <w:rPr>
          <w:rFonts w:cs="Times New Roman"/>
          <w:szCs w:val="24"/>
        </w:rPr>
        <w:t>environmental sustainability</w:t>
      </w:r>
      <w:r w:rsidRPr="00590322">
        <w:rPr>
          <w:rFonts w:cs="Times New Roman"/>
          <w:szCs w:val="24"/>
        </w:rPr>
        <w:t xml:space="preserve"> greatly, and, on the other hand, an increase in renewable energy consumption reduces them largely.</w:t>
      </w:r>
    </w:p>
    <w:p w14:paraId="12963CA5" w14:textId="77777777" w:rsidR="00590322" w:rsidRPr="00590322" w:rsidRDefault="00590322" w:rsidP="00590322">
      <w:pPr>
        <w:spacing w:line="240" w:lineRule="auto"/>
        <w:jc w:val="both"/>
        <w:rPr>
          <w:rFonts w:cs="Times New Roman"/>
          <w:szCs w:val="24"/>
        </w:rPr>
      </w:pPr>
    </w:p>
    <w:p w14:paraId="266F0087" w14:textId="4D5B0193" w:rsidR="0005098F" w:rsidRPr="007B28BD" w:rsidRDefault="00590322" w:rsidP="00590322">
      <w:pPr>
        <w:spacing w:line="240" w:lineRule="auto"/>
        <w:jc w:val="both"/>
        <w:rPr>
          <w:rFonts w:cs="Times New Roman"/>
          <w:szCs w:val="24"/>
        </w:rPr>
      </w:pPr>
      <w:proofErr w:type="spellStart"/>
      <w:r w:rsidRPr="00590322">
        <w:rPr>
          <w:rFonts w:cs="Times New Roman"/>
          <w:szCs w:val="24"/>
        </w:rPr>
        <w:t>Banday</w:t>
      </w:r>
      <w:proofErr w:type="spellEnd"/>
      <w:r w:rsidRPr="00590322">
        <w:rPr>
          <w:rFonts w:cs="Times New Roman"/>
          <w:szCs w:val="24"/>
        </w:rPr>
        <w:t xml:space="preserve"> &amp; </w:t>
      </w:r>
      <w:proofErr w:type="spellStart"/>
      <w:r w:rsidRPr="00590322">
        <w:rPr>
          <w:rFonts w:cs="Times New Roman"/>
          <w:szCs w:val="24"/>
        </w:rPr>
        <w:t>Aneja</w:t>
      </w:r>
      <w:proofErr w:type="spellEnd"/>
      <w:r w:rsidRPr="00590322">
        <w:rPr>
          <w:rFonts w:cs="Times New Roman"/>
          <w:szCs w:val="24"/>
        </w:rPr>
        <w:t xml:space="preserve"> (2020) have analyzed the causal relationship among energy consumption (renewable and non-renewable) parameters, gross domestic product growth, and carbon dioxide emission for Brazil, Russia, India, China, and South Africa from 1990 to 2017. The </w:t>
      </w:r>
      <w:proofErr w:type="spellStart"/>
      <w:r w:rsidRPr="00590322">
        <w:rPr>
          <w:rFonts w:cs="Times New Roman"/>
          <w:szCs w:val="24"/>
        </w:rPr>
        <w:t>Dumitrescu</w:t>
      </w:r>
      <w:proofErr w:type="spellEnd"/>
      <w:r w:rsidRPr="00590322">
        <w:rPr>
          <w:rFonts w:cs="Times New Roman"/>
          <w:szCs w:val="24"/>
        </w:rPr>
        <w:t xml:space="preserve"> &amp; </w:t>
      </w:r>
      <w:proofErr w:type="spellStart"/>
      <w:r w:rsidRPr="00590322">
        <w:rPr>
          <w:rFonts w:cs="Times New Roman"/>
          <w:szCs w:val="24"/>
        </w:rPr>
        <w:t>Hurlin</w:t>
      </w:r>
      <w:proofErr w:type="spellEnd"/>
      <w:r w:rsidRPr="00590322">
        <w:rPr>
          <w:rFonts w:cs="Times New Roman"/>
          <w:szCs w:val="24"/>
        </w:rPr>
        <w:t xml:space="preserve"> panel causality test using a bootstrap technique was used to address heterogeneity and cross-sectional interlinkages among developing country observations. The results show a </w:t>
      </w:r>
      <w:proofErr w:type="spellStart"/>
      <w:r w:rsidRPr="00590322">
        <w:rPr>
          <w:rFonts w:cs="Times New Roman"/>
          <w:szCs w:val="24"/>
        </w:rPr>
        <w:t>uni</w:t>
      </w:r>
      <w:proofErr w:type="spellEnd"/>
      <w:r w:rsidRPr="00590322">
        <w:rPr>
          <w:rFonts w:cs="Times New Roman"/>
          <w:szCs w:val="24"/>
        </w:rPr>
        <w:t>-directional causal relationship from GDP to CO2 emissions in India, China, Brazil, and South Africa but no causality present in Russia. Regarding causal links among renewable energy consumption and GDP, the study shows a feedback hypothesis in China and Brazil, a Growth Hypothesis in Russia, a conservation hypothesis in South Africa, and a neutrality hypothesis in India. However, it favors the Growth Hypothesis in India, China, Russia, and Brazil but confirms neutrality in South Africa. In addition, the study tests convergence in relationships among CO2 emissions and consumption of both renewable and non-renewable energy sources in India, Russia, and South Africa but shows divergence in China and Brazil</w:t>
      </w:r>
      <w:r w:rsidR="0005098F" w:rsidRPr="0005098F">
        <w:rPr>
          <w:rFonts w:cs="Times New Roman"/>
          <w:color w:val="000000" w:themeColor="text1"/>
          <w:szCs w:val="24"/>
        </w:rPr>
        <w:t>.</w:t>
      </w:r>
    </w:p>
    <w:p w14:paraId="0B740261" w14:textId="77777777" w:rsidR="0005098F" w:rsidRPr="0005098F" w:rsidRDefault="0005098F" w:rsidP="00910619">
      <w:pPr>
        <w:spacing w:line="240" w:lineRule="auto"/>
        <w:jc w:val="both"/>
        <w:rPr>
          <w:rFonts w:cs="Times New Roman"/>
          <w:color w:val="000000" w:themeColor="text1"/>
          <w:szCs w:val="24"/>
        </w:rPr>
      </w:pPr>
      <w:r w:rsidRPr="0005098F">
        <w:rPr>
          <w:rFonts w:cs="Times New Roman"/>
          <w:color w:val="000000" w:themeColor="text1"/>
          <w:szCs w:val="24"/>
        </w:rPr>
        <w:t>Drawing from the theoretical and empirical analyses, we propose the following hypotheses:</w:t>
      </w:r>
    </w:p>
    <w:p w14:paraId="7C8BF3B7" w14:textId="6EA3B806" w:rsidR="000A479B" w:rsidRPr="00F14D3D" w:rsidRDefault="000A479B" w:rsidP="00910619">
      <w:pPr>
        <w:spacing w:line="240" w:lineRule="auto"/>
        <w:jc w:val="both"/>
        <w:rPr>
          <w:rFonts w:eastAsia="Calibri" w:cs="Times New Roman"/>
          <w:i/>
          <w:iCs/>
          <w:color w:val="000000"/>
          <w:szCs w:val="24"/>
        </w:rPr>
      </w:pPr>
      <w:r>
        <w:t xml:space="preserve">H2. Non-renewable energy consumption has a positive effect on </w:t>
      </w:r>
      <w:r w:rsidR="004B55C3">
        <w:t>environmental sustainability</w:t>
      </w:r>
      <w:r>
        <w:t xml:space="preserve"> in SSA.</w:t>
      </w:r>
    </w:p>
    <w:p w14:paraId="2011A154" w14:textId="77777777" w:rsidR="000A479B" w:rsidRPr="00F14D3D" w:rsidRDefault="000A479B" w:rsidP="00910619">
      <w:pPr>
        <w:spacing w:line="240" w:lineRule="auto"/>
        <w:jc w:val="both"/>
        <w:rPr>
          <w:rFonts w:cs="Times New Roman"/>
          <w:color w:val="000000" w:themeColor="text1"/>
          <w:szCs w:val="24"/>
        </w:rPr>
      </w:pPr>
    </w:p>
    <w:p w14:paraId="5F66D214" w14:textId="0076B7FB" w:rsidR="00FA5702" w:rsidRPr="00F14D3D"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3.3.</w:t>
      </w:r>
      <w:r>
        <w:rPr>
          <w:rFonts w:cs="Times New Roman"/>
          <w:b/>
          <w:bCs/>
          <w:color w:val="000000" w:themeColor="text1"/>
          <w:szCs w:val="24"/>
        </w:rPr>
        <w:tab/>
      </w:r>
      <w:r w:rsidR="00FA5702" w:rsidRPr="00F14D3D">
        <w:rPr>
          <w:rFonts w:cs="Times New Roman"/>
          <w:b/>
          <w:bCs/>
          <w:color w:val="000000" w:themeColor="text1"/>
          <w:szCs w:val="24"/>
        </w:rPr>
        <w:t xml:space="preserve">Financial development and </w:t>
      </w:r>
      <w:r w:rsidR="004B55C3">
        <w:rPr>
          <w:rFonts w:cs="Times New Roman"/>
          <w:b/>
          <w:bCs/>
          <w:color w:val="000000" w:themeColor="text1"/>
          <w:szCs w:val="24"/>
        </w:rPr>
        <w:t>environmental sustainability</w:t>
      </w:r>
    </w:p>
    <w:p w14:paraId="5BD81353" w14:textId="30A90B8F" w:rsidR="00590322" w:rsidRPr="00590322"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 xml:space="preserve">Ever since Grossman and Krueger (1995) proposed the idea of Environmental Kuznets Curve, many studies have emerged to examine the connection between Foreign Direct Investment (FDI) and Carbon Dioxide (CO2) emission. Financial institutions provide capital to both investors and households, which in turn assists in economic growth but might cause harm to the environment (Khan, 2001). However, a consensus among scholars is not achieved. Khan et al. (2017) used a PVAR model and FMOLS technique in a study of 34 developed and developing countries to examine relationships among financial development, energy consumption, trade, urbanization, and </w:t>
      </w:r>
      <w:r w:rsidR="004B55C3">
        <w:rPr>
          <w:rFonts w:cs="Times New Roman"/>
          <w:color w:val="000000" w:themeColor="text1"/>
          <w:szCs w:val="24"/>
        </w:rPr>
        <w:lastRenderedPageBreak/>
        <w:t>Environmental sustainability</w:t>
      </w:r>
      <w:r w:rsidRPr="00590322">
        <w:rPr>
          <w:rFonts w:cs="Times New Roman"/>
          <w:color w:val="000000" w:themeColor="text1"/>
          <w:szCs w:val="24"/>
        </w:rPr>
        <w:t xml:space="preserve">. Based on panel vector error correction and FMOLS, results showed financial developments have negative effects on the environment in Europe and Asia. Saud et al. (2020) described how ecological footprints in BRI countries in the context of financial development and </w:t>
      </w:r>
      <w:proofErr w:type="spellStart"/>
      <w:r w:rsidRPr="00590322">
        <w:rPr>
          <w:rFonts w:cs="Times New Roman"/>
          <w:color w:val="000000" w:themeColor="text1"/>
          <w:szCs w:val="24"/>
        </w:rPr>
        <w:t>globalisation</w:t>
      </w:r>
      <w:proofErr w:type="spellEnd"/>
      <w:r w:rsidRPr="00590322">
        <w:rPr>
          <w:rFonts w:cs="Times New Roman"/>
          <w:color w:val="000000" w:themeColor="text1"/>
          <w:szCs w:val="24"/>
        </w:rPr>
        <w:t xml:space="preserve"> with a panel ARDL model during 1990-2014. Based on this investigation, financial development and </w:t>
      </w:r>
      <w:proofErr w:type="spellStart"/>
      <w:r w:rsidRPr="00590322">
        <w:rPr>
          <w:rFonts w:cs="Times New Roman"/>
          <w:color w:val="000000" w:themeColor="text1"/>
          <w:szCs w:val="24"/>
        </w:rPr>
        <w:t>globalisation</w:t>
      </w:r>
      <w:proofErr w:type="spellEnd"/>
      <w:r w:rsidRPr="00590322">
        <w:rPr>
          <w:rFonts w:cs="Times New Roman"/>
          <w:color w:val="000000" w:themeColor="text1"/>
          <w:szCs w:val="24"/>
        </w:rPr>
        <w:t xml:space="preserve"> have negative effects on pollution. </w:t>
      </w:r>
      <w:r w:rsidR="004B55C3">
        <w:rPr>
          <w:rFonts w:cs="Times New Roman"/>
          <w:color w:val="000000" w:themeColor="text1"/>
          <w:szCs w:val="24"/>
        </w:rPr>
        <w:t>Environmental sustainability</w:t>
      </w:r>
      <w:r w:rsidRPr="00590322">
        <w:rPr>
          <w:rFonts w:cs="Times New Roman"/>
          <w:color w:val="000000" w:themeColor="text1"/>
          <w:szCs w:val="24"/>
        </w:rPr>
        <w:t xml:space="preserve"> studies have further observed relationships among financial development and </w:t>
      </w:r>
      <w:r w:rsidR="004B55C3">
        <w:rPr>
          <w:rFonts w:cs="Times New Roman"/>
          <w:color w:val="000000" w:themeColor="text1"/>
          <w:szCs w:val="24"/>
        </w:rPr>
        <w:t>Environmental sustainability</w:t>
      </w:r>
      <w:r w:rsidRPr="00590322">
        <w:rPr>
          <w:rFonts w:cs="Times New Roman"/>
          <w:color w:val="000000" w:themeColor="text1"/>
          <w:szCs w:val="24"/>
        </w:rPr>
        <w:t xml:space="preserve"> in many studies including </w:t>
      </w:r>
      <w:proofErr w:type="spellStart"/>
      <w:r w:rsidRPr="00590322">
        <w:rPr>
          <w:rFonts w:cs="Times New Roman"/>
          <w:color w:val="000000" w:themeColor="text1"/>
          <w:szCs w:val="24"/>
        </w:rPr>
        <w:t>Charfeddine</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Kahia</w:t>
      </w:r>
      <w:proofErr w:type="spellEnd"/>
      <w:r w:rsidRPr="00590322">
        <w:rPr>
          <w:rFonts w:cs="Times New Roman"/>
          <w:color w:val="000000" w:themeColor="text1"/>
          <w:szCs w:val="24"/>
        </w:rPr>
        <w:t xml:space="preserve">, 2019; Saud et al., 2020; Saud et al., 2020; Zhang, 2011; </w:t>
      </w:r>
      <w:proofErr w:type="spellStart"/>
      <w:r w:rsidRPr="00590322">
        <w:rPr>
          <w:rFonts w:cs="Times New Roman"/>
          <w:color w:val="000000" w:themeColor="text1"/>
          <w:szCs w:val="24"/>
        </w:rPr>
        <w:t>Zioło</w:t>
      </w:r>
      <w:proofErr w:type="spellEnd"/>
      <w:r w:rsidRPr="00590322">
        <w:rPr>
          <w:rFonts w:cs="Times New Roman"/>
          <w:color w:val="000000" w:themeColor="text1"/>
          <w:szCs w:val="24"/>
        </w:rPr>
        <w:t xml:space="preserve"> et al., 2020, where financial developments increase </w:t>
      </w:r>
      <w:r w:rsidR="004B55C3">
        <w:rPr>
          <w:rFonts w:cs="Times New Roman"/>
          <w:color w:val="000000" w:themeColor="text1"/>
          <w:szCs w:val="24"/>
        </w:rPr>
        <w:t>Environmental sustainability</w:t>
      </w:r>
      <w:r w:rsidRPr="00590322">
        <w:rPr>
          <w:rFonts w:cs="Times New Roman"/>
          <w:color w:val="000000" w:themeColor="text1"/>
          <w:szCs w:val="24"/>
        </w:rPr>
        <w:t>.</w:t>
      </w:r>
    </w:p>
    <w:p w14:paraId="0B6A3929" w14:textId="77777777" w:rsidR="00590322" w:rsidRPr="00590322" w:rsidRDefault="00590322" w:rsidP="00590322">
      <w:pPr>
        <w:spacing w:line="240" w:lineRule="auto"/>
        <w:jc w:val="both"/>
        <w:rPr>
          <w:rFonts w:cs="Times New Roman"/>
          <w:color w:val="000000" w:themeColor="text1"/>
          <w:szCs w:val="24"/>
        </w:rPr>
      </w:pPr>
    </w:p>
    <w:p w14:paraId="4CA7881F" w14:textId="545EDD0E" w:rsidR="001B1E1E" w:rsidRPr="001B1E1E"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 xml:space="preserve">In Shahbaz et al. (2013), the relationship among financial development, energy consumption, trade openness, and </w:t>
      </w:r>
      <w:r w:rsidR="004B55C3">
        <w:rPr>
          <w:rFonts w:cs="Times New Roman"/>
          <w:color w:val="000000" w:themeColor="text1"/>
          <w:szCs w:val="24"/>
        </w:rPr>
        <w:t>environmental sustainability</w:t>
      </w:r>
      <w:r w:rsidRPr="00590322">
        <w:rPr>
          <w:rFonts w:cs="Times New Roman"/>
          <w:color w:val="000000" w:themeColor="text1"/>
          <w:szCs w:val="24"/>
        </w:rPr>
        <w:t xml:space="preserve"> in Indonesia is explored. The findings from the ARDL and VECM Granger causality tests show that financial development and trade openness improve environmental quality, but GDP and energy consumption increase </w:t>
      </w:r>
      <w:r w:rsidR="004B55C3">
        <w:rPr>
          <w:rFonts w:cs="Times New Roman"/>
          <w:color w:val="000000" w:themeColor="text1"/>
          <w:szCs w:val="24"/>
        </w:rPr>
        <w:t>environmental sustainability</w:t>
      </w:r>
      <w:r w:rsidRPr="00590322">
        <w:rPr>
          <w:rFonts w:cs="Times New Roman"/>
          <w:color w:val="000000" w:themeColor="text1"/>
          <w:szCs w:val="24"/>
        </w:rPr>
        <w:t xml:space="preserve">. Then, in both studies of Shahbaz et al. (2018) and Saud et al. (2018), financial development and </w:t>
      </w:r>
      <w:r w:rsidR="004B55C3">
        <w:rPr>
          <w:rFonts w:cs="Times New Roman"/>
          <w:color w:val="000000" w:themeColor="text1"/>
          <w:szCs w:val="24"/>
        </w:rPr>
        <w:t>environmental sustainability</w:t>
      </w:r>
      <w:r w:rsidRPr="00590322">
        <w:rPr>
          <w:rFonts w:cs="Times New Roman"/>
          <w:color w:val="000000" w:themeColor="text1"/>
          <w:szCs w:val="24"/>
        </w:rPr>
        <w:t xml:space="preserve"> were seen to be inter-linked; thus, financial development decreases </w:t>
      </w:r>
      <w:r w:rsidR="004B55C3">
        <w:rPr>
          <w:rFonts w:cs="Times New Roman"/>
          <w:color w:val="000000" w:themeColor="text1"/>
          <w:szCs w:val="24"/>
        </w:rPr>
        <w:t>environmental sustainability</w:t>
      </w:r>
      <w:r w:rsidRPr="00590322">
        <w:rPr>
          <w:rFonts w:cs="Times New Roman"/>
          <w:color w:val="000000" w:themeColor="text1"/>
          <w:szCs w:val="24"/>
        </w:rPr>
        <w:t xml:space="preserve"> and results in better environmental quality</w:t>
      </w:r>
      <w:r w:rsidR="001B1E1E" w:rsidRPr="001B1E1E">
        <w:rPr>
          <w:rFonts w:cs="Times New Roman"/>
          <w:color w:val="000000" w:themeColor="text1"/>
          <w:szCs w:val="24"/>
        </w:rPr>
        <w:t>.</w:t>
      </w:r>
    </w:p>
    <w:p w14:paraId="521DEC92" w14:textId="77777777" w:rsidR="001B1E1E" w:rsidRPr="001B1E1E" w:rsidRDefault="001B1E1E" w:rsidP="00910619">
      <w:pPr>
        <w:spacing w:line="240" w:lineRule="auto"/>
        <w:jc w:val="both"/>
        <w:rPr>
          <w:rFonts w:cs="Times New Roman"/>
          <w:color w:val="000000" w:themeColor="text1"/>
          <w:szCs w:val="24"/>
        </w:rPr>
      </w:pPr>
      <w:r w:rsidRPr="001B1E1E">
        <w:rPr>
          <w:rFonts w:cs="Times New Roman"/>
          <w:color w:val="000000" w:themeColor="text1"/>
          <w:szCs w:val="24"/>
        </w:rPr>
        <w:t>Drawing from the theoretical and empirical analyses, we propose the following hypotheses:</w:t>
      </w:r>
    </w:p>
    <w:p w14:paraId="610978AD" w14:textId="53179A4B" w:rsidR="000A479B" w:rsidRPr="00A756C9" w:rsidRDefault="000A479B" w:rsidP="00910619">
      <w:pPr>
        <w:spacing w:line="240" w:lineRule="auto"/>
        <w:ind w:firstLine="720"/>
        <w:jc w:val="both"/>
        <w:rPr>
          <w:rFonts w:eastAsia="Calibri" w:cs="Times New Roman"/>
          <w:i/>
          <w:iCs/>
          <w:color w:val="000000"/>
          <w:szCs w:val="24"/>
        </w:rPr>
      </w:pPr>
      <w:r>
        <w:t xml:space="preserve">H3. Financial development has a positive effect on </w:t>
      </w:r>
      <w:r w:rsidR="004B55C3">
        <w:t>environmental sustainability</w:t>
      </w:r>
      <w:r>
        <w:t xml:space="preserve"> in SSA.</w:t>
      </w:r>
    </w:p>
    <w:p w14:paraId="4367644E" w14:textId="181AEFA8" w:rsidR="00545691" w:rsidRPr="00A756C9"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3.4.</w:t>
      </w:r>
      <w:r>
        <w:rPr>
          <w:rFonts w:cs="Times New Roman"/>
          <w:b/>
          <w:bCs/>
          <w:color w:val="000000" w:themeColor="text1"/>
          <w:szCs w:val="24"/>
        </w:rPr>
        <w:tab/>
      </w:r>
      <w:r w:rsidR="00545691" w:rsidRPr="00A756C9">
        <w:rPr>
          <w:rFonts w:cs="Times New Roman"/>
          <w:b/>
          <w:bCs/>
          <w:color w:val="000000" w:themeColor="text1"/>
          <w:szCs w:val="24"/>
        </w:rPr>
        <w:t xml:space="preserve">Economic growth and </w:t>
      </w:r>
      <w:r w:rsidR="004B55C3">
        <w:rPr>
          <w:rFonts w:cs="Times New Roman"/>
          <w:b/>
          <w:bCs/>
          <w:color w:val="000000" w:themeColor="text1"/>
          <w:szCs w:val="24"/>
        </w:rPr>
        <w:t>environmental sustainability</w:t>
      </w:r>
    </w:p>
    <w:p w14:paraId="27662390" w14:textId="77777777" w:rsidR="00590322" w:rsidRPr="00590322" w:rsidRDefault="00590322" w:rsidP="00590322">
      <w:pPr>
        <w:spacing w:line="240" w:lineRule="auto"/>
        <w:jc w:val="both"/>
        <w:rPr>
          <w:rFonts w:cs="Times New Roman"/>
          <w:color w:val="000000" w:themeColor="text1"/>
          <w:szCs w:val="24"/>
        </w:rPr>
      </w:pPr>
      <w:proofErr w:type="spellStart"/>
      <w:r w:rsidRPr="00590322">
        <w:rPr>
          <w:rFonts w:cs="Times New Roman"/>
          <w:color w:val="000000" w:themeColor="text1"/>
          <w:szCs w:val="24"/>
        </w:rPr>
        <w:t>Banday</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Aneja</w:t>
      </w:r>
      <w:proofErr w:type="spellEnd"/>
      <w:r w:rsidRPr="00590322">
        <w:rPr>
          <w:rFonts w:cs="Times New Roman"/>
          <w:color w:val="000000" w:themeColor="text1"/>
          <w:szCs w:val="24"/>
        </w:rPr>
        <w:t xml:space="preserve"> (2019) analyze the correlations among energy, growth, and CO2 emissions in G7 countries from 1971 to 2014. The causality analysis using an autoregressive distributed lag model with </w:t>
      </w:r>
      <w:proofErr w:type="spellStart"/>
      <w:r w:rsidRPr="00590322">
        <w:rPr>
          <w:rFonts w:cs="Times New Roman"/>
          <w:color w:val="000000" w:themeColor="text1"/>
          <w:szCs w:val="24"/>
        </w:rPr>
        <w:t>Dumitrescu</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Hurlin</w:t>
      </w:r>
      <w:proofErr w:type="spellEnd"/>
      <w:r w:rsidRPr="00590322">
        <w:rPr>
          <w:rFonts w:cs="Times New Roman"/>
          <w:color w:val="000000" w:themeColor="text1"/>
          <w:szCs w:val="24"/>
        </w:rPr>
        <w:t xml:space="preserve"> (2012) and Toda &amp; Yamamoto (1995) methods reveals a long-run relationship among energy consumption, GDP, and CO2 emissions. In causality analysis, Japan and the United Kingdom show more information, and other countries show no causal relationship among non-renewable resource consumption and GDP. Non-renewable resource consumption in other countries shows no causality in this study, but strong effects are discovered in Germany, Italy, and the United Kingdom. In Germany, Italy, the United Kingdom, and the United States, a causal relationship between GDP and CO2 emissions is a one-way relation.</w:t>
      </w:r>
    </w:p>
    <w:p w14:paraId="146F035D" w14:textId="77777777" w:rsidR="00590322" w:rsidRPr="00590322" w:rsidRDefault="00590322" w:rsidP="00590322">
      <w:pPr>
        <w:spacing w:line="240" w:lineRule="auto"/>
        <w:jc w:val="both"/>
        <w:rPr>
          <w:rFonts w:cs="Times New Roman"/>
          <w:color w:val="000000" w:themeColor="text1"/>
          <w:szCs w:val="24"/>
        </w:rPr>
      </w:pPr>
    </w:p>
    <w:p w14:paraId="01E0B52B" w14:textId="77777777" w:rsidR="00590322" w:rsidRPr="00590322" w:rsidRDefault="00590322" w:rsidP="00590322">
      <w:pPr>
        <w:spacing w:line="240" w:lineRule="auto"/>
        <w:jc w:val="both"/>
        <w:rPr>
          <w:rFonts w:cs="Times New Roman"/>
          <w:color w:val="000000" w:themeColor="text1"/>
          <w:szCs w:val="24"/>
        </w:rPr>
      </w:pPr>
      <w:proofErr w:type="spellStart"/>
      <w:r w:rsidRPr="00590322">
        <w:rPr>
          <w:rFonts w:cs="Times New Roman"/>
          <w:color w:val="000000" w:themeColor="text1"/>
          <w:szCs w:val="24"/>
        </w:rPr>
        <w:t>Apergis</w:t>
      </w:r>
      <w:proofErr w:type="spellEnd"/>
      <w:r w:rsidRPr="00590322">
        <w:rPr>
          <w:rFonts w:cs="Times New Roman"/>
          <w:color w:val="000000" w:themeColor="text1"/>
          <w:szCs w:val="24"/>
        </w:rPr>
        <w:t xml:space="preserve"> et al. (2010) employ a panel error correction mechanism (ECM) on a sample of 19 developed and developing nations during 1984-2007. The findings suggest a cointegration among CO2 emissions, financial development, and energy consumption. The short-run causality tests suggest a two-way causality among economic development and energy consumption in support of the feedback hypothesis, but in the long-run, a unidirectional causality is established in support of the growth hypothesis. Additionally, evidence emerged in support of a positive influence of renewable energy on economic growth and a negative influence of renewable energy on nuclear energy consumption.</w:t>
      </w:r>
    </w:p>
    <w:p w14:paraId="2492F6CF" w14:textId="77777777" w:rsidR="00590322" w:rsidRPr="00590322" w:rsidRDefault="00590322" w:rsidP="00590322">
      <w:pPr>
        <w:spacing w:line="240" w:lineRule="auto"/>
        <w:jc w:val="both"/>
        <w:rPr>
          <w:rFonts w:cs="Times New Roman"/>
          <w:color w:val="000000" w:themeColor="text1"/>
          <w:szCs w:val="24"/>
        </w:rPr>
      </w:pPr>
    </w:p>
    <w:p w14:paraId="5DF08522" w14:textId="62D201E8" w:rsidR="001B5F5B" w:rsidRPr="001B5F5B" w:rsidRDefault="004B55C3" w:rsidP="00590322">
      <w:pPr>
        <w:spacing w:line="240" w:lineRule="auto"/>
        <w:jc w:val="both"/>
        <w:rPr>
          <w:rFonts w:cs="Times New Roman"/>
          <w:szCs w:val="24"/>
        </w:rPr>
      </w:pPr>
      <w:r>
        <w:rPr>
          <w:rFonts w:cs="Times New Roman"/>
          <w:color w:val="000000" w:themeColor="text1"/>
          <w:szCs w:val="24"/>
        </w:rPr>
        <w:t>Environmental sustainability</w:t>
      </w:r>
      <w:r w:rsidR="00590322" w:rsidRPr="00590322">
        <w:rPr>
          <w:rFonts w:cs="Times New Roman"/>
          <w:color w:val="000000" w:themeColor="text1"/>
          <w:szCs w:val="24"/>
        </w:rPr>
        <w:t xml:space="preserve"> </w:t>
      </w:r>
      <w:proofErr w:type="gramStart"/>
      <w:r w:rsidR="00590322" w:rsidRPr="00590322">
        <w:rPr>
          <w:rFonts w:cs="Times New Roman"/>
          <w:color w:val="000000" w:themeColor="text1"/>
          <w:szCs w:val="24"/>
        </w:rPr>
        <w:t>are</w:t>
      </w:r>
      <w:proofErr w:type="gramEnd"/>
      <w:r w:rsidR="00590322" w:rsidRPr="00590322">
        <w:rPr>
          <w:rFonts w:cs="Times New Roman"/>
          <w:color w:val="000000" w:themeColor="text1"/>
          <w:szCs w:val="24"/>
        </w:rPr>
        <w:t xml:space="preserve"> found to be driven in a </w:t>
      </w:r>
      <w:proofErr w:type="spellStart"/>
      <w:r w:rsidR="00590322" w:rsidRPr="00590322">
        <w:rPr>
          <w:rFonts w:cs="Times New Roman"/>
          <w:color w:val="000000" w:themeColor="text1"/>
          <w:szCs w:val="24"/>
        </w:rPr>
        <w:t>uni</w:t>
      </w:r>
      <w:proofErr w:type="spellEnd"/>
      <w:r w:rsidR="00590322" w:rsidRPr="00590322">
        <w:rPr>
          <w:rFonts w:cs="Times New Roman"/>
          <w:color w:val="000000" w:themeColor="text1"/>
          <w:szCs w:val="24"/>
        </w:rPr>
        <w:t xml:space="preserve">-directional manner by economic growth by Shahbaz et al. (2012). Energy consumption encourages both short- and long-run </w:t>
      </w:r>
      <w:r>
        <w:rPr>
          <w:rFonts w:cs="Times New Roman"/>
          <w:color w:val="000000" w:themeColor="text1"/>
          <w:szCs w:val="24"/>
        </w:rPr>
        <w:t>environmental sustainability</w:t>
      </w:r>
      <w:r w:rsidR="00590322" w:rsidRPr="00590322">
        <w:rPr>
          <w:rFonts w:cs="Times New Roman"/>
          <w:color w:val="000000" w:themeColor="text1"/>
          <w:szCs w:val="24"/>
        </w:rPr>
        <w:t xml:space="preserve">, and green energy is a key factor in encouraging economic growth in all sectors in Pakistan, which are driven by fossil fuel consumption, resulting in increased </w:t>
      </w:r>
      <w:r>
        <w:rPr>
          <w:rFonts w:cs="Times New Roman"/>
          <w:color w:val="000000" w:themeColor="text1"/>
          <w:szCs w:val="24"/>
        </w:rPr>
        <w:t>environmental sustainability</w:t>
      </w:r>
      <w:r w:rsidR="00590322" w:rsidRPr="00590322">
        <w:rPr>
          <w:rFonts w:cs="Times New Roman"/>
          <w:color w:val="000000" w:themeColor="text1"/>
          <w:szCs w:val="24"/>
        </w:rPr>
        <w:t xml:space="preserve">. The validity of the EKC hypothesis in Turkey is demonstrated by </w:t>
      </w:r>
      <w:proofErr w:type="spellStart"/>
      <w:r w:rsidR="00590322" w:rsidRPr="00590322">
        <w:rPr>
          <w:rFonts w:cs="Times New Roman"/>
          <w:color w:val="000000" w:themeColor="text1"/>
          <w:szCs w:val="24"/>
        </w:rPr>
        <w:t>Seker</w:t>
      </w:r>
      <w:proofErr w:type="spellEnd"/>
      <w:r w:rsidR="00590322" w:rsidRPr="00590322">
        <w:rPr>
          <w:rFonts w:cs="Times New Roman"/>
          <w:color w:val="000000" w:themeColor="text1"/>
          <w:szCs w:val="24"/>
        </w:rPr>
        <w:t xml:space="preserve">, </w:t>
      </w:r>
      <w:proofErr w:type="spellStart"/>
      <w:r w:rsidR="00590322" w:rsidRPr="00590322">
        <w:rPr>
          <w:rFonts w:cs="Times New Roman"/>
          <w:color w:val="000000" w:themeColor="text1"/>
          <w:szCs w:val="24"/>
        </w:rPr>
        <w:t>Ertugrul</w:t>
      </w:r>
      <w:proofErr w:type="spellEnd"/>
      <w:r w:rsidR="00590322" w:rsidRPr="00590322">
        <w:rPr>
          <w:rFonts w:cs="Times New Roman"/>
          <w:color w:val="000000" w:themeColor="text1"/>
          <w:szCs w:val="24"/>
        </w:rPr>
        <w:t xml:space="preserve">, and Cetin in 2015, where they examine the impact of energy consumption, foreign direct investment, GDP, and GDP squared on pollution. Ahmad et al. in 2016 examine the impact </w:t>
      </w:r>
      <w:r w:rsidR="00590322" w:rsidRPr="00590322">
        <w:rPr>
          <w:rFonts w:cs="Times New Roman"/>
          <w:color w:val="000000" w:themeColor="text1"/>
          <w:szCs w:val="24"/>
        </w:rPr>
        <w:lastRenderedPageBreak/>
        <w:t xml:space="preserve">of energy consumption on environmental degradation in India, establishing a positive correlation and hence validating the EKC hypothesis. Tang and Tan in 2015 examine Vietnam during 1976 and 2009 and establish that increased energy consumption negatively affects the environment, hence validating the EKC. Its validity in emerging countries such as China and India </w:t>
      </w:r>
      <w:proofErr w:type="gramStart"/>
      <w:r w:rsidR="00590322" w:rsidRPr="00590322">
        <w:rPr>
          <w:rFonts w:cs="Times New Roman"/>
          <w:color w:val="000000" w:themeColor="text1"/>
          <w:szCs w:val="24"/>
        </w:rPr>
        <w:t>is</w:t>
      </w:r>
      <w:proofErr w:type="gramEnd"/>
      <w:r w:rsidR="00590322" w:rsidRPr="00590322">
        <w:rPr>
          <w:rFonts w:cs="Times New Roman"/>
          <w:color w:val="000000" w:themeColor="text1"/>
          <w:szCs w:val="24"/>
        </w:rPr>
        <w:t xml:space="preserve"> established by Pal and Mitra in 2017 in their analysis of trade, CO2 emission, and energy consumption</w:t>
      </w:r>
      <w:r w:rsidR="001B5F5B" w:rsidRPr="001B5F5B">
        <w:rPr>
          <w:rFonts w:cs="Times New Roman"/>
          <w:color w:val="000000" w:themeColor="text1"/>
          <w:szCs w:val="24"/>
          <w:shd w:val="clear" w:color="auto" w:fill="FFFFFF"/>
        </w:rPr>
        <w:t>.</w:t>
      </w:r>
    </w:p>
    <w:p w14:paraId="6F3057CB" w14:textId="77777777" w:rsidR="001B5F5B" w:rsidRPr="001B5F5B" w:rsidRDefault="001B5F5B" w:rsidP="00910619">
      <w:pPr>
        <w:spacing w:line="240" w:lineRule="auto"/>
        <w:jc w:val="both"/>
        <w:rPr>
          <w:rFonts w:cs="Times New Roman"/>
          <w:color w:val="000000" w:themeColor="text1"/>
          <w:szCs w:val="24"/>
          <w:shd w:val="clear" w:color="auto" w:fill="FFFFFF"/>
        </w:rPr>
      </w:pPr>
      <w:r w:rsidRPr="001B5F5B">
        <w:rPr>
          <w:rFonts w:cs="Times New Roman"/>
          <w:color w:val="000000" w:themeColor="text1"/>
          <w:szCs w:val="24"/>
          <w:shd w:val="clear" w:color="auto" w:fill="FFFFFF"/>
        </w:rPr>
        <w:t>Drawing from the theoretical and empirical analyses, we propose the following hypotheses:</w:t>
      </w:r>
    </w:p>
    <w:p w14:paraId="2CA4FCE9" w14:textId="6E1B3E4D" w:rsidR="000A479B" w:rsidRPr="00A756C9" w:rsidRDefault="000A479B" w:rsidP="00910619">
      <w:pPr>
        <w:spacing w:line="240" w:lineRule="auto"/>
        <w:ind w:left="360" w:firstLine="720"/>
        <w:jc w:val="both"/>
        <w:rPr>
          <w:rFonts w:eastAsia="Calibri" w:cs="Times New Roman"/>
          <w:i/>
          <w:iCs/>
          <w:color w:val="000000"/>
          <w:szCs w:val="24"/>
        </w:rPr>
      </w:pPr>
      <w:r>
        <w:t xml:space="preserve">H4. Economic growth has a positive effect on </w:t>
      </w:r>
      <w:r w:rsidR="004B55C3">
        <w:t>environmental sustainability</w:t>
      </w:r>
      <w:r>
        <w:t xml:space="preserve"> in SSA.</w:t>
      </w:r>
    </w:p>
    <w:p w14:paraId="50873B5A" w14:textId="77777777" w:rsidR="000A479B" w:rsidRPr="00A756C9" w:rsidRDefault="000A479B" w:rsidP="00910619">
      <w:pPr>
        <w:pStyle w:val="ListParagraph"/>
        <w:numPr>
          <w:ilvl w:val="0"/>
          <w:numId w:val="16"/>
        </w:numPr>
        <w:spacing w:line="240" w:lineRule="auto"/>
        <w:ind w:left="357" w:hanging="357"/>
        <w:rPr>
          <w:rFonts w:ascii="Times New Roman" w:eastAsia="Calibri" w:hAnsi="Times New Roman"/>
          <w:b/>
          <w:bCs/>
          <w:color w:val="000000"/>
          <w:szCs w:val="24"/>
        </w:rPr>
      </w:pPr>
      <w:bookmarkStart w:id="4" w:name="_Hlk176694512"/>
      <w:r w:rsidRPr="00A756C9">
        <w:rPr>
          <w:rFonts w:ascii="Times New Roman" w:hAnsi="Times New Roman"/>
          <w:b/>
          <w:bCs/>
          <w:szCs w:val="24"/>
        </w:rPr>
        <w:t xml:space="preserve">Research </w:t>
      </w:r>
      <w:r w:rsidR="009721EF">
        <w:rPr>
          <w:rFonts w:ascii="Times New Roman" w:hAnsi="Times New Roman"/>
          <w:b/>
          <w:bCs/>
          <w:szCs w:val="24"/>
        </w:rPr>
        <w:t>Methodology</w:t>
      </w:r>
    </w:p>
    <w:p w14:paraId="6EFCDB30" w14:textId="77777777" w:rsidR="000A479B" w:rsidRPr="009721EF" w:rsidRDefault="000A479B" w:rsidP="00910619">
      <w:pPr>
        <w:pStyle w:val="ListParagraph"/>
        <w:numPr>
          <w:ilvl w:val="1"/>
          <w:numId w:val="17"/>
        </w:numPr>
        <w:spacing w:line="240" w:lineRule="auto"/>
        <w:jc w:val="both"/>
        <w:rPr>
          <w:rFonts w:ascii="Times New Roman" w:eastAsia="Calibri" w:hAnsi="Times New Roman"/>
          <w:b/>
          <w:bCs/>
          <w:color w:val="000000"/>
          <w:szCs w:val="24"/>
        </w:rPr>
      </w:pPr>
      <w:r w:rsidRPr="009721EF">
        <w:rPr>
          <w:rFonts w:ascii="Times New Roman" w:eastAsia="Calibri" w:hAnsi="Times New Roman"/>
          <w:b/>
          <w:bCs/>
          <w:color w:val="000000"/>
          <w:szCs w:val="24"/>
        </w:rPr>
        <w:t>Sample size and data</w:t>
      </w:r>
    </w:p>
    <w:p w14:paraId="7571A510" w14:textId="77777777" w:rsidR="000A479B" w:rsidRPr="00D831AF" w:rsidRDefault="00D831AF" w:rsidP="00910619">
      <w:pPr>
        <w:spacing w:line="240" w:lineRule="auto"/>
        <w:jc w:val="both"/>
        <w:rPr>
          <w:rFonts w:eastAsia="Calibri"/>
          <w:color w:val="000000"/>
          <w:szCs w:val="24"/>
        </w:rPr>
      </w:pPr>
      <w:r w:rsidRPr="00D831AF">
        <w:rPr>
          <w:rFonts w:eastAsia="Calibri"/>
          <w:color w:val="000000"/>
          <w:szCs w:val="24"/>
        </w:rPr>
        <w:t>The target population for this study was all countries in Sub-Saharan Africa. The selection of the countries was based on the criteria of whether the country was an independent country within the study period, which is from 2000 – 2023, and the availability of complete data that captured all variables used in this study.  The dataset used for this study is secondary data extracted from the World Bank database and countries’ specific Bureau of Statistics websites. Our final sample was 5</w:t>
      </w:r>
      <w:r>
        <w:rPr>
          <w:rFonts w:eastAsia="Calibri"/>
          <w:color w:val="000000"/>
          <w:szCs w:val="24"/>
        </w:rPr>
        <w:t>28</w:t>
      </w:r>
      <w:r w:rsidRPr="00D831AF">
        <w:rPr>
          <w:rFonts w:eastAsia="Calibri"/>
          <w:color w:val="000000"/>
          <w:szCs w:val="24"/>
        </w:rPr>
        <w:t xml:space="preserve"> country-year observations representing 2</w:t>
      </w:r>
      <w:r>
        <w:rPr>
          <w:rFonts w:eastAsia="Calibri"/>
          <w:color w:val="000000"/>
          <w:szCs w:val="24"/>
        </w:rPr>
        <w:t>2</w:t>
      </w:r>
      <w:r w:rsidRPr="00D831AF">
        <w:rPr>
          <w:rFonts w:eastAsia="Calibri"/>
          <w:color w:val="000000"/>
          <w:szCs w:val="24"/>
        </w:rPr>
        <w:t xml:space="preserve"> countries.</w:t>
      </w:r>
    </w:p>
    <w:p w14:paraId="23D654EB" w14:textId="77777777" w:rsidR="000A479B" w:rsidRPr="009721EF" w:rsidRDefault="000A479B" w:rsidP="00910619">
      <w:pPr>
        <w:pStyle w:val="ListParagraph"/>
        <w:numPr>
          <w:ilvl w:val="1"/>
          <w:numId w:val="17"/>
        </w:numPr>
        <w:spacing w:line="240" w:lineRule="auto"/>
        <w:jc w:val="both"/>
        <w:rPr>
          <w:rFonts w:ascii="Times New Roman" w:eastAsia="Calibri" w:hAnsi="Times New Roman"/>
          <w:b/>
          <w:bCs/>
          <w:color w:val="000000"/>
          <w:szCs w:val="24"/>
        </w:rPr>
      </w:pPr>
      <w:r w:rsidRPr="009721EF">
        <w:rPr>
          <w:rFonts w:ascii="Times New Roman" w:eastAsia="Calibri" w:hAnsi="Times New Roman"/>
          <w:b/>
          <w:bCs/>
          <w:color w:val="000000"/>
          <w:szCs w:val="24"/>
        </w:rPr>
        <w:t>Measurement of variables</w:t>
      </w:r>
    </w:p>
    <w:p w14:paraId="3DD999F9" w14:textId="5253BAFA" w:rsidR="00590322" w:rsidRPr="00590322" w:rsidRDefault="00590322" w:rsidP="00590322">
      <w:pPr>
        <w:spacing w:line="240" w:lineRule="auto"/>
        <w:jc w:val="both"/>
        <w:rPr>
          <w:rFonts w:eastAsia="Calibri" w:cs="Times New Roman"/>
          <w:szCs w:val="24"/>
        </w:rPr>
      </w:pPr>
      <w:r w:rsidRPr="00590322">
        <w:rPr>
          <w:rFonts w:eastAsia="Calibri" w:cs="Times New Roman"/>
          <w:szCs w:val="24"/>
        </w:rPr>
        <w:t xml:space="preserve">In this section, an explanation of the quantification of variables in carrying out research will be presented. </w:t>
      </w:r>
      <w:r w:rsidR="004B55C3">
        <w:rPr>
          <w:rFonts w:eastAsia="Calibri" w:cs="Times New Roman"/>
          <w:szCs w:val="24"/>
        </w:rPr>
        <w:t>Environmental sustainability</w:t>
      </w:r>
      <w:r w:rsidRPr="00590322">
        <w:rPr>
          <w:rFonts w:eastAsia="Calibri" w:cs="Times New Roman"/>
          <w:szCs w:val="24"/>
        </w:rPr>
        <w:t xml:space="preserve"> </w:t>
      </w:r>
      <w:proofErr w:type="gramStart"/>
      <w:r w:rsidRPr="00590322">
        <w:rPr>
          <w:rFonts w:eastAsia="Calibri" w:cs="Times New Roman"/>
          <w:szCs w:val="24"/>
        </w:rPr>
        <w:t>are</w:t>
      </w:r>
      <w:proofErr w:type="gramEnd"/>
      <w:r w:rsidRPr="00590322">
        <w:rPr>
          <w:rFonts w:eastAsia="Calibri" w:cs="Times New Roman"/>
          <w:szCs w:val="24"/>
        </w:rPr>
        <w:t xml:space="preserve"> identified as the dependent variable, and other variables such as consumption of renewable energy, non-renewable energy, financial development, and economic growth are identified as independent variables in this study. Additionally, this model will include control variables such as foreign direct investments, population, and industrialization. A definition and measurement of all variables considered in this research will be explained in Table </w:t>
      </w:r>
      <w:r w:rsidR="00286B7D">
        <w:rPr>
          <w:rFonts w:eastAsia="Calibri" w:cs="Times New Roman"/>
          <w:szCs w:val="24"/>
        </w:rPr>
        <w:t>1</w:t>
      </w:r>
      <w:r w:rsidRPr="00590322">
        <w:rPr>
          <w:rFonts w:eastAsia="Calibri" w:cs="Times New Roman"/>
          <w:szCs w:val="24"/>
        </w:rPr>
        <w:t>.</w:t>
      </w:r>
    </w:p>
    <w:p w14:paraId="5FF4B494" w14:textId="77777777" w:rsidR="00590322" w:rsidRPr="00590322" w:rsidRDefault="00590322" w:rsidP="00590322">
      <w:pPr>
        <w:spacing w:line="240" w:lineRule="auto"/>
        <w:jc w:val="both"/>
        <w:rPr>
          <w:rFonts w:eastAsia="Calibri" w:cs="Times New Roman"/>
          <w:szCs w:val="24"/>
        </w:rPr>
      </w:pPr>
    </w:p>
    <w:p w14:paraId="27A81DF3" w14:textId="7A98B52D" w:rsidR="00F93CF1" w:rsidRDefault="00590322" w:rsidP="00590322">
      <w:pPr>
        <w:spacing w:line="240" w:lineRule="auto"/>
        <w:jc w:val="both"/>
      </w:pPr>
      <w:r w:rsidRPr="00590322">
        <w:rPr>
          <w:rFonts w:eastAsia="Calibri" w:cs="Times New Roman"/>
          <w:szCs w:val="24"/>
        </w:rPr>
        <w:t xml:space="preserve">With respect to unit comparability and scaling, different units are used in the variables of this study (i.e., industrialization measured in terms of production output in monetary units, financial development measured by an index, and direct investment measured in negative and positive numbers because of net outflows). To remove these differences and address potential heteroskedasticity, scale-compatible transformations are used in estimation. Variables measured in monetary units are normalized into constant units and used in log form, with index variables used in levels. In variables </w:t>
      </w:r>
      <w:proofErr w:type="gramStart"/>
      <w:r w:rsidRPr="00590322">
        <w:rPr>
          <w:rFonts w:eastAsia="Calibri" w:cs="Times New Roman"/>
          <w:szCs w:val="24"/>
        </w:rPr>
        <w:t>where</w:t>
      </w:r>
      <w:proofErr w:type="gramEnd"/>
      <w:r w:rsidRPr="00590322">
        <w:rPr>
          <w:rFonts w:eastAsia="Calibri" w:cs="Times New Roman"/>
          <w:szCs w:val="24"/>
        </w:rPr>
        <w:t xml:space="preserve"> negative numbers are a possibility (i.e., net FDI), a signed log function is used with a transformation of ‘sign(x) * log(1+|x|)’. Additionally, for robustness tests, where available, flow variables are used in terms of a GDP share</w:t>
      </w:r>
      <w:r>
        <w:t>.</w:t>
      </w:r>
    </w:p>
    <w:p w14:paraId="2B8E7694" w14:textId="77777777" w:rsidR="000A479B" w:rsidRPr="00A756C9" w:rsidRDefault="000A479B" w:rsidP="00910619">
      <w:pPr>
        <w:spacing w:line="240" w:lineRule="auto"/>
        <w:jc w:val="both"/>
        <w:rPr>
          <w:rFonts w:eastAsia="Calibri" w:cs="Times New Roman"/>
          <w:color w:val="000000"/>
          <w:szCs w:val="24"/>
        </w:rPr>
      </w:pPr>
      <w:r w:rsidRPr="00A756C9">
        <w:rPr>
          <w:rFonts w:eastAsia="Calibri" w:cs="Times New Roman"/>
          <w:color w:val="000000"/>
          <w:szCs w:val="24"/>
        </w:rPr>
        <w:t>The measurements and abbreviations for the research variables are presented in Table 1.</w:t>
      </w:r>
    </w:p>
    <w:p w14:paraId="1367CDA1" w14:textId="5F391E8E" w:rsidR="00E560C0" w:rsidRPr="00A756C9" w:rsidRDefault="00E560C0" w:rsidP="00910619">
      <w:pPr>
        <w:pStyle w:val="Caption"/>
        <w:keepNext/>
        <w:rPr>
          <w:rFonts w:ascii="Times New Roman" w:hAnsi="Times New Roman"/>
          <w:i w:val="0"/>
          <w:iCs w:val="0"/>
          <w:color w:val="auto"/>
          <w:sz w:val="24"/>
          <w:szCs w:val="24"/>
        </w:rPr>
      </w:pPr>
      <w:r w:rsidRPr="00A756C9">
        <w:rPr>
          <w:rFonts w:ascii="Times New Roman" w:hAnsi="Times New Roman"/>
          <w:i w:val="0"/>
          <w:iCs w:val="0"/>
          <w:color w:val="auto"/>
          <w:sz w:val="24"/>
          <w:szCs w:val="24"/>
        </w:rPr>
        <w:t xml:space="preserve">Table </w:t>
      </w:r>
      <w:r w:rsidR="00286B7D">
        <w:rPr>
          <w:rFonts w:ascii="Times New Roman" w:hAnsi="Times New Roman"/>
          <w:i w:val="0"/>
          <w:iCs w:val="0"/>
          <w:color w:val="auto"/>
          <w:sz w:val="24"/>
          <w:szCs w:val="24"/>
        </w:rPr>
        <w:t>1</w:t>
      </w:r>
      <w:r w:rsidRPr="00A756C9">
        <w:rPr>
          <w:rFonts w:ascii="Times New Roman" w:hAnsi="Times New Roman"/>
          <w:i w:val="0"/>
          <w:iCs w:val="0"/>
          <w:color w:val="auto"/>
          <w:sz w:val="24"/>
          <w:szCs w:val="24"/>
        </w:rPr>
        <w:t>: Measurement of variables</w:t>
      </w:r>
    </w:p>
    <w:tbl>
      <w:tblPr>
        <w:tblStyle w:val="TableGrid"/>
        <w:tblW w:w="9149" w:type="dxa"/>
        <w:tblInd w:w="180" w:type="dxa"/>
        <w:tblBorders>
          <w:left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663"/>
        <w:gridCol w:w="1559"/>
        <w:gridCol w:w="4536"/>
        <w:gridCol w:w="1391"/>
      </w:tblGrid>
      <w:tr w:rsidR="00577D6B" w:rsidRPr="00577D6B" w14:paraId="0BAFB771" w14:textId="77777777" w:rsidTr="000D278A">
        <w:trPr>
          <w:trHeight w:val="502"/>
        </w:trPr>
        <w:tc>
          <w:tcPr>
            <w:tcW w:w="1663" w:type="dxa"/>
            <w:tcBorders>
              <w:top w:val="single" w:sz="4" w:space="0" w:color="auto"/>
              <w:left w:val="nil"/>
              <w:bottom w:val="single" w:sz="4" w:space="0" w:color="auto"/>
              <w:right w:val="nil"/>
            </w:tcBorders>
            <w:hideMark/>
          </w:tcPr>
          <w:p w14:paraId="1048665E"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Variable</w:t>
            </w:r>
          </w:p>
        </w:tc>
        <w:tc>
          <w:tcPr>
            <w:tcW w:w="1559" w:type="dxa"/>
            <w:tcBorders>
              <w:top w:val="single" w:sz="4" w:space="0" w:color="auto"/>
              <w:left w:val="nil"/>
              <w:bottom w:val="single" w:sz="4" w:space="0" w:color="auto"/>
              <w:right w:val="nil"/>
            </w:tcBorders>
            <w:hideMark/>
          </w:tcPr>
          <w:p w14:paraId="448BE590"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Category</w:t>
            </w:r>
          </w:p>
        </w:tc>
        <w:tc>
          <w:tcPr>
            <w:tcW w:w="4536" w:type="dxa"/>
            <w:tcBorders>
              <w:top w:val="single" w:sz="4" w:space="0" w:color="auto"/>
              <w:left w:val="nil"/>
              <w:bottom w:val="single" w:sz="4" w:space="0" w:color="auto"/>
              <w:right w:val="nil"/>
            </w:tcBorders>
            <w:hideMark/>
          </w:tcPr>
          <w:p w14:paraId="45F28EBE" w14:textId="77777777" w:rsidR="000A479B" w:rsidRPr="00577D6B" w:rsidRDefault="000A479B" w:rsidP="00910619">
            <w:pPr>
              <w:spacing w:line="240" w:lineRule="auto"/>
              <w:jc w:val="both"/>
              <w:rPr>
                <w:rFonts w:eastAsia="Calibri"/>
                <w:b/>
                <w:bCs/>
                <w:color w:val="000000" w:themeColor="text1"/>
                <w:szCs w:val="24"/>
              </w:rPr>
            </w:pPr>
            <w:r w:rsidRPr="00577D6B">
              <w:rPr>
                <w:b/>
                <w:bCs/>
                <w:color w:val="000000" w:themeColor="text1"/>
                <w:szCs w:val="24"/>
              </w:rPr>
              <w:t>Operationalization</w:t>
            </w:r>
            <w:r w:rsidRPr="00577D6B">
              <w:rPr>
                <w:rFonts w:eastAsia="Calibri"/>
                <w:b/>
                <w:bCs/>
                <w:color w:val="000000" w:themeColor="text1"/>
                <w:szCs w:val="24"/>
              </w:rPr>
              <w:t xml:space="preserve"> </w:t>
            </w:r>
          </w:p>
        </w:tc>
        <w:tc>
          <w:tcPr>
            <w:tcW w:w="1391" w:type="dxa"/>
            <w:tcBorders>
              <w:top w:val="single" w:sz="4" w:space="0" w:color="auto"/>
              <w:left w:val="nil"/>
              <w:bottom w:val="single" w:sz="4" w:space="0" w:color="auto"/>
              <w:right w:val="nil"/>
            </w:tcBorders>
            <w:hideMark/>
          </w:tcPr>
          <w:p w14:paraId="055AE92B"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Acronym</w:t>
            </w:r>
          </w:p>
        </w:tc>
      </w:tr>
      <w:tr w:rsidR="00577D6B" w:rsidRPr="00577D6B" w14:paraId="120B5699" w14:textId="77777777" w:rsidTr="000D278A">
        <w:trPr>
          <w:trHeight w:val="834"/>
        </w:trPr>
        <w:tc>
          <w:tcPr>
            <w:tcW w:w="1663" w:type="dxa"/>
            <w:tcBorders>
              <w:top w:val="single" w:sz="4" w:space="0" w:color="auto"/>
              <w:left w:val="nil"/>
              <w:bottom w:val="nil"/>
              <w:right w:val="nil"/>
            </w:tcBorders>
            <w:hideMark/>
          </w:tcPr>
          <w:p w14:paraId="6C3922EE" w14:textId="77777777" w:rsidR="004B55C3" w:rsidRPr="006F0895" w:rsidRDefault="004B55C3" w:rsidP="004B55C3">
            <w:pPr>
              <w:pStyle w:val="NoSpacing"/>
              <w:jc w:val="center"/>
              <w:rPr>
                <w:rFonts w:ascii="Times New Roman" w:hAnsi="Times New Roman"/>
                <w:sz w:val="24"/>
                <w:szCs w:val="24"/>
              </w:rPr>
            </w:pPr>
            <w:r>
              <w:rPr>
                <w:rFonts w:ascii="Times New Roman" w:hAnsi="Times New Roman"/>
                <w:sz w:val="24"/>
                <w:szCs w:val="24"/>
              </w:rPr>
              <w:t>Environmental sustainability</w:t>
            </w:r>
          </w:p>
          <w:p w14:paraId="6F1D32F4" w14:textId="7093ABF7" w:rsidR="000A479B" w:rsidRPr="00577D6B" w:rsidRDefault="000A479B" w:rsidP="00910619">
            <w:pPr>
              <w:spacing w:line="240" w:lineRule="auto"/>
              <w:jc w:val="both"/>
              <w:rPr>
                <w:rFonts w:eastAsia="Calibri"/>
                <w:color w:val="000000" w:themeColor="text1"/>
                <w:szCs w:val="24"/>
              </w:rPr>
            </w:pPr>
          </w:p>
        </w:tc>
        <w:tc>
          <w:tcPr>
            <w:tcW w:w="1559" w:type="dxa"/>
            <w:tcBorders>
              <w:top w:val="single" w:sz="4" w:space="0" w:color="auto"/>
              <w:left w:val="nil"/>
              <w:bottom w:val="nil"/>
              <w:right w:val="nil"/>
            </w:tcBorders>
            <w:hideMark/>
          </w:tcPr>
          <w:p w14:paraId="4E38B0BA"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Dependent Variable</w:t>
            </w:r>
          </w:p>
        </w:tc>
        <w:tc>
          <w:tcPr>
            <w:tcW w:w="4536" w:type="dxa"/>
            <w:tcBorders>
              <w:top w:val="single" w:sz="4" w:space="0" w:color="auto"/>
              <w:left w:val="nil"/>
              <w:bottom w:val="nil"/>
              <w:right w:val="nil"/>
            </w:tcBorders>
            <w:hideMark/>
          </w:tcPr>
          <w:p w14:paraId="6FE0B399" w14:textId="08889B8C" w:rsidR="000A479B" w:rsidRPr="00577D6B" w:rsidRDefault="004B55C3" w:rsidP="00910619">
            <w:pPr>
              <w:spacing w:line="240" w:lineRule="auto"/>
              <w:rPr>
                <w:color w:val="000000" w:themeColor="text1"/>
                <w:szCs w:val="24"/>
              </w:rPr>
            </w:pPr>
            <w:r>
              <w:rPr>
                <w:rFonts w:eastAsia="Calibri"/>
                <w:color w:val="000000" w:themeColor="text1"/>
                <w:szCs w:val="24"/>
                <w:shd w:val="clear" w:color="auto" w:fill="FFFFFF"/>
              </w:rPr>
              <w:t xml:space="preserve">Measurement using carbon emissions. </w:t>
            </w:r>
            <w:r w:rsidR="000A479B" w:rsidRPr="00577D6B">
              <w:rPr>
                <w:rFonts w:eastAsia="Calibri"/>
                <w:color w:val="000000" w:themeColor="text1"/>
                <w:szCs w:val="24"/>
                <w:shd w:val="clear" w:color="auto" w:fill="FFFFFF"/>
              </w:rPr>
              <w:t xml:space="preserve">The unit of measurement is </w:t>
            </w:r>
            <w:proofErr w:type="spellStart"/>
            <w:r w:rsidR="000A479B" w:rsidRPr="00577D6B">
              <w:rPr>
                <w:rFonts w:eastAsia="Calibri"/>
                <w:color w:val="000000" w:themeColor="text1"/>
                <w:szCs w:val="24"/>
                <w:shd w:val="clear" w:color="auto" w:fill="FFFFFF"/>
              </w:rPr>
              <w:t>kt</w:t>
            </w:r>
            <w:proofErr w:type="spellEnd"/>
            <w:r w:rsidR="000A479B" w:rsidRPr="00577D6B">
              <w:rPr>
                <w:rFonts w:eastAsia="Calibri"/>
                <w:color w:val="000000" w:themeColor="text1"/>
                <w:szCs w:val="24"/>
                <w:shd w:val="clear" w:color="auto" w:fill="FFFFFF"/>
              </w:rPr>
              <w:t xml:space="preserve"> (kiloton) (</w:t>
            </w:r>
            <w:r w:rsidR="000A479B" w:rsidRPr="00577D6B">
              <w:rPr>
                <w:rFonts w:eastAsia="Calibri"/>
                <w:color w:val="000000" w:themeColor="text1"/>
                <w:szCs w:val="24"/>
              </w:rPr>
              <w:t xml:space="preserve">Boden, </w:t>
            </w:r>
            <w:proofErr w:type="spellStart"/>
            <w:r w:rsidR="000A479B" w:rsidRPr="00577D6B">
              <w:rPr>
                <w:rFonts w:eastAsia="Calibri"/>
                <w:color w:val="000000" w:themeColor="text1"/>
                <w:szCs w:val="24"/>
              </w:rPr>
              <w:t>Marland</w:t>
            </w:r>
            <w:proofErr w:type="spellEnd"/>
            <w:r w:rsidR="000A479B" w:rsidRPr="00577D6B">
              <w:rPr>
                <w:rFonts w:eastAsia="Calibri"/>
                <w:color w:val="000000" w:themeColor="text1"/>
                <w:szCs w:val="24"/>
              </w:rPr>
              <w:t xml:space="preserve"> &amp; Andres, 201</w:t>
            </w:r>
            <w:r w:rsidR="00155537" w:rsidRPr="00577D6B">
              <w:rPr>
                <w:rFonts w:eastAsia="Calibri"/>
                <w:color w:val="000000" w:themeColor="text1"/>
                <w:szCs w:val="24"/>
              </w:rPr>
              <w:t>6</w:t>
            </w:r>
            <w:r w:rsidR="000A479B" w:rsidRPr="00577D6B">
              <w:rPr>
                <w:rFonts w:eastAsia="Calibri"/>
                <w:color w:val="000000" w:themeColor="text1"/>
                <w:szCs w:val="24"/>
              </w:rPr>
              <w:t>)</w:t>
            </w:r>
            <w:r w:rsidR="000A479B" w:rsidRPr="00577D6B">
              <w:rPr>
                <w:rFonts w:eastAsia="Calibri"/>
                <w:color w:val="000000" w:themeColor="text1"/>
                <w:szCs w:val="24"/>
                <w:shd w:val="clear" w:color="auto" w:fill="FFFFFF"/>
              </w:rPr>
              <w:t xml:space="preserve">. </w:t>
            </w:r>
          </w:p>
        </w:tc>
        <w:tc>
          <w:tcPr>
            <w:tcW w:w="1391" w:type="dxa"/>
            <w:tcBorders>
              <w:top w:val="single" w:sz="4" w:space="0" w:color="auto"/>
              <w:left w:val="nil"/>
              <w:bottom w:val="nil"/>
              <w:right w:val="nil"/>
            </w:tcBorders>
            <w:hideMark/>
          </w:tcPr>
          <w:p w14:paraId="1A56E13B"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 xml:space="preserve">CE </w:t>
            </w:r>
          </w:p>
        </w:tc>
      </w:tr>
      <w:tr w:rsidR="00577D6B" w:rsidRPr="00577D6B" w14:paraId="5245DD60" w14:textId="77777777" w:rsidTr="000D278A">
        <w:trPr>
          <w:trHeight w:val="857"/>
        </w:trPr>
        <w:tc>
          <w:tcPr>
            <w:tcW w:w="1663" w:type="dxa"/>
            <w:tcBorders>
              <w:top w:val="nil"/>
              <w:left w:val="nil"/>
              <w:bottom w:val="nil"/>
              <w:right w:val="nil"/>
            </w:tcBorders>
            <w:hideMark/>
          </w:tcPr>
          <w:p w14:paraId="5805EDF8"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Renewable Energy Consumption</w:t>
            </w:r>
          </w:p>
        </w:tc>
        <w:tc>
          <w:tcPr>
            <w:tcW w:w="1559" w:type="dxa"/>
            <w:tcBorders>
              <w:top w:val="nil"/>
              <w:left w:val="nil"/>
              <w:bottom w:val="nil"/>
              <w:right w:val="nil"/>
            </w:tcBorders>
            <w:hideMark/>
          </w:tcPr>
          <w:p w14:paraId="76871A62"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hideMark/>
          </w:tcPr>
          <w:p w14:paraId="380C12E5" w14:textId="77777777" w:rsidR="000A479B" w:rsidRPr="00577D6B" w:rsidRDefault="000A479B" w:rsidP="00910619">
            <w:pPr>
              <w:spacing w:line="240" w:lineRule="auto"/>
              <w:rPr>
                <w:rFonts w:eastAsia="Calibri"/>
                <w:color w:val="000000" w:themeColor="text1"/>
                <w:szCs w:val="24"/>
              </w:rPr>
            </w:pPr>
            <w:r w:rsidRPr="00577D6B">
              <w:rPr>
                <w:rFonts w:eastAsia="Calibri"/>
                <w:color w:val="000000" w:themeColor="text1"/>
                <w:szCs w:val="24"/>
              </w:rPr>
              <w:t>Measured as</w:t>
            </w:r>
            <w:r w:rsidRPr="00577D6B">
              <w:rPr>
                <w:color w:val="000000" w:themeColor="text1"/>
                <w:szCs w:val="24"/>
              </w:rPr>
              <w:t xml:space="preserve"> share of renewable energy (</w:t>
            </w:r>
            <w:r w:rsidRPr="00577D6B">
              <w:rPr>
                <w:rFonts w:eastAsia="Calibri"/>
                <w:color w:val="000000" w:themeColor="text1"/>
                <w:szCs w:val="24"/>
              </w:rPr>
              <w:t>Kilowatt-Hours, kWh)</w:t>
            </w:r>
            <w:r w:rsidRPr="00577D6B">
              <w:rPr>
                <w:color w:val="000000" w:themeColor="text1"/>
                <w:szCs w:val="24"/>
              </w:rPr>
              <w:t xml:space="preserve"> in total final energy consumption</w:t>
            </w:r>
            <w:r w:rsidR="007D2548" w:rsidRPr="00577D6B">
              <w:rPr>
                <w:color w:val="000000" w:themeColor="text1"/>
                <w:szCs w:val="24"/>
              </w:rPr>
              <w:t xml:space="preserve"> (World bank, 2022)</w:t>
            </w:r>
            <w:r w:rsidRPr="00577D6B">
              <w:rPr>
                <w:rFonts w:eastAsia="Calibri"/>
                <w:color w:val="000000" w:themeColor="text1"/>
                <w:szCs w:val="24"/>
              </w:rPr>
              <w:t>.</w:t>
            </w:r>
          </w:p>
        </w:tc>
        <w:tc>
          <w:tcPr>
            <w:tcW w:w="1391" w:type="dxa"/>
            <w:tcBorders>
              <w:top w:val="nil"/>
              <w:left w:val="nil"/>
              <w:bottom w:val="nil"/>
              <w:right w:val="nil"/>
            </w:tcBorders>
            <w:hideMark/>
          </w:tcPr>
          <w:p w14:paraId="423DA73E"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REC</w:t>
            </w:r>
          </w:p>
        </w:tc>
      </w:tr>
      <w:tr w:rsidR="00577D6B" w:rsidRPr="00577D6B" w14:paraId="3D2E199B" w14:textId="77777777" w:rsidTr="000D278A">
        <w:trPr>
          <w:trHeight w:val="1135"/>
        </w:trPr>
        <w:tc>
          <w:tcPr>
            <w:tcW w:w="1663" w:type="dxa"/>
            <w:tcBorders>
              <w:top w:val="nil"/>
              <w:left w:val="nil"/>
              <w:bottom w:val="nil"/>
              <w:right w:val="nil"/>
            </w:tcBorders>
          </w:tcPr>
          <w:p w14:paraId="5D4A7C46"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lastRenderedPageBreak/>
              <w:t>Non-renewable Energy Consumption</w:t>
            </w:r>
          </w:p>
        </w:tc>
        <w:tc>
          <w:tcPr>
            <w:tcW w:w="1559" w:type="dxa"/>
            <w:tcBorders>
              <w:top w:val="nil"/>
              <w:left w:val="nil"/>
              <w:bottom w:val="nil"/>
              <w:right w:val="nil"/>
            </w:tcBorders>
          </w:tcPr>
          <w:p w14:paraId="0D8E5F73"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tcPr>
          <w:p w14:paraId="29F08656" w14:textId="77777777" w:rsidR="000A479B" w:rsidRPr="00577D6B" w:rsidRDefault="007D2548" w:rsidP="00910619">
            <w:pPr>
              <w:spacing w:line="240" w:lineRule="auto"/>
              <w:rPr>
                <w:rFonts w:eastAsia="Calibri"/>
                <w:color w:val="000000" w:themeColor="text1"/>
                <w:szCs w:val="24"/>
              </w:rPr>
            </w:pPr>
            <w:r w:rsidRPr="00577D6B">
              <w:rPr>
                <w:rFonts w:eastAsia="Calibri"/>
                <w:color w:val="000000" w:themeColor="text1"/>
                <w:szCs w:val="24"/>
              </w:rPr>
              <w:t>Measured as</w:t>
            </w:r>
            <w:r w:rsidRPr="00577D6B">
              <w:rPr>
                <w:color w:val="000000" w:themeColor="text1"/>
                <w:szCs w:val="24"/>
              </w:rPr>
              <w:t xml:space="preserve"> share of non-renewable energy (</w:t>
            </w:r>
            <w:r w:rsidRPr="00577D6B">
              <w:rPr>
                <w:rFonts w:eastAsia="Calibri"/>
                <w:color w:val="000000" w:themeColor="text1"/>
                <w:szCs w:val="24"/>
              </w:rPr>
              <w:t>Kilowatt-Hours, kWh)</w:t>
            </w:r>
            <w:r w:rsidRPr="00577D6B">
              <w:rPr>
                <w:color w:val="000000" w:themeColor="text1"/>
                <w:szCs w:val="24"/>
              </w:rPr>
              <w:t xml:space="preserve"> in total final energy consumption (World bank, 2022)</w:t>
            </w:r>
            <w:r w:rsidRPr="00577D6B">
              <w:rPr>
                <w:rFonts w:eastAsia="Calibri"/>
                <w:color w:val="000000" w:themeColor="text1"/>
                <w:szCs w:val="24"/>
              </w:rPr>
              <w:t>.</w:t>
            </w:r>
          </w:p>
        </w:tc>
        <w:tc>
          <w:tcPr>
            <w:tcW w:w="1391" w:type="dxa"/>
            <w:tcBorders>
              <w:top w:val="nil"/>
              <w:left w:val="nil"/>
              <w:bottom w:val="nil"/>
              <w:right w:val="nil"/>
            </w:tcBorders>
          </w:tcPr>
          <w:p w14:paraId="0B5E56A1"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NREC</w:t>
            </w:r>
          </w:p>
        </w:tc>
      </w:tr>
      <w:tr w:rsidR="00577D6B" w:rsidRPr="00577D6B" w14:paraId="1BD4A322" w14:textId="77777777" w:rsidTr="000D278A">
        <w:trPr>
          <w:trHeight w:val="564"/>
        </w:trPr>
        <w:tc>
          <w:tcPr>
            <w:tcW w:w="1663" w:type="dxa"/>
            <w:tcBorders>
              <w:top w:val="nil"/>
              <w:left w:val="nil"/>
              <w:bottom w:val="nil"/>
              <w:right w:val="nil"/>
            </w:tcBorders>
            <w:hideMark/>
          </w:tcPr>
          <w:p w14:paraId="2C993536"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Financial Development</w:t>
            </w:r>
          </w:p>
        </w:tc>
        <w:tc>
          <w:tcPr>
            <w:tcW w:w="1559" w:type="dxa"/>
            <w:tcBorders>
              <w:top w:val="nil"/>
              <w:left w:val="nil"/>
              <w:bottom w:val="nil"/>
              <w:right w:val="nil"/>
            </w:tcBorders>
            <w:hideMark/>
          </w:tcPr>
          <w:p w14:paraId="0C9B33A9"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tcPr>
          <w:p w14:paraId="3919821B" w14:textId="793B1079" w:rsidR="000A479B" w:rsidRPr="00577D6B" w:rsidRDefault="001E03B5" w:rsidP="00910619">
            <w:pPr>
              <w:spacing w:line="240" w:lineRule="auto"/>
              <w:rPr>
                <w:rFonts w:eastAsia="Calibri"/>
                <w:color w:val="000000" w:themeColor="text1"/>
                <w:szCs w:val="24"/>
              </w:rPr>
            </w:pPr>
            <w:r>
              <w:rPr>
                <w:rFonts w:eastAsia="Calibri"/>
                <w:color w:val="000000" w:themeColor="text1"/>
                <w:szCs w:val="24"/>
              </w:rPr>
              <w:t>Financial development index</w:t>
            </w:r>
            <w:r w:rsidR="000A479B" w:rsidRPr="00577D6B">
              <w:rPr>
                <w:rFonts w:eastAsia="Calibri"/>
                <w:color w:val="000000" w:themeColor="text1"/>
                <w:szCs w:val="24"/>
              </w:rPr>
              <w:t xml:space="preserve"> (</w:t>
            </w:r>
            <w:proofErr w:type="spellStart"/>
            <w:r w:rsidR="000A479B" w:rsidRPr="00577D6B">
              <w:rPr>
                <w:rFonts w:eastAsia="Calibri"/>
                <w:color w:val="000000" w:themeColor="text1"/>
                <w:szCs w:val="24"/>
              </w:rPr>
              <w:t>Adu</w:t>
            </w:r>
            <w:proofErr w:type="spellEnd"/>
            <w:r w:rsidR="000A479B" w:rsidRPr="00577D6B">
              <w:rPr>
                <w:rFonts w:eastAsia="Calibri"/>
                <w:color w:val="000000" w:themeColor="text1"/>
                <w:szCs w:val="24"/>
              </w:rPr>
              <w:t xml:space="preserve">, </w:t>
            </w:r>
            <w:proofErr w:type="spellStart"/>
            <w:r w:rsidR="000A479B" w:rsidRPr="00577D6B">
              <w:rPr>
                <w:rFonts w:eastAsia="Calibri"/>
                <w:color w:val="000000" w:themeColor="text1"/>
                <w:szCs w:val="24"/>
              </w:rPr>
              <w:t>Marbuah</w:t>
            </w:r>
            <w:proofErr w:type="spellEnd"/>
            <w:r w:rsidR="000A479B" w:rsidRPr="00577D6B">
              <w:rPr>
                <w:rFonts w:eastAsia="Calibri"/>
                <w:color w:val="000000" w:themeColor="text1"/>
                <w:szCs w:val="24"/>
              </w:rPr>
              <w:t xml:space="preserve"> &amp; Mensah, 2013)</w:t>
            </w:r>
          </w:p>
        </w:tc>
        <w:tc>
          <w:tcPr>
            <w:tcW w:w="1391" w:type="dxa"/>
            <w:tcBorders>
              <w:top w:val="nil"/>
              <w:left w:val="nil"/>
              <w:bottom w:val="nil"/>
              <w:right w:val="nil"/>
            </w:tcBorders>
            <w:hideMark/>
          </w:tcPr>
          <w:p w14:paraId="22A129FD"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FD</w:t>
            </w:r>
          </w:p>
        </w:tc>
      </w:tr>
      <w:tr w:rsidR="00577D6B" w:rsidRPr="00577D6B" w14:paraId="09B394C6" w14:textId="77777777" w:rsidTr="000D278A">
        <w:trPr>
          <w:trHeight w:val="1132"/>
        </w:trPr>
        <w:tc>
          <w:tcPr>
            <w:tcW w:w="1663" w:type="dxa"/>
            <w:tcBorders>
              <w:top w:val="nil"/>
              <w:left w:val="nil"/>
              <w:bottom w:val="nil"/>
              <w:right w:val="nil"/>
            </w:tcBorders>
            <w:hideMark/>
          </w:tcPr>
          <w:p w14:paraId="4783091F"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Economic Growth</w:t>
            </w:r>
          </w:p>
        </w:tc>
        <w:tc>
          <w:tcPr>
            <w:tcW w:w="1559" w:type="dxa"/>
            <w:tcBorders>
              <w:top w:val="nil"/>
              <w:left w:val="nil"/>
              <w:bottom w:val="nil"/>
              <w:right w:val="nil"/>
            </w:tcBorders>
            <w:hideMark/>
          </w:tcPr>
          <w:p w14:paraId="0901C5D4"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hideMark/>
          </w:tcPr>
          <w:p w14:paraId="240F0825" w14:textId="77777777" w:rsidR="000A479B" w:rsidRPr="00577D6B" w:rsidRDefault="007D2548" w:rsidP="00910619">
            <w:pPr>
              <w:spacing w:line="240" w:lineRule="auto"/>
              <w:rPr>
                <w:color w:val="000000" w:themeColor="text1"/>
                <w:szCs w:val="24"/>
              </w:rPr>
            </w:pPr>
            <w:r w:rsidRPr="00577D6B">
              <w:rPr>
                <w:rFonts w:eastAsia="Calibri"/>
                <w:color w:val="000000" w:themeColor="text1"/>
                <w:szCs w:val="24"/>
              </w:rPr>
              <w:t xml:space="preserve">Measuring economic growth is commonly done using Gross Domestic Product (GDP), a metric that represents the total value of all goods and services produced within a country's borders over a specific period </w:t>
            </w:r>
            <w:r w:rsidRPr="00577D6B">
              <w:rPr>
                <w:color w:val="000000" w:themeColor="text1"/>
                <w:szCs w:val="24"/>
              </w:rPr>
              <w:t>(World bank, 2022)</w:t>
            </w:r>
            <w:r w:rsidRPr="00577D6B">
              <w:rPr>
                <w:rFonts w:eastAsia="Calibri"/>
                <w:color w:val="000000" w:themeColor="text1"/>
                <w:szCs w:val="24"/>
              </w:rPr>
              <w:t>.</w:t>
            </w:r>
          </w:p>
        </w:tc>
        <w:tc>
          <w:tcPr>
            <w:tcW w:w="1391" w:type="dxa"/>
            <w:tcBorders>
              <w:top w:val="nil"/>
              <w:left w:val="nil"/>
              <w:bottom w:val="nil"/>
              <w:right w:val="nil"/>
            </w:tcBorders>
            <w:hideMark/>
          </w:tcPr>
          <w:p w14:paraId="6FB83AC5" w14:textId="1F53284A"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E</w:t>
            </w:r>
            <w:r w:rsidR="00B821AE">
              <w:rPr>
                <w:rFonts w:eastAsia="Calibri"/>
                <w:color w:val="000000" w:themeColor="text1"/>
                <w:szCs w:val="24"/>
              </w:rPr>
              <w:t>G</w:t>
            </w:r>
          </w:p>
        </w:tc>
      </w:tr>
      <w:tr w:rsidR="00577D6B" w:rsidRPr="00577D6B" w14:paraId="1FA0857F" w14:textId="77777777" w:rsidTr="000D278A">
        <w:trPr>
          <w:trHeight w:val="642"/>
        </w:trPr>
        <w:tc>
          <w:tcPr>
            <w:tcW w:w="1663" w:type="dxa"/>
            <w:tcBorders>
              <w:top w:val="nil"/>
              <w:left w:val="nil"/>
              <w:bottom w:val="nil"/>
              <w:right w:val="nil"/>
            </w:tcBorders>
          </w:tcPr>
          <w:p w14:paraId="495F377C"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Foreign Direct Investment</w:t>
            </w:r>
          </w:p>
        </w:tc>
        <w:tc>
          <w:tcPr>
            <w:tcW w:w="1559" w:type="dxa"/>
            <w:tcBorders>
              <w:top w:val="nil"/>
              <w:left w:val="nil"/>
              <w:bottom w:val="nil"/>
              <w:right w:val="nil"/>
            </w:tcBorders>
          </w:tcPr>
          <w:p w14:paraId="64E07BCB"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nil"/>
              <w:right w:val="nil"/>
            </w:tcBorders>
          </w:tcPr>
          <w:p w14:paraId="12F9FC3B" w14:textId="77777777" w:rsidR="007D2548" w:rsidRPr="00577D6B" w:rsidRDefault="007D2548" w:rsidP="00910619">
            <w:pPr>
              <w:spacing w:line="240" w:lineRule="auto"/>
              <w:rPr>
                <w:rFonts w:eastAsia="Calibri"/>
                <w:color w:val="000000" w:themeColor="text1"/>
                <w:szCs w:val="24"/>
              </w:rPr>
            </w:pPr>
            <w:r w:rsidRPr="00577D6B">
              <w:rPr>
                <w:rFonts w:eastAsia="Calibri"/>
                <w:color w:val="000000" w:themeColor="text1"/>
                <w:szCs w:val="24"/>
              </w:rPr>
              <w:t>FDI is the measure of investment inflows by the ratio of GDP (</w:t>
            </w:r>
            <w:proofErr w:type="spellStart"/>
            <w:r w:rsidRPr="00577D6B">
              <w:rPr>
                <w:rFonts w:eastAsia="Calibri"/>
                <w:color w:val="000000" w:themeColor="text1"/>
                <w:szCs w:val="24"/>
                <w:shd w:val="clear" w:color="auto" w:fill="FFFFFF"/>
              </w:rPr>
              <w:t>Pattayat</w:t>
            </w:r>
            <w:proofErr w:type="spellEnd"/>
            <w:r w:rsidRPr="00577D6B">
              <w:rPr>
                <w:rFonts w:eastAsia="Calibri"/>
                <w:color w:val="000000" w:themeColor="text1"/>
                <w:szCs w:val="24"/>
                <w:shd w:val="clear" w:color="auto" w:fill="FFFFFF"/>
              </w:rPr>
              <w:t>, 2016)</w:t>
            </w:r>
          </w:p>
        </w:tc>
        <w:tc>
          <w:tcPr>
            <w:tcW w:w="1391" w:type="dxa"/>
            <w:tcBorders>
              <w:top w:val="nil"/>
              <w:left w:val="nil"/>
              <w:bottom w:val="nil"/>
              <w:right w:val="nil"/>
            </w:tcBorders>
          </w:tcPr>
          <w:p w14:paraId="1B4E22FA"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FDI</w:t>
            </w:r>
          </w:p>
        </w:tc>
      </w:tr>
      <w:tr w:rsidR="00577D6B" w:rsidRPr="00577D6B" w14:paraId="3270D7C2" w14:textId="77777777" w:rsidTr="000D278A">
        <w:trPr>
          <w:trHeight w:val="853"/>
        </w:trPr>
        <w:tc>
          <w:tcPr>
            <w:tcW w:w="1663" w:type="dxa"/>
            <w:tcBorders>
              <w:top w:val="nil"/>
              <w:left w:val="nil"/>
              <w:bottom w:val="nil"/>
              <w:right w:val="nil"/>
            </w:tcBorders>
          </w:tcPr>
          <w:p w14:paraId="6C2E2736"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Population</w:t>
            </w:r>
          </w:p>
        </w:tc>
        <w:tc>
          <w:tcPr>
            <w:tcW w:w="1559" w:type="dxa"/>
            <w:tcBorders>
              <w:top w:val="nil"/>
              <w:left w:val="nil"/>
              <w:bottom w:val="nil"/>
              <w:right w:val="nil"/>
            </w:tcBorders>
          </w:tcPr>
          <w:p w14:paraId="41A326CC"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nil"/>
              <w:right w:val="nil"/>
            </w:tcBorders>
          </w:tcPr>
          <w:p w14:paraId="2B143468" w14:textId="77777777" w:rsidR="007D2548" w:rsidRPr="00577D6B" w:rsidRDefault="007D2548" w:rsidP="00910619">
            <w:pPr>
              <w:spacing w:line="240" w:lineRule="auto"/>
              <w:rPr>
                <w:color w:val="000000" w:themeColor="text1"/>
                <w:szCs w:val="24"/>
              </w:rPr>
            </w:pPr>
            <w:r w:rsidRPr="00577D6B">
              <w:rPr>
                <w:rFonts w:eastAsia="Calibri"/>
                <w:color w:val="000000" w:themeColor="text1"/>
                <w:szCs w:val="24"/>
              </w:rPr>
              <w:t>The population of a given area is the number of people usually living in that country (Gu, Andreev &amp; Dupre, 2021)</w:t>
            </w:r>
          </w:p>
        </w:tc>
        <w:tc>
          <w:tcPr>
            <w:tcW w:w="1391" w:type="dxa"/>
            <w:tcBorders>
              <w:top w:val="nil"/>
              <w:left w:val="nil"/>
              <w:bottom w:val="nil"/>
              <w:right w:val="nil"/>
            </w:tcBorders>
          </w:tcPr>
          <w:p w14:paraId="412B3A85"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POP</w:t>
            </w:r>
          </w:p>
        </w:tc>
      </w:tr>
      <w:tr w:rsidR="00577D6B" w:rsidRPr="00577D6B" w14:paraId="5272EF07" w14:textId="77777777" w:rsidTr="000D278A">
        <w:trPr>
          <w:trHeight w:val="1132"/>
        </w:trPr>
        <w:tc>
          <w:tcPr>
            <w:tcW w:w="1663" w:type="dxa"/>
            <w:tcBorders>
              <w:top w:val="nil"/>
              <w:left w:val="nil"/>
              <w:bottom w:val="single" w:sz="4" w:space="0" w:color="auto"/>
              <w:right w:val="nil"/>
            </w:tcBorders>
          </w:tcPr>
          <w:p w14:paraId="2E120658"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Industrialization</w:t>
            </w:r>
          </w:p>
        </w:tc>
        <w:tc>
          <w:tcPr>
            <w:tcW w:w="1559" w:type="dxa"/>
            <w:tcBorders>
              <w:top w:val="nil"/>
              <w:left w:val="nil"/>
              <w:bottom w:val="single" w:sz="4" w:space="0" w:color="auto"/>
              <w:right w:val="nil"/>
            </w:tcBorders>
          </w:tcPr>
          <w:p w14:paraId="048A21C8"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single" w:sz="4" w:space="0" w:color="auto"/>
              <w:right w:val="nil"/>
            </w:tcBorders>
          </w:tcPr>
          <w:p w14:paraId="423EB7E5" w14:textId="77777777" w:rsidR="007D2548" w:rsidRPr="00577D6B" w:rsidRDefault="00AF2FE2" w:rsidP="00910619">
            <w:pPr>
              <w:spacing w:line="240" w:lineRule="auto"/>
              <w:rPr>
                <w:color w:val="000000" w:themeColor="text1"/>
                <w:szCs w:val="24"/>
              </w:rPr>
            </w:pPr>
            <w:r>
              <w:rPr>
                <w:rFonts w:eastAsia="Calibri"/>
                <w:color w:val="000000" w:themeColor="text1"/>
                <w:szCs w:val="24"/>
              </w:rPr>
              <w:t>Measured as</w:t>
            </w:r>
            <w:r w:rsidR="007D2548" w:rsidRPr="00577D6B">
              <w:rPr>
                <w:rFonts w:eastAsia="Calibri"/>
                <w:color w:val="000000" w:themeColor="text1"/>
                <w:szCs w:val="24"/>
              </w:rPr>
              <w:t xml:space="preserve"> manufacturing sector's net output to the market value of all final goods and ser- vices produced in the economy (</w:t>
            </w:r>
            <w:proofErr w:type="spellStart"/>
            <w:r w:rsidR="007D2548" w:rsidRPr="00577D6B">
              <w:rPr>
                <w:rFonts w:eastAsia="Calibri"/>
                <w:color w:val="000000" w:themeColor="text1"/>
                <w:szCs w:val="24"/>
                <w:shd w:val="clear" w:color="auto" w:fill="FFFFFF"/>
              </w:rPr>
              <w:t>Anchi</w:t>
            </w:r>
            <w:proofErr w:type="spellEnd"/>
            <w:r w:rsidR="007D2548" w:rsidRPr="00577D6B">
              <w:rPr>
                <w:rFonts w:eastAsia="Calibri"/>
                <w:color w:val="000000" w:themeColor="text1"/>
                <w:szCs w:val="24"/>
                <w:shd w:val="clear" w:color="auto" w:fill="FFFFFF"/>
              </w:rPr>
              <w:t xml:space="preserve">, </w:t>
            </w:r>
            <w:proofErr w:type="spellStart"/>
            <w:r w:rsidR="007D2548" w:rsidRPr="00577D6B">
              <w:rPr>
                <w:rFonts w:eastAsia="Calibri"/>
                <w:color w:val="000000" w:themeColor="text1"/>
                <w:szCs w:val="24"/>
                <w:shd w:val="clear" w:color="auto" w:fill="FFFFFF"/>
              </w:rPr>
              <w:t>Aboubakary</w:t>
            </w:r>
            <w:proofErr w:type="spellEnd"/>
            <w:r w:rsidR="007D2548" w:rsidRPr="00577D6B">
              <w:rPr>
                <w:rFonts w:eastAsia="Calibri"/>
                <w:color w:val="000000" w:themeColor="text1"/>
                <w:szCs w:val="24"/>
                <w:shd w:val="clear" w:color="auto" w:fill="FFFFFF"/>
              </w:rPr>
              <w:t xml:space="preserve"> &amp; </w:t>
            </w:r>
            <w:proofErr w:type="spellStart"/>
            <w:r w:rsidR="007D2548" w:rsidRPr="00577D6B">
              <w:rPr>
                <w:rFonts w:eastAsia="Calibri"/>
                <w:color w:val="000000" w:themeColor="text1"/>
                <w:szCs w:val="24"/>
                <w:shd w:val="clear" w:color="auto" w:fill="FFFFFF"/>
              </w:rPr>
              <w:t>Edoh</w:t>
            </w:r>
            <w:proofErr w:type="spellEnd"/>
            <w:r w:rsidR="007D2548" w:rsidRPr="00577D6B">
              <w:rPr>
                <w:rFonts w:eastAsia="Calibri"/>
                <w:color w:val="000000" w:themeColor="text1"/>
                <w:szCs w:val="24"/>
                <w:shd w:val="clear" w:color="auto" w:fill="FFFFFF"/>
              </w:rPr>
              <w:t>, 2023)</w:t>
            </w:r>
          </w:p>
        </w:tc>
        <w:tc>
          <w:tcPr>
            <w:tcW w:w="1391" w:type="dxa"/>
            <w:tcBorders>
              <w:top w:val="nil"/>
              <w:left w:val="nil"/>
              <w:bottom w:val="single" w:sz="4" w:space="0" w:color="auto"/>
              <w:right w:val="nil"/>
            </w:tcBorders>
          </w:tcPr>
          <w:p w14:paraId="7B21958B"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w:t>
            </w:r>
          </w:p>
        </w:tc>
      </w:tr>
    </w:tbl>
    <w:p w14:paraId="1E48D15D" w14:textId="77777777" w:rsidR="000A479B" w:rsidRPr="00577D6B" w:rsidRDefault="000A479B" w:rsidP="00910619">
      <w:pPr>
        <w:spacing w:line="240" w:lineRule="auto"/>
        <w:jc w:val="both"/>
        <w:rPr>
          <w:rFonts w:eastAsia="Calibri" w:cs="Times New Roman"/>
          <w:color w:val="000000" w:themeColor="text1"/>
          <w:szCs w:val="24"/>
        </w:rPr>
      </w:pPr>
      <w:r w:rsidRPr="00577D6B">
        <w:rPr>
          <w:rFonts w:eastAsia="Calibri" w:cs="Times New Roman"/>
          <w:color w:val="000000" w:themeColor="text1"/>
          <w:szCs w:val="24"/>
        </w:rPr>
        <w:t xml:space="preserve"> </w:t>
      </w:r>
    </w:p>
    <w:p w14:paraId="6A948CE3" w14:textId="77777777" w:rsidR="000A479B" w:rsidRPr="00F14D3D" w:rsidRDefault="009721EF" w:rsidP="00910619">
      <w:pPr>
        <w:spacing w:line="240" w:lineRule="auto"/>
        <w:jc w:val="both"/>
        <w:rPr>
          <w:rFonts w:eastAsia="Calibri" w:cs="Times New Roman"/>
          <w:b/>
          <w:bCs/>
          <w:i/>
          <w:iCs/>
          <w:color w:val="000000"/>
          <w:szCs w:val="24"/>
          <w:shd w:val="clear" w:color="auto" w:fill="FFFFFF"/>
        </w:rPr>
      </w:pPr>
      <w:r>
        <w:rPr>
          <w:rFonts w:eastAsia="Calibri" w:cs="Times New Roman"/>
          <w:b/>
          <w:bCs/>
          <w:i/>
          <w:iCs/>
          <w:color w:val="000000"/>
          <w:szCs w:val="24"/>
          <w:shd w:val="clear" w:color="auto" w:fill="FFFFFF"/>
        </w:rPr>
        <w:t>4</w:t>
      </w:r>
      <w:r w:rsidR="000A479B" w:rsidRPr="00F14D3D">
        <w:rPr>
          <w:rFonts w:eastAsia="Calibri" w:cs="Times New Roman"/>
          <w:b/>
          <w:bCs/>
          <w:i/>
          <w:iCs/>
          <w:color w:val="000000"/>
          <w:szCs w:val="24"/>
          <w:shd w:val="clear" w:color="auto" w:fill="FFFFFF"/>
        </w:rPr>
        <w:t>.3 Regression models</w:t>
      </w:r>
    </w:p>
    <w:p w14:paraId="5FEDD1D4" w14:textId="5485A02F" w:rsidR="00A7615E" w:rsidRPr="00645E83" w:rsidRDefault="00645E83" w:rsidP="00910619">
      <w:pPr>
        <w:spacing w:line="240" w:lineRule="auto"/>
        <w:jc w:val="both"/>
        <w:rPr>
          <w:rFonts w:cs="Times New Roman"/>
          <w:szCs w:val="24"/>
        </w:rPr>
      </w:pPr>
      <w:r w:rsidRPr="00645E83">
        <w:rPr>
          <w:rFonts w:eastAsia="Calibri" w:cs="Times New Roman"/>
          <w:color w:val="000000"/>
          <w:szCs w:val="24"/>
        </w:rPr>
        <w:t>Two models are used to test the proposed hypotheses postulated in this study. In Model 1, t</w:t>
      </w:r>
      <w:r w:rsidRPr="00645E83">
        <w:rPr>
          <w:rFonts w:cs="Times New Roman"/>
          <w:szCs w:val="24"/>
        </w:rPr>
        <w:t>he effect of control variables on</w:t>
      </w:r>
      <w:r w:rsidR="00DD2701">
        <w:rPr>
          <w:rFonts w:cs="Times New Roman"/>
          <w:szCs w:val="24"/>
        </w:rPr>
        <w:t xml:space="preserve"> </w:t>
      </w:r>
      <w:bookmarkStart w:id="5" w:name="_Hlk176610907"/>
      <w:r w:rsidR="004B55C3">
        <w:rPr>
          <w:rFonts w:cs="Times New Roman"/>
          <w:szCs w:val="24"/>
        </w:rPr>
        <w:t>environmental sustainability</w:t>
      </w:r>
      <w:r w:rsidR="00EF2560">
        <w:rPr>
          <w:rFonts w:cs="Times New Roman"/>
          <w:szCs w:val="24"/>
        </w:rPr>
        <w:t xml:space="preserve"> are tested as follows;</w:t>
      </w:r>
      <w:r w:rsidR="00A7615E" w:rsidRPr="00645E83">
        <w:rPr>
          <w:rFonts w:cs="Times New Roman"/>
          <w:szCs w:val="24"/>
        </w:rPr>
        <w:t xml:space="preserve"> </w:t>
      </w:r>
    </w:p>
    <w:p w14:paraId="4197AB66" w14:textId="77777777" w:rsidR="00A7615E" w:rsidRPr="00645E83" w:rsidRDefault="00A7615E" w:rsidP="00910619">
      <w:pPr>
        <w:spacing w:line="240" w:lineRule="auto"/>
        <w:jc w:val="both"/>
        <w:rPr>
          <w:rFonts w:eastAsia="Calibri" w:cs="Times New Roman"/>
          <w:color w:val="000000"/>
          <w:szCs w:val="24"/>
        </w:rPr>
      </w:pPr>
    </w:p>
    <w:p w14:paraId="72974BC8" w14:textId="77777777" w:rsidR="00A7615E" w:rsidRPr="00645E83" w:rsidRDefault="00BB796D" w:rsidP="00910619">
      <w:pPr>
        <w:spacing w:line="240" w:lineRule="auto"/>
        <w:jc w:val="right"/>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CE</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FDI</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POP</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it</m:t>
            </m:r>
          </m:sub>
        </m:sSub>
      </m:oMath>
      <w:r w:rsidR="00A7615E" w:rsidRPr="00645E83">
        <w:rPr>
          <w:rFonts w:eastAsiaTheme="minorEastAsia" w:cs="Times New Roman"/>
          <w:szCs w:val="24"/>
        </w:rPr>
        <w:t>……………...…</w:t>
      </w:r>
      <w:proofErr w:type="gramStart"/>
      <w:r w:rsidR="00A7615E" w:rsidRPr="00645E83">
        <w:rPr>
          <w:rFonts w:eastAsiaTheme="minorEastAsia" w:cs="Times New Roman"/>
          <w:szCs w:val="24"/>
        </w:rPr>
        <w:t>…</w:t>
      </w:r>
      <w:r w:rsidR="00645E83" w:rsidRPr="00645E83">
        <w:rPr>
          <w:rFonts w:eastAsiaTheme="minorEastAsia" w:cs="Times New Roman"/>
          <w:szCs w:val="24"/>
        </w:rPr>
        <w:t>(</w:t>
      </w:r>
      <w:proofErr w:type="gramEnd"/>
      <w:r w:rsidR="00645E83" w:rsidRPr="00645E83">
        <w:rPr>
          <w:rFonts w:eastAsiaTheme="minorEastAsia" w:cs="Times New Roman"/>
          <w:szCs w:val="24"/>
        </w:rPr>
        <w:t>1)</w:t>
      </w:r>
    </w:p>
    <w:bookmarkEnd w:id="5"/>
    <w:p w14:paraId="31432ECB" w14:textId="77777777" w:rsidR="00A7615E" w:rsidRPr="00645E83" w:rsidRDefault="00A7615E" w:rsidP="00910619">
      <w:pPr>
        <w:spacing w:line="240" w:lineRule="auto"/>
        <w:jc w:val="both"/>
        <w:rPr>
          <w:rFonts w:eastAsia="Calibri" w:cs="Times New Roman"/>
          <w:color w:val="000000"/>
          <w:szCs w:val="24"/>
        </w:rPr>
      </w:pPr>
    </w:p>
    <w:p w14:paraId="7966F464" w14:textId="49AB3269" w:rsidR="00A7615E" w:rsidRPr="00645E83" w:rsidRDefault="00DD2701" w:rsidP="00910619">
      <w:pPr>
        <w:spacing w:line="240" w:lineRule="auto"/>
        <w:jc w:val="both"/>
        <w:rPr>
          <w:rFonts w:cs="Times New Roman"/>
          <w:szCs w:val="24"/>
        </w:rPr>
      </w:pPr>
      <w:r w:rsidRPr="00DD2701">
        <w:rPr>
          <w:rFonts w:eastAsia="Calibri" w:cs="Times New Roman"/>
          <w:color w:val="000000"/>
          <w:szCs w:val="24"/>
        </w:rPr>
        <w:t>In Model 2,</w:t>
      </w:r>
      <w:r>
        <w:rPr>
          <w:rFonts w:eastAsia="Calibri" w:cs="Times New Roman"/>
          <w:color w:val="000000"/>
          <w:szCs w:val="24"/>
        </w:rPr>
        <w:t xml:space="preserve"> </w:t>
      </w:r>
      <w:r w:rsidR="00A7615E" w:rsidRPr="00645E83">
        <w:rPr>
          <w:rFonts w:cs="Times New Roman"/>
          <w:szCs w:val="24"/>
        </w:rPr>
        <w:t xml:space="preserve">the effect of renewable energy consumption, </w:t>
      </w:r>
      <w:r>
        <w:rPr>
          <w:rFonts w:cs="Times New Roman"/>
          <w:szCs w:val="24"/>
        </w:rPr>
        <w:t>n</w:t>
      </w:r>
      <w:r w:rsidRPr="00645E83">
        <w:rPr>
          <w:rFonts w:cs="Times New Roman"/>
          <w:szCs w:val="24"/>
        </w:rPr>
        <w:t>on</w:t>
      </w:r>
      <w:r w:rsidR="00A7615E" w:rsidRPr="00645E83">
        <w:rPr>
          <w:rFonts w:cs="Times New Roman"/>
          <w:szCs w:val="24"/>
        </w:rPr>
        <w:t xml:space="preserve">-renewable energy consumption, financial development and economic growth on </w:t>
      </w:r>
      <w:r w:rsidR="004B55C3">
        <w:rPr>
          <w:rFonts w:cs="Times New Roman"/>
          <w:szCs w:val="24"/>
        </w:rPr>
        <w:t>environmental sustainability</w:t>
      </w:r>
      <w:r w:rsidR="00EF2560">
        <w:rPr>
          <w:rFonts w:cs="Times New Roman"/>
          <w:szCs w:val="24"/>
        </w:rPr>
        <w:t xml:space="preserve"> are tested as follows;</w:t>
      </w:r>
      <w:r w:rsidR="00A7615E" w:rsidRPr="00645E83">
        <w:rPr>
          <w:rFonts w:cs="Times New Roman"/>
          <w:szCs w:val="24"/>
        </w:rPr>
        <w:t xml:space="preserve"> </w:t>
      </w:r>
    </w:p>
    <w:p w14:paraId="7DBA8793" w14:textId="77777777" w:rsidR="00A7615E" w:rsidRPr="00645E83" w:rsidRDefault="00A7615E" w:rsidP="00910619">
      <w:pPr>
        <w:spacing w:line="240" w:lineRule="auto"/>
        <w:jc w:val="both"/>
        <w:rPr>
          <w:rFonts w:cs="Times New Roman"/>
          <w:szCs w:val="24"/>
        </w:rPr>
      </w:pPr>
    </w:p>
    <w:p w14:paraId="77F01E4A" w14:textId="04E2E977" w:rsidR="00A7615E" w:rsidRDefault="00BB796D" w:rsidP="00910619">
      <w:pPr>
        <w:spacing w:line="240" w:lineRule="auto"/>
        <w:jc w:val="right"/>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CE</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REC</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NREC</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FD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EG</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FDI</m:t>
            </m:r>
          </m:e>
          <m:sub>
            <m:r>
              <w:rPr>
                <w:rFonts w:ascii="Cambria Math" w:hAnsi="Cambria Math" w:cs="Times New Roman"/>
                <w:szCs w:val="24"/>
              </w:rPr>
              <m:t>i</m:t>
            </m:r>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POP</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it</m:t>
            </m:r>
          </m:sub>
        </m:sSub>
      </m:oMath>
      <w:r w:rsidR="00645E83" w:rsidRPr="00645E83">
        <w:rPr>
          <w:rFonts w:eastAsiaTheme="minorEastAsia" w:cs="Times New Roman"/>
          <w:szCs w:val="24"/>
        </w:rPr>
        <w:t xml:space="preserve"> (2)</w:t>
      </w:r>
    </w:p>
    <w:p w14:paraId="51C701E1" w14:textId="77777777" w:rsidR="00EF2560" w:rsidRDefault="00EF2560" w:rsidP="00910619">
      <w:pPr>
        <w:spacing w:line="240" w:lineRule="auto"/>
        <w:jc w:val="both"/>
        <w:rPr>
          <w:rFonts w:eastAsiaTheme="minorEastAsia" w:cs="Times New Roman"/>
          <w:szCs w:val="24"/>
        </w:rPr>
      </w:pPr>
      <w:r>
        <w:rPr>
          <w:rFonts w:eastAsiaTheme="minorEastAsia" w:cs="Times New Roman"/>
          <w:szCs w:val="24"/>
        </w:rPr>
        <w:t>Where;</w:t>
      </w:r>
    </w:p>
    <w:p w14:paraId="5A9FFE76" w14:textId="3E937ADD" w:rsidR="00EF2560" w:rsidRDefault="00EF2560" w:rsidP="00910619">
      <w:pPr>
        <w:spacing w:line="240" w:lineRule="auto"/>
        <w:ind w:left="1440"/>
        <w:jc w:val="both"/>
        <w:rPr>
          <w:rFonts w:cs="Times New Roman"/>
          <w:szCs w:val="24"/>
        </w:rPr>
      </w:pPr>
      <w:proofErr w:type="spellStart"/>
      <w:r>
        <w:t>CEit</w:t>
      </w:r>
      <w:proofErr w:type="spellEnd"/>
      <w:r>
        <w:t xml:space="preserve"> is </w:t>
      </w:r>
      <w:r w:rsidR="004B55C3">
        <w:t>environmental sustainability</w:t>
      </w:r>
      <w:r>
        <w:t xml:space="preserve"> at time t for country </w:t>
      </w:r>
      <w:proofErr w:type="spellStart"/>
      <w:r>
        <w:t>i</w:t>
      </w:r>
      <w:proofErr w:type="spellEnd"/>
      <w:r>
        <w:t>.</w:t>
      </w:r>
    </w:p>
    <w:p w14:paraId="46F1DA05" w14:textId="77777777" w:rsidR="00EF2560" w:rsidRPr="00DE42CC" w:rsidRDefault="00EF2560" w:rsidP="00910619">
      <w:pPr>
        <w:spacing w:line="240" w:lineRule="auto"/>
        <w:ind w:left="1440"/>
        <w:jc w:val="both"/>
        <w:rPr>
          <w:rFonts w:cs="Times New Roman"/>
          <w:szCs w:val="24"/>
        </w:rPr>
      </w:pPr>
      <w:proofErr w:type="spellStart"/>
      <w:r>
        <w:t>RECit</w:t>
      </w:r>
      <w:proofErr w:type="spellEnd"/>
      <w:r>
        <w:t xml:space="preserve"> is renewable energy consumption at time t for country </w:t>
      </w:r>
      <w:proofErr w:type="spellStart"/>
      <w:r>
        <w:t>i</w:t>
      </w:r>
      <w:proofErr w:type="spellEnd"/>
      <w:r>
        <w:t>.</w:t>
      </w:r>
    </w:p>
    <w:p w14:paraId="4745D3E6" w14:textId="77777777" w:rsidR="00EF2560" w:rsidRDefault="00EF2560" w:rsidP="00910619">
      <w:pPr>
        <w:spacing w:line="240" w:lineRule="auto"/>
        <w:ind w:left="1440"/>
        <w:jc w:val="both"/>
        <w:rPr>
          <w:rFonts w:cs="Times New Roman"/>
          <w:szCs w:val="24"/>
        </w:rPr>
      </w:pPr>
      <w:proofErr w:type="spellStart"/>
      <w:r>
        <w:t>NRECit</w:t>
      </w:r>
      <w:proofErr w:type="spellEnd"/>
      <w:r>
        <w:t xml:space="preserve"> is non-renewable energy consumption at time t for country </w:t>
      </w:r>
      <w:proofErr w:type="spellStart"/>
      <w:r>
        <w:t>i</w:t>
      </w:r>
      <w:proofErr w:type="spellEnd"/>
      <w:r>
        <w:t>.</w:t>
      </w:r>
    </w:p>
    <w:p w14:paraId="5CDEEF7A" w14:textId="77777777" w:rsidR="00EF2560" w:rsidRPr="00DE42CC" w:rsidRDefault="00EF2560" w:rsidP="00910619">
      <w:pPr>
        <w:spacing w:line="240" w:lineRule="auto"/>
        <w:ind w:left="1440"/>
        <w:jc w:val="both"/>
        <w:rPr>
          <w:rFonts w:cs="Times New Roman"/>
          <w:szCs w:val="24"/>
        </w:rPr>
      </w:pPr>
      <w:proofErr w:type="spellStart"/>
      <w:r>
        <w:t>EGit</w:t>
      </w:r>
      <w:proofErr w:type="spellEnd"/>
      <w:r>
        <w:t xml:space="preserve"> is economic growth at time t for country </w:t>
      </w:r>
      <w:proofErr w:type="spellStart"/>
      <w:r>
        <w:t>i</w:t>
      </w:r>
      <w:proofErr w:type="spellEnd"/>
      <w:r>
        <w:t>.</w:t>
      </w:r>
    </w:p>
    <w:p w14:paraId="6F95FBC0" w14:textId="77777777" w:rsidR="00EF2560" w:rsidRPr="00DE42CC" w:rsidRDefault="00EF2560" w:rsidP="00910619">
      <w:pPr>
        <w:spacing w:line="240" w:lineRule="auto"/>
        <w:ind w:left="1440"/>
        <w:jc w:val="both"/>
        <w:rPr>
          <w:rFonts w:cs="Times New Roman"/>
          <w:szCs w:val="24"/>
        </w:rPr>
      </w:pPr>
      <w:proofErr w:type="spellStart"/>
      <w:r>
        <w:t>FDit</w:t>
      </w:r>
      <w:proofErr w:type="spellEnd"/>
      <w:r>
        <w:t xml:space="preserve"> is financial development at time t for country </w:t>
      </w:r>
      <w:proofErr w:type="spellStart"/>
      <w:r>
        <w:t>i</w:t>
      </w:r>
      <w:proofErr w:type="spellEnd"/>
      <w:r>
        <w:t>.</w:t>
      </w:r>
    </w:p>
    <w:p w14:paraId="67E7EC2F" w14:textId="77777777" w:rsidR="00EF2560" w:rsidRPr="00DE42CC" w:rsidRDefault="00EF2560" w:rsidP="00910619">
      <w:pPr>
        <w:spacing w:line="240" w:lineRule="auto"/>
        <w:ind w:left="1440"/>
        <w:jc w:val="both"/>
        <w:rPr>
          <w:rFonts w:cs="Times New Roman"/>
          <w:szCs w:val="24"/>
        </w:rPr>
      </w:pPr>
      <w:proofErr w:type="spellStart"/>
      <w:r>
        <w:t>FDIit</w:t>
      </w:r>
      <w:proofErr w:type="spellEnd"/>
      <w:r>
        <w:t xml:space="preserve"> is foreign direct investment at time t for country </w:t>
      </w:r>
      <w:proofErr w:type="spellStart"/>
      <w:r>
        <w:t>i</w:t>
      </w:r>
      <w:proofErr w:type="spellEnd"/>
      <w:r>
        <w:t>.</w:t>
      </w:r>
    </w:p>
    <w:p w14:paraId="475CB598" w14:textId="77777777" w:rsidR="00EF2560" w:rsidRPr="00DE42CC" w:rsidRDefault="00EF2560" w:rsidP="00910619">
      <w:pPr>
        <w:spacing w:line="240" w:lineRule="auto"/>
        <w:ind w:left="1440"/>
        <w:jc w:val="both"/>
        <w:rPr>
          <w:rFonts w:cs="Times New Roman"/>
          <w:szCs w:val="24"/>
        </w:rPr>
      </w:pPr>
      <w:proofErr w:type="spellStart"/>
      <w:r>
        <w:t>POPit</w:t>
      </w:r>
      <w:proofErr w:type="spellEnd"/>
      <w:r>
        <w:t xml:space="preserve"> is population growth at time t for country </w:t>
      </w:r>
      <w:proofErr w:type="spellStart"/>
      <w:r>
        <w:t>i</w:t>
      </w:r>
      <w:proofErr w:type="spellEnd"/>
      <w:r>
        <w:t>.</w:t>
      </w:r>
    </w:p>
    <w:p w14:paraId="4AAF5EFC" w14:textId="77777777" w:rsidR="00EF2560" w:rsidRDefault="00EF2560" w:rsidP="00910619">
      <w:pPr>
        <w:spacing w:line="240" w:lineRule="auto"/>
        <w:ind w:left="1440"/>
        <w:jc w:val="both"/>
        <w:rPr>
          <w:rFonts w:cs="Times New Roman"/>
          <w:szCs w:val="24"/>
        </w:rPr>
      </w:pPr>
      <w:proofErr w:type="spellStart"/>
      <w:r>
        <w:t>INDit</w:t>
      </w:r>
      <w:proofErr w:type="spellEnd"/>
      <w:r>
        <w:t xml:space="preserve"> is industrialization (manufacturing output) at time t for country </w:t>
      </w:r>
      <w:proofErr w:type="spellStart"/>
      <w:r>
        <w:t>i</w:t>
      </w:r>
      <w:proofErr w:type="spellEnd"/>
      <w:r>
        <w:t>.</w:t>
      </w:r>
    </w:p>
    <w:p w14:paraId="44DBD06C" w14:textId="77777777" w:rsidR="00EF2560" w:rsidRPr="00DE42CC" w:rsidRDefault="00EF2560" w:rsidP="00910619">
      <w:pPr>
        <w:spacing w:line="240" w:lineRule="auto"/>
        <w:ind w:left="1440"/>
        <w:jc w:val="both"/>
        <w:rPr>
          <w:rFonts w:cs="Times New Roman"/>
          <w:szCs w:val="24"/>
        </w:rPr>
      </w:pPr>
      <w:proofErr w:type="spellStart"/>
      <w:r>
        <w:t>εit</w:t>
      </w:r>
      <w:proofErr w:type="spellEnd"/>
      <w:r>
        <w:t xml:space="preserve"> is the error term.</w:t>
      </w:r>
    </w:p>
    <w:p w14:paraId="3FD7A822" w14:textId="77777777" w:rsidR="00EF2560" w:rsidRPr="00DE42CC" w:rsidRDefault="00EF2560" w:rsidP="00910619">
      <w:pPr>
        <w:spacing w:line="240" w:lineRule="auto"/>
        <w:ind w:left="1440"/>
        <w:jc w:val="both"/>
        <w:rPr>
          <w:rFonts w:cs="Times New Roman"/>
          <w:szCs w:val="24"/>
        </w:rPr>
      </w:pPr>
      <w:r>
        <w:t>β0 is the intercept; β</w:t>
      </w:r>
      <w:proofErr w:type="gramStart"/>
      <w:r>
        <w:t>1,…</w:t>
      </w:r>
      <w:proofErr w:type="gramEnd"/>
      <w:r>
        <w:t xml:space="preserve">,βn are slope coefficients; </w:t>
      </w:r>
      <w:proofErr w:type="spellStart"/>
      <w:r>
        <w:t>i</w:t>
      </w:r>
      <w:proofErr w:type="spellEnd"/>
      <w:r>
        <w:t xml:space="preserve"> denotes countries and t denotes years (2000–2023).</w:t>
      </w:r>
    </w:p>
    <w:p w14:paraId="4F5A0594" w14:textId="77777777" w:rsidR="00EF2560" w:rsidRPr="00DE42CC" w:rsidRDefault="00EF2560" w:rsidP="00910619">
      <w:pPr>
        <w:spacing w:line="240" w:lineRule="auto"/>
        <w:ind w:left="1440"/>
        <w:jc w:val="both"/>
        <w:rPr>
          <w:rFonts w:cs="Times New Roman"/>
          <w:szCs w:val="24"/>
        </w:rPr>
      </w:pPr>
      <w:r w:rsidRPr="00DE42CC">
        <w:rPr>
          <w:rFonts w:cs="Times New Roman"/>
          <w:i/>
          <w:szCs w:val="24"/>
        </w:rPr>
        <w:t>β</w:t>
      </w:r>
      <w:r w:rsidRPr="00DE42CC">
        <w:rPr>
          <w:rFonts w:cs="Times New Roman"/>
          <w:i/>
          <w:szCs w:val="24"/>
          <w:vertAlign w:val="subscript"/>
        </w:rPr>
        <w:t>0</w:t>
      </w:r>
      <w:r w:rsidRPr="00DE42CC">
        <w:rPr>
          <w:rFonts w:cs="Times New Roman"/>
          <w:szCs w:val="24"/>
          <w:vertAlign w:val="subscript"/>
        </w:rPr>
        <w:t xml:space="preserve"> </w:t>
      </w:r>
      <w:r w:rsidRPr="00DE42CC">
        <w:rPr>
          <w:rFonts w:cs="Times New Roman"/>
          <w:szCs w:val="24"/>
        </w:rPr>
        <w:t>is the intercept.</w:t>
      </w:r>
    </w:p>
    <w:p w14:paraId="4B94E7D1" w14:textId="77777777" w:rsidR="00EF2560" w:rsidRPr="00DE42CC" w:rsidRDefault="00EF2560" w:rsidP="00910619">
      <w:pPr>
        <w:spacing w:line="240" w:lineRule="auto"/>
        <w:ind w:left="1440"/>
        <w:jc w:val="both"/>
        <w:rPr>
          <w:rFonts w:cs="Times New Roman"/>
          <w:szCs w:val="24"/>
        </w:rPr>
      </w:pPr>
      <w:r w:rsidRPr="00DE42CC">
        <w:rPr>
          <w:rFonts w:cs="Times New Roman"/>
          <w:i/>
          <w:szCs w:val="24"/>
        </w:rPr>
        <w:lastRenderedPageBreak/>
        <w:t>β</w:t>
      </w:r>
      <w:r w:rsidRPr="00DE42CC">
        <w:rPr>
          <w:rFonts w:cs="Times New Roman"/>
          <w:i/>
          <w:szCs w:val="24"/>
          <w:vertAlign w:val="subscript"/>
        </w:rPr>
        <w:t>1</w:t>
      </w:r>
      <w:r w:rsidRPr="00DE42CC">
        <w:rPr>
          <w:rFonts w:cs="Times New Roman"/>
          <w:i/>
          <w:szCs w:val="24"/>
        </w:rPr>
        <w:t>,</w:t>
      </w:r>
      <w:r w:rsidRPr="00DE42CC">
        <w:rPr>
          <w:rFonts w:cs="Times New Roman"/>
          <w:i/>
          <w:szCs w:val="24"/>
          <w:vertAlign w:val="subscript"/>
        </w:rPr>
        <w:t xml:space="preserve"> </w:t>
      </w:r>
      <w:r>
        <w:rPr>
          <w:rFonts w:cs="Times New Roman"/>
          <w:i/>
          <w:szCs w:val="24"/>
        </w:rPr>
        <w:t>….</w:t>
      </w:r>
      <w:r w:rsidRPr="00DE42CC">
        <w:rPr>
          <w:rFonts w:cs="Times New Roman"/>
          <w:i/>
          <w:szCs w:val="24"/>
          <w:vertAlign w:val="subscript"/>
        </w:rPr>
        <w:t xml:space="preserve">  </w:t>
      </w:r>
      <w:r w:rsidRPr="00DE42CC">
        <w:rPr>
          <w:rFonts w:cs="Times New Roman"/>
          <w:i/>
          <w:szCs w:val="24"/>
        </w:rPr>
        <w:t>β</w:t>
      </w:r>
      <w:r w:rsidRPr="00DE42CC">
        <w:rPr>
          <w:rFonts w:cs="Times New Roman"/>
          <w:i/>
          <w:szCs w:val="24"/>
          <w:vertAlign w:val="subscript"/>
        </w:rPr>
        <w:t xml:space="preserve">n </w:t>
      </w:r>
      <w:r w:rsidRPr="00DE42CC">
        <w:rPr>
          <w:rFonts w:cs="Times New Roman"/>
          <w:szCs w:val="24"/>
        </w:rPr>
        <w:t>are the beta-coefficients</w:t>
      </w:r>
    </w:p>
    <w:p w14:paraId="2A8E09BB" w14:textId="77777777" w:rsidR="00EF2560" w:rsidRPr="00DE42CC" w:rsidRDefault="00EF2560" w:rsidP="00910619">
      <w:pPr>
        <w:spacing w:line="240" w:lineRule="auto"/>
        <w:ind w:left="1440"/>
        <w:jc w:val="both"/>
        <w:rPr>
          <w:rFonts w:cs="Times New Roman"/>
          <w:szCs w:val="24"/>
        </w:rPr>
      </w:pPr>
      <w:r w:rsidRPr="00DE42CC">
        <w:rPr>
          <w:rFonts w:cs="Times New Roman"/>
          <w:szCs w:val="24"/>
        </w:rPr>
        <w:t>“</w:t>
      </w:r>
      <w:proofErr w:type="spellStart"/>
      <w:r w:rsidRPr="00DE42CC">
        <w:rPr>
          <w:rFonts w:cs="Times New Roman"/>
          <w:szCs w:val="24"/>
        </w:rPr>
        <w:t>i</w:t>
      </w:r>
      <w:proofErr w:type="spellEnd"/>
      <w:r w:rsidRPr="00DE42CC">
        <w:rPr>
          <w:rFonts w:cs="Times New Roman"/>
          <w:szCs w:val="24"/>
        </w:rPr>
        <w:t xml:space="preserve">" is the cross-section units </w:t>
      </w:r>
    </w:p>
    <w:p w14:paraId="26180561" w14:textId="77777777" w:rsidR="00EF2560" w:rsidRDefault="00EF2560" w:rsidP="00910619">
      <w:pPr>
        <w:spacing w:line="240" w:lineRule="auto"/>
        <w:ind w:left="1440"/>
        <w:jc w:val="both"/>
        <w:rPr>
          <w:rFonts w:cs="Times New Roman"/>
          <w:szCs w:val="24"/>
        </w:rPr>
      </w:pPr>
      <w:r w:rsidRPr="00DE42CC">
        <w:rPr>
          <w:rFonts w:cs="Times New Roman"/>
          <w:szCs w:val="24"/>
        </w:rPr>
        <w:t>“</w:t>
      </w:r>
      <w:r w:rsidRPr="00DE42CC">
        <w:rPr>
          <w:rFonts w:cs="Times New Roman"/>
          <w:i/>
          <w:szCs w:val="24"/>
        </w:rPr>
        <w:t>t</w:t>
      </w:r>
      <w:r w:rsidRPr="00DE42CC">
        <w:rPr>
          <w:rFonts w:cs="Times New Roman"/>
          <w:szCs w:val="24"/>
        </w:rPr>
        <w:t xml:space="preserve">” is the </w:t>
      </w:r>
      <w:r>
        <w:rPr>
          <w:rFonts w:cs="Times New Roman"/>
          <w:szCs w:val="24"/>
        </w:rPr>
        <w:t xml:space="preserve">time </w:t>
      </w:r>
      <w:r w:rsidRPr="00DE42CC">
        <w:rPr>
          <w:rFonts w:cs="Times New Roman"/>
          <w:szCs w:val="24"/>
        </w:rPr>
        <w:t>period (20</w:t>
      </w:r>
      <w:r>
        <w:rPr>
          <w:rFonts w:cs="Times New Roman"/>
          <w:szCs w:val="24"/>
        </w:rPr>
        <w:t>00</w:t>
      </w:r>
      <w:r w:rsidRPr="00DE42CC">
        <w:rPr>
          <w:rFonts w:cs="Times New Roman"/>
          <w:szCs w:val="24"/>
        </w:rPr>
        <w:t xml:space="preserve"> to 202</w:t>
      </w:r>
      <w:r>
        <w:rPr>
          <w:rFonts w:cs="Times New Roman"/>
          <w:szCs w:val="24"/>
        </w:rPr>
        <w:t>3</w:t>
      </w:r>
      <w:r w:rsidRPr="00DE42CC">
        <w:rPr>
          <w:rFonts w:cs="Times New Roman"/>
          <w:szCs w:val="24"/>
        </w:rPr>
        <w:t>)</w:t>
      </w:r>
    </w:p>
    <w:p w14:paraId="029327CB" w14:textId="77777777" w:rsidR="000A479B" w:rsidRPr="00F14D3D" w:rsidRDefault="009721EF" w:rsidP="00910619">
      <w:pPr>
        <w:spacing w:line="240" w:lineRule="auto"/>
        <w:jc w:val="both"/>
        <w:rPr>
          <w:rFonts w:eastAsia="Calibri" w:cs="Times New Roman"/>
          <w:b/>
          <w:bCs/>
          <w:szCs w:val="24"/>
        </w:rPr>
      </w:pPr>
      <w:r>
        <w:rPr>
          <w:rFonts w:eastAsia="Calibri" w:cs="Times New Roman"/>
          <w:color w:val="000000"/>
          <w:szCs w:val="24"/>
        </w:rPr>
        <w:t>5</w:t>
      </w:r>
      <w:r w:rsidR="000A479B" w:rsidRPr="00F14D3D">
        <w:rPr>
          <w:rFonts w:eastAsia="Calibri" w:cs="Times New Roman"/>
          <w:color w:val="000000"/>
          <w:szCs w:val="24"/>
        </w:rPr>
        <w:t xml:space="preserve">. </w:t>
      </w:r>
      <w:r w:rsidR="000A479B" w:rsidRPr="00F14D3D">
        <w:rPr>
          <w:rFonts w:eastAsia="Calibri" w:cs="Times New Roman"/>
          <w:b/>
          <w:bCs/>
          <w:szCs w:val="24"/>
        </w:rPr>
        <w:t xml:space="preserve">Empirical findings and discussion </w:t>
      </w:r>
    </w:p>
    <w:p w14:paraId="626A4A25" w14:textId="77777777" w:rsidR="000A479B" w:rsidRPr="00F14D3D" w:rsidRDefault="009721EF" w:rsidP="00910619">
      <w:pPr>
        <w:spacing w:line="240" w:lineRule="auto"/>
        <w:jc w:val="both"/>
        <w:rPr>
          <w:rFonts w:eastAsia="Calibri" w:cs="Times New Roman"/>
          <w:b/>
          <w:bCs/>
          <w:color w:val="000000"/>
          <w:szCs w:val="24"/>
        </w:rPr>
      </w:pPr>
      <w:r>
        <w:rPr>
          <w:rFonts w:eastAsia="Calibri" w:cs="Times New Roman"/>
          <w:b/>
          <w:bCs/>
          <w:szCs w:val="24"/>
        </w:rPr>
        <w:t>5</w:t>
      </w:r>
      <w:r w:rsidR="000A479B" w:rsidRPr="00F14D3D">
        <w:rPr>
          <w:rFonts w:eastAsia="Calibri" w:cs="Times New Roman"/>
          <w:b/>
          <w:bCs/>
          <w:szCs w:val="24"/>
        </w:rPr>
        <w:t>.1 Diagnostic tests</w:t>
      </w:r>
    </w:p>
    <w:bookmarkEnd w:id="4"/>
    <w:p w14:paraId="3E1B559E" w14:textId="77777777" w:rsidR="00590322" w:rsidRPr="00590322" w:rsidRDefault="00590322" w:rsidP="00590322">
      <w:pPr>
        <w:spacing w:line="240" w:lineRule="auto"/>
        <w:jc w:val="both"/>
        <w:rPr>
          <w:rFonts w:cs="Times New Roman"/>
          <w:szCs w:val="24"/>
        </w:rPr>
      </w:pPr>
      <w:r w:rsidRPr="00590322">
        <w:rPr>
          <w:rFonts w:cs="Times New Roman"/>
          <w:szCs w:val="24"/>
        </w:rPr>
        <w:t>Post-model estimation tests for System GMM were performed on both Model 1 and Model 2 to check the validity of instruments and parameters obtained in both models. The results show that both tests for autoregressions in Model 1 and Model 2 are significantly different from zero (p = 0.071 and p = 0.104, respectively); therefore, both models have first-order autoregressions, which is assumed in dynamic panel models. Moreover, the two tests for autoregressions in Model 1 and Model 2 were not significant (p = 0.096 and p = 0.267, respectively) because both tests show a lack of second-order autoregressions in both models, hence validating the selection of both GMM equations in dynamic panels described by Arellano and Bond (1991).</w:t>
      </w:r>
    </w:p>
    <w:p w14:paraId="39B07640" w14:textId="77777777" w:rsidR="00590322" w:rsidRPr="00590322" w:rsidRDefault="00590322" w:rsidP="00590322">
      <w:pPr>
        <w:spacing w:line="240" w:lineRule="auto"/>
        <w:jc w:val="both"/>
        <w:rPr>
          <w:rFonts w:cs="Times New Roman"/>
          <w:szCs w:val="24"/>
        </w:rPr>
      </w:pPr>
    </w:p>
    <w:p w14:paraId="41B545A6" w14:textId="77777777" w:rsidR="00590322" w:rsidRPr="00590322" w:rsidRDefault="00590322" w:rsidP="00590322">
      <w:pPr>
        <w:spacing w:line="240" w:lineRule="auto"/>
        <w:jc w:val="both"/>
        <w:rPr>
          <w:rFonts w:cs="Times New Roman"/>
          <w:szCs w:val="24"/>
        </w:rPr>
      </w:pPr>
      <w:r w:rsidRPr="00590322">
        <w:rPr>
          <w:rFonts w:cs="Times New Roman"/>
          <w:szCs w:val="24"/>
        </w:rPr>
        <w:t>The over-</w:t>
      </w:r>
      <w:proofErr w:type="spellStart"/>
      <w:r w:rsidRPr="00590322">
        <w:rPr>
          <w:rFonts w:cs="Times New Roman"/>
          <w:szCs w:val="24"/>
        </w:rPr>
        <w:t>identication</w:t>
      </w:r>
      <w:proofErr w:type="spellEnd"/>
      <w:r w:rsidRPr="00590322">
        <w:rPr>
          <w:rFonts w:cs="Times New Roman"/>
          <w:szCs w:val="24"/>
        </w:rPr>
        <w:t xml:space="preserve"> tests using </w:t>
      </w:r>
      <w:proofErr w:type="spellStart"/>
      <w:r w:rsidRPr="00590322">
        <w:rPr>
          <w:rFonts w:cs="Times New Roman"/>
          <w:szCs w:val="24"/>
        </w:rPr>
        <w:t>Sargan</w:t>
      </w:r>
      <w:proofErr w:type="spellEnd"/>
      <w:r w:rsidRPr="00590322">
        <w:rPr>
          <w:rFonts w:cs="Times New Roman"/>
          <w:szCs w:val="24"/>
        </w:rPr>
        <w:t xml:space="preserve"> and Hansen statistics show high p-values (</w:t>
      </w:r>
      <w:proofErr w:type="spellStart"/>
      <w:r w:rsidRPr="00590322">
        <w:rPr>
          <w:rFonts w:cs="Times New Roman"/>
          <w:szCs w:val="24"/>
        </w:rPr>
        <w:t>Sargan</w:t>
      </w:r>
      <w:proofErr w:type="spellEnd"/>
      <w:r w:rsidRPr="00590322">
        <w:rPr>
          <w:rFonts w:cs="Times New Roman"/>
          <w:szCs w:val="24"/>
        </w:rPr>
        <w:t>: 0.546 for Model 1 and 0.699 for Model 2; Hansen: 0.167 for Model 1 and 0.104 for Model 2). This confirms that the set of instruments used is valid and not correlated with error terms, thus validating the model specification in general (</w:t>
      </w:r>
      <w:proofErr w:type="spellStart"/>
      <w:r w:rsidRPr="00590322">
        <w:rPr>
          <w:rFonts w:cs="Times New Roman"/>
          <w:szCs w:val="24"/>
        </w:rPr>
        <w:t>Roodman</w:t>
      </w:r>
      <w:proofErr w:type="spellEnd"/>
      <w:r w:rsidRPr="00590322">
        <w:rPr>
          <w:rFonts w:cs="Times New Roman"/>
          <w:szCs w:val="24"/>
        </w:rPr>
        <w:t>, 2009). With a total of 10 instruments in each model, this bears an appropriate proportion to the sizes of samples used in this research, and F-statistics in both models were very large (Model 1 = 4,249.56; Model 2 = 893.77).</w:t>
      </w:r>
    </w:p>
    <w:p w14:paraId="623DC752" w14:textId="77777777" w:rsidR="00590322" w:rsidRPr="00590322" w:rsidRDefault="00590322" w:rsidP="00590322">
      <w:pPr>
        <w:spacing w:line="240" w:lineRule="auto"/>
        <w:jc w:val="both"/>
        <w:rPr>
          <w:rFonts w:cs="Times New Roman"/>
          <w:szCs w:val="24"/>
        </w:rPr>
      </w:pPr>
    </w:p>
    <w:p w14:paraId="22AB5E83" w14:textId="68E74580" w:rsidR="008E79F9" w:rsidRDefault="00590322" w:rsidP="00590322">
      <w:pPr>
        <w:spacing w:line="240" w:lineRule="auto"/>
        <w:jc w:val="both"/>
        <w:rPr>
          <w:rFonts w:eastAsia="Calibri" w:cs="Times New Roman"/>
          <w:i/>
          <w:iCs/>
          <w:color w:val="000000"/>
          <w:szCs w:val="24"/>
          <w:shd w:val="clear" w:color="auto" w:fill="FFFFFF"/>
        </w:rPr>
      </w:pPr>
      <w:r w:rsidRPr="00590322">
        <w:rPr>
          <w:rFonts w:cs="Times New Roman"/>
          <w:szCs w:val="24"/>
        </w:rPr>
        <w:t>Taken together, the results from post-estimation tests indicate the robustness of the GMM estimate, with proper instruments and no second-order autocorrelation issues. A Hausman specification test preferred a fixed effects model over a random effects model. Tests using variance inflation factors showed no multicollinearity problem, no heteroskedasticity from Breusch-Pagan tests, and no signs of autocorrelation by Breusch-Godfrey tests, ensuring all tests confirm robustness and accuracy of the model</w:t>
      </w:r>
      <w:r w:rsidR="008E79F9" w:rsidRPr="00A756C9">
        <w:rPr>
          <w:rFonts w:cs="Times New Roman"/>
          <w:szCs w:val="24"/>
        </w:rPr>
        <w:t>.</w:t>
      </w:r>
      <w:r w:rsidR="008E79F9" w:rsidRPr="00A756C9">
        <w:rPr>
          <w:rFonts w:eastAsia="Calibri" w:cs="Times New Roman"/>
          <w:i/>
          <w:iCs/>
          <w:color w:val="000000"/>
          <w:szCs w:val="24"/>
          <w:shd w:val="clear" w:color="auto" w:fill="FFFFFF"/>
        </w:rPr>
        <w:t xml:space="preserve"> </w:t>
      </w:r>
    </w:p>
    <w:p w14:paraId="235595BE" w14:textId="77777777" w:rsidR="007825DB" w:rsidRPr="00A756C9" w:rsidRDefault="007825DB" w:rsidP="00910619">
      <w:pPr>
        <w:spacing w:line="240" w:lineRule="auto"/>
        <w:jc w:val="both"/>
        <w:rPr>
          <w:rFonts w:cs="Times New Roman"/>
          <w:szCs w:val="24"/>
        </w:rPr>
      </w:pPr>
    </w:p>
    <w:p w14:paraId="255E5ECF" w14:textId="77777777" w:rsidR="000A479B" w:rsidRPr="00A756C9" w:rsidRDefault="009721EF" w:rsidP="00910619">
      <w:pPr>
        <w:spacing w:line="240" w:lineRule="auto"/>
        <w:rPr>
          <w:rFonts w:eastAsia="Calibri" w:cs="Times New Roman"/>
          <w:b/>
          <w:bCs/>
          <w:szCs w:val="24"/>
        </w:rPr>
      </w:pPr>
      <w:r>
        <w:rPr>
          <w:rFonts w:eastAsia="Calibri" w:cs="Times New Roman"/>
          <w:b/>
          <w:bCs/>
          <w:szCs w:val="24"/>
        </w:rPr>
        <w:t>5</w:t>
      </w:r>
      <w:r w:rsidR="000A479B" w:rsidRPr="00A756C9">
        <w:rPr>
          <w:rFonts w:eastAsia="Calibri" w:cs="Times New Roman"/>
          <w:b/>
          <w:bCs/>
          <w:szCs w:val="24"/>
        </w:rPr>
        <w:t>.2 Descriptive statistics</w:t>
      </w:r>
    </w:p>
    <w:p w14:paraId="3067FB4D" w14:textId="7C2EDFCA" w:rsidR="00E933A5" w:rsidRPr="000C3C4C" w:rsidRDefault="00590322" w:rsidP="00910619">
      <w:pPr>
        <w:spacing w:line="240" w:lineRule="auto"/>
        <w:jc w:val="both"/>
        <w:rPr>
          <w:rFonts w:cs="Times New Roman"/>
          <w:szCs w:val="24"/>
        </w:rPr>
      </w:pPr>
      <w:r w:rsidRPr="00590322">
        <w:rPr>
          <w:rFonts w:cs="Times New Roman"/>
          <w:szCs w:val="24"/>
        </w:rPr>
        <w:t xml:space="preserve">The descriptive statistics in Table </w:t>
      </w:r>
      <w:r w:rsidR="00286B7D">
        <w:rPr>
          <w:rFonts w:cs="Times New Roman"/>
          <w:szCs w:val="24"/>
        </w:rPr>
        <w:t>2</w:t>
      </w:r>
      <w:r w:rsidRPr="00590322">
        <w:rPr>
          <w:rFonts w:cs="Times New Roman"/>
          <w:szCs w:val="24"/>
        </w:rPr>
        <w:t xml:space="preserve"> above provide a summary of seven major variables based on different observation counts for various countries/regions. Emission levels have a mean of 47,327.03 with a standard deviation of 157,595.7, showing a large deviation in emission levels among different nations. Emission levels are lowest in Sao Tome and Principe in Sub-Saharan Africa and highest in Democratic Republic of Congo. Minimum and maximum emission levels show a wide dispersion among nations, with a minimum of 53.5 and a maximum of 865,283.2 tons. FDI levels have a mean of -2.44 × 10^8 with a standard deviation of 1.21 × 10^9. This shows a wide deviation in FDI inflows and outflows among nations. FDI levels are lowest in countries such as Central African Republic, Eritrea, Burundi, and Comoros with a minimum level of -3.51 × 10^9, where disinvestment occurred, and highest in nations such as Nigeria, South Africa, Angola, Liberia, and Ghana with a maximum level of 1.24 × 10^10, where US$5.3 billion, US$4.4 billion, US$2.2 billion, US$2.0 billion, and US$0.61 billion were invested, respectively. Population levels show a wide range in minimum and maximum levels, with a minimum of 81,131 and a maximum of 22,1907,294.4. The mean level of population with a standard deviation of 142 million shows a wide dispersion in population levels among nations, including both less populated nations such as Seychelles, Comoros, and Sao Tome and Principe and highly populated economies such as Nigeria, Ethiopia, Egypt, Democratic Republic of Congo, Tanzania, South Africa, and Ken</w:t>
      </w:r>
      <w:r w:rsidR="00286B7D">
        <w:rPr>
          <w:rFonts w:cs="Times New Roman"/>
          <w:szCs w:val="24"/>
        </w:rPr>
        <w:t xml:space="preserve"> </w:t>
      </w:r>
      <w:r w:rsidRPr="00590322">
        <w:rPr>
          <w:rFonts w:cs="Times New Roman"/>
          <w:szCs w:val="24"/>
        </w:rPr>
        <w:lastRenderedPageBreak/>
        <w:t xml:space="preserve">a. Industrialization level shows a mean level of 6.72 × 10^9 with a high standard deviation of 2.49 × 10^10, showing a wide deviation in levels among countries. Renewable and non-renewable energy consumption is in equal proportions with a mean level of 49.62% and 50.38%, respectively. The variance in values from 0.005% to nearly 100% reflects a regional trend towards the adoption of sustainable energy in some regions of Sub-Saharan Africa (Ethiopia, Kenya, Tanzania, Uganda, Rwanda, and South Africa) but continued reliance on non-renewable resources in other regions (Nguyen &amp; </w:t>
      </w:r>
      <w:proofErr w:type="spellStart"/>
      <w:r w:rsidRPr="00590322">
        <w:rPr>
          <w:rFonts w:cs="Times New Roman"/>
          <w:szCs w:val="24"/>
        </w:rPr>
        <w:t>Kakinaka</w:t>
      </w:r>
      <w:proofErr w:type="spellEnd"/>
      <w:r w:rsidRPr="00590322">
        <w:rPr>
          <w:rFonts w:cs="Times New Roman"/>
          <w:szCs w:val="24"/>
        </w:rPr>
        <w:t>, 2019). The average financial development index score is 1.265, with a very large standard deviation of 3.51, reflecting a measured scale of −9.88 to a maximum of 18.39, highlighting varying levels of financial sector development in Sub-Saharan Africa, from a less developed financial system in South Sudan and Somalia to a more advanced market in countries such as Kenya, Mali, Senegal, and South Africa (Zhang, 2011). Economic growth shows a very high mean of 6.09 × 10^10, with large deviations to show varying levels of growth in the economy of Sub-Saharan Africa; faster growth is recorded in Niger, Senegal, Libya, Rwanda, Côte d’Ivoire, Ethiopia, Benin, Djibouti, Tanzania, Togo, and Uganda, but lower in Equatorial Guinea, Sudan, and São Tomé and Príncipe</w:t>
      </w:r>
      <w:r w:rsidR="00596200" w:rsidRPr="000C3C4C">
        <w:rPr>
          <w:rFonts w:cs="Times New Roman"/>
          <w:color w:val="000000" w:themeColor="text1"/>
          <w:szCs w:val="24"/>
        </w:rPr>
        <w:t>.</w:t>
      </w:r>
    </w:p>
    <w:p w14:paraId="2020731F" w14:textId="0BC7A567" w:rsidR="00E933A5" w:rsidRPr="00A756C9" w:rsidRDefault="00E933A5" w:rsidP="00910619">
      <w:pPr>
        <w:pStyle w:val="Caption"/>
        <w:keepNext/>
        <w:rPr>
          <w:rFonts w:ascii="Times New Roman" w:hAnsi="Times New Roman"/>
          <w:color w:val="000000" w:themeColor="text1"/>
          <w:sz w:val="24"/>
          <w:szCs w:val="24"/>
        </w:rPr>
      </w:pPr>
      <w:r w:rsidRPr="00A756C9">
        <w:rPr>
          <w:rFonts w:ascii="Times New Roman" w:hAnsi="Times New Roman"/>
          <w:color w:val="000000" w:themeColor="text1"/>
          <w:sz w:val="24"/>
          <w:szCs w:val="24"/>
        </w:rPr>
        <w:t>Table</w:t>
      </w:r>
      <w:r w:rsidR="00286B7D">
        <w:rPr>
          <w:rFonts w:ascii="Times New Roman" w:hAnsi="Times New Roman"/>
          <w:color w:val="000000" w:themeColor="text1"/>
          <w:sz w:val="24"/>
          <w:szCs w:val="24"/>
        </w:rPr>
        <w:t xml:space="preserve"> 2</w:t>
      </w:r>
      <w:r w:rsidRPr="00A756C9">
        <w:rPr>
          <w:rFonts w:ascii="Times New Roman" w:hAnsi="Times New Roman"/>
          <w:color w:val="000000" w:themeColor="text1"/>
          <w:sz w:val="24"/>
          <w:szCs w:val="24"/>
        </w:rPr>
        <w:t>: Descriptive statistics results</w:t>
      </w:r>
    </w:p>
    <w:tbl>
      <w:tblPr>
        <w:tblW w:w="9245" w:type="dxa"/>
        <w:tblCellSpacing w:w="15" w:type="dxa"/>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4088"/>
        <w:gridCol w:w="560"/>
        <w:gridCol w:w="1191"/>
        <w:gridCol w:w="1100"/>
        <w:gridCol w:w="1191"/>
        <w:gridCol w:w="1115"/>
      </w:tblGrid>
      <w:tr w:rsidR="00E933A5" w:rsidRPr="00A756C9" w14:paraId="3E4FFE46" w14:textId="77777777" w:rsidTr="00221A82">
        <w:trPr>
          <w:trHeight w:val="215"/>
          <w:tblCellSpacing w:w="15" w:type="dxa"/>
        </w:trPr>
        <w:tc>
          <w:tcPr>
            <w:tcW w:w="0" w:type="auto"/>
            <w:tcBorders>
              <w:top w:val="single" w:sz="18" w:space="0" w:color="auto"/>
              <w:bottom w:val="single" w:sz="18" w:space="0" w:color="auto"/>
            </w:tcBorders>
            <w:vAlign w:val="center"/>
            <w:hideMark/>
          </w:tcPr>
          <w:p w14:paraId="17ED1DF1" w14:textId="77777777" w:rsidR="00E933A5" w:rsidRPr="00A756C9" w:rsidRDefault="00E933A5" w:rsidP="00910619">
            <w:pPr>
              <w:spacing w:line="240" w:lineRule="auto"/>
              <w:rPr>
                <w:rFonts w:cs="Times New Roman"/>
                <w:szCs w:val="24"/>
              </w:rPr>
            </w:pPr>
            <w:r w:rsidRPr="00A756C9">
              <w:rPr>
                <w:rFonts w:cs="Times New Roman"/>
                <w:szCs w:val="24"/>
              </w:rPr>
              <w:t>Variable</w:t>
            </w:r>
          </w:p>
        </w:tc>
        <w:tc>
          <w:tcPr>
            <w:tcW w:w="0" w:type="auto"/>
            <w:tcBorders>
              <w:top w:val="single" w:sz="18" w:space="0" w:color="auto"/>
              <w:left w:val="single" w:sz="18" w:space="0" w:color="auto"/>
              <w:bottom w:val="single" w:sz="18" w:space="0" w:color="auto"/>
            </w:tcBorders>
            <w:vAlign w:val="center"/>
            <w:hideMark/>
          </w:tcPr>
          <w:p w14:paraId="7EA26A6F" w14:textId="77777777" w:rsidR="00E933A5" w:rsidRPr="00A756C9" w:rsidRDefault="00E933A5" w:rsidP="00910619">
            <w:pPr>
              <w:spacing w:line="240" w:lineRule="auto"/>
              <w:rPr>
                <w:rFonts w:cs="Times New Roman"/>
                <w:szCs w:val="24"/>
              </w:rPr>
            </w:pPr>
            <w:proofErr w:type="spellStart"/>
            <w:r w:rsidRPr="00A756C9">
              <w:rPr>
                <w:rFonts w:cs="Times New Roman"/>
                <w:szCs w:val="24"/>
              </w:rPr>
              <w:t>Obs</w:t>
            </w:r>
            <w:proofErr w:type="spellEnd"/>
          </w:p>
        </w:tc>
        <w:tc>
          <w:tcPr>
            <w:tcW w:w="0" w:type="auto"/>
            <w:tcBorders>
              <w:top w:val="single" w:sz="18" w:space="0" w:color="auto"/>
              <w:bottom w:val="single" w:sz="18" w:space="0" w:color="auto"/>
            </w:tcBorders>
            <w:vAlign w:val="center"/>
            <w:hideMark/>
          </w:tcPr>
          <w:p w14:paraId="37DA13E5" w14:textId="77777777" w:rsidR="00E933A5" w:rsidRPr="00A756C9" w:rsidRDefault="00E933A5" w:rsidP="00910619">
            <w:pPr>
              <w:spacing w:line="240" w:lineRule="auto"/>
              <w:rPr>
                <w:rFonts w:cs="Times New Roman"/>
                <w:szCs w:val="24"/>
              </w:rPr>
            </w:pPr>
            <w:r w:rsidRPr="00A756C9">
              <w:rPr>
                <w:rFonts w:cs="Times New Roman"/>
                <w:szCs w:val="24"/>
              </w:rPr>
              <w:t>Mean</w:t>
            </w:r>
          </w:p>
        </w:tc>
        <w:tc>
          <w:tcPr>
            <w:tcW w:w="0" w:type="auto"/>
            <w:tcBorders>
              <w:top w:val="single" w:sz="18" w:space="0" w:color="auto"/>
              <w:bottom w:val="single" w:sz="18" w:space="0" w:color="auto"/>
            </w:tcBorders>
            <w:vAlign w:val="center"/>
            <w:hideMark/>
          </w:tcPr>
          <w:p w14:paraId="4439FD80" w14:textId="77777777" w:rsidR="00E933A5" w:rsidRPr="00A756C9" w:rsidRDefault="00E933A5" w:rsidP="00910619">
            <w:pPr>
              <w:spacing w:line="240" w:lineRule="auto"/>
              <w:rPr>
                <w:rFonts w:cs="Times New Roman"/>
                <w:szCs w:val="24"/>
              </w:rPr>
            </w:pPr>
            <w:r w:rsidRPr="00A756C9">
              <w:rPr>
                <w:rFonts w:cs="Times New Roman"/>
                <w:szCs w:val="24"/>
              </w:rPr>
              <w:t>Std. Dev.</w:t>
            </w:r>
          </w:p>
        </w:tc>
        <w:tc>
          <w:tcPr>
            <w:tcW w:w="0" w:type="auto"/>
            <w:tcBorders>
              <w:top w:val="single" w:sz="18" w:space="0" w:color="auto"/>
              <w:bottom w:val="single" w:sz="18" w:space="0" w:color="auto"/>
            </w:tcBorders>
            <w:vAlign w:val="center"/>
            <w:hideMark/>
          </w:tcPr>
          <w:p w14:paraId="7FBEF203" w14:textId="77777777" w:rsidR="00E933A5" w:rsidRPr="00A756C9" w:rsidRDefault="00E933A5" w:rsidP="00910619">
            <w:pPr>
              <w:spacing w:line="240" w:lineRule="auto"/>
              <w:rPr>
                <w:rFonts w:cs="Times New Roman"/>
                <w:szCs w:val="24"/>
              </w:rPr>
            </w:pPr>
            <w:r w:rsidRPr="00A756C9">
              <w:rPr>
                <w:rFonts w:cs="Times New Roman"/>
                <w:szCs w:val="24"/>
              </w:rPr>
              <w:t>Min</w:t>
            </w:r>
          </w:p>
        </w:tc>
        <w:tc>
          <w:tcPr>
            <w:tcW w:w="0" w:type="auto"/>
            <w:tcBorders>
              <w:top w:val="single" w:sz="18" w:space="0" w:color="auto"/>
              <w:bottom w:val="single" w:sz="18" w:space="0" w:color="auto"/>
            </w:tcBorders>
            <w:vAlign w:val="center"/>
            <w:hideMark/>
          </w:tcPr>
          <w:p w14:paraId="5B57471D" w14:textId="77777777" w:rsidR="00E933A5" w:rsidRPr="00A756C9" w:rsidRDefault="00E933A5" w:rsidP="00910619">
            <w:pPr>
              <w:spacing w:line="240" w:lineRule="auto"/>
              <w:rPr>
                <w:rFonts w:cs="Times New Roman"/>
                <w:szCs w:val="24"/>
              </w:rPr>
            </w:pPr>
            <w:r w:rsidRPr="00A756C9">
              <w:rPr>
                <w:rFonts w:cs="Times New Roman"/>
                <w:szCs w:val="24"/>
              </w:rPr>
              <w:t>Max</w:t>
            </w:r>
          </w:p>
        </w:tc>
      </w:tr>
      <w:tr w:rsidR="00E933A5" w:rsidRPr="00A756C9" w14:paraId="3A6CB15C" w14:textId="77777777" w:rsidTr="00221A82">
        <w:trPr>
          <w:trHeight w:val="223"/>
          <w:tblCellSpacing w:w="15" w:type="dxa"/>
        </w:trPr>
        <w:tc>
          <w:tcPr>
            <w:tcW w:w="0" w:type="auto"/>
            <w:vAlign w:val="center"/>
            <w:hideMark/>
          </w:tcPr>
          <w:p w14:paraId="1DDA9BFF" w14:textId="3FF0F3DF" w:rsidR="00E933A5" w:rsidRPr="00A756C9" w:rsidRDefault="004B55C3" w:rsidP="00910619">
            <w:pPr>
              <w:spacing w:line="240" w:lineRule="auto"/>
              <w:rPr>
                <w:rFonts w:cs="Times New Roman"/>
                <w:szCs w:val="24"/>
              </w:rPr>
            </w:pPr>
            <w:r>
              <w:rPr>
                <w:rFonts w:cs="Times New Roman"/>
                <w:szCs w:val="24"/>
              </w:rPr>
              <w:t>Environmental sustainability</w:t>
            </w:r>
          </w:p>
        </w:tc>
        <w:tc>
          <w:tcPr>
            <w:tcW w:w="0" w:type="auto"/>
            <w:tcBorders>
              <w:left w:val="single" w:sz="18" w:space="0" w:color="auto"/>
            </w:tcBorders>
            <w:vAlign w:val="center"/>
            <w:hideMark/>
          </w:tcPr>
          <w:p w14:paraId="669F53EF" w14:textId="77777777" w:rsidR="00E933A5" w:rsidRPr="00A756C9" w:rsidRDefault="00AF2FE2" w:rsidP="00910619">
            <w:pPr>
              <w:spacing w:line="240" w:lineRule="auto"/>
              <w:rPr>
                <w:rFonts w:cs="Times New Roman"/>
                <w:szCs w:val="24"/>
              </w:rPr>
            </w:pPr>
            <w:r>
              <w:rPr>
                <w:rFonts w:cs="Times New Roman"/>
                <w:szCs w:val="24"/>
              </w:rPr>
              <w:t>528</w:t>
            </w:r>
          </w:p>
        </w:tc>
        <w:tc>
          <w:tcPr>
            <w:tcW w:w="0" w:type="auto"/>
            <w:vAlign w:val="center"/>
            <w:hideMark/>
          </w:tcPr>
          <w:p w14:paraId="0963F0E9" w14:textId="77777777" w:rsidR="00E933A5" w:rsidRPr="00A756C9" w:rsidRDefault="00E933A5" w:rsidP="00910619">
            <w:pPr>
              <w:spacing w:line="240" w:lineRule="auto"/>
              <w:rPr>
                <w:rFonts w:cs="Times New Roman"/>
                <w:szCs w:val="24"/>
              </w:rPr>
            </w:pPr>
            <w:r w:rsidRPr="00A756C9">
              <w:rPr>
                <w:rFonts w:cs="Times New Roman"/>
                <w:szCs w:val="24"/>
              </w:rPr>
              <w:t>47327.03</w:t>
            </w:r>
          </w:p>
        </w:tc>
        <w:tc>
          <w:tcPr>
            <w:tcW w:w="0" w:type="auto"/>
            <w:vAlign w:val="center"/>
            <w:hideMark/>
          </w:tcPr>
          <w:p w14:paraId="5A1DE280" w14:textId="77777777" w:rsidR="00E933A5" w:rsidRPr="00A756C9" w:rsidRDefault="00E933A5" w:rsidP="00910619">
            <w:pPr>
              <w:spacing w:line="240" w:lineRule="auto"/>
              <w:rPr>
                <w:rFonts w:cs="Times New Roman"/>
                <w:szCs w:val="24"/>
              </w:rPr>
            </w:pPr>
            <w:r w:rsidRPr="00A756C9">
              <w:rPr>
                <w:rFonts w:cs="Times New Roman"/>
                <w:szCs w:val="24"/>
              </w:rPr>
              <w:t>157595.7</w:t>
            </w:r>
          </w:p>
        </w:tc>
        <w:tc>
          <w:tcPr>
            <w:tcW w:w="0" w:type="auto"/>
            <w:vAlign w:val="center"/>
            <w:hideMark/>
          </w:tcPr>
          <w:p w14:paraId="478729C2" w14:textId="77777777" w:rsidR="00E933A5" w:rsidRPr="00A756C9" w:rsidRDefault="00E933A5" w:rsidP="00910619">
            <w:pPr>
              <w:spacing w:line="240" w:lineRule="auto"/>
              <w:rPr>
                <w:rFonts w:cs="Times New Roman"/>
                <w:szCs w:val="24"/>
              </w:rPr>
            </w:pPr>
            <w:r w:rsidRPr="00A756C9">
              <w:rPr>
                <w:rFonts w:cs="Times New Roman"/>
                <w:szCs w:val="24"/>
              </w:rPr>
              <w:t>53.5</w:t>
            </w:r>
          </w:p>
        </w:tc>
        <w:tc>
          <w:tcPr>
            <w:tcW w:w="0" w:type="auto"/>
            <w:vAlign w:val="center"/>
            <w:hideMark/>
          </w:tcPr>
          <w:p w14:paraId="2759C87A" w14:textId="77777777" w:rsidR="00E933A5" w:rsidRPr="00A756C9" w:rsidRDefault="00E933A5" w:rsidP="00910619">
            <w:pPr>
              <w:spacing w:line="240" w:lineRule="auto"/>
              <w:rPr>
                <w:rFonts w:cs="Times New Roman"/>
                <w:szCs w:val="24"/>
              </w:rPr>
            </w:pPr>
            <w:r w:rsidRPr="00A756C9">
              <w:rPr>
                <w:rFonts w:cs="Times New Roman"/>
                <w:szCs w:val="24"/>
              </w:rPr>
              <w:t>865283.2</w:t>
            </w:r>
          </w:p>
        </w:tc>
      </w:tr>
      <w:tr w:rsidR="00E933A5" w:rsidRPr="00A756C9" w14:paraId="5CBC82F5" w14:textId="77777777" w:rsidTr="00221A82">
        <w:trPr>
          <w:trHeight w:val="215"/>
          <w:tblCellSpacing w:w="15" w:type="dxa"/>
        </w:trPr>
        <w:tc>
          <w:tcPr>
            <w:tcW w:w="0" w:type="auto"/>
            <w:vAlign w:val="center"/>
            <w:hideMark/>
          </w:tcPr>
          <w:p w14:paraId="76DCE35F" w14:textId="77777777" w:rsidR="00E933A5" w:rsidRPr="00A756C9" w:rsidRDefault="00E933A5" w:rsidP="00910619">
            <w:pPr>
              <w:spacing w:line="240" w:lineRule="auto"/>
              <w:rPr>
                <w:rFonts w:cs="Times New Roman"/>
                <w:szCs w:val="24"/>
              </w:rPr>
            </w:pPr>
            <w:r w:rsidRPr="00A756C9">
              <w:rPr>
                <w:rFonts w:cs="Times New Roman"/>
                <w:szCs w:val="24"/>
              </w:rPr>
              <w:t>Foreign direct investment</w:t>
            </w:r>
          </w:p>
        </w:tc>
        <w:tc>
          <w:tcPr>
            <w:tcW w:w="0" w:type="auto"/>
            <w:tcBorders>
              <w:left w:val="single" w:sz="18" w:space="0" w:color="auto"/>
            </w:tcBorders>
            <w:vAlign w:val="center"/>
            <w:hideMark/>
          </w:tcPr>
          <w:p w14:paraId="130BA242" w14:textId="77777777" w:rsidR="00E933A5" w:rsidRPr="00A756C9" w:rsidRDefault="00AF2FE2" w:rsidP="00910619">
            <w:pPr>
              <w:spacing w:line="240" w:lineRule="auto"/>
              <w:rPr>
                <w:rFonts w:cs="Times New Roman"/>
                <w:szCs w:val="24"/>
              </w:rPr>
            </w:pPr>
            <w:r>
              <w:rPr>
                <w:rFonts w:cs="Times New Roman"/>
                <w:szCs w:val="24"/>
              </w:rPr>
              <w:t>528</w:t>
            </w:r>
          </w:p>
        </w:tc>
        <w:tc>
          <w:tcPr>
            <w:tcW w:w="0" w:type="auto"/>
            <w:vAlign w:val="center"/>
            <w:hideMark/>
          </w:tcPr>
          <w:p w14:paraId="405C836F" w14:textId="77777777" w:rsidR="00E933A5" w:rsidRPr="00A756C9" w:rsidRDefault="00E933A5" w:rsidP="00910619">
            <w:pPr>
              <w:spacing w:line="240" w:lineRule="auto"/>
              <w:rPr>
                <w:rFonts w:cs="Times New Roman"/>
                <w:szCs w:val="24"/>
              </w:rPr>
            </w:pPr>
            <w:r w:rsidRPr="00A756C9">
              <w:rPr>
                <w:rFonts w:cs="Times New Roman"/>
                <w:szCs w:val="24"/>
              </w:rPr>
              <w:t>-2.44e+08</w:t>
            </w:r>
          </w:p>
        </w:tc>
        <w:tc>
          <w:tcPr>
            <w:tcW w:w="0" w:type="auto"/>
            <w:vAlign w:val="center"/>
            <w:hideMark/>
          </w:tcPr>
          <w:p w14:paraId="382B21C6" w14:textId="77777777" w:rsidR="00E933A5" w:rsidRPr="00A756C9" w:rsidRDefault="00E933A5" w:rsidP="00910619">
            <w:pPr>
              <w:spacing w:line="240" w:lineRule="auto"/>
              <w:rPr>
                <w:rFonts w:cs="Times New Roman"/>
                <w:szCs w:val="24"/>
              </w:rPr>
            </w:pPr>
            <w:r w:rsidRPr="00A756C9">
              <w:rPr>
                <w:rFonts w:cs="Times New Roman"/>
                <w:szCs w:val="24"/>
              </w:rPr>
              <w:t>1.21e+09</w:t>
            </w:r>
          </w:p>
        </w:tc>
        <w:tc>
          <w:tcPr>
            <w:tcW w:w="0" w:type="auto"/>
            <w:vAlign w:val="center"/>
            <w:hideMark/>
          </w:tcPr>
          <w:p w14:paraId="69BB8AB5" w14:textId="77777777" w:rsidR="00E933A5" w:rsidRPr="00A756C9" w:rsidRDefault="00E933A5" w:rsidP="00910619">
            <w:pPr>
              <w:spacing w:line="240" w:lineRule="auto"/>
              <w:rPr>
                <w:rFonts w:cs="Times New Roman"/>
                <w:szCs w:val="24"/>
              </w:rPr>
            </w:pPr>
            <w:r w:rsidRPr="00A756C9">
              <w:rPr>
                <w:rFonts w:cs="Times New Roman"/>
                <w:szCs w:val="24"/>
              </w:rPr>
              <w:t>-3.51e+09</w:t>
            </w:r>
          </w:p>
        </w:tc>
        <w:tc>
          <w:tcPr>
            <w:tcW w:w="0" w:type="auto"/>
            <w:vAlign w:val="center"/>
            <w:hideMark/>
          </w:tcPr>
          <w:p w14:paraId="5AC54387" w14:textId="77777777" w:rsidR="00E933A5" w:rsidRPr="00A756C9" w:rsidRDefault="00E933A5" w:rsidP="00910619">
            <w:pPr>
              <w:spacing w:line="240" w:lineRule="auto"/>
              <w:rPr>
                <w:rFonts w:cs="Times New Roman"/>
                <w:szCs w:val="24"/>
              </w:rPr>
            </w:pPr>
            <w:r w:rsidRPr="00A756C9">
              <w:rPr>
                <w:rFonts w:cs="Times New Roman"/>
                <w:szCs w:val="24"/>
              </w:rPr>
              <w:t>1.24e+10</w:t>
            </w:r>
          </w:p>
        </w:tc>
      </w:tr>
      <w:tr w:rsidR="00AF2FE2" w:rsidRPr="00A756C9" w14:paraId="0C8BD144" w14:textId="77777777" w:rsidTr="00DD60FA">
        <w:trPr>
          <w:trHeight w:val="223"/>
          <w:tblCellSpacing w:w="15" w:type="dxa"/>
        </w:trPr>
        <w:tc>
          <w:tcPr>
            <w:tcW w:w="0" w:type="auto"/>
            <w:vAlign w:val="center"/>
            <w:hideMark/>
          </w:tcPr>
          <w:p w14:paraId="46F8E6F1" w14:textId="77777777" w:rsidR="00AF2FE2" w:rsidRPr="00A756C9" w:rsidRDefault="00AF2FE2" w:rsidP="00910619">
            <w:pPr>
              <w:spacing w:line="240" w:lineRule="auto"/>
              <w:rPr>
                <w:rFonts w:cs="Times New Roman"/>
                <w:szCs w:val="24"/>
              </w:rPr>
            </w:pPr>
            <w:r w:rsidRPr="00A756C9">
              <w:rPr>
                <w:rFonts w:cs="Times New Roman"/>
                <w:szCs w:val="24"/>
              </w:rPr>
              <w:t>Population</w:t>
            </w:r>
          </w:p>
        </w:tc>
        <w:tc>
          <w:tcPr>
            <w:tcW w:w="0" w:type="auto"/>
            <w:tcBorders>
              <w:left w:val="single" w:sz="18" w:space="0" w:color="auto"/>
            </w:tcBorders>
            <w:hideMark/>
          </w:tcPr>
          <w:p w14:paraId="55C081A4"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553A6577" w14:textId="77777777" w:rsidR="00AF2FE2" w:rsidRPr="00A756C9" w:rsidRDefault="00AF2FE2" w:rsidP="00910619">
            <w:pPr>
              <w:spacing w:line="240" w:lineRule="auto"/>
              <w:rPr>
                <w:rFonts w:cs="Times New Roman"/>
                <w:szCs w:val="24"/>
              </w:rPr>
            </w:pPr>
            <w:r w:rsidRPr="00A756C9">
              <w:rPr>
                <w:rFonts w:cs="Times New Roman"/>
                <w:szCs w:val="24"/>
              </w:rPr>
              <w:t>4.09e+07</w:t>
            </w:r>
          </w:p>
        </w:tc>
        <w:tc>
          <w:tcPr>
            <w:tcW w:w="0" w:type="auto"/>
            <w:vAlign w:val="center"/>
            <w:hideMark/>
          </w:tcPr>
          <w:p w14:paraId="3C536DDB" w14:textId="77777777" w:rsidR="00AF2FE2" w:rsidRPr="00A756C9" w:rsidRDefault="00AF2FE2" w:rsidP="00910619">
            <w:pPr>
              <w:spacing w:line="240" w:lineRule="auto"/>
              <w:rPr>
                <w:rFonts w:cs="Times New Roman"/>
                <w:szCs w:val="24"/>
              </w:rPr>
            </w:pPr>
            <w:r w:rsidRPr="00A756C9">
              <w:rPr>
                <w:rFonts w:cs="Times New Roman"/>
                <w:szCs w:val="24"/>
              </w:rPr>
              <w:t>1.42e+08</w:t>
            </w:r>
          </w:p>
        </w:tc>
        <w:tc>
          <w:tcPr>
            <w:tcW w:w="0" w:type="auto"/>
            <w:vAlign w:val="center"/>
            <w:hideMark/>
          </w:tcPr>
          <w:p w14:paraId="67AA4C6A" w14:textId="77777777" w:rsidR="00AF2FE2" w:rsidRPr="00A756C9" w:rsidRDefault="00AF2FE2" w:rsidP="00910619">
            <w:pPr>
              <w:spacing w:line="240" w:lineRule="auto"/>
              <w:rPr>
                <w:rFonts w:cs="Times New Roman"/>
                <w:szCs w:val="24"/>
              </w:rPr>
            </w:pPr>
            <w:r w:rsidRPr="00A756C9">
              <w:rPr>
                <w:rFonts w:cs="Times New Roman"/>
                <w:szCs w:val="24"/>
              </w:rPr>
              <w:t>81131</w:t>
            </w:r>
          </w:p>
        </w:tc>
        <w:tc>
          <w:tcPr>
            <w:tcW w:w="0" w:type="auto"/>
            <w:vAlign w:val="center"/>
            <w:hideMark/>
          </w:tcPr>
          <w:p w14:paraId="0B4260E4" w14:textId="77777777" w:rsidR="00AF2FE2" w:rsidRPr="00A756C9" w:rsidRDefault="00AF2FE2" w:rsidP="00910619">
            <w:pPr>
              <w:spacing w:line="240" w:lineRule="auto"/>
              <w:rPr>
                <w:rFonts w:cs="Times New Roman"/>
                <w:szCs w:val="24"/>
              </w:rPr>
            </w:pPr>
            <w:r w:rsidRPr="00A756C9">
              <w:rPr>
                <w:rFonts w:cs="Times New Roman"/>
                <w:szCs w:val="24"/>
              </w:rPr>
              <w:t>1.23e+09</w:t>
            </w:r>
          </w:p>
        </w:tc>
      </w:tr>
      <w:tr w:rsidR="00AF2FE2" w:rsidRPr="00A756C9" w14:paraId="61E07016" w14:textId="77777777" w:rsidTr="00DD60FA">
        <w:trPr>
          <w:trHeight w:val="215"/>
          <w:tblCellSpacing w:w="15" w:type="dxa"/>
        </w:trPr>
        <w:tc>
          <w:tcPr>
            <w:tcW w:w="0" w:type="auto"/>
            <w:vAlign w:val="center"/>
            <w:hideMark/>
          </w:tcPr>
          <w:p w14:paraId="6AE7C749" w14:textId="77777777" w:rsidR="00AF2FE2" w:rsidRPr="00A756C9" w:rsidRDefault="00AF2FE2" w:rsidP="00910619">
            <w:pPr>
              <w:spacing w:line="240" w:lineRule="auto"/>
              <w:rPr>
                <w:rFonts w:cs="Times New Roman"/>
                <w:szCs w:val="24"/>
              </w:rPr>
            </w:pPr>
            <w:r w:rsidRPr="00A756C9">
              <w:rPr>
                <w:rFonts w:cs="Times New Roman"/>
                <w:szCs w:val="24"/>
              </w:rPr>
              <w:t>Industrialization</w:t>
            </w:r>
          </w:p>
        </w:tc>
        <w:tc>
          <w:tcPr>
            <w:tcW w:w="0" w:type="auto"/>
            <w:tcBorders>
              <w:left w:val="single" w:sz="18" w:space="0" w:color="auto"/>
            </w:tcBorders>
            <w:hideMark/>
          </w:tcPr>
          <w:p w14:paraId="58D53474"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064A2694" w14:textId="77777777" w:rsidR="00AF2FE2" w:rsidRPr="00A756C9" w:rsidRDefault="00AF2FE2" w:rsidP="00910619">
            <w:pPr>
              <w:spacing w:line="240" w:lineRule="auto"/>
              <w:rPr>
                <w:rFonts w:cs="Times New Roman"/>
                <w:szCs w:val="24"/>
              </w:rPr>
            </w:pPr>
            <w:r w:rsidRPr="00A756C9">
              <w:rPr>
                <w:rFonts w:cs="Times New Roman"/>
                <w:szCs w:val="24"/>
              </w:rPr>
              <w:t>6.72e+09</w:t>
            </w:r>
          </w:p>
        </w:tc>
        <w:tc>
          <w:tcPr>
            <w:tcW w:w="0" w:type="auto"/>
            <w:vAlign w:val="center"/>
            <w:hideMark/>
          </w:tcPr>
          <w:p w14:paraId="65B6A679" w14:textId="77777777" w:rsidR="00AF2FE2" w:rsidRPr="00A756C9" w:rsidRDefault="00AF2FE2" w:rsidP="00910619">
            <w:pPr>
              <w:spacing w:line="240" w:lineRule="auto"/>
              <w:rPr>
                <w:rFonts w:cs="Times New Roman"/>
                <w:szCs w:val="24"/>
              </w:rPr>
            </w:pPr>
            <w:r w:rsidRPr="00A756C9">
              <w:rPr>
                <w:rFonts w:cs="Times New Roman"/>
                <w:szCs w:val="24"/>
              </w:rPr>
              <w:t>2.49e+10</w:t>
            </w:r>
          </w:p>
        </w:tc>
        <w:tc>
          <w:tcPr>
            <w:tcW w:w="0" w:type="auto"/>
            <w:vAlign w:val="center"/>
            <w:hideMark/>
          </w:tcPr>
          <w:p w14:paraId="2B1D5E54" w14:textId="77777777" w:rsidR="00AF2FE2" w:rsidRPr="00A756C9" w:rsidRDefault="00AF2FE2" w:rsidP="00910619">
            <w:pPr>
              <w:spacing w:line="240" w:lineRule="auto"/>
              <w:rPr>
                <w:rFonts w:cs="Times New Roman"/>
                <w:szCs w:val="24"/>
              </w:rPr>
            </w:pPr>
            <w:r w:rsidRPr="00A756C9">
              <w:rPr>
                <w:rFonts w:cs="Times New Roman"/>
                <w:szCs w:val="24"/>
              </w:rPr>
              <w:t>3996971</w:t>
            </w:r>
          </w:p>
        </w:tc>
        <w:tc>
          <w:tcPr>
            <w:tcW w:w="0" w:type="auto"/>
            <w:vAlign w:val="center"/>
            <w:hideMark/>
          </w:tcPr>
          <w:p w14:paraId="20B88559" w14:textId="77777777" w:rsidR="00AF2FE2" w:rsidRPr="00A756C9" w:rsidRDefault="00AF2FE2" w:rsidP="00910619">
            <w:pPr>
              <w:spacing w:line="240" w:lineRule="auto"/>
              <w:rPr>
                <w:rFonts w:cs="Times New Roman"/>
                <w:szCs w:val="24"/>
              </w:rPr>
            </w:pPr>
            <w:r w:rsidRPr="00A756C9">
              <w:rPr>
                <w:rFonts w:cs="Times New Roman"/>
                <w:szCs w:val="24"/>
              </w:rPr>
              <w:t>2.36e+11</w:t>
            </w:r>
          </w:p>
        </w:tc>
      </w:tr>
      <w:tr w:rsidR="00AF2FE2" w:rsidRPr="00A756C9" w14:paraId="7B2E7F1E" w14:textId="77777777" w:rsidTr="00DD60FA">
        <w:trPr>
          <w:trHeight w:val="223"/>
          <w:tblCellSpacing w:w="15" w:type="dxa"/>
        </w:trPr>
        <w:tc>
          <w:tcPr>
            <w:tcW w:w="0" w:type="auto"/>
            <w:vAlign w:val="center"/>
            <w:hideMark/>
          </w:tcPr>
          <w:p w14:paraId="7A38E424" w14:textId="77777777" w:rsidR="00AF2FE2" w:rsidRPr="00A756C9" w:rsidRDefault="00AF2FE2" w:rsidP="00910619">
            <w:pPr>
              <w:spacing w:line="240" w:lineRule="auto"/>
              <w:rPr>
                <w:rFonts w:cs="Times New Roman"/>
                <w:szCs w:val="24"/>
              </w:rPr>
            </w:pPr>
            <w:r w:rsidRPr="00A756C9">
              <w:rPr>
                <w:rFonts w:cs="Times New Roman"/>
                <w:szCs w:val="24"/>
              </w:rPr>
              <w:t>Renewable energy consumption</w:t>
            </w:r>
          </w:p>
        </w:tc>
        <w:tc>
          <w:tcPr>
            <w:tcW w:w="0" w:type="auto"/>
            <w:tcBorders>
              <w:left w:val="single" w:sz="18" w:space="0" w:color="auto"/>
            </w:tcBorders>
            <w:hideMark/>
          </w:tcPr>
          <w:p w14:paraId="73952559"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3BC6B34E" w14:textId="77777777" w:rsidR="00AF2FE2" w:rsidRPr="00A756C9" w:rsidRDefault="00AF2FE2" w:rsidP="00910619">
            <w:pPr>
              <w:spacing w:line="240" w:lineRule="auto"/>
              <w:rPr>
                <w:rFonts w:cs="Times New Roman"/>
                <w:szCs w:val="24"/>
              </w:rPr>
            </w:pPr>
            <w:r w:rsidRPr="00A756C9">
              <w:rPr>
                <w:rFonts w:cs="Times New Roman"/>
                <w:szCs w:val="24"/>
              </w:rPr>
              <w:t>49.61874</w:t>
            </w:r>
          </w:p>
        </w:tc>
        <w:tc>
          <w:tcPr>
            <w:tcW w:w="0" w:type="auto"/>
            <w:vAlign w:val="center"/>
            <w:hideMark/>
          </w:tcPr>
          <w:p w14:paraId="50D9876F" w14:textId="77777777" w:rsidR="00AF2FE2" w:rsidRPr="00A756C9" w:rsidRDefault="00AF2FE2" w:rsidP="00910619">
            <w:pPr>
              <w:spacing w:line="240" w:lineRule="auto"/>
              <w:rPr>
                <w:rFonts w:cs="Times New Roman"/>
                <w:szCs w:val="24"/>
              </w:rPr>
            </w:pPr>
            <w:r w:rsidRPr="00A756C9">
              <w:rPr>
                <w:rFonts w:cs="Times New Roman"/>
                <w:szCs w:val="24"/>
              </w:rPr>
              <w:t>34.32933</w:t>
            </w:r>
          </w:p>
        </w:tc>
        <w:tc>
          <w:tcPr>
            <w:tcW w:w="0" w:type="auto"/>
            <w:vAlign w:val="center"/>
            <w:hideMark/>
          </w:tcPr>
          <w:p w14:paraId="442D8DD5" w14:textId="77777777" w:rsidR="00AF2FE2" w:rsidRPr="00A756C9" w:rsidRDefault="00AF2FE2" w:rsidP="00910619">
            <w:pPr>
              <w:spacing w:line="240" w:lineRule="auto"/>
              <w:rPr>
                <w:rFonts w:cs="Times New Roman"/>
                <w:szCs w:val="24"/>
              </w:rPr>
            </w:pPr>
            <w:r w:rsidRPr="00A756C9">
              <w:rPr>
                <w:rFonts w:cs="Times New Roman"/>
                <w:szCs w:val="24"/>
              </w:rPr>
              <w:t>.0051146</w:t>
            </w:r>
          </w:p>
        </w:tc>
        <w:tc>
          <w:tcPr>
            <w:tcW w:w="0" w:type="auto"/>
            <w:vAlign w:val="center"/>
            <w:hideMark/>
          </w:tcPr>
          <w:p w14:paraId="22A6FC6C" w14:textId="77777777" w:rsidR="00AF2FE2" w:rsidRPr="00A756C9" w:rsidRDefault="00AF2FE2" w:rsidP="00910619">
            <w:pPr>
              <w:spacing w:line="240" w:lineRule="auto"/>
              <w:rPr>
                <w:rFonts w:cs="Times New Roman"/>
                <w:szCs w:val="24"/>
              </w:rPr>
            </w:pPr>
            <w:r w:rsidRPr="00A756C9">
              <w:rPr>
                <w:rFonts w:cs="Times New Roman"/>
                <w:szCs w:val="24"/>
              </w:rPr>
              <w:t>99.97338</w:t>
            </w:r>
          </w:p>
        </w:tc>
      </w:tr>
      <w:tr w:rsidR="00AF2FE2" w:rsidRPr="00A756C9" w14:paraId="48B89D67" w14:textId="77777777" w:rsidTr="00DD60FA">
        <w:trPr>
          <w:trHeight w:val="215"/>
          <w:tblCellSpacing w:w="15" w:type="dxa"/>
        </w:trPr>
        <w:tc>
          <w:tcPr>
            <w:tcW w:w="0" w:type="auto"/>
            <w:vAlign w:val="center"/>
            <w:hideMark/>
          </w:tcPr>
          <w:p w14:paraId="41CF9178" w14:textId="77777777" w:rsidR="00AF2FE2" w:rsidRPr="00A756C9" w:rsidRDefault="00AF2FE2" w:rsidP="00910619">
            <w:pPr>
              <w:spacing w:line="240" w:lineRule="auto"/>
              <w:rPr>
                <w:rFonts w:cs="Times New Roman"/>
                <w:szCs w:val="24"/>
              </w:rPr>
            </w:pPr>
            <w:r w:rsidRPr="00A756C9">
              <w:rPr>
                <w:rFonts w:cs="Times New Roman"/>
                <w:szCs w:val="24"/>
              </w:rPr>
              <w:t>Non-renewable energy consumption</w:t>
            </w:r>
          </w:p>
        </w:tc>
        <w:tc>
          <w:tcPr>
            <w:tcW w:w="0" w:type="auto"/>
            <w:tcBorders>
              <w:left w:val="single" w:sz="18" w:space="0" w:color="auto"/>
            </w:tcBorders>
            <w:hideMark/>
          </w:tcPr>
          <w:p w14:paraId="530C6DE7"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1EE1116F" w14:textId="77777777" w:rsidR="00AF2FE2" w:rsidRPr="00A756C9" w:rsidRDefault="00AF2FE2" w:rsidP="00910619">
            <w:pPr>
              <w:spacing w:line="240" w:lineRule="auto"/>
              <w:rPr>
                <w:rFonts w:cs="Times New Roman"/>
                <w:szCs w:val="24"/>
              </w:rPr>
            </w:pPr>
            <w:r w:rsidRPr="00A756C9">
              <w:rPr>
                <w:rFonts w:cs="Times New Roman"/>
                <w:szCs w:val="24"/>
              </w:rPr>
              <w:t>50.38126</w:t>
            </w:r>
          </w:p>
        </w:tc>
        <w:tc>
          <w:tcPr>
            <w:tcW w:w="0" w:type="auto"/>
            <w:vAlign w:val="center"/>
            <w:hideMark/>
          </w:tcPr>
          <w:p w14:paraId="3B6692FC" w14:textId="77777777" w:rsidR="00AF2FE2" w:rsidRPr="00A756C9" w:rsidRDefault="00AF2FE2" w:rsidP="00910619">
            <w:pPr>
              <w:spacing w:line="240" w:lineRule="auto"/>
              <w:rPr>
                <w:rFonts w:cs="Times New Roman"/>
                <w:szCs w:val="24"/>
              </w:rPr>
            </w:pPr>
            <w:r w:rsidRPr="00A756C9">
              <w:rPr>
                <w:rFonts w:cs="Times New Roman"/>
                <w:szCs w:val="24"/>
              </w:rPr>
              <w:t>34.32922</w:t>
            </w:r>
          </w:p>
        </w:tc>
        <w:tc>
          <w:tcPr>
            <w:tcW w:w="0" w:type="auto"/>
            <w:vAlign w:val="center"/>
            <w:hideMark/>
          </w:tcPr>
          <w:p w14:paraId="6921A835" w14:textId="77777777" w:rsidR="00AF2FE2" w:rsidRPr="00A756C9" w:rsidRDefault="00AF2FE2" w:rsidP="00910619">
            <w:pPr>
              <w:spacing w:line="240" w:lineRule="auto"/>
              <w:rPr>
                <w:rFonts w:cs="Times New Roman"/>
                <w:szCs w:val="24"/>
              </w:rPr>
            </w:pPr>
            <w:r w:rsidRPr="00A756C9">
              <w:rPr>
                <w:rFonts w:cs="Times New Roman"/>
                <w:szCs w:val="24"/>
              </w:rPr>
              <w:t>.0266168</w:t>
            </w:r>
          </w:p>
        </w:tc>
        <w:tc>
          <w:tcPr>
            <w:tcW w:w="0" w:type="auto"/>
            <w:vAlign w:val="center"/>
            <w:hideMark/>
          </w:tcPr>
          <w:p w14:paraId="4B3EF137" w14:textId="77777777" w:rsidR="00AF2FE2" w:rsidRPr="00A756C9" w:rsidRDefault="00AF2FE2" w:rsidP="00910619">
            <w:pPr>
              <w:spacing w:line="240" w:lineRule="auto"/>
              <w:rPr>
                <w:rFonts w:cs="Times New Roman"/>
                <w:szCs w:val="24"/>
              </w:rPr>
            </w:pPr>
            <w:r w:rsidRPr="00A756C9">
              <w:rPr>
                <w:rFonts w:cs="Times New Roman"/>
                <w:szCs w:val="24"/>
              </w:rPr>
              <w:t>99.99489</w:t>
            </w:r>
          </w:p>
        </w:tc>
      </w:tr>
      <w:tr w:rsidR="00AF2FE2" w:rsidRPr="00A756C9" w14:paraId="39B403B6" w14:textId="77777777" w:rsidTr="00DD60FA">
        <w:trPr>
          <w:trHeight w:val="215"/>
          <w:tblCellSpacing w:w="15" w:type="dxa"/>
        </w:trPr>
        <w:tc>
          <w:tcPr>
            <w:tcW w:w="0" w:type="auto"/>
            <w:vAlign w:val="center"/>
          </w:tcPr>
          <w:p w14:paraId="6D7B4AC3" w14:textId="77777777" w:rsidR="00AF2FE2" w:rsidRPr="00A756C9" w:rsidRDefault="00AF2FE2" w:rsidP="00910619">
            <w:pPr>
              <w:spacing w:line="240" w:lineRule="auto"/>
              <w:rPr>
                <w:rFonts w:cs="Times New Roman"/>
                <w:szCs w:val="24"/>
              </w:rPr>
            </w:pPr>
            <w:r w:rsidRPr="00A756C9">
              <w:rPr>
                <w:rFonts w:cs="Times New Roman"/>
                <w:szCs w:val="24"/>
              </w:rPr>
              <w:t>Financial development</w:t>
            </w:r>
          </w:p>
        </w:tc>
        <w:tc>
          <w:tcPr>
            <w:tcW w:w="0" w:type="auto"/>
            <w:tcBorders>
              <w:left w:val="single" w:sz="18" w:space="0" w:color="auto"/>
            </w:tcBorders>
          </w:tcPr>
          <w:p w14:paraId="2DF00C95"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tcPr>
          <w:p w14:paraId="6D1F7FC6" w14:textId="77777777" w:rsidR="00AF2FE2" w:rsidRPr="00A756C9" w:rsidRDefault="00AF2FE2" w:rsidP="00910619">
            <w:pPr>
              <w:spacing w:line="240" w:lineRule="auto"/>
              <w:rPr>
                <w:rFonts w:cs="Times New Roman"/>
                <w:szCs w:val="24"/>
              </w:rPr>
            </w:pPr>
            <w:r w:rsidRPr="00A756C9">
              <w:rPr>
                <w:rFonts w:cs="Times New Roman"/>
                <w:szCs w:val="24"/>
              </w:rPr>
              <w:t>1.265022</w:t>
            </w:r>
          </w:p>
        </w:tc>
        <w:tc>
          <w:tcPr>
            <w:tcW w:w="0" w:type="auto"/>
            <w:vAlign w:val="center"/>
          </w:tcPr>
          <w:p w14:paraId="6C75D25A" w14:textId="77777777" w:rsidR="00AF2FE2" w:rsidRPr="00A756C9" w:rsidRDefault="00AF2FE2" w:rsidP="00910619">
            <w:pPr>
              <w:spacing w:line="240" w:lineRule="auto"/>
              <w:rPr>
                <w:rFonts w:cs="Times New Roman"/>
                <w:szCs w:val="24"/>
              </w:rPr>
            </w:pPr>
            <w:r w:rsidRPr="00A756C9">
              <w:rPr>
                <w:rFonts w:cs="Times New Roman"/>
                <w:szCs w:val="24"/>
              </w:rPr>
              <w:t>3.510553</w:t>
            </w:r>
          </w:p>
        </w:tc>
        <w:tc>
          <w:tcPr>
            <w:tcW w:w="0" w:type="auto"/>
            <w:vAlign w:val="center"/>
          </w:tcPr>
          <w:p w14:paraId="7F13B79C" w14:textId="77777777" w:rsidR="00AF2FE2" w:rsidRPr="00A756C9" w:rsidRDefault="00AF2FE2" w:rsidP="00910619">
            <w:pPr>
              <w:spacing w:line="240" w:lineRule="auto"/>
              <w:rPr>
                <w:rFonts w:cs="Times New Roman"/>
                <w:szCs w:val="24"/>
              </w:rPr>
            </w:pPr>
            <w:r w:rsidRPr="00A756C9">
              <w:rPr>
                <w:rFonts w:cs="Times New Roman"/>
                <w:szCs w:val="24"/>
              </w:rPr>
              <w:t>-9.883455</w:t>
            </w:r>
          </w:p>
        </w:tc>
        <w:tc>
          <w:tcPr>
            <w:tcW w:w="0" w:type="auto"/>
            <w:vAlign w:val="center"/>
          </w:tcPr>
          <w:p w14:paraId="3277D1AF" w14:textId="77777777" w:rsidR="00AF2FE2" w:rsidRPr="00A756C9" w:rsidRDefault="00AF2FE2" w:rsidP="00910619">
            <w:pPr>
              <w:spacing w:line="240" w:lineRule="auto"/>
              <w:rPr>
                <w:rFonts w:cs="Times New Roman"/>
                <w:szCs w:val="24"/>
              </w:rPr>
            </w:pPr>
            <w:r w:rsidRPr="00A756C9">
              <w:rPr>
                <w:rFonts w:cs="Times New Roman"/>
                <w:szCs w:val="24"/>
              </w:rPr>
              <w:t>18.39591</w:t>
            </w:r>
          </w:p>
        </w:tc>
      </w:tr>
      <w:tr w:rsidR="00AF2FE2" w:rsidRPr="00A756C9" w14:paraId="25CFEE7B" w14:textId="77777777" w:rsidTr="00DD60FA">
        <w:trPr>
          <w:trHeight w:val="215"/>
          <w:tblCellSpacing w:w="15" w:type="dxa"/>
        </w:trPr>
        <w:tc>
          <w:tcPr>
            <w:tcW w:w="0" w:type="auto"/>
            <w:vAlign w:val="center"/>
          </w:tcPr>
          <w:p w14:paraId="49FF2E7D" w14:textId="77777777" w:rsidR="00AF2FE2" w:rsidRPr="00A756C9" w:rsidRDefault="00AF2FE2" w:rsidP="00910619">
            <w:pPr>
              <w:spacing w:line="240" w:lineRule="auto"/>
              <w:rPr>
                <w:rFonts w:cs="Times New Roman"/>
                <w:szCs w:val="24"/>
              </w:rPr>
            </w:pPr>
            <w:r w:rsidRPr="00A756C9">
              <w:rPr>
                <w:rFonts w:cs="Times New Roman"/>
                <w:szCs w:val="24"/>
              </w:rPr>
              <w:t>Economic growth</w:t>
            </w:r>
          </w:p>
        </w:tc>
        <w:tc>
          <w:tcPr>
            <w:tcW w:w="0" w:type="auto"/>
            <w:tcBorders>
              <w:left w:val="single" w:sz="18" w:space="0" w:color="auto"/>
              <w:bottom w:val="nil"/>
            </w:tcBorders>
          </w:tcPr>
          <w:p w14:paraId="5DA7554A"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tcPr>
          <w:p w14:paraId="777FD697" w14:textId="77777777" w:rsidR="00AF2FE2" w:rsidRPr="00A756C9" w:rsidRDefault="00AF2FE2" w:rsidP="00910619">
            <w:pPr>
              <w:spacing w:line="240" w:lineRule="auto"/>
              <w:rPr>
                <w:rFonts w:cs="Times New Roman"/>
                <w:szCs w:val="24"/>
              </w:rPr>
            </w:pPr>
            <w:r w:rsidRPr="00A756C9">
              <w:rPr>
                <w:rFonts w:cs="Times New Roman"/>
                <w:szCs w:val="24"/>
              </w:rPr>
              <w:t>6.09e+10</w:t>
            </w:r>
          </w:p>
        </w:tc>
        <w:tc>
          <w:tcPr>
            <w:tcW w:w="0" w:type="auto"/>
            <w:vAlign w:val="center"/>
          </w:tcPr>
          <w:p w14:paraId="7E584F78" w14:textId="77777777" w:rsidR="00AF2FE2" w:rsidRPr="00A756C9" w:rsidRDefault="00AF2FE2" w:rsidP="00910619">
            <w:pPr>
              <w:spacing w:line="240" w:lineRule="auto"/>
              <w:rPr>
                <w:rFonts w:cs="Times New Roman"/>
                <w:szCs w:val="24"/>
              </w:rPr>
            </w:pPr>
            <w:r w:rsidRPr="00A756C9">
              <w:rPr>
                <w:rFonts w:cs="Times New Roman"/>
                <w:szCs w:val="24"/>
              </w:rPr>
              <w:t>2.26e+11</w:t>
            </w:r>
          </w:p>
        </w:tc>
        <w:tc>
          <w:tcPr>
            <w:tcW w:w="0" w:type="auto"/>
            <w:vAlign w:val="center"/>
          </w:tcPr>
          <w:p w14:paraId="1CEDAF19" w14:textId="77777777" w:rsidR="00AF2FE2" w:rsidRPr="00A756C9" w:rsidRDefault="00AF2FE2" w:rsidP="00910619">
            <w:pPr>
              <w:spacing w:line="240" w:lineRule="auto"/>
              <w:rPr>
                <w:rFonts w:cs="Times New Roman"/>
                <w:szCs w:val="24"/>
              </w:rPr>
            </w:pPr>
            <w:r w:rsidRPr="00A756C9">
              <w:rPr>
                <w:rFonts w:cs="Times New Roman"/>
                <w:szCs w:val="24"/>
              </w:rPr>
              <w:t>5.77e+07</w:t>
            </w:r>
          </w:p>
        </w:tc>
        <w:tc>
          <w:tcPr>
            <w:tcW w:w="0" w:type="auto"/>
            <w:vAlign w:val="center"/>
          </w:tcPr>
          <w:p w14:paraId="65631956" w14:textId="77777777" w:rsidR="00AF2FE2" w:rsidRPr="00A756C9" w:rsidRDefault="00AF2FE2" w:rsidP="00910619">
            <w:pPr>
              <w:spacing w:line="240" w:lineRule="auto"/>
              <w:rPr>
                <w:rFonts w:cs="Times New Roman"/>
                <w:szCs w:val="24"/>
              </w:rPr>
            </w:pPr>
            <w:r w:rsidRPr="00A756C9">
              <w:rPr>
                <w:rFonts w:cs="Times New Roman"/>
                <w:szCs w:val="24"/>
              </w:rPr>
              <w:t>2.06+12</w:t>
            </w:r>
          </w:p>
        </w:tc>
      </w:tr>
    </w:tbl>
    <w:p w14:paraId="34FCB04A" w14:textId="77777777" w:rsidR="000A479B" w:rsidRPr="00A756C9" w:rsidRDefault="00E933A5" w:rsidP="00910619">
      <w:pPr>
        <w:spacing w:line="240" w:lineRule="auto"/>
        <w:rPr>
          <w:rFonts w:eastAsia="Calibri" w:cs="Times New Roman"/>
          <w:b/>
          <w:bCs/>
          <w:szCs w:val="24"/>
        </w:rPr>
      </w:pPr>
      <w:r>
        <w:t>Source: Authors’ computation; **p &lt; 0.05, *p &lt; 0.1; standard errors in parentheses.</w:t>
      </w:r>
    </w:p>
    <w:p w14:paraId="5D03C4EC" w14:textId="77777777" w:rsidR="0085792B" w:rsidRPr="00A756C9" w:rsidRDefault="009721EF" w:rsidP="00910619">
      <w:pPr>
        <w:spacing w:line="240" w:lineRule="auto"/>
        <w:rPr>
          <w:rFonts w:cs="Times New Roman"/>
          <w:b/>
          <w:bCs/>
          <w:szCs w:val="24"/>
        </w:rPr>
      </w:pPr>
      <w:r>
        <w:rPr>
          <w:rFonts w:cs="Times New Roman"/>
          <w:b/>
          <w:bCs/>
          <w:szCs w:val="24"/>
        </w:rPr>
        <w:t>5</w:t>
      </w:r>
      <w:r w:rsidR="0085792B" w:rsidRPr="00A756C9">
        <w:rPr>
          <w:rFonts w:cs="Times New Roman"/>
          <w:b/>
          <w:bCs/>
          <w:szCs w:val="24"/>
        </w:rPr>
        <w:t>.3 Correlation analysis</w:t>
      </w:r>
    </w:p>
    <w:p w14:paraId="74A67ADB" w14:textId="5154CBD0" w:rsidR="0030499F" w:rsidRPr="00A756C9" w:rsidRDefault="00581861" w:rsidP="00910619">
      <w:pPr>
        <w:spacing w:line="240" w:lineRule="auto"/>
        <w:jc w:val="both"/>
        <w:rPr>
          <w:rFonts w:cs="Times New Roman"/>
          <w:szCs w:val="24"/>
        </w:rPr>
      </w:pPr>
      <w:r w:rsidRPr="00581861">
        <w:rPr>
          <w:rFonts w:cs="Times New Roman"/>
          <w:szCs w:val="24"/>
        </w:rPr>
        <w:t xml:space="preserve">The correlation matrix highlights a number of substantive relationships between </w:t>
      </w:r>
      <w:r w:rsidR="004B55C3">
        <w:rPr>
          <w:rFonts w:cs="Times New Roman"/>
          <w:szCs w:val="24"/>
        </w:rPr>
        <w:t>environmental sustainability</w:t>
      </w:r>
      <w:r w:rsidRPr="00581861">
        <w:rPr>
          <w:rFonts w:cs="Times New Roman"/>
          <w:szCs w:val="24"/>
        </w:rPr>
        <w:t xml:space="preserve"> (CE) and a series of economic and environmental variables. A positive relationship is observed in CE and FDI (r = 0.3417, p &lt; 0.05), where countries with higher FDI have increased </w:t>
      </w:r>
      <w:r w:rsidR="004B55C3">
        <w:rPr>
          <w:rFonts w:cs="Times New Roman"/>
          <w:szCs w:val="24"/>
        </w:rPr>
        <w:t>environmental sustainability</w:t>
      </w:r>
      <w:r w:rsidRPr="00581861">
        <w:rPr>
          <w:rFonts w:cs="Times New Roman"/>
          <w:szCs w:val="24"/>
        </w:rPr>
        <w:t xml:space="preserve">, which can partly be attributed to a higher level of industrialization in these countries (Ren et al., 2021). A strong positive relationship is observed in population with CE (r = 0.6475, p &lt; 0.05) and with industrialization (r = 0.6992, p &lt; 0.05), which shows a positive correlation with increased populations and higher industrialization, resulting in increased </w:t>
      </w:r>
      <w:r w:rsidR="004B55C3">
        <w:rPr>
          <w:rFonts w:cs="Times New Roman"/>
          <w:szCs w:val="24"/>
        </w:rPr>
        <w:t>environmental sustainability</w:t>
      </w:r>
      <w:r w:rsidRPr="00581861">
        <w:rPr>
          <w:rFonts w:cs="Times New Roman"/>
          <w:szCs w:val="24"/>
        </w:rPr>
        <w:t xml:space="preserve"> levels in these countries. Furthermore, a strong positive correlation is established in this study among CE and EG (r = 0.6955, p &lt; 0.05), where increased EG leads to increased </w:t>
      </w:r>
      <w:r w:rsidR="004B55C3">
        <w:rPr>
          <w:rFonts w:cs="Times New Roman"/>
          <w:szCs w:val="24"/>
        </w:rPr>
        <w:t>environmental sustainability</w:t>
      </w:r>
      <w:r w:rsidRPr="00581861">
        <w:rPr>
          <w:rFonts w:cs="Times New Roman"/>
          <w:szCs w:val="24"/>
        </w:rPr>
        <w:t xml:space="preserve"> in these countries. Moreover, a strong negative correlation is observed in this study among RE consumption and CE in countries (r = -0.2582, p &lt; 0.05) with increased RE consumption resulting in </w:t>
      </w:r>
      <w:proofErr w:type="spellStart"/>
      <w:r w:rsidRPr="00581861">
        <w:rPr>
          <w:rFonts w:cs="Times New Roman"/>
          <w:szCs w:val="24"/>
        </w:rPr>
        <w:t>lowlevels</w:t>
      </w:r>
      <w:proofErr w:type="spellEnd"/>
      <w:r w:rsidRPr="00581861">
        <w:rPr>
          <w:rFonts w:cs="Times New Roman"/>
          <w:szCs w:val="24"/>
        </w:rPr>
        <w:t xml:space="preserve"> of </w:t>
      </w:r>
      <w:r w:rsidR="004B55C3">
        <w:rPr>
          <w:rFonts w:cs="Times New Roman"/>
          <w:szCs w:val="24"/>
        </w:rPr>
        <w:t>environmental sustainability</w:t>
      </w:r>
      <w:r w:rsidRPr="00581861">
        <w:rPr>
          <w:rFonts w:cs="Times New Roman"/>
          <w:szCs w:val="24"/>
        </w:rPr>
        <w:t xml:space="preserve"> in countries, rather than increased consumption of non-renewable energy with a negligible negative relationship established in this study (r =-0.0586, p &gt; 0.05). FD shows a weak but positive relationship with increased levels of </w:t>
      </w:r>
      <w:r w:rsidR="004B55C3">
        <w:rPr>
          <w:rFonts w:cs="Times New Roman"/>
          <w:szCs w:val="24"/>
        </w:rPr>
        <w:t>environmental sustainability</w:t>
      </w:r>
      <w:r w:rsidRPr="00581861">
        <w:rPr>
          <w:rFonts w:cs="Times New Roman"/>
          <w:szCs w:val="24"/>
        </w:rPr>
        <w:t xml:space="preserve"> in </w:t>
      </w:r>
      <w:proofErr w:type="gramStart"/>
      <w:r w:rsidRPr="00581861">
        <w:rPr>
          <w:rFonts w:cs="Times New Roman"/>
          <w:szCs w:val="24"/>
        </w:rPr>
        <w:t>countries( r</w:t>
      </w:r>
      <w:proofErr w:type="gramEnd"/>
      <w:r w:rsidRPr="00581861">
        <w:rPr>
          <w:rFonts w:cs="Times New Roman"/>
          <w:szCs w:val="24"/>
        </w:rPr>
        <w:t xml:space="preserve"> = 0.1625, p &lt; 0.05) in this study, </w:t>
      </w:r>
      <w:r w:rsidRPr="00581861">
        <w:rPr>
          <w:rFonts w:cs="Times New Roman"/>
          <w:szCs w:val="24"/>
        </w:rPr>
        <w:lastRenderedPageBreak/>
        <w:t>which can partly be attributed to financial activities in countries facilitating increased levels of environmental degradation in these countries</w:t>
      </w:r>
      <w:r w:rsidR="0030499F" w:rsidRPr="00A756C9">
        <w:rPr>
          <w:rFonts w:cs="Times New Roman"/>
          <w:szCs w:val="24"/>
        </w:rPr>
        <w:t>.</w:t>
      </w:r>
    </w:p>
    <w:p w14:paraId="31C41DB1" w14:textId="7554902F" w:rsidR="00E560C0" w:rsidRPr="00A756C9" w:rsidRDefault="000A479B" w:rsidP="00910619">
      <w:pPr>
        <w:spacing w:line="240" w:lineRule="auto"/>
        <w:rPr>
          <w:rFonts w:cs="Times New Roman"/>
          <w:szCs w:val="24"/>
        </w:rPr>
      </w:pPr>
      <w:r w:rsidRPr="00A756C9">
        <w:rPr>
          <w:rFonts w:eastAsia="Calibri" w:cs="Times New Roman"/>
          <w:b/>
          <w:bCs/>
          <w:szCs w:val="24"/>
        </w:rPr>
        <w:t xml:space="preserve"> </w:t>
      </w:r>
      <w:r w:rsidR="00E560C0" w:rsidRPr="00A756C9">
        <w:rPr>
          <w:rFonts w:cs="Times New Roman"/>
          <w:szCs w:val="24"/>
        </w:rPr>
        <w:t>Tabl</w:t>
      </w:r>
      <w:r w:rsidR="00286B7D">
        <w:rPr>
          <w:rFonts w:cs="Times New Roman"/>
          <w:szCs w:val="24"/>
        </w:rPr>
        <w:t>e 3</w:t>
      </w:r>
      <w:r w:rsidR="00E560C0" w:rsidRPr="00A756C9">
        <w:rPr>
          <w:rFonts w:cs="Times New Roman"/>
          <w:szCs w:val="24"/>
        </w:rPr>
        <w:t>: Correlation results</w:t>
      </w:r>
    </w:p>
    <w:tbl>
      <w:tblPr>
        <w:tblW w:w="9386" w:type="dxa"/>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985"/>
        <w:gridCol w:w="929"/>
        <w:gridCol w:w="929"/>
        <w:gridCol w:w="929"/>
        <w:gridCol w:w="929"/>
        <w:gridCol w:w="929"/>
        <w:gridCol w:w="1013"/>
        <w:gridCol w:w="1013"/>
        <w:gridCol w:w="730"/>
      </w:tblGrid>
      <w:tr w:rsidR="00BA3EB0" w:rsidRPr="00A756C9" w14:paraId="6A278890" w14:textId="77777777" w:rsidTr="00A561C7">
        <w:trPr>
          <w:trHeight w:val="520"/>
          <w:tblCellSpacing w:w="15" w:type="dxa"/>
        </w:trPr>
        <w:tc>
          <w:tcPr>
            <w:tcW w:w="1940" w:type="dxa"/>
            <w:tcBorders>
              <w:top w:val="nil"/>
              <w:bottom w:val="single" w:sz="18" w:space="0" w:color="auto"/>
            </w:tcBorders>
            <w:vAlign w:val="center"/>
            <w:hideMark/>
          </w:tcPr>
          <w:p w14:paraId="4BB3EC23" w14:textId="77777777" w:rsidR="00BA3EB0" w:rsidRPr="00A756C9" w:rsidRDefault="00BA3EB0" w:rsidP="00910619">
            <w:pPr>
              <w:spacing w:line="240" w:lineRule="auto"/>
              <w:rPr>
                <w:rFonts w:cs="Times New Roman"/>
                <w:szCs w:val="24"/>
              </w:rPr>
            </w:pPr>
            <w:bookmarkStart w:id="6" w:name="_Hlk167881515"/>
          </w:p>
        </w:tc>
        <w:tc>
          <w:tcPr>
            <w:tcW w:w="899" w:type="dxa"/>
            <w:tcBorders>
              <w:top w:val="nil"/>
              <w:bottom w:val="single" w:sz="18" w:space="0" w:color="auto"/>
            </w:tcBorders>
            <w:vAlign w:val="center"/>
            <w:hideMark/>
          </w:tcPr>
          <w:p w14:paraId="5076D694" w14:textId="755EB998" w:rsidR="00BA3EB0" w:rsidRPr="00A756C9" w:rsidRDefault="004B55C3" w:rsidP="00910619">
            <w:pPr>
              <w:spacing w:line="240" w:lineRule="auto"/>
              <w:rPr>
                <w:rFonts w:cs="Times New Roman"/>
                <w:szCs w:val="24"/>
              </w:rPr>
            </w:pPr>
            <w:r>
              <w:rPr>
                <w:rFonts w:cs="Times New Roman"/>
                <w:szCs w:val="24"/>
              </w:rPr>
              <w:t>ES</w:t>
            </w:r>
          </w:p>
        </w:tc>
        <w:tc>
          <w:tcPr>
            <w:tcW w:w="899" w:type="dxa"/>
            <w:tcBorders>
              <w:top w:val="nil"/>
              <w:bottom w:val="single" w:sz="18" w:space="0" w:color="auto"/>
            </w:tcBorders>
            <w:vAlign w:val="center"/>
            <w:hideMark/>
          </w:tcPr>
          <w:p w14:paraId="7A12B9C3" w14:textId="77777777" w:rsidR="00BA3EB0" w:rsidRPr="00A756C9" w:rsidRDefault="00BA3EB0" w:rsidP="00910619">
            <w:pPr>
              <w:spacing w:line="240" w:lineRule="auto"/>
              <w:rPr>
                <w:rFonts w:cs="Times New Roman"/>
                <w:szCs w:val="24"/>
              </w:rPr>
            </w:pPr>
            <w:r w:rsidRPr="00A756C9">
              <w:rPr>
                <w:rFonts w:cs="Times New Roman"/>
                <w:szCs w:val="24"/>
              </w:rPr>
              <w:t>FDI</w:t>
            </w:r>
          </w:p>
        </w:tc>
        <w:tc>
          <w:tcPr>
            <w:tcW w:w="899" w:type="dxa"/>
            <w:tcBorders>
              <w:top w:val="nil"/>
              <w:bottom w:val="single" w:sz="18" w:space="0" w:color="auto"/>
            </w:tcBorders>
            <w:vAlign w:val="center"/>
            <w:hideMark/>
          </w:tcPr>
          <w:p w14:paraId="3B6D716A" w14:textId="77777777" w:rsidR="00BA3EB0" w:rsidRPr="00A756C9" w:rsidRDefault="00BA3EB0" w:rsidP="00910619">
            <w:pPr>
              <w:spacing w:line="240" w:lineRule="auto"/>
              <w:rPr>
                <w:rFonts w:cs="Times New Roman"/>
                <w:szCs w:val="24"/>
              </w:rPr>
            </w:pPr>
            <w:r w:rsidRPr="00A756C9">
              <w:rPr>
                <w:rFonts w:cs="Times New Roman"/>
                <w:szCs w:val="24"/>
              </w:rPr>
              <w:t>POP</w:t>
            </w:r>
          </w:p>
        </w:tc>
        <w:tc>
          <w:tcPr>
            <w:tcW w:w="899" w:type="dxa"/>
            <w:tcBorders>
              <w:top w:val="nil"/>
              <w:bottom w:val="single" w:sz="18" w:space="0" w:color="auto"/>
            </w:tcBorders>
            <w:vAlign w:val="center"/>
            <w:hideMark/>
          </w:tcPr>
          <w:p w14:paraId="70A4C7D8" w14:textId="77777777" w:rsidR="00BA3EB0" w:rsidRPr="00A756C9" w:rsidRDefault="00BA3EB0" w:rsidP="00910619">
            <w:pPr>
              <w:spacing w:line="240" w:lineRule="auto"/>
              <w:rPr>
                <w:rFonts w:cs="Times New Roman"/>
                <w:szCs w:val="24"/>
              </w:rPr>
            </w:pPr>
            <w:r w:rsidRPr="00A756C9">
              <w:rPr>
                <w:rFonts w:cs="Times New Roman"/>
                <w:szCs w:val="24"/>
              </w:rPr>
              <w:t>IND</w:t>
            </w:r>
          </w:p>
        </w:tc>
        <w:tc>
          <w:tcPr>
            <w:tcW w:w="899" w:type="dxa"/>
            <w:tcBorders>
              <w:top w:val="nil"/>
              <w:bottom w:val="single" w:sz="18" w:space="0" w:color="auto"/>
            </w:tcBorders>
            <w:vAlign w:val="center"/>
            <w:hideMark/>
          </w:tcPr>
          <w:p w14:paraId="7C93AF96" w14:textId="77777777" w:rsidR="00BA3EB0" w:rsidRPr="00A756C9" w:rsidRDefault="00BA3EB0" w:rsidP="00910619">
            <w:pPr>
              <w:spacing w:line="240" w:lineRule="auto"/>
              <w:rPr>
                <w:rFonts w:cs="Times New Roman"/>
                <w:szCs w:val="24"/>
              </w:rPr>
            </w:pPr>
            <w:r w:rsidRPr="00A756C9">
              <w:rPr>
                <w:rFonts w:cs="Times New Roman"/>
                <w:szCs w:val="24"/>
              </w:rPr>
              <w:t>REC</w:t>
            </w:r>
          </w:p>
        </w:tc>
        <w:tc>
          <w:tcPr>
            <w:tcW w:w="983" w:type="dxa"/>
            <w:tcBorders>
              <w:top w:val="nil"/>
              <w:bottom w:val="single" w:sz="18" w:space="0" w:color="auto"/>
            </w:tcBorders>
            <w:vAlign w:val="center"/>
            <w:hideMark/>
          </w:tcPr>
          <w:p w14:paraId="48C41317" w14:textId="77777777" w:rsidR="00BA3EB0" w:rsidRPr="00A756C9" w:rsidRDefault="00BA3EB0" w:rsidP="00910619">
            <w:pPr>
              <w:spacing w:line="240" w:lineRule="auto"/>
              <w:rPr>
                <w:rFonts w:cs="Times New Roman"/>
                <w:szCs w:val="24"/>
              </w:rPr>
            </w:pPr>
            <w:r w:rsidRPr="00A756C9">
              <w:rPr>
                <w:rFonts w:cs="Times New Roman"/>
                <w:szCs w:val="24"/>
              </w:rPr>
              <w:t>NRE</w:t>
            </w:r>
          </w:p>
        </w:tc>
        <w:tc>
          <w:tcPr>
            <w:tcW w:w="983" w:type="dxa"/>
            <w:tcBorders>
              <w:top w:val="nil"/>
              <w:bottom w:val="single" w:sz="18" w:space="0" w:color="auto"/>
            </w:tcBorders>
            <w:vAlign w:val="center"/>
          </w:tcPr>
          <w:p w14:paraId="251D2E1A" w14:textId="77777777" w:rsidR="00BA3EB0" w:rsidRPr="00A756C9" w:rsidRDefault="00BA3EB0" w:rsidP="00910619">
            <w:pPr>
              <w:spacing w:line="240" w:lineRule="auto"/>
              <w:rPr>
                <w:rFonts w:cs="Times New Roman"/>
                <w:szCs w:val="24"/>
              </w:rPr>
            </w:pPr>
            <w:r w:rsidRPr="00A756C9">
              <w:rPr>
                <w:rFonts w:cs="Times New Roman"/>
                <w:szCs w:val="24"/>
              </w:rPr>
              <w:t>FD</w:t>
            </w:r>
          </w:p>
        </w:tc>
        <w:tc>
          <w:tcPr>
            <w:tcW w:w="685" w:type="dxa"/>
            <w:tcBorders>
              <w:top w:val="nil"/>
              <w:bottom w:val="single" w:sz="18" w:space="0" w:color="auto"/>
            </w:tcBorders>
            <w:vAlign w:val="center"/>
            <w:hideMark/>
          </w:tcPr>
          <w:p w14:paraId="6B7E5FA1" w14:textId="77777777" w:rsidR="00BA3EB0" w:rsidRPr="00A756C9" w:rsidRDefault="00BA3EB0" w:rsidP="00910619">
            <w:pPr>
              <w:spacing w:line="240" w:lineRule="auto"/>
              <w:rPr>
                <w:rFonts w:cs="Times New Roman"/>
                <w:szCs w:val="24"/>
              </w:rPr>
            </w:pPr>
            <w:r w:rsidRPr="00A756C9">
              <w:rPr>
                <w:rFonts w:cs="Times New Roman"/>
                <w:szCs w:val="24"/>
              </w:rPr>
              <w:t>EG</w:t>
            </w:r>
          </w:p>
        </w:tc>
      </w:tr>
      <w:tr w:rsidR="00BA3EB0" w:rsidRPr="00A756C9" w14:paraId="749E61AF" w14:textId="77777777" w:rsidTr="00A561C7">
        <w:trPr>
          <w:trHeight w:val="539"/>
          <w:tblCellSpacing w:w="15" w:type="dxa"/>
        </w:trPr>
        <w:tc>
          <w:tcPr>
            <w:tcW w:w="1940" w:type="dxa"/>
            <w:vAlign w:val="center"/>
            <w:hideMark/>
          </w:tcPr>
          <w:p w14:paraId="09AEFDDE" w14:textId="6DA0B135" w:rsidR="00BA3EB0" w:rsidRPr="00A756C9" w:rsidRDefault="004B55C3" w:rsidP="00910619">
            <w:pPr>
              <w:spacing w:line="240" w:lineRule="auto"/>
              <w:rPr>
                <w:rFonts w:cs="Times New Roman"/>
                <w:szCs w:val="24"/>
              </w:rPr>
            </w:pPr>
            <w:r>
              <w:rPr>
                <w:rFonts w:cs="Times New Roman"/>
                <w:szCs w:val="24"/>
              </w:rPr>
              <w:t>Environmental sustainability</w:t>
            </w:r>
          </w:p>
        </w:tc>
        <w:tc>
          <w:tcPr>
            <w:tcW w:w="899" w:type="dxa"/>
            <w:vAlign w:val="center"/>
            <w:hideMark/>
          </w:tcPr>
          <w:p w14:paraId="194DE34D"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5C15B68C" w14:textId="77777777" w:rsidR="00BA3EB0" w:rsidRPr="00A756C9" w:rsidRDefault="00BA3EB0" w:rsidP="00910619">
            <w:pPr>
              <w:spacing w:line="240" w:lineRule="auto"/>
              <w:rPr>
                <w:rFonts w:cs="Times New Roman"/>
                <w:szCs w:val="24"/>
              </w:rPr>
            </w:pPr>
          </w:p>
        </w:tc>
        <w:tc>
          <w:tcPr>
            <w:tcW w:w="899" w:type="dxa"/>
            <w:vAlign w:val="center"/>
            <w:hideMark/>
          </w:tcPr>
          <w:p w14:paraId="4808EDD4" w14:textId="77777777" w:rsidR="00BA3EB0" w:rsidRPr="00A756C9" w:rsidRDefault="00BA3EB0" w:rsidP="00910619">
            <w:pPr>
              <w:spacing w:line="240" w:lineRule="auto"/>
              <w:rPr>
                <w:rFonts w:cs="Times New Roman"/>
                <w:szCs w:val="24"/>
              </w:rPr>
            </w:pPr>
          </w:p>
        </w:tc>
        <w:tc>
          <w:tcPr>
            <w:tcW w:w="899" w:type="dxa"/>
            <w:vAlign w:val="center"/>
            <w:hideMark/>
          </w:tcPr>
          <w:p w14:paraId="1998B71C" w14:textId="77777777" w:rsidR="00BA3EB0" w:rsidRPr="00A756C9" w:rsidRDefault="00BA3EB0" w:rsidP="00910619">
            <w:pPr>
              <w:spacing w:line="240" w:lineRule="auto"/>
              <w:rPr>
                <w:rFonts w:cs="Times New Roman"/>
                <w:szCs w:val="24"/>
              </w:rPr>
            </w:pPr>
          </w:p>
        </w:tc>
        <w:tc>
          <w:tcPr>
            <w:tcW w:w="899" w:type="dxa"/>
            <w:vAlign w:val="center"/>
            <w:hideMark/>
          </w:tcPr>
          <w:p w14:paraId="12B55F87" w14:textId="77777777" w:rsidR="00BA3EB0" w:rsidRPr="00A756C9" w:rsidRDefault="00BA3EB0" w:rsidP="00910619">
            <w:pPr>
              <w:spacing w:line="240" w:lineRule="auto"/>
              <w:rPr>
                <w:rFonts w:cs="Times New Roman"/>
                <w:szCs w:val="24"/>
              </w:rPr>
            </w:pPr>
          </w:p>
        </w:tc>
        <w:tc>
          <w:tcPr>
            <w:tcW w:w="983" w:type="dxa"/>
            <w:vAlign w:val="center"/>
            <w:hideMark/>
          </w:tcPr>
          <w:p w14:paraId="531E73EA" w14:textId="77777777" w:rsidR="00BA3EB0" w:rsidRPr="00A756C9" w:rsidRDefault="00BA3EB0" w:rsidP="00910619">
            <w:pPr>
              <w:spacing w:line="240" w:lineRule="auto"/>
              <w:rPr>
                <w:rFonts w:cs="Times New Roman"/>
                <w:szCs w:val="24"/>
              </w:rPr>
            </w:pPr>
          </w:p>
        </w:tc>
        <w:tc>
          <w:tcPr>
            <w:tcW w:w="983" w:type="dxa"/>
            <w:vAlign w:val="center"/>
          </w:tcPr>
          <w:p w14:paraId="5251C8D9" w14:textId="77777777" w:rsidR="00BA3EB0" w:rsidRPr="00A756C9" w:rsidRDefault="00BA3EB0" w:rsidP="00910619">
            <w:pPr>
              <w:spacing w:line="240" w:lineRule="auto"/>
              <w:rPr>
                <w:rFonts w:cs="Times New Roman"/>
                <w:szCs w:val="24"/>
              </w:rPr>
            </w:pPr>
          </w:p>
        </w:tc>
        <w:tc>
          <w:tcPr>
            <w:tcW w:w="685" w:type="dxa"/>
            <w:vAlign w:val="center"/>
            <w:hideMark/>
          </w:tcPr>
          <w:p w14:paraId="26931BCD" w14:textId="77777777" w:rsidR="00BA3EB0" w:rsidRPr="00A756C9" w:rsidRDefault="00BA3EB0" w:rsidP="00910619">
            <w:pPr>
              <w:spacing w:line="240" w:lineRule="auto"/>
              <w:rPr>
                <w:rFonts w:cs="Times New Roman"/>
                <w:szCs w:val="24"/>
              </w:rPr>
            </w:pPr>
          </w:p>
        </w:tc>
      </w:tr>
      <w:tr w:rsidR="00BA3EB0" w:rsidRPr="00A756C9" w14:paraId="1F1905DE" w14:textId="77777777" w:rsidTr="00A561C7">
        <w:trPr>
          <w:trHeight w:val="520"/>
          <w:tblCellSpacing w:w="15" w:type="dxa"/>
        </w:trPr>
        <w:tc>
          <w:tcPr>
            <w:tcW w:w="1940" w:type="dxa"/>
            <w:vAlign w:val="center"/>
            <w:hideMark/>
          </w:tcPr>
          <w:p w14:paraId="7B166B16" w14:textId="77777777" w:rsidR="00BA3EB0" w:rsidRPr="00A756C9" w:rsidRDefault="00BA3EB0" w:rsidP="00910619">
            <w:pPr>
              <w:spacing w:line="240" w:lineRule="auto"/>
              <w:rPr>
                <w:rFonts w:cs="Times New Roman"/>
                <w:szCs w:val="24"/>
              </w:rPr>
            </w:pPr>
            <w:r w:rsidRPr="00A756C9">
              <w:rPr>
                <w:rFonts w:cs="Times New Roman"/>
                <w:szCs w:val="24"/>
              </w:rPr>
              <w:t>Foreign direct investment</w:t>
            </w:r>
          </w:p>
        </w:tc>
        <w:tc>
          <w:tcPr>
            <w:tcW w:w="899" w:type="dxa"/>
            <w:vAlign w:val="center"/>
            <w:hideMark/>
          </w:tcPr>
          <w:p w14:paraId="26171637" w14:textId="77777777" w:rsidR="00BA3EB0" w:rsidRPr="00A756C9" w:rsidRDefault="00BA3EB0" w:rsidP="00910619">
            <w:pPr>
              <w:spacing w:line="240" w:lineRule="auto"/>
              <w:rPr>
                <w:rFonts w:cs="Times New Roman"/>
                <w:szCs w:val="24"/>
              </w:rPr>
            </w:pPr>
            <w:r w:rsidRPr="00A756C9">
              <w:rPr>
                <w:rFonts w:cs="Times New Roman"/>
                <w:szCs w:val="24"/>
              </w:rPr>
              <w:t>0.3417*</w:t>
            </w:r>
          </w:p>
        </w:tc>
        <w:tc>
          <w:tcPr>
            <w:tcW w:w="899" w:type="dxa"/>
            <w:vAlign w:val="center"/>
            <w:hideMark/>
          </w:tcPr>
          <w:p w14:paraId="5EBC131F"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70366F9D" w14:textId="77777777" w:rsidR="00BA3EB0" w:rsidRPr="00A756C9" w:rsidRDefault="00BA3EB0" w:rsidP="00910619">
            <w:pPr>
              <w:spacing w:line="240" w:lineRule="auto"/>
              <w:rPr>
                <w:rFonts w:cs="Times New Roman"/>
                <w:szCs w:val="24"/>
              </w:rPr>
            </w:pPr>
          </w:p>
        </w:tc>
        <w:tc>
          <w:tcPr>
            <w:tcW w:w="899" w:type="dxa"/>
            <w:vAlign w:val="center"/>
            <w:hideMark/>
          </w:tcPr>
          <w:p w14:paraId="7364D4B1" w14:textId="77777777" w:rsidR="00BA3EB0" w:rsidRPr="00A756C9" w:rsidRDefault="00BA3EB0" w:rsidP="00910619">
            <w:pPr>
              <w:spacing w:line="240" w:lineRule="auto"/>
              <w:rPr>
                <w:rFonts w:cs="Times New Roman"/>
                <w:szCs w:val="24"/>
              </w:rPr>
            </w:pPr>
          </w:p>
        </w:tc>
        <w:tc>
          <w:tcPr>
            <w:tcW w:w="899" w:type="dxa"/>
            <w:vAlign w:val="center"/>
            <w:hideMark/>
          </w:tcPr>
          <w:p w14:paraId="7E407179" w14:textId="77777777" w:rsidR="00BA3EB0" w:rsidRPr="00A756C9" w:rsidRDefault="00BA3EB0" w:rsidP="00910619">
            <w:pPr>
              <w:spacing w:line="240" w:lineRule="auto"/>
              <w:rPr>
                <w:rFonts w:cs="Times New Roman"/>
                <w:szCs w:val="24"/>
              </w:rPr>
            </w:pPr>
          </w:p>
        </w:tc>
        <w:tc>
          <w:tcPr>
            <w:tcW w:w="983" w:type="dxa"/>
            <w:vAlign w:val="center"/>
            <w:hideMark/>
          </w:tcPr>
          <w:p w14:paraId="094E33CF" w14:textId="77777777" w:rsidR="00BA3EB0" w:rsidRPr="00A756C9" w:rsidRDefault="00BA3EB0" w:rsidP="00910619">
            <w:pPr>
              <w:spacing w:line="240" w:lineRule="auto"/>
              <w:rPr>
                <w:rFonts w:cs="Times New Roman"/>
                <w:szCs w:val="24"/>
              </w:rPr>
            </w:pPr>
          </w:p>
        </w:tc>
        <w:tc>
          <w:tcPr>
            <w:tcW w:w="983" w:type="dxa"/>
            <w:vAlign w:val="center"/>
          </w:tcPr>
          <w:p w14:paraId="182641A0" w14:textId="77777777" w:rsidR="00BA3EB0" w:rsidRPr="00A756C9" w:rsidRDefault="00BA3EB0" w:rsidP="00910619">
            <w:pPr>
              <w:spacing w:line="240" w:lineRule="auto"/>
              <w:rPr>
                <w:rFonts w:cs="Times New Roman"/>
                <w:szCs w:val="24"/>
              </w:rPr>
            </w:pPr>
          </w:p>
        </w:tc>
        <w:tc>
          <w:tcPr>
            <w:tcW w:w="685" w:type="dxa"/>
            <w:vAlign w:val="center"/>
            <w:hideMark/>
          </w:tcPr>
          <w:p w14:paraId="0EB05E29" w14:textId="77777777" w:rsidR="00BA3EB0" w:rsidRPr="00A756C9" w:rsidRDefault="00BA3EB0" w:rsidP="00910619">
            <w:pPr>
              <w:spacing w:line="240" w:lineRule="auto"/>
              <w:rPr>
                <w:rFonts w:cs="Times New Roman"/>
                <w:szCs w:val="24"/>
              </w:rPr>
            </w:pPr>
          </w:p>
        </w:tc>
      </w:tr>
      <w:tr w:rsidR="00BA3EB0" w:rsidRPr="00A756C9" w14:paraId="18CE916B" w14:textId="77777777" w:rsidTr="00A561C7">
        <w:trPr>
          <w:trHeight w:val="539"/>
          <w:tblCellSpacing w:w="15" w:type="dxa"/>
        </w:trPr>
        <w:tc>
          <w:tcPr>
            <w:tcW w:w="1940" w:type="dxa"/>
            <w:vAlign w:val="center"/>
            <w:hideMark/>
          </w:tcPr>
          <w:p w14:paraId="1E02C741" w14:textId="77777777" w:rsidR="00BA3EB0" w:rsidRPr="00A756C9" w:rsidRDefault="00BA3EB0" w:rsidP="00910619">
            <w:pPr>
              <w:spacing w:line="240" w:lineRule="auto"/>
              <w:rPr>
                <w:rFonts w:cs="Times New Roman"/>
                <w:szCs w:val="24"/>
              </w:rPr>
            </w:pPr>
            <w:r w:rsidRPr="00A756C9">
              <w:rPr>
                <w:rFonts w:cs="Times New Roman"/>
                <w:szCs w:val="24"/>
              </w:rPr>
              <w:t>Population</w:t>
            </w:r>
          </w:p>
        </w:tc>
        <w:tc>
          <w:tcPr>
            <w:tcW w:w="899" w:type="dxa"/>
            <w:vAlign w:val="center"/>
            <w:hideMark/>
          </w:tcPr>
          <w:p w14:paraId="6BA2C587" w14:textId="77777777" w:rsidR="00BA3EB0" w:rsidRPr="00A756C9" w:rsidRDefault="00BA3EB0" w:rsidP="00910619">
            <w:pPr>
              <w:spacing w:line="240" w:lineRule="auto"/>
              <w:rPr>
                <w:rFonts w:cs="Times New Roman"/>
                <w:szCs w:val="24"/>
              </w:rPr>
            </w:pPr>
            <w:r w:rsidRPr="00A756C9">
              <w:rPr>
                <w:rFonts w:cs="Times New Roman"/>
                <w:szCs w:val="24"/>
              </w:rPr>
              <w:t>0.6475*</w:t>
            </w:r>
          </w:p>
        </w:tc>
        <w:tc>
          <w:tcPr>
            <w:tcW w:w="899" w:type="dxa"/>
            <w:vAlign w:val="center"/>
            <w:hideMark/>
          </w:tcPr>
          <w:p w14:paraId="5E80BFBB" w14:textId="77777777" w:rsidR="00BA3EB0" w:rsidRPr="00A756C9" w:rsidRDefault="00BA3EB0" w:rsidP="00910619">
            <w:pPr>
              <w:spacing w:line="240" w:lineRule="auto"/>
              <w:rPr>
                <w:rFonts w:cs="Times New Roman"/>
                <w:szCs w:val="24"/>
              </w:rPr>
            </w:pPr>
            <w:r w:rsidRPr="00A756C9">
              <w:rPr>
                <w:rFonts w:cs="Times New Roman"/>
                <w:szCs w:val="24"/>
              </w:rPr>
              <w:t>-0.1307*</w:t>
            </w:r>
          </w:p>
        </w:tc>
        <w:tc>
          <w:tcPr>
            <w:tcW w:w="899" w:type="dxa"/>
            <w:vAlign w:val="center"/>
            <w:hideMark/>
          </w:tcPr>
          <w:p w14:paraId="0C485429"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4DD15999" w14:textId="77777777" w:rsidR="00BA3EB0" w:rsidRPr="00A756C9" w:rsidRDefault="00BA3EB0" w:rsidP="00910619">
            <w:pPr>
              <w:spacing w:line="240" w:lineRule="auto"/>
              <w:rPr>
                <w:rFonts w:cs="Times New Roman"/>
                <w:szCs w:val="24"/>
              </w:rPr>
            </w:pPr>
          </w:p>
        </w:tc>
        <w:tc>
          <w:tcPr>
            <w:tcW w:w="899" w:type="dxa"/>
            <w:vAlign w:val="center"/>
            <w:hideMark/>
          </w:tcPr>
          <w:p w14:paraId="73671EF7" w14:textId="77777777" w:rsidR="00BA3EB0" w:rsidRPr="00A756C9" w:rsidRDefault="00BA3EB0" w:rsidP="00910619">
            <w:pPr>
              <w:spacing w:line="240" w:lineRule="auto"/>
              <w:rPr>
                <w:rFonts w:cs="Times New Roman"/>
                <w:szCs w:val="24"/>
              </w:rPr>
            </w:pPr>
          </w:p>
        </w:tc>
        <w:tc>
          <w:tcPr>
            <w:tcW w:w="983" w:type="dxa"/>
            <w:vAlign w:val="center"/>
            <w:hideMark/>
          </w:tcPr>
          <w:p w14:paraId="561BE882" w14:textId="77777777" w:rsidR="00BA3EB0" w:rsidRPr="00A756C9" w:rsidRDefault="00BA3EB0" w:rsidP="00910619">
            <w:pPr>
              <w:spacing w:line="240" w:lineRule="auto"/>
              <w:rPr>
                <w:rFonts w:cs="Times New Roman"/>
                <w:szCs w:val="24"/>
              </w:rPr>
            </w:pPr>
          </w:p>
        </w:tc>
        <w:tc>
          <w:tcPr>
            <w:tcW w:w="983" w:type="dxa"/>
            <w:vAlign w:val="center"/>
          </w:tcPr>
          <w:p w14:paraId="07B3A9F5" w14:textId="77777777" w:rsidR="00BA3EB0" w:rsidRPr="00A756C9" w:rsidRDefault="00BA3EB0" w:rsidP="00910619">
            <w:pPr>
              <w:spacing w:line="240" w:lineRule="auto"/>
              <w:rPr>
                <w:rFonts w:cs="Times New Roman"/>
                <w:szCs w:val="24"/>
              </w:rPr>
            </w:pPr>
          </w:p>
        </w:tc>
        <w:tc>
          <w:tcPr>
            <w:tcW w:w="685" w:type="dxa"/>
            <w:vAlign w:val="center"/>
            <w:hideMark/>
          </w:tcPr>
          <w:p w14:paraId="128BD09B" w14:textId="77777777" w:rsidR="00BA3EB0" w:rsidRPr="00A756C9" w:rsidRDefault="00BA3EB0" w:rsidP="00910619">
            <w:pPr>
              <w:spacing w:line="240" w:lineRule="auto"/>
              <w:rPr>
                <w:rFonts w:cs="Times New Roman"/>
                <w:szCs w:val="24"/>
              </w:rPr>
            </w:pPr>
          </w:p>
        </w:tc>
      </w:tr>
      <w:tr w:rsidR="00BA3EB0" w:rsidRPr="00A756C9" w14:paraId="079FDBE5" w14:textId="77777777" w:rsidTr="00A561C7">
        <w:trPr>
          <w:trHeight w:val="520"/>
          <w:tblCellSpacing w:w="15" w:type="dxa"/>
        </w:trPr>
        <w:tc>
          <w:tcPr>
            <w:tcW w:w="1940" w:type="dxa"/>
            <w:vAlign w:val="center"/>
            <w:hideMark/>
          </w:tcPr>
          <w:p w14:paraId="47AD77CF" w14:textId="77777777" w:rsidR="00BA3EB0" w:rsidRPr="00A756C9" w:rsidRDefault="00BA3EB0" w:rsidP="00910619">
            <w:pPr>
              <w:spacing w:line="240" w:lineRule="auto"/>
              <w:rPr>
                <w:rFonts w:cs="Times New Roman"/>
                <w:szCs w:val="24"/>
              </w:rPr>
            </w:pPr>
            <w:r w:rsidRPr="00A756C9">
              <w:rPr>
                <w:rFonts w:cs="Times New Roman"/>
                <w:szCs w:val="24"/>
              </w:rPr>
              <w:t>Industrialization</w:t>
            </w:r>
          </w:p>
        </w:tc>
        <w:tc>
          <w:tcPr>
            <w:tcW w:w="899" w:type="dxa"/>
            <w:vAlign w:val="center"/>
            <w:hideMark/>
          </w:tcPr>
          <w:p w14:paraId="64DA140B" w14:textId="77777777" w:rsidR="00BA3EB0" w:rsidRPr="00A756C9" w:rsidRDefault="00BA3EB0" w:rsidP="00910619">
            <w:pPr>
              <w:spacing w:line="240" w:lineRule="auto"/>
              <w:rPr>
                <w:rFonts w:cs="Times New Roman"/>
                <w:szCs w:val="24"/>
              </w:rPr>
            </w:pPr>
            <w:r w:rsidRPr="00A756C9">
              <w:rPr>
                <w:rFonts w:cs="Times New Roman"/>
                <w:szCs w:val="24"/>
              </w:rPr>
              <w:t>0.6992*</w:t>
            </w:r>
          </w:p>
        </w:tc>
        <w:tc>
          <w:tcPr>
            <w:tcW w:w="899" w:type="dxa"/>
            <w:vAlign w:val="center"/>
            <w:hideMark/>
          </w:tcPr>
          <w:p w14:paraId="1D3FCDA7" w14:textId="77777777" w:rsidR="00BA3EB0" w:rsidRPr="00A756C9" w:rsidRDefault="00BA3EB0" w:rsidP="00910619">
            <w:pPr>
              <w:spacing w:line="240" w:lineRule="auto"/>
              <w:rPr>
                <w:rFonts w:cs="Times New Roman"/>
                <w:szCs w:val="24"/>
              </w:rPr>
            </w:pPr>
            <w:r w:rsidRPr="00A756C9">
              <w:rPr>
                <w:rFonts w:cs="Times New Roman"/>
                <w:szCs w:val="24"/>
              </w:rPr>
              <w:t>-0.1383*</w:t>
            </w:r>
          </w:p>
        </w:tc>
        <w:tc>
          <w:tcPr>
            <w:tcW w:w="899" w:type="dxa"/>
            <w:vAlign w:val="center"/>
            <w:hideMark/>
          </w:tcPr>
          <w:p w14:paraId="33C14979" w14:textId="77777777" w:rsidR="00BA3EB0" w:rsidRPr="00A756C9" w:rsidRDefault="00BA3EB0" w:rsidP="00910619">
            <w:pPr>
              <w:spacing w:line="240" w:lineRule="auto"/>
              <w:rPr>
                <w:rFonts w:cs="Times New Roman"/>
                <w:szCs w:val="24"/>
              </w:rPr>
            </w:pPr>
            <w:r w:rsidRPr="00A756C9">
              <w:rPr>
                <w:rFonts w:cs="Times New Roman"/>
                <w:szCs w:val="24"/>
              </w:rPr>
              <w:t>-0.9466*</w:t>
            </w:r>
          </w:p>
        </w:tc>
        <w:tc>
          <w:tcPr>
            <w:tcW w:w="899" w:type="dxa"/>
            <w:vAlign w:val="center"/>
            <w:hideMark/>
          </w:tcPr>
          <w:p w14:paraId="192C7D94"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5ADA4957" w14:textId="77777777" w:rsidR="00BA3EB0" w:rsidRPr="00A756C9" w:rsidRDefault="00BA3EB0" w:rsidP="00910619">
            <w:pPr>
              <w:spacing w:line="240" w:lineRule="auto"/>
              <w:rPr>
                <w:rFonts w:cs="Times New Roman"/>
                <w:szCs w:val="24"/>
              </w:rPr>
            </w:pPr>
          </w:p>
        </w:tc>
        <w:tc>
          <w:tcPr>
            <w:tcW w:w="983" w:type="dxa"/>
            <w:vAlign w:val="center"/>
            <w:hideMark/>
          </w:tcPr>
          <w:p w14:paraId="033C7FC0" w14:textId="77777777" w:rsidR="00BA3EB0" w:rsidRPr="00A756C9" w:rsidRDefault="00BA3EB0" w:rsidP="00910619">
            <w:pPr>
              <w:spacing w:line="240" w:lineRule="auto"/>
              <w:rPr>
                <w:rFonts w:cs="Times New Roman"/>
                <w:szCs w:val="24"/>
              </w:rPr>
            </w:pPr>
          </w:p>
        </w:tc>
        <w:tc>
          <w:tcPr>
            <w:tcW w:w="983" w:type="dxa"/>
            <w:vAlign w:val="center"/>
          </w:tcPr>
          <w:p w14:paraId="42FDA6DE" w14:textId="77777777" w:rsidR="00BA3EB0" w:rsidRPr="00A756C9" w:rsidRDefault="00BA3EB0" w:rsidP="00910619">
            <w:pPr>
              <w:spacing w:line="240" w:lineRule="auto"/>
              <w:rPr>
                <w:rFonts w:cs="Times New Roman"/>
                <w:szCs w:val="24"/>
              </w:rPr>
            </w:pPr>
          </w:p>
        </w:tc>
        <w:tc>
          <w:tcPr>
            <w:tcW w:w="685" w:type="dxa"/>
            <w:vAlign w:val="center"/>
            <w:hideMark/>
          </w:tcPr>
          <w:p w14:paraId="17F75C62" w14:textId="77777777" w:rsidR="00BA3EB0" w:rsidRPr="00A756C9" w:rsidRDefault="00BA3EB0" w:rsidP="00910619">
            <w:pPr>
              <w:spacing w:line="240" w:lineRule="auto"/>
              <w:rPr>
                <w:rFonts w:cs="Times New Roman"/>
                <w:szCs w:val="24"/>
              </w:rPr>
            </w:pPr>
          </w:p>
        </w:tc>
      </w:tr>
      <w:tr w:rsidR="00BA3EB0" w:rsidRPr="00A756C9" w14:paraId="0C3213FC" w14:textId="77777777" w:rsidTr="00A561C7">
        <w:trPr>
          <w:trHeight w:val="539"/>
          <w:tblCellSpacing w:w="15" w:type="dxa"/>
        </w:trPr>
        <w:tc>
          <w:tcPr>
            <w:tcW w:w="1940" w:type="dxa"/>
            <w:vAlign w:val="center"/>
            <w:hideMark/>
          </w:tcPr>
          <w:p w14:paraId="1AC38DD3" w14:textId="77777777" w:rsidR="00BA3EB0" w:rsidRPr="00A756C9" w:rsidRDefault="00BA3EB0" w:rsidP="00910619">
            <w:pPr>
              <w:spacing w:line="240" w:lineRule="auto"/>
              <w:rPr>
                <w:rFonts w:cs="Times New Roman"/>
                <w:szCs w:val="24"/>
              </w:rPr>
            </w:pPr>
            <w:r w:rsidRPr="00A756C9">
              <w:rPr>
                <w:rFonts w:cs="Times New Roman"/>
                <w:szCs w:val="24"/>
              </w:rPr>
              <w:t>Renewable energy consumption</w:t>
            </w:r>
          </w:p>
        </w:tc>
        <w:tc>
          <w:tcPr>
            <w:tcW w:w="899" w:type="dxa"/>
            <w:vAlign w:val="center"/>
            <w:hideMark/>
          </w:tcPr>
          <w:p w14:paraId="5B24A2E1" w14:textId="77777777" w:rsidR="00BA3EB0" w:rsidRPr="00A756C9" w:rsidRDefault="00BA3EB0" w:rsidP="00910619">
            <w:pPr>
              <w:spacing w:line="240" w:lineRule="auto"/>
              <w:rPr>
                <w:rFonts w:cs="Times New Roman"/>
                <w:szCs w:val="24"/>
              </w:rPr>
            </w:pPr>
            <w:r w:rsidRPr="00A756C9">
              <w:rPr>
                <w:rFonts w:cs="Times New Roman"/>
                <w:szCs w:val="24"/>
              </w:rPr>
              <w:t>-0.2582*</w:t>
            </w:r>
          </w:p>
        </w:tc>
        <w:tc>
          <w:tcPr>
            <w:tcW w:w="899" w:type="dxa"/>
            <w:vAlign w:val="center"/>
            <w:hideMark/>
          </w:tcPr>
          <w:p w14:paraId="278979AA" w14:textId="77777777" w:rsidR="00BA3EB0" w:rsidRPr="00A756C9" w:rsidRDefault="00BA3EB0" w:rsidP="00910619">
            <w:pPr>
              <w:spacing w:line="240" w:lineRule="auto"/>
              <w:rPr>
                <w:rFonts w:cs="Times New Roman"/>
                <w:szCs w:val="24"/>
              </w:rPr>
            </w:pPr>
            <w:r w:rsidRPr="00A756C9">
              <w:rPr>
                <w:rFonts w:cs="Times New Roman"/>
                <w:szCs w:val="24"/>
              </w:rPr>
              <w:t>-0.0937*</w:t>
            </w:r>
          </w:p>
        </w:tc>
        <w:tc>
          <w:tcPr>
            <w:tcW w:w="899" w:type="dxa"/>
            <w:vAlign w:val="center"/>
            <w:hideMark/>
          </w:tcPr>
          <w:p w14:paraId="600D461F" w14:textId="77777777" w:rsidR="00BA3EB0" w:rsidRPr="00A756C9" w:rsidRDefault="00BA3EB0" w:rsidP="00910619">
            <w:pPr>
              <w:spacing w:line="240" w:lineRule="auto"/>
              <w:rPr>
                <w:rFonts w:cs="Times New Roman"/>
                <w:szCs w:val="24"/>
              </w:rPr>
            </w:pPr>
            <w:r w:rsidRPr="00A756C9">
              <w:rPr>
                <w:rFonts w:cs="Times New Roman"/>
                <w:szCs w:val="24"/>
              </w:rPr>
              <w:t>-0.0955*</w:t>
            </w:r>
          </w:p>
        </w:tc>
        <w:tc>
          <w:tcPr>
            <w:tcW w:w="899" w:type="dxa"/>
            <w:vAlign w:val="center"/>
            <w:hideMark/>
          </w:tcPr>
          <w:p w14:paraId="78480B85" w14:textId="77777777" w:rsidR="00BA3EB0" w:rsidRPr="00A756C9" w:rsidRDefault="00BA3EB0" w:rsidP="00910619">
            <w:pPr>
              <w:spacing w:line="240" w:lineRule="auto"/>
              <w:rPr>
                <w:rFonts w:cs="Times New Roman"/>
                <w:szCs w:val="24"/>
              </w:rPr>
            </w:pPr>
            <w:r w:rsidRPr="00A756C9">
              <w:rPr>
                <w:rFonts w:cs="Times New Roman"/>
                <w:szCs w:val="24"/>
              </w:rPr>
              <w:t>-0.1817*</w:t>
            </w:r>
          </w:p>
        </w:tc>
        <w:tc>
          <w:tcPr>
            <w:tcW w:w="899" w:type="dxa"/>
            <w:vAlign w:val="center"/>
            <w:hideMark/>
          </w:tcPr>
          <w:p w14:paraId="7EEEDB9B"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983" w:type="dxa"/>
            <w:vAlign w:val="center"/>
            <w:hideMark/>
          </w:tcPr>
          <w:p w14:paraId="2C6BD7E6" w14:textId="77777777" w:rsidR="00BA3EB0" w:rsidRPr="00A756C9" w:rsidRDefault="00BA3EB0" w:rsidP="00910619">
            <w:pPr>
              <w:spacing w:line="240" w:lineRule="auto"/>
              <w:rPr>
                <w:rFonts w:cs="Times New Roman"/>
                <w:szCs w:val="24"/>
              </w:rPr>
            </w:pPr>
          </w:p>
        </w:tc>
        <w:tc>
          <w:tcPr>
            <w:tcW w:w="983" w:type="dxa"/>
            <w:vAlign w:val="center"/>
          </w:tcPr>
          <w:p w14:paraId="40465F82" w14:textId="77777777" w:rsidR="00BA3EB0" w:rsidRPr="00A756C9" w:rsidRDefault="00BA3EB0" w:rsidP="00910619">
            <w:pPr>
              <w:spacing w:line="240" w:lineRule="auto"/>
              <w:rPr>
                <w:rFonts w:cs="Times New Roman"/>
                <w:szCs w:val="24"/>
              </w:rPr>
            </w:pPr>
          </w:p>
        </w:tc>
        <w:tc>
          <w:tcPr>
            <w:tcW w:w="685" w:type="dxa"/>
            <w:vAlign w:val="center"/>
            <w:hideMark/>
          </w:tcPr>
          <w:p w14:paraId="66CAC69B" w14:textId="77777777" w:rsidR="00BA3EB0" w:rsidRPr="00A756C9" w:rsidRDefault="00BA3EB0" w:rsidP="00910619">
            <w:pPr>
              <w:spacing w:line="240" w:lineRule="auto"/>
              <w:rPr>
                <w:rFonts w:cs="Times New Roman"/>
                <w:szCs w:val="24"/>
              </w:rPr>
            </w:pPr>
          </w:p>
        </w:tc>
      </w:tr>
      <w:tr w:rsidR="00BA3EB0" w:rsidRPr="00A756C9" w14:paraId="028CAAD0" w14:textId="77777777" w:rsidTr="00A561C7">
        <w:trPr>
          <w:trHeight w:val="539"/>
          <w:tblCellSpacing w:w="15" w:type="dxa"/>
        </w:trPr>
        <w:tc>
          <w:tcPr>
            <w:tcW w:w="1940" w:type="dxa"/>
            <w:vAlign w:val="center"/>
          </w:tcPr>
          <w:p w14:paraId="78355EB2" w14:textId="77777777" w:rsidR="00BA3EB0" w:rsidRPr="00A756C9" w:rsidRDefault="00BA3EB0" w:rsidP="00910619">
            <w:pPr>
              <w:spacing w:line="240" w:lineRule="auto"/>
              <w:rPr>
                <w:rFonts w:cs="Times New Roman"/>
                <w:szCs w:val="24"/>
              </w:rPr>
            </w:pPr>
            <w:r w:rsidRPr="00A756C9">
              <w:rPr>
                <w:rFonts w:cs="Times New Roman"/>
                <w:szCs w:val="24"/>
              </w:rPr>
              <w:t>Non-renewable energy consumption</w:t>
            </w:r>
          </w:p>
        </w:tc>
        <w:tc>
          <w:tcPr>
            <w:tcW w:w="899" w:type="dxa"/>
            <w:vAlign w:val="center"/>
          </w:tcPr>
          <w:p w14:paraId="327EBCB0" w14:textId="77777777" w:rsidR="00BA3EB0" w:rsidRPr="00A756C9" w:rsidRDefault="00BA3EB0" w:rsidP="00910619">
            <w:pPr>
              <w:spacing w:line="240" w:lineRule="auto"/>
              <w:rPr>
                <w:rFonts w:cs="Times New Roman"/>
                <w:szCs w:val="24"/>
              </w:rPr>
            </w:pPr>
            <w:r w:rsidRPr="00A756C9">
              <w:rPr>
                <w:rFonts w:cs="Times New Roman"/>
                <w:szCs w:val="24"/>
              </w:rPr>
              <w:t>-0.0586</w:t>
            </w:r>
          </w:p>
        </w:tc>
        <w:tc>
          <w:tcPr>
            <w:tcW w:w="899" w:type="dxa"/>
            <w:vAlign w:val="center"/>
          </w:tcPr>
          <w:p w14:paraId="431986AD" w14:textId="77777777" w:rsidR="00BA3EB0" w:rsidRPr="00A756C9" w:rsidRDefault="00BA3EB0" w:rsidP="00910619">
            <w:pPr>
              <w:spacing w:line="240" w:lineRule="auto"/>
              <w:rPr>
                <w:rFonts w:cs="Times New Roman"/>
                <w:szCs w:val="24"/>
              </w:rPr>
            </w:pPr>
            <w:r w:rsidRPr="00A756C9">
              <w:rPr>
                <w:rFonts w:cs="Times New Roman"/>
                <w:szCs w:val="24"/>
              </w:rPr>
              <w:t>-0.0852*</w:t>
            </w:r>
          </w:p>
        </w:tc>
        <w:tc>
          <w:tcPr>
            <w:tcW w:w="899" w:type="dxa"/>
            <w:vAlign w:val="center"/>
          </w:tcPr>
          <w:p w14:paraId="4550736A" w14:textId="77777777" w:rsidR="00BA3EB0" w:rsidRPr="00A756C9" w:rsidRDefault="00BA3EB0" w:rsidP="00910619">
            <w:pPr>
              <w:spacing w:line="240" w:lineRule="auto"/>
              <w:rPr>
                <w:rFonts w:cs="Times New Roman"/>
                <w:szCs w:val="24"/>
              </w:rPr>
            </w:pPr>
            <w:r w:rsidRPr="00A756C9">
              <w:rPr>
                <w:rFonts w:cs="Times New Roman"/>
                <w:szCs w:val="24"/>
              </w:rPr>
              <w:t>-0.0734*</w:t>
            </w:r>
          </w:p>
        </w:tc>
        <w:tc>
          <w:tcPr>
            <w:tcW w:w="899" w:type="dxa"/>
            <w:vAlign w:val="center"/>
          </w:tcPr>
          <w:p w14:paraId="3A6877CF" w14:textId="77777777" w:rsidR="00BA3EB0" w:rsidRPr="00A756C9" w:rsidRDefault="00BA3EB0" w:rsidP="00910619">
            <w:pPr>
              <w:spacing w:line="240" w:lineRule="auto"/>
              <w:rPr>
                <w:rFonts w:cs="Times New Roman"/>
                <w:szCs w:val="24"/>
              </w:rPr>
            </w:pPr>
            <w:r w:rsidRPr="00A756C9">
              <w:rPr>
                <w:rFonts w:cs="Times New Roman"/>
                <w:szCs w:val="24"/>
              </w:rPr>
              <w:t>-0.0380</w:t>
            </w:r>
          </w:p>
        </w:tc>
        <w:tc>
          <w:tcPr>
            <w:tcW w:w="899" w:type="dxa"/>
            <w:vAlign w:val="center"/>
          </w:tcPr>
          <w:p w14:paraId="54C912EB" w14:textId="77777777" w:rsidR="00BA3EB0" w:rsidRPr="00A756C9" w:rsidRDefault="00BA3EB0" w:rsidP="00910619">
            <w:pPr>
              <w:spacing w:line="240" w:lineRule="auto"/>
              <w:rPr>
                <w:rFonts w:cs="Times New Roman"/>
                <w:szCs w:val="24"/>
              </w:rPr>
            </w:pPr>
            <w:r w:rsidRPr="00A756C9">
              <w:rPr>
                <w:rFonts w:cs="Times New Roman"/>
                <w:szCs w:val="24"/>
              </w:rPr>
              <w:t>0.0768*</w:t>
            </w:r>
          </w:p>
        </w:tc>
        <w:tc>
          <w:tcPr>
            <w:tcW w:w="983" w:type="dxa"/>
            <w:vAlign w:val="center"/>
          </w:tcPr>
          <w:p w14:paraId="40E7AF97" w14:textId="77777777" w:rsidR="00BA3EB0" w:rsidRPr="00A756C9" w:rsidRDefault="00BA3EB0" w:rsidP="00910619">
            <w:pPr>
              <w:spacing w:line="240" w:lineRule="auto"/>
              <w:rPr>
                <w:rFonts w:cs="Times New Roman"/>
                <w:szCs w:val="24"/>
              </w:rPr>
            </w:pPr>
            <w:r w:rsidRPr="00A756C9">
              <w:rPr>
                <w:rFonts w:cs="Times New Roman"/>
                <w:szCs w:val="24"/>
              </w:rPr>
              <w:t>1.0000</w:t>
            </w:r>
          </w:p>
        </w:tc>
        <w:tc>
          <w:tcPr>
            <w:tcW w:w="983" w:type="dxa"/>
            <w:vAlign w:val="center"/>
          </w:tcPr>
          <w:p w14:paraId="1348151E" w14:textId="77777777" w:rsidR="00BA3EB0" w:rsidRPr="00A756C9" w:rsidRDefault="00BA3EB0" w:rsidP="00910619">
            <w:pPr>
              <w:spacing w:line="240" w:lineRule="auto"/>
              <w:rPr>
                <w:rFonts w:cs="Times New Roman"/>
                <w:szCs w:val="24"/>
              </w:rPr>
            </w:pPr>
          </w:p>
        </w:tc>
        <w:tc>
          <w:tcPr>
            <w:tcW w:w="685" w:type="dxa"/>
            <w:vAlign w:val="center"/>
          </w:tcPr>
          <w:p w14:paraId="4F5ECA88" w14:textId="77777777" w:rsidR="00BA3EB0" w:rsidRPr="00A756C9" w:rsidRDefault="00BA3EB0" w:rsidP="00910619">
            <w:pPr>
              <w:spacing w:line="240" w:lineRule="auto"/>
              <w:rPr>
                <w:rFonts w:cs="Times New Roman"/>
                <w:szCs w:val="24"/>
              </w:rPr>
            </w:pPr>
          </w:p>
        </w:tc>
      </w:tr>
      <w:tr w:rsidR="00BA3EB0" w:rsidRPr="00A756C9" w14:paraId="0314E42F" w14:textId="77777777" w:rsidTr="00A561C7">
        <w:trPr>
          <w:trHeight w:val="539"/>
          <w:tblCellSpacing w:w="15" w:type="dxa"/>
        </w:trPr>
        <w:tc>
          <w:tcPr>
            <w:tcW w:w="1940" w:type="dxa"/>
            <w:vAlign w:val="center"/>
            <w:hideMark/>
          </w:tcPr>
          <w:p w14:paraId="69819426" w14:textId="77777777" w:rsidR="00BA3EB0" w:rsidRPr="00A756C9" w:rsidRDefault="00BA3EB0" w:rsidP="00910619">
            <w:pPr>
              <w:spacing w:line="240" w:lineRule="auto"/>
              <w:rPr>
                <w:rFonts w:cs="Times New Roman"/>
                <w:szCs w:val="24"/>
              </w:rPr>
            </w:pPr>
            <w:r w:rsidRPr="00A756C9">
              <w:rPr>
                <w:rFonts w:cs="Times New Roman"/>
                <w:szCs w:val="24"/>
              </w:rPr>
              <w:t>Financial development</w:t>
            </w:r>
          </w:p>
        </w:tc>
        <w:tc>
          <w:tcPr>
            <w:tcW w:w="899" w:type="dxa"/>
            <w:vAlign w:val="center"/>
            <w:hideMark/>
          </w:tcPr>
          <w:p w14:paraId="2B1D648D" w14:textId="77777777" w:rsidR="00BA3EB0" w:rsidRPr="00A756C9" w:rsidRDefault="00BA3EB0" w:rsidP="00910619">
            <w:pPr>
              <w:spacing w:line="240" w:lineRule="auto"/>
              <w:rPr>
                <w:rFonts w:cs="Times New Roman"/>
                <w:szCs w:val="24"/>
              </w:rPr>
            </w:pPr>
            <w:r w:rsidRPr="00A756C9">
              <w:rPr>
                <w:rFonts w:cs="Times New Roman"/>
                <w:szCs w:val="24"/>
              </w:rPr>
              <w:t>0.1625*</w:t>
            </w:r>
          </w:p>
        </w:tc>
        <w:tc>
          <w:tcPr>
            <w:tcW w:w="899" w:type="dxa"/>
            <w:vAlign w:val="center"/>
            <w:hideMark/>
          </w:tcPr>
          <w:p w14:paraId="21A75189" w14:textId="77777777" w:rsidR="00BA3EB0" w:rsidRPr="00A756C9" w:rsidRDefault="00BA3EB0" w:rsidP="00910619">
            <w:pPr>
              <w:spacing w:line="240" w:lineRule="auto"/>
              <w:rPr>
                <w:rFonts w:cs="Times New Roman"/>
                <w:szCs w:val="24"/>
              </w:rPr>
            </w:pPr>
            <w:r w:rsidRPr="00A756C9">
              <w:rPr>
                <w:rFonts w:cs="Times New Roman"/>
                <w:szCs w:val="24"/>
              </w:rPr>
              <w:t>0.1269*</w:t>
            </w:r>
          </w:p>
        </w:tc>
        <w:tc>
          <w:tcPr>
            <w:tcW w:w="899" w:type="dxa"/>
            <w:vAlign w:val="center"/>
            <w:hideMark/>
          </w:tcPr>
          <w:p w14:paraId="2AEFC638" w14:textId="77777777" w:rsidR="00BA3EB0" w:rsidRPr="00A756C9" w:rsidRDefault="00BA3EB0" w:rsidP="00910619">
            <w:pPr>
              <w:spacing w:line="240" w:lineRule="auto"/>
              <w:rPr>
                <w:rFonts w:cs="Times New Roman"/>
                <w:szCs w:val="24"/>
              </w:rPr>
            </w:pPr>
            <w:r w:rsidRPr="00A756C9">
              <w:rPr>
                <w:rFonts w:cs="Times New Roman"/>
                <w:szCs w:val="24"/>
              </w:rPr>
              <w:t>0.0890*</w:t>
            </w:r>
          </w:p>
        </w:tc>
        <w:tc>
          <w:tcPr>
            <w:tcW w:w="899" w:type="dxa"/>
            <w:vAlign w:val="center"/>
            <w:hideMark/>
          </w:tcPr>
          <w:p w14:paraId="4B9416D4" w14:textId="77777777" w:rsidR="00BA3EB0" w:rsidRPr="00A756C9" w:rsidRDefault="00BA3EB0" w:rsidP="00910619">
            <w:pPr>
              <w:spacing w:line="240" w:lineRule="auto"/>
              <w:rPr>
                <w:rFonts w:cs="Times New Roman"/>
                <w:szCs w:val="24"/>
              </w:rPr>
            </w:pPr>
            <w:r w:rsidRPr="00A756C9">
              <w:rPr>
                <w:rFonts w:cs="Times New Roman"/>
                <w:szCs w:val="24"/>
              </w:rPr>
              <w:t>0.0227</w:t>
            </w:r>
          </w:p>
        </w:tc>
        <w:tc>
          <w:tcPr>
            <w:tcW w:w="899" w:type="dxa"/>
            <w:vAlign w:val="center"/>
            <w:hideMark/>
          </w:tcPr>
          <w:p w14:paraId="0B3C9D9C" w14:textId="77777777" w:rsidR="00BA3EB0" w:rsidRPr="00A756C9" w:rsidRDefault="00BA3EB0" w:rsidP="00910619">
            <w:pPr>
              <w:spacing w:line="240" w:lineRule="auto"/>
              <w:rPr>
                <w:rFonts w:cs="Times New Roman"/>
                <w:szCs w:val="24"/>
              </w:rPr>
            </w:pPr>
            <w:r w:rsidRPr="00A756C9">
              <w:rPr>
                <w:rFonts w:cs="Times New Roman"/>
                <w:szCs w:val="24"/>
              </w:rPr>
              <w:t>0.0395</w:t>
            </w:r>
          </w:p>
        </w:tc>
        <w:tc>
          <w:tcPr>
            <w:tcW w:w="983" w:type="dxa"/>
            <w:vAlign w:val="center"/>
            <w:hideMark/>
          </w:tcPr>
          <w:p w14:paraId="2F770DF0" w14:textId="77777777" w:rsidR="00BA3EB0" w:rsidRPr="00A756C9" w:rsidRDefault="00BA3EB0" w:rsidP="00910619">
            <w:pPr>
              <w:spacing w:line="240" w:lineRule="auto"/>
              <w:rPr>
                <w:rFonts w:cs="Times New Roman"/>
                <w:szCs w:val="24"/>
              </w:rPr>
            </w:pPr>
            <w:r w:rsidRPr="00A756C9">
              <w:rPr>
                <w:rFonts w:cs="Times New Roman"/>
                <w:szCs w:val="24"/>
              </w:rPr>
              <w:t xml:space="preserve">0.0255 </w:t>
            </w:r>
          </w:p>
        </w:tc>
        <w:tc>
          <w:tcPr>
            <w:tcW w:w="983" w:type="dxa"/>
            <w:vAlign w:val="center"/>
          </w:tcPr>
          <w:p w14:paraId="055E86BC"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685" w:type="dxa"/>
            <w:vAlign w:val="center"/>
            <w:hideMark/>
          </w:tcPr>
          <w:p w14:paraId="166385E8" w14:textId="77777777" w:rsidR="00BA3EB0" w:rsidRPr="00A756C9" w:rsidRDefault="00BA3EB0" w:rsidP="00910619">
            <w:pPr>
              <w:spacing w:line="240" w:lineRule="auto"/>
              <w:rPr>
                <w:rFonts w:cs="Times New Roman"/>
                <w:szCs w:val="24"/>
              </w:rPr>
            </w:pPr>
          </w:p>
        </w:tc>
      </w:tr>
      <w:tr w:rsidR="00BA3EB0" w:rsidRPr="00A756C9" w14:paraId="51B80874" w14:textId="77777777" w:rsidTr="00A561C7">
        <w:trPr>
          <w:trHeight w:val="520"/>
          <w:tblCellSpacing w:w="15" w:type="dxa"/>
        </w:trPr>
        <w:tc>
          <w:tcPr>
            <w:tcW w:w="1940" w:type="dxa"/>
            <w:vAlign w:val="center"/>
            <w:hideMark/>
          </w:tcPr>
          <w:p w14:paraId="53829CD0" w14:textId="77777777" w:rsidR="00BA3EB0" w:rsidRPr="00A756C9" w:rsidRDefault="00BA3EB0" w:rsidP="00910619">
            <w:pPr>
              <w:spacing w:line="240" w:lineRule="auto"/>
              <w:rPr>
                <w:rFonts w:cs="Times New Roman"/>
                <w:szCs w:val="24"/>
              </w:rPr>
            </w:pPr>
            <w:r w:rsidRPr="00A756C9">
              <w:rPr>
                <w:rFonts w:cs="Times New Roman"/>
                <w:szCs w:val="24"/>
              </w:rPr>
              <w:t>Economic growth</w:t>
            </w:r>
          </w:p>
        </w:tc>
        <w:tc>
          <w:tcPr>
            <w:tcW w:w="899" w:type="dxa"/>
            <w:vAlign w:val="center"/>
            <w:hideMark/>
          </w:tcPr>
          <w:p w14:paraId="54C6CB2E" w14:textId="77777777" w:rsidR="00BA3EB0" w:rsidRPr="00A756C9" w:rsidRDefault="00BA3EB0" w:rsidP="00910619">
            <w:pPr>
              <w:spacing w:line="240" w:lineRule="auto"/>
              <w:rPr>
                <w:rFonts w:cs="Times New Roman"/>
                <w:szCs w:val="24"/>
              </w:rPr>
            </w:pPr>
            <w:r w:rsidRPr="00A756C9">
              <w:rPr>
                <w:rFonts w:cs="Times New Roman"/>
                <w:szCs w:val="24"/>
              </w:rPr>
              <w:t>0.6955*</w:t>
            </w:r>
          </w:p>
        </w:tc>
        <w:tc>
          <w:tcPr>
            <w:tcW w:w="899" w:type="dxa"/>
            <w:vAlign w:val="center"/>
            <w:hideMark/>
          </w:tcPr>
          <w:p w14:paraId="696D789A" w14:textId="77777777" w:rsidR="00BA3EB0" w:rsidRPr="00A756C9" w:rsidRDefault="00BA3EB0" w:rsidP="00910619">
            <w:pPr>
              <w:spacing w:line="240" w:lineRule="auto"/>
              <w:rPr>
                <w:rFonts w:cs="Times New Roman"/>
                <w:szCs w:val="24"/>
              </w:rPr>
            </w:pPr>
            <w:r w:rsidRPr="00A756C9">
              <w:rPr>
                <w:rFonts w:cs="Times New Roman"/>
                <w:szCs w:val="24"/>
              </w:rPr>
              <w:t>0.6675*</w:t>
            </w:r>
          </w:p>
        </w:tc>
        <w:tc>
          <w:tcPr>
            <w:tcW w:w="899" w:type="dxa"/>
            <w:vAlign w:val="center"/>
            <w:hideMark/>
          </w:tcPr>
          <w:p w14:paraId="27B8A46F" w14:textId="77777777" w:rsidR="00BA3EB0" w:rsidRPr="00A756C9" w:rsidRDefault="00BA3EB0" w:rsidP="00910619">
            <w:pPr>
              <w:spacing w:line="240" w:lineRule="auto"/>
              <w:rPr>
                <w:rFonts w:cs="Times New Roman"/>
                <w:szCs w:val="24"/>
              </w:rPr>
            </w:pPr>
            <w:r w:rsidRPr="00A756C9">
              <w:rPr>
                <w:rFonts w:cs="Times New Roman"/>
                <w:szCs w:val="24"/>
              </w:rPr>
              <w:t>0.0250</w:t>
            </w:r>
          </w:p>
        </w:tc>
        <w:tc>
          <w:tcPr>
            <w:tcW w:w="899" w:type="dxa"/>
            <w:vAlign w:val="center"/>
            <w:hideMark/>
          </w:tcPr>
          <w:p w14:paraId="7188ECCB" w14:textId="77777777" w:rsidR="00BA3EB0" w:rsidRPr="00A756C9" w:rsidRDefault="00BA3EB0" w:rsidP="00910619">
            <w:pPr>
              <w:spacing w:line="240" w:lineRule="auto"/>
              <w:rPr>
                <w:rFonts w:cs="Times New Roman"/>
                <w:szCs w:val="24"/>
              </w:rPr>
            </w:pPr>
            <w:r w:rsidRPr="00A756C9">
              <w:rPr>
                <w:rFonts w:cs="Times New Roman"/>
                <w:szCs w:val="24"/>
              </w:rPr>
              <w:t>0.0893*</w:t>
            </w:r>
          </w:p>
        </w:tc>
        <w:tc>
          <w:tcPr>
            <w:tcW w:w="899" w:type="dxa"/>
            <w:vAlign w:val="center"/>
            <w:hideMark/>
          </w:tcPr>
          <w:p w14:paraId="2CF129F9" w14:textId="77777777" w:rsidR="00BA3EB0" w:rsidRPr="00A756C9" w:rsidRDefault="00BA3EB0" w:rsidP="00910619">
            <w:pPr>
              <w:spacing w:line="240" w:lineRule="auto"/>
              <w:rPr>
                <w:rFonts w:cs="Times New Roman"/>
                <w:szCs w:val="24"/>
              </w:rPr>
            </w:pPr>
            <w:r w:rsidRPr="00A756C9">
              <w:rPr>
                <w:rFonts w:cs="Times New Roman"/>
                <w:szCs w:val="24"/>
              </w:rPr>
              <w:t>-0.1736*</w:t>
            </w:r>
          </w:p>
        </w:tc>
        <w:tc>
          <w:tcPr>
            <w:tcW w:w="983" w:type="dxa"/>
            <w:vAlign w:val="center"/>
            <w:hideMark/>
          </w:tcPr>
          <w:p w14:paraId="3AE4039C" w14:textId="77777777" w:rsidR="00BA3EB0" w:rsidRPr="00A756C9" w:rsidRDefault="00BA3EB0" w:rsidP="00910619">
            <w:pPr>
              <w:spacing w:line="240" w:lineRule="auto"/>
              <w:rPr>
                <w:rFonts w:cs="Times New Roman"/>
                <w:szCs w:val="24"/>
              </w:rPr>
            </w:pPr>
            <w:r w:rsidRPr="00A756C9">
              <w:rPr>
                <w:rFonts w:cs="Times New Roman"/>
                <w:szCs w:val="24"/>
              </w:rPr>
              <w:t>-0.0593</w:t>
            </w:r>
          </w:p>
        </w:tc>
        <w:tc>
          <w:tcPr>
            <w:tcW w:w="983" w:type="dxa"/>
            <w:vAlign w:val="center"/>
          </w:tcPr>
          <w:p w14:paraId="586B3C74" w14:textId="77777777" w:rsidR="00BA3EB0" w:rsidRPr="00A756C9" w:rsidRDefault="00BA3EB0" w:rsidP="00910619">
            <w:pPr>
              <w:spacing w:line="240" w:lineRule="auto"/>
              <w:rPr>
                <w:rFonts w:cs="Times New Roman"/>
                <w:szCs w:val="24"/>
              </w:rPr>
            </w:pPr>
            <w:r w:rsidRPr="00A756C9">
              <w:rPr>
                <w:rFonts w:cs="Times New Roman"/>
                <w:szCs w:val="24"/>
              </w:rPr>
              <w:t>0.1490*</w:t>
            </w:r>
          </w:p>
        </w:tc>
        <w:tc>
          <w:tcPr>
            <w:tcW w:w="685" w:type="dxa"/>
            <w:vAlign w:val="center"/>
            <w:hideMark/>
          </w:tcPr>
          <w:p w14:paraId="24FB249B" w14:textId="77777777" w:rsidR="00BA3EB0" w:rsidRPr="00A756C9" w:rsidRDefault="00BA3EB0" w:rsidP="00910619">
            <w:pPr>
              <w:spacing w:line="240" w:lineRule="auto"/>
              <w:rPr>
                <w:rFonts w:cs="Times New Roman"/>
                <w:szCs w:val="24"/>
              </w:rPr>
            </w:pPr>
            <w:r w:rsidRPr="00A756C9">
              <w:rPr>
                <w:rFonts w:cs="Times New Roman"/>
                <w:szCs w:val="24"/>
              </w:rPr>
              <w:t xml:space="preserve">1.000 </w:t>
            </w:r>
          </w:p>
        </w:tc>
      </w:tr>
    </w:tbl>
    <w:bookmarkEnd w:id="6"/>
    <w:p w14:paraId="1C29222F" w14:textId="77777777" w:rsidR="00E560C0" w:rsidRDefault="00E560C0" w:rsidP="00910619">
      <w:pPr>
        <w:spacing w:line="240" w:lineRule="auto"/>
        <w:jc w:val="both"/>
        <w:rPr>
          <w:rFonts w:cs="Times New Roman"/>
          <w:b/>
          <w:bCs/>
          <w:color w:val="000000" w:themeColor="text1"/>
          <w:szCs w:val="24"/>
        </w:rPr>
      </w:pPr>
      <w:r w:rsidRPr="00A756C9">
        <w:rPr>
          <w:rFonts w:cs="Times New Roman"/>
          <w:b/>
          <w:bCs/>
          <w:color w:val="000000" w:themeColor="text1"/>
          <w:szCs w:val="24"/>
        </w:rPr>
        <w:t>Source: Authors computation</w:t>
      </w:r>
    </w:p>
    <w:p w14:paraId="3A5D2E93" w14:textId="77777777" w:rsidR="000A479B" w:rsidRPr="00A756C9" w:rsidRDefault="009721EF" w:rsidP="00910619">
      <w:pPr>
        <w:spacing w:line="240" w:lineRule="auto"/>
        <w:rPr>
          <w:rFonts w:cs="Times New Roman"/>
          <w:b/>
          <w:bCs/>
          <w:szCs w:val="24"/>
        </w:rPr>
      </w:pPr>
      <w:r>
        <w:rPr>
          <w:rFonts w:cs="Times New Roman"/>
          <w:b/>
          <w:bCs/>
          <w:szCs w:val="24"/>
        </w:rPr>
        <w:t>5</w:t>
      </w:r>
      <w:r w:rsidR="00861C50" w:rsidRPr="00A756C9">
        <w:rPr>
          <w:rFonts w:cs="Times New Roman"/>
          <w:b/>
          <w:bCs/>
          <w:szCs w:val="24"/>
        </w:rPr>
        <w:t xml:space="preserve">.4 </w:t>
      </w:r>
      <w:r w:rsidR="000A479B" w:rsidRPr="00A756C9">
        <w:rPr>
          <w:rFonts w:cs="Times New Roman"/>
          <w:b/>
          <w:bCs/>
          <w:szCs w:val="24"/>
        </w:rPr>
        <w:t>Regression results</w:t>
      </w:r>
    </w:p>
    <w:p w14:paraId="5B42D6E4" w14:textId="29434F6E" w:rsidR="00581861" w:rsidRPr="00581861" w:rsidRDefault="00581861" w:rsidP="00581861">
      <w:pPr>
        <w:pStyle w:val="Caption"/>
        <w:keepNext/>
        <w:jc w:val="both"/>
        <w:rPr>
          <w:rFonts w:ascii="Times New Roman" w:hAnsi="Times New Roman"/>
          <w:i w:val="0"/>
          <w:iCs w:val="0"/>
          <w:color w:val="auto"/>
          <w:kern w:val="0"/>
          <w:sz w:val="24"/>
          <w:szCs w:val="24"/>
        </w:rPr>
      </w:pPr>
      <w:r w:rsidRPr="00581861">
        <w:rPr>
          <w:rFonts w:ascii="Times New Roman" w:hAnsi="Times New Roman"/>
          <w:i w:val="0"/>
          <w:iCs w:val="0"/>
          <w:color w:val="auto"/>
          <w:kern w:val="0"/>
          <w:sz w:val="24"/>
          <w:szCs w:val="24"/>
        </w:rPr>
        <w:t xml:space="preserve">Table </w:t>
      </w:r>
      <w:r w:rsidR="00286B7D">
        <w:rPr>
          <w:rFonts w:ascii="Times New Roman" w:hAnsi="Times New Roman"/>
          <w:i w:val="0"/>
          <w:iCs w:val="0"/>
          <w:color w:val="auto"/>
          <w:kern w:val="0"/>
          <w:sz w:val="24"/>
          <w:szCs w:val="24"/>
        </w:rPr>
        <w:t>4</w:t>
      </w:r>
      <w:r w:rsidRPr="00581861">
        <w:rPr>
          <w:rFonts w:ascii="Times New Roman" w:hAnsi="Times New Roman"/>
          <w:i w:val="0"/>
          <w:iCs w:val="0"/>
          <w:color w:val="auto"/>
          <w:kern w:val="0"/>
          <w:sz w:val="24"/>
          <w:szCs w:val="24"/>
        </w:rPr>
        <w:t xml:space="preserve"> below proposes two models in an attempt to establish a correlation between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a series of control and independent variables in Sub-Saharan Africa. Model 1 tests the correlation between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a series of control variables (Foreign Direct Investment [FDI], population, and industrialization). In this model, the FDI coefficient is positive and significant (β = 0.568, p &lt; 0.01), which affirms that countries in Sub-Saharan Africa with higher FDI record higher levels of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This trend depicts a situation where FDI is mainly channeled into sectors with high carbon intensity, such as mining, industries, and energy production, which are core to Sub-Saharan countries for economic development purposes (</w:t>
      </w:r>
      <w:proofErr w:type="spellStart"/>
      <w:r w:rsidRPr="00581861">
        <w:rPr>
          <w:rFonts w:ascii="Times New Roman" w:hAnsi="Times New Roman"/>
          <w:i w:val="0"/>
          <w:iCs w:val="0"/>
          <w:color w:val="auto"/>
          <w:kern w:val="0"/>
          <w:sz w:val="24"/>
          <w:szCs w:val="24"/>
        </w:rPr>
        <w:t>Doytch</w:t>
      </w:r>
      <w:proofErr w:type="spellEnd"/>
      <w:r w:rsidRPr="00581861">
        <w:rPr>
          <w:rFonts w:ascii="Times New Roman" w:hAnsi="Times New Roman"/>
          <w:i w:val="0"/>
          <w:iCs w:val="0"/>
          <w:color w:val="auto"/>
          <w:kern w:val="0"/>
          <w:sz w:val="24"/>
          <w:szCs w:val="24"/>
        </w:rPr>
        <w:t xml:space="preserve">, 2020). Among countries in Sub-Saharan Africa with these qualities are South Africa, Rwanda, Egypt, Mauritius, Côte d'Ivoire, Ghana, Nigeria, Kenya, Tunisia, and Algeria. Studies have found FDI, especially in industries with high energy intensity, and industrialization to be primary contributors to environmental degradation and increased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developing countries such as those in Sub-Saharan Africa (Yang et al., 2024; Wang &amp; Wang, 2015).</w:t>
      </w:r>
    </w:p>
    <w:p w14:paraId="20F73887" w14:textId="71A62591" w:rsidR="00581861" w:rsidRPr="00581861" w:rsidRDefault="00581861" w:rsidP="00581861">
      <w:pPr>
        <w:pStyle w:val="Caption"/>
        <w:keepNext/>
        <w:jc w:val="both"/>
        <w:rPr>
          <w:rFonts w:ascii="Times New Roman" w:hAnsi="Times New Roman"/>
          <w:i w:val="0"/>
          <w:iCs w:val="0"/>
          <w:color w:val="auto"/>
          <w:kern w:val="0"/>
          <w:sz w:val="24"/>
          <w:szCs w:val="24"/>
        </w:rPr>
      </w:pPr>
      <w:r w:rsidRPr="00581861">
        <w:rPr>
          <w:rFonts w:ascii="Times New Roman" w:hAnsi="Times New Roman"/>
          <w:i w:val="0"/>
          <w:iCs w:val="0"/>
          <w:color w:val="auto"/>
          <w:kern w:val="0"/>
          <w:sz w:val="24"/>
          <w:szCs w:val="24"/>
        </w:rPr>
        <w:t xml:space="preserve">Population is negatively and significantly linked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-0.214, p &lt; 0.01), indicating that in regions with higher population densities, there can be lower emissions because of sharing in resources, better infrastructure, and a focus on sustainable development policies. Of course, this negative correlation can be attributed to SSA regions, where higher </w:t>
      </w:r>
      <w:r w:rsidRPr="00581861">
        <w:rPr>
          <w:rFonts w:ascii="Times New Roman" w:hAnsi="Times New Roman"/>
          <w:i w:val="0"/>
          <w:iCs w:val="0"/>
          <w:color w:val="auto"/>
          <w:kern w:val="0"/>
          <w:sz w:val="24"/>
          <w:szCs w:val="24"/>
        </w:rPr>
        <w:lastRenderedPageBreak/>
        <w:t xml:space="preserve">population densities are accompanied by efficient energy usage in urbanized regions such as Nigeria, DRC, Ethiopia, South Africa, and other SSA countries with economies working towards efficient energy consumption in cities such as Kebede et al. in 2010, or reduced energy consumption in less-populated and developing regions with less access to energy such as Kebede et al. in 2010. Industrialization is strongly and positively linked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0.952, p &lt; 0.01) because SSA countries' industries are growing based on resource exploitation and energy-hungry industries such as Grossman &amp; Krueger in 1995. A remarkable increase in industrialization can be observed in countries such as Benin, Ethiopia, Eritrea, Gabon, Guinea, Mauritania, Mozambique, Senegal, and Seychelles.</w:t>
      </w:r>
    </w:p>
    <w:p w14:paraId="0913375D" w14:textId="1F724CB1" w:rsidR="0083199B" w:rsidRDefault="00581861" w:rsidP="00581861">
      <w:pPr>
        <w:pStyle w:val="Caption"/>
        <w:keepNext/>
        <w:jc w:val="both"/>
        <w:rPr>
          <w:rFonts w:ascii="Times New Roman" w:eastAsiaTheme="minorHAnsi" w:hAnsi="Times New Roman"/>
          <w:i w:val="0"/>
          <w:iCs w:val="0"/>
          <w:color w:val="auto"/>
          <w:kern w:val="0"/>
          <w:sz w:val="24"/>
          <w:szCs w:val="24"/>
        </w:rPr>
      </w:pPr>
      <w:r w:rsidRPr="00581861">
        <w:rPr>
          <w:rFonts w:ascii="Times New Roman" w:hAnsi="Times New Roman"/>
          <w:i w:val="0"/>
          <w:iCs w:val="0"/>
          <w:color w:val="auto"/>
          <w:kern w:val="0"/>
          <w:sz w:val="24"/>
          <w:szCs w:val="24"/>
        </w:rPr>
        <w:t xml:space="preserve">Model 2 incorporates control variables and independent variables, providing more information. Controlling for energy usage and financial evolution, FDI starts to negatively impact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-0.118, p &lt; 0.01), suggesting FDI can potentially support a switch to cleaner technology or more environmentally friendly behavior given a proper financial and governance setup (Yeboah et al., 2024). Sustainability of population negatively affects this model too (β = -0.233, p &lt; 0.05), emphasizing again population increase does not have to implicate increased degradation under specific settings, perhaps because of more efficient urban infrastructure or better environmental governance. Industrialization strongly and positively affects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again (β = 1.494, p &lt; 0.05), emphasizing again an important role of industrial activities in SSA’s emissions considering SSA's fact of using fossil fuels for energy generation over time (Appiah et al., 2021). Furthermore, renewable energy consumption shows a statistically significant negative relationship with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Sub-Saharan African countries (β = -0.050, p &lt; 0.01), thus establishing the importance of using renewable energy in reducing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thus accepting H1. The results are consistent with the global perspective concerning the effect of using renewable energy, which shows a substantial reduction in carbon footprints in developing countries such as those in Sub-Saharan Africa (Shahbaz et al., 2017). Meanwhile, non-renewable energy consumption shows a positive relationship with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Sub-Saharan African countries (β = 0.034, p &lt; 0.05), thus indicating that non-renewable energy consumption in these countries remains a major contributor to environmental degradation and thus proposing hydrogen energy solutions. The Sub-Saharan countries are increasingly opting for renewable energy in a bid to reduce emissions, ensure energy security, and achieve sustainable development (Akinyemi et al., 2019). As of 2023, South Africa had topped the entire continent with an installed capacity of renewable energy with a capacity of 10.62 GW, an increase just above 17% of the total capacity in all of Sub-Saharan Africa. Egypt followed with an approximate capacity of 6.7 GW, with Ethiopia following closely with a capacity of 5.55 GW. Indicative of these observations is the global perspective where using renewable energy shows a substantial reduction in greenhouse gas emissions in developing countries with increased fossil fuel consumption in higher proportions (Sarkodie &amp; Adams, 2018). Furthermore, financial development is positively related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0.062, p &lt; 0.01) and economic growth is also positively related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0.850, p &lt; 0.05). This shows that when financial sectors grow and economies grow, industries and consumption of energy will grow, hence increasing emissions. As such, hypotheses 3 and 4 are accepted. Hypotheses 3 and 4 being accepted explain a fact explained by Grossman &amp; Kruger in 1995 in the environmental Kuznets curve, which states that when countries experience economic growth, they have environmental degradation, but when they attain higher levels of income, they experience better environments. The influence of financial development on increased emissions </w:t>
      </w:r>
      <w:r w:rsidRPr="00581861">
        <w:rPr>
          <w:rFonts w:ascii="Times New Roman" w:hAnsi="Times New Roman"/>
          <w:i w:val="0"/>
          <w:iCs w:val="0"/>
          <w:color w:val="auto"/>
          <w:kern w:val="0"/>
          <w:sz w:val="24"/>
          <w:szCs w:val="24"/>
        </w:rPr>
        <w:lastRenderedPageBreak/>
        <w:t>can, therefore, be explained by an emerging financial sector in SSA countries where financial investments are not incentivized towards green alternatives. A case in point is when countries in SSA experience higher financial and economic growth, such in Nigeria and South Africa, where higher emissions are experienced because of increasing industries and energy consumption</w:t>
      </w:r>
      <w:r w:rsidR="009B5CD7" w:rsidRPr="009B5CD7">
        <w:rPr>
          <w:rFonts w:ascii="Times New Roman" w:hAnsi="Times New Roman"/>
          <w:i w:val="0"/>
          <w:iCs w:val="0"/>
          <w:color w:val="000000" w:themeColor="text1"/>
          <w:sz w:val="24"/>
          <w:szCs w:val="24"/>
        </w:rPr>
        <w:t>.</w:t>
      </w:r>
    </w:p>
    <w:p w14:paraId="413FA4C8" w14:textId="06354D4E" w:rsidR="00E560C0" w:rsidRPr="00A756C9" w:rsidRDefault="00E560C0" w:rsidP="00910619">
      <w:pPr>
        <w:pStyle w:val="Caption"/>
        <w:keepNext/>
        <w:rPr>
          <w:rFonts w:ascii="Times New Roman" w:hAnsi="Times New Roman"/>
          <w:i w:val="0"/>
          <w:iCs w:val="0"/>
          <w:color w:val="auto"/>
          <w:sz w:val="24"/>
          <w:szCs w:val="24"/>
        </w:rPr>
      </w:pPr>
      <w:r w:rsidRPr="00A756C9">
        <w:rPr>
          <w:rFonts w:ascii="Times New Roman" w:hAnsi="Times New Roman"/>
          <w:i w:val="0"/>
          <w:iCs w:val="0"/>
          <w:color w:val="auto"/>
          <w:sz w:val="24"/>
          <w:szCs w:val="24"/>
        </w:rPr>
        <w:t>Table</w:t>
      </w:r>
      <w:r w:rsidR="00286B7D">
        <w:rPr>
          <w:rFonts w:ascii="Times New Roman" w:hAnsi="Times New Roman"/>
          <w:i w:val="0"/>
          <w:iCs w:val="0"/>
          <w:color w:val="auto"/>
          <w:sz w:val="24"/>
          <w:szCs w:val="24"/>
        </w:rPr>
        <w:t>4</w:t>
      </w:r>
      <w:r w:rsidRPr="00A756C9">
        <w:rPr>
          <w:rFonts w:ascii="Times New Roman" w:hAnsi="Times New Roman"/>
          <w:i w:val="0"/>
          <w:iCs w:val="0"/>
          <w:color w:val="auto"/>
          <w:sz w:val="24"/>
          <w:szCs w:val="24"/>
        </w:rPr>
        <w:t>: System GMM results</w:t>
      </w:r>
    </w:p>
    <w:tbl>
      <w:tblPr>
        <w:tblW w:w="9363" w:type="dxa"/>
        <w:tblCellSpacing w:w="15" w:type="dxa"/>
        <w:tblCellMar>
          <w:top w:w="15" w:type="dxa"/>
          <w:left w:w="15" w:type="dxa"/>
          <w:bottom w:w="15" w:type="dxa"/>
          <w:right w:w="15" w:type="dxa"/>
        </w:tblCellMar>
        <w:tblLook w:val="04A0" w:firstRow="1" w:lastRow="0" w:firstColumn="1" w:lastColumn="0" w:noHBand="0" w:noVBand="1"/>
      </w:tblPr>
      <w:tblGrid>
        <w:gridCol w:w="3357"/>
        <w:gridCol w:w="3024"/>
        <w:gridCol w:w="2982"/>
      </w:tblGrid>
      <w:tr w:rsidR="0037310D" w:rsidRPr="00A756C9" w14:paraId="707AA97F" w14:textId="77777777" w:rsidTr="00A561C7">
        <w:trPr>
          <w:trHeight w:hRule="exact" w:val="2"/>
          <w:tblCellSpacing w:w="15" w:type="dxa"/>
        </w:trPr>
        <w:tc>
          <w:tcPr>
            <w:tcW w:w="3312" w:type="dxa"/>
            <w:vAlign w:val="center"/>
            <w:hideMark/>
          </w:tcPr>
          <w:p w14:paraId="41A156C3" w14:textId="77777777" w:rsidR="0037310D" w:rsidRPr="00A756C9" w:rsidRDefault="0037310D" w:rsidP="00910619">
            <w:pPr>
              <w:spacing w:line="240" w:lineRule="auto"/>
              <w:jc w:val="both"/>
              <w:rPr>
                <w:rFonts w:cs="Times New Roman"/>
                <w:color w:val="000000" w:themeColor="text1"/>
                <w:szCs w:val="24"/>
              </w:rPr>
            </w:pPr>
          </w:p>
        </w:tc>
        <w:tc>
          <w:tcPr>
            <w:tcW w:w="2994" w:type="dxa"/>
            <w:vAlign w:val="center"/>
            <w:hideMark/>
          </w:tcPr>
          <w:p w14:paraId="658A42F7"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0437EC8E"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7CB956DC" w14:textId="77777777" w:rsidTr="00A561C7">
        <w:trPr>
          <w:trHeight w:val="107"/>
          <w:tblCellSpacing w:w="15" w:type="dxa"/>
        </w:trPr>
        <w:tc>
          <w:tcPr>
            <w:tcW w:w="3312" w:type="dxa"/>
            <w:tcBorders>
              <w:top w:val="single" w:sz="18" w:space="0" w:color="auto"/>
            </w:tcBorders>
            <w:vAlign w:val="center"/>
            <w:hideMark/>
          </w:tcPr>
          <w:p w14:paraId="2CC569E5" w14:textId="1651B013" w:rsidR="0037310D" w:rsidRPr="00A756C9" w:rsidRDefault="004B55C3" w:rsidP="00910619">
            <w:pPr>
              <w:spacing w:line="240" w:lineRule="auto"/>
              <w:jc w:val="both"/>
              <w:rPr>
                <w:rFonts w:cs="Times New Roman"/>
                <w:color w:val="000000" w:themeColor="text1"/>
                <w:szCs w:val="24"/>
              </w:rPr>
            </w:pPr>
            <w:r>
              <w:rPr>
                <w:rFonts w:cs="Times New Roman"/>
                <w:color w:val="000000" w:themeColor="text1"/>
                <w:szCs w:val="24"/>
              </w:rPr>
              <w:t>Environmental sustainability</w:t>
            </w:r>
          </w:p>
        </w:tc>
        <w:tc>
          <w:tcPr>
            <w:tcW w:w="2994" w:type="dxa"/>
            <w:tcBorders>
              <w:top w:val="single" w:sz="18" w:space="0" w:color="auto"/>
            </w:tcBorders>
            <w:vAlign w:val="center"/>
            <w:hideMark/>
          </w:tcPr>
          <w:p w14:paraId="2C7C3A4E"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0" w:type="auto"/>
            <w:tcBorders>
              <w:top w:val="single" w:sz="18" w:space="0" w:color="auto"/>
            </w:tcBorders>
            <w:vAlign w:val="center"/>
            <w:hideMark/>
          </w:tcPr>
          <w:p w14:paraId="34D57A15"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r>
      <w:tr w:rsidR="0037310D" w:rsidRPr="00A756C9" w14:paraId="68335FE2" w14:textId="77777777" w:rsidTr="00A561C7">
        <w:trPr>
          <w:trHeight w:hRule="exact" w:val="2"/>
          <w:tblCellSpacing w:w="15" w:type="dxa"/>
        </w:trPr>
        <w:tc>
          <w:tcPr>
            <w:tcW w:w="3312" w:type="dxa"/>
            <w:vAlign w:val="center"/>
            <w:hideMark/>
          </w:tcPr>
          <w:p w14:paraId="6D4630F4" w14:textId="77777777" w:rsidR="0037310D" w:rsidRPr="00A756C9" w:rsidRDefault="0037310D" w:rsidP="00910619">
            <w:pPr>
              <w:spacing w:line="240" w:lineRule="auto"/>
              <w:jc w:val="both"/>
              <w:rPr>
                <w:rFonts w:cs="Times New Roman"/>
                <w:color w:val="000000" w:themeColor="text1"/>
                <w:szCs w:val="24"/>
              </w:rPr>
            </w:pPr>
          </w:p>
        </w:tc>
        <w:tc>
          <w:tcPr>
            <w:tcW w:w="2994" w:type="dxa"/>
            <w:vAlign w:val="center"/>
            <w:hideMark/>
          </w:tcPr>
          <w:p w14:paraId="38D0E45F"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40D5E15C"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2EBCA58E" w14:textId="77777777" w:rsidTr="00A561C7">
        <w:trPr>
          <w:trHeight w:val="103"/>
          <w:tblCellSpacing w:w="15" w:type="dxa"/>
        </w:trPr>
        <w:tc>
          <w:tcPr>
            <w:tcW w:w="3312" w:type="dxa"/>
            <w:tcBorders>
              <w:bottom w:val="single" w:sz="18" w:space="0" w:color="auto"/>
            </w:tcBorders>
            <w:vAlign w:val="center"/>
          </w:tcPr>
          <w:p w14:paraId="15F25CA9" w14:textId="77777777" w:rsidR="0037310D" w:rsidRPr="00A756C9" w:rsidRDefault="0037310D" w:rsidP="00910619">
            <w:pPr>
              <w:spacing w:line="240" w:lineRule="auto"/>
              <w:jc w:val="both"/>
              <w:rPr>
                <w:rFonts w:cs="Times New Roman"/>
                <w:color w:val="000000" w:themeColor="text1"/>
                <w:szCs w:val="24"/>
              </w:rPr>
            </w:pPr>
          </w:p>
        </w:tc>
        <w:tc>
          <w:tcPr>
            <w:tcW w:w="2994" w:type="dxa"/>
            <w:tcBorders>
              <w:bottom w:val="single" w:sz="18" w:space="0" w:color="auto"/>
            </w:tcBorders>
            <w:vAlign w:val="center"/>
          </w:tcPr>
          <w:p w14:paraId="0DD9870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0" w:type="auto"/>
            <w:tcBorders>
              <w:bottom w:val="single" w:sz="18" w:space="0" w:color="auto"/>
            </w:tcBorders>
            <w:vAlign w:val="center"/>
          </w:tcPr>
          <w:p w14:paraId="6D1DE3E4"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r>
      <w:tr w:rsidR="0037310D" w:rsidRPr="00A756C9" w14:paraId="70A5F9FA" w14:textId="77777777" w:rsidTr="00A561C7">
        <w:trPr>
          <w:trHeight w:val="103"/>
          <w:tblCellSpacing w:w="15" w:type="dxa"/>
        </w:trPr>
        <w:tc>
          <w:tcPr>
            <w:tcW w:w="3312" w:type="dxa"/>
            <w:vAlign w:val="center"/>
            <w:hideMark/>
          </w:tcPr>
          <w:p w14:paraId="1627F8A7"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Constant</w:t>
            </w:r>
          </w:p>
        </w:tc>
        <w:tc>
          <w:tcPr>
            <w:tcW w:w="2994" w:type="dxa"/>
            <w:vAlign w:val="center"/>
            <w:hideMark/>
          </w:tcPr>
          <w:p w14:paraId="167ADDC3"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0A7339" w:rsidRPr="00A756C9">
              <w:rPr>
                <w:rFonts w:cs="Times New Roman"/>
                <w:color w:val="000000" w:themeColor="text1"/>
                <w:szCs w:val="24"/>
              </w:rPr>
              <w:t>014 (</w:t>
            </w:r>
            <w:r w:rsidRPr="00A756C9">
              <w:rPr>
                <w:rFonts w:cs="Times New Roman"/>
                <w:color w:val="000000" w:themeColor="text1"/>
                <w:szCs w:val="24"/>
              </w:rPr>
              <w:t>0.</w:t>
            </w:r>
            <w:r w:rsidR="000A7339" w:rsidRPr="00A756C9">
              <w:rPr>
                <w:rFonts w:cs="Times New Roman"/>
                <w:color w:val="000000" w:themeColor="text1"/>
                <w:szCs w:val="24"/>
              </w:rPr>
              <w:t>014</w:t>
            </w:r>
            <w:r w:rsidRPr="00A756C9">
              <w:rPr>
                <w:rFonts w:cs="Times New Roman"/>
                <w:color w:val="000000" w:themeColor="text1"/>
                <w:szCs w:val="24"/>
              </w:rPr>
              <w:t>)</w:t>
            </w:r>
          </w:p>
        </w:tc>
        <w:tc>
          <w:tcPr>
            <w:tcW w:w="0" w:type="auto"/>
            <w:vAlign w:val="center"/>
            <w:hideMark/>
          </w:tcPr>
          <w:p w14:paraId="029A3312"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827933" w:rsidRPr="00A756C9">
              <w:rPr>
                <w:rFonts w:cs="Times New Roman"/>
                <w:color w:val="000000" w:themeColor="text1"/>
                <w:szCs w:val="24"/>
              </w:rPr>
              <w:t>055</w:t>
            </w:r>
            <w:r w:rsidRPr="00A756C9">
              <w:rPr>
                <w:rFonts w:cs="Times New Roman"/>
                <w:color w:val="000000" w:themeColor="text1"/>
                <w:szCs w:val="24"/>
              </w:rPr>
              <w:t>(</w:t>
            </w:r>
            <w:r w:rsidR="00827933" w:rsidRPr="00A756C9">
              <w:rPr>
                <w:rFonts w:cs="Times New Roman"/>
                <w:color w:val="000000" w:themeColor="text1"/>
                <w:szCs w:val="24"/>
              </w:rPr>
              <w:t>0.026) *</w:t>
            </w:r>
          </w:p>
        </w:tc>
      </w:tr>
      <w:tr w:rsidR="0037310D" w:rsidRPr="00A756C9" w14:paraId="15C9F23C" w14:textId="77777777" w:rsidTr="00A561C7">
        <w:trPr>
          <w:trHeight w:val="107"/>
          <w:tblCellSpacing w:w="15" w:type="dxa"/>
        </w:trPr>
        <w:tc>
          <w:tcPr>
            <w:tcW w:w="3312" w:type="dxa"/>
            <w:vAlign w:val="center"/>
            <w:hideMark/>
          </w:tcPr>
          <w:p w14:paraId="2A73CDC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Foreign Direct investment</w:t>
            </w:r>
          </w:p>
        </w:tc>
        <w:tc>
          <w:tcPr>
            <w:tcW w:w="2994" w:type="dxa"/>
            <w:vAlign w:val="center"/>
            <w:hideMark/>
          </w:tcPr>
          <w:p w14:paraId="37A93F1A"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37310D" w:rsidRPr="00A756C9">
              <w:rPr>
                <w:rFonts w:cs="Times New Roman"/>
                <w:color w:val="000000" w:themeColor="text1"/>
                <w:szCs w:val="24"/>
              </w:rPr>
              <w:t>.</w:t>
            </w:r>
            <w:r w:rsidRPr="00A756C9">
              <w:rPr>
                <w:rFonts w:cs="Times New Roman"/>
                <w:color w:val="000000" w:themeColor="text1"/>
                <w:szCs w:val="24"/>
              </w:rPr>
              <w:t xml:space="preserve">568 </w:t>
            </w:r>
            <w:r w:rsidR="0037310D" w:rsidRPr="00A756C9">
              <w:rPr>
                <w:rFonts w:cs="Times New Roman"/>
                <w:color w:val="000000" w:themeColor="text1"/>
                <w:szCs w:val="24"/>
              </w:rPr>
              <w:t>(</w:t>
            </w:r>
            <w:r w:rsidRPr="00A756C9">
              <w:rPr>
                <w:rFonts w:cs="Times New Roman"/>
                <w:color w:val="000000" w:themeColor="text1"/>
                <w:szCs w:val="24"/>
              </w:rPr>
              <w:t>0.052) *</w:t>
            </w:r>
            <w:r w:rsidR="0037310D" w:rsidRPr="00A756C9">
              <w:rPr>
                <w:rFonts w:cs="Times New Roman"/>
                <w:color w:val="000000" w:themeColor="text1"/>
                <w:szCs w:val="24"/>
              </w:rPr>
              <w:t>*</w:t>
            </w:r>
          </w:p>
        </w:tc>
        <w:tc>
          <w:tcPr>
            <w:tcW w:w="0" w:type="auto"/>
            <w:vAlign w:val="center"/>
            <w:hideMark/>
          </w:tcPr>
          <w:p w14:paraId="72E6A80D"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-0.118 </w:t>
            </w:r>
            <w:r w:rsidR="0037310D" w:rsidRPr="00A756C9">
              <w:rPr>
                <w:rFonts w:cs="Times New Roman"/>
                <w:color w:val="000000" w:themeColor="text1"/>
                <w:szCs w:val="24"/>
              </w:rPr>
              <w:t>(</w:t>
            </w:r>
            <w:r w:rsidRPr="00A756C9">
              <w:rPr>
                <w:rFonts w:cs="Times New Roman"/>
                <w:color w:val="000000" w:themeColor="text1"/>
                <w:szCs w:val="24"/>
              </w:rPr>
              <w:t>0.019) *</w:t>
            </w:r>
            <w:r w:rsidR="0037310D" w:rsidRPr="00A756C9">
              <w:rPr>
                <w:rFonts w:cs="Times New Roman"/>
                <w:color w:val="000000" w:themeColor="text1"/>
                <w:szCs w:val="24"/>
              </w:rPr>
              <w:t>*</w:t>
            </w:r>
          </w:p>
        </w:tc>
      </w:tr>
      <w:tr w:rsidR="0037310D" w:rsidRPr="00A756C9" w14:paraId="3CBFFE67" w14:textId="77777777" w:rsidTr="00A561C7">
        <w:trPr>
          <w:trHeight w:val="103"/>
          <w:tblCellSpacing w:w="15" w:type="dxa"/>
        </w:trPr>
        <w:tc>
          <w:tcPr>
            <w:tcW w:w="3312" w:type="dxa"/>
            <w:vAlign w:val="center"/>
            <w:hideMark/>
          </w:tcPr>
          <w:p w14:paraId="7F5EB6D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Population</w:t>
            </w:r>
          </w:p>
        </w:tc>
        <w:tc>
          <w:tcPr>
            <w:tcW w:w="2994" w:type="dxa"/>
            <w:vAlign w:val="center"/>
            <w:hideMark/>
          </w:tcPr>
          <w:p w14:paraId="6F996E82"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37310D" w:rsidRPr="00A756C9">
              <w:rPr>
                <w:rFonts w:cs="Times New Roman"/>
                <w:color w:val="000000" w:themeColor="text1"/>
                <w:szCs w:val="24"/>
              </w:rPr>
              <w:t>.</w:t>
            </w:r>
            <w:r w:rsidRPr="00A756C9">
              <w:rPr>
                <w:rFonts w:cs="Times New Roman"/>
                <w:color w:val="000000" w:themeColor="text1"/>
                <w:szCs w:val="24"/>
              </w:rPr>
              <w:t xml:space="preserve">214 </w:t>
            </w:r>
            <w:r w:rsidR="0037310D" w:rsidRPr="00A756C9">
              <w:rPr>
                <w:rFonts w:cs="Times New Roman"/>
                <w:color w:val="000000" w:themeColor="text1"/>
                <w:szCs w:val="24"/>
              </w:rPr>
              <w:t>(</w:t>
            </w:r>
            <w:r w:rsidRPr="00A756C9">
              <w:rPr>
                <w:rFonts w:cs="Times New Roman"/>
                <w:color w:val="000000" w:themeColor="text1"/>
                <w:szCs w:val="24"/>
              </w:rPr>
              <w:t>0.051) *</w:t>
            </w:r>
            <w:r w:rsidR="0037310D" w:rsidRPr="00A756C9">
              <w:rPr>
                <w:rFonts w:cs="Times New Roman"/>
                <w:color w:val="000000" w:themeColor="text1"/>
                <w:szCs w:val="24"/>
              </w:rPr>
              <w:t>*</w:t>
            </w:r>
          </w:p>
        </w:tc>
        <w:tc>
          <w:tcPr>
            <w:tcW w:w="0" w:type="auto"/>
            <w:vAlign w:val="center"/>
            <w:hideMark/>
          </w:tcPr>
          <w:p w14:paraId="6C315CBF"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-0.233</w:t>
            </w:r>
            <w:r w:rsidR="0037310D" w:rsidRPr="00A756C9">
              <w:rPr>
                <w:rFonts w:cs="Times New Roman"/>
                <w:color w:val="000000" w:themeColor="text1"/>
                <w:szCs w:val="24"/>
              </w:rPr>
              <w:t>(</w:t>
            </w:r>
            <w:r w:rsidRPr="00A756C9">
              <w:rPr>
                <w:rFonts w:cs="Times New Roman"/>
                <w:color w:val="000000" w:themeColor="text1"/>
                <w:szCs w:val="24"/>
              </w:rPr>
              <w:t>0.082) *</w:t>
            </w:r>
            <w:r w:rsidR="0037310D" w:rsidRPr="00A756C9">
              <w:rPr>
                <w:rFonts w:cs="Times New Roman"/>
                <w:color w:val="000000" w:themeColor="text1"/>
                <w:szCs w:val="24"/>
              </w:rPr>
              <w:t>*</w:t>
            </w:r>
          </w:p>
        </w:tc>
      </w:tr>
      <w:tr w:rsidR="0037310D" w:rsidRPr="00A756C9" w14:paraId="58DFC53C" w14:textId="77777777" w:rsidTr="00A561C7">
        <w:trPr>
          <w:trHeight w:val="107"/>
          <w:tblCellSpacing w:w="15" w:type="dxa"/>
        </w:trPr>
        <w:tc>
          <w:tcPr>
            <w:tcW w:w="3312" w:type="dxa"/>
            <w:vAlign w:val="center"/>
            <w:hideMark/>
          </w:tcPr>
          <w:p w14:paraId="2C8F885D"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Industrialization</w:t>
            </w:r>
          </w:p>
        </w:tc>
        <w:tc>
          <w:tcPr>
            <w:tcW w:w="2994" w:type="dxa"/>
            <w:vAlign w:val="center"/>
            <w:hideMark/>
          </w:tcPr>
          <w:p w14:paraId="196F348D"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37310D" w:rsidRPr="00A756C9">
              <w:rPr>
                <w:rFonts w:cs="Times New Roman"/>
                <w:color w:val="000000" w:themeColor="text1"/>
                <w:szCs w:val="24"/>
              </w:rPr>
              <w:t>.</w:t>
            </w:r>
            <w:r w:rsidRPr="00A756C9">
              <w:rPr>
                <w:rFonts w:cs="Times New Roman"/>
                <w:color w:val="000000" w:themeColor="text1"/>
                <w:szCs w:val="24"/>
              </w:rPr>
              <w:t xml:space="preserve">952 </w:t>
            </w:r>
            <w:r w:rsidR="0037310D" w:rsidRPr="00A756C9">
              <w:rPr>
                <w:rFonts w:cs="Times New Roman"/>
                <w:color w:val="000000" w:themeColor="text1"/>
                <w:szCs w:val="24"/>
              </w:rPr>
              <w:t>(</w:t>
            </w:r>
            <w:r w:rsidRPr="00A756C9">
              <w:rPr>
                <w:rFonts w:cs="Times New Roman"/>
                <w:color w:val="000000" w:themeColor="text1"/>
                <w:szCs w:val="24"/>
              </w:rPr>
              <w:t>0.055) *</w:t>
            </w:r>
            <w:r w:rsidR="0037310D" w:rsidRPr="00A756C9">
              <w:rPr>
                <w:rFonts w:cs="Times New Roman"/>
                <w:color w:val="000000" w:themeColor="text1"/>
                <w:szCs w:val="24"/>
              </w:rPr>
              <w:t>*</w:t>
            </w:r>
          </w:p>
        </w:tc>
        <w:tc>
          <w:tcPr>
            <w:tcW w:w="0" w:type="auto"/>
            <w:vAlign w:val="center"/>
            <w:hideMark/>
          </w:tcPr>
          <w:p w14:paraId="5A3FB3C0"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1.494 </w:t>
            </w:r>
            <w:r w:rsidR="0037310D" w:rsidRPr="00A756C9">
              <w:rPr>
                <w:rFonts w:cs="Times New Roman"/>
                <w:color w:val="000000" w:themeColor="text1"/>
                <w:szCs w:val="24"/>
              </w:rPr>
              <w:t>(</w:t>
            </w:r>
            <w:r w:rsidRPr="00A756C9">
              <w:rPr>
                <w:rFonts w:cs="Times New Roman"/>
                <w:color w:val="000000" w:themeColor="text1"/>
                <w:szCs w:val="24"/>
              </w:rPr>
              <w:t>0.248) *</w:t>
            </w:r>
            <w:r w:rsidR="0037310D" w:rsidRPr="00A756C9">
              <w:rPr>
                <w:rFonts w:cs="Times New Roman"/>
                <w:color w:val="000000" w:themeColor="text1"/>
                <w:szCs w:val="24"/>
              </w:rPr>
              <w:t>*</w:t>
            </w:r>
          </w:p>
        </w:tc>
      </w:tr>
      <w:tr w:rsidR="0037310D" w:rsidRPr="00A756C9" w14:paraId="084A26E6" w14:textId="77777777" w:rsidTr="00A561C7">
        <w:trPr>
          <w:trHeight w:val="107"/>
          <w:tblCellSpacing w:w="15" w:type="dxa"/>
        </w:trPr>
        <w:tc>
          <w:tcPr>
            <w:tcW w:w="3312" w:type="dxa"/>
            <w:vAlign w:val="center"/>
            <w:hideMark/>
          </w:tcPr>
          <w:p w14:paraId="1B9E6BA3"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Renewable energy consumption</w:t>
            </w:r>
          </w:p>
        </w:tc>
        <w:tc>
          <w:tcPr>
            <w:tcW w:w="2994" w:type="dxa"/>
            <w:vAlign w:val="center"/>
          </w:tcPr>
          <w:p w14:paraId="279401B7"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7412977A"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827933" w:rsidRPr="00A756C9">
              <w:rPr>
                <w:rFonts w:cs="Times New Roman"/>
                <w:color w:val="000000" w:themeColor="text1"/>
                <w:szCs w:val="24"/>
              </w:rPr>
              <w:t xml:space="preserve">0.050 </w:t>
            </w:r>
            <w:r w:rsidRPr="00A756C9">
              <w:rPr>
                <w:rFonts w:cs="Times New Roman"/>
                <w:color w:val="000000" w:themeColor="text1"/>
                <w:szCs w:val="24"/>
              </w:rPr>
              <w:t>(</w:t>
            </w:r>
            <w:r w:rsidR="00827933" w:rsidRPr="00A756C9">
              <w:rPr>
                <w:rFonts w:cs="Times New Roman"/>
                <w:color w:val="000000" w:themeColor="text1"/>
                <w:szCs w:val="24"/>
              </w:rPr>
              <w:t>0.013) *</w:t>
            </w:r>
            <w:r w:rsidRPr="00A756C9">
              <w:rPr>
                <w:rFonts w:cs="Times New Roman"/>
                <w:color w:val="000000" w:themeColor="text1"/>
                <w:szCs w:val="24"/>
              </w:rPr>
              <w:t>*</w:t>
            </w:r>
          </w:p>
        </w:tc>
      </w:tr>
      <w:tr w:rsidR="0037310D" w:rsidRPr="00A756C9" w14:paraId="272C14B4" w14:textId="77777777" w:rsidTr="00A561C7">
        <w:trPr>
          <w:trHeight w:val="103"/>
          <w:tblCellSpacing w:w="15" w:type="dxa"/>
        </w:trPr>
        <w:tc>
          <w:tcPr>
            <w:tcW w:w="3312" w:type="dxa"/>
            <w:vAlign w:val="center"/>
            <w:hideMark/>
          </w:tcPr>
          <w:p w14:paraId="1FC2F78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Non-renewable energy consumption</w:t>
            </w:r>
          </w:p>
        </w:tc>
        <w:tc>
          <w:tcPr>
            <w:tcW w:w="2994" w:type="dxa"/>
            <w:vAlign w:val="center"/>
          </w:tcPr>
          <w:p w14:paraId="159EFC2B"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0F3CB658" w14:textId="77777777" w:rsidR="0037310D" w:rsidRPr="00A756C9" w:rsidRDefault="00337C8B"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0.034 </w:t>
            </w:r>
            <w:r w:rsidR="0037310D" w:rsidRPr="00A756C9">
              <w:rPr>
                <w:rFonts w:cs="Times New Roman"/>
                <w:color w:val="000000" w:themeColor="text1"/>
                <w:szCs w:val="24"/>
              </w:rPr>
              <w:t>(0.</w:t>
            </w:r>
            <w:r w:rsidRPr="00A756C9">
              <w:rPr>
                <w:rFonts w:cs="Times New Roman"/>
                <w:color w:val="000000" w:themeColor="text1"/>
                <w:szCs w:val="24"/>
              </w:rPr>
              <w:t>053</w:t>
            </w:r>
            <w:r w:rsidR="00827933" w:rsidRPr="00A756C9">
              <w:rPr>
                <w:rFonts w:cs="Times New Roman"/>
                <w:color w:val="000000" w:themeColor="text1"/>
                <w:szCs w:val="24"/>
              </w:rPr>
              <w:t>) *</w:t>
            </w:r>
            <w:r w:rsidR="0037310D" w:rsidRPr="00A756C9">
              <w:rPr>
                <w:rFonts w:cs="Times New Roman"/>
                <w:color w:val="000000" w:themeColor="text1"/>
                <w:szCs w:val="24"/>
              </w:rPr>
              <w:t>*</w:t>
            </w:r>
          </w:p>
        </w:tc>
      </w:tr>
      <w:tr w:rsidR="0037310D" w:rsidRPr="00A756C9" w14:paraId="0E8E909A" w14:textId="77777777" w:rsidTr="00A561C7">
        <w:trPr>
          <w:trHeight w:val="107"/>
          <w:tblCellSpacing w:w="15" w:type="dxa"/>
        </w:trPr>
        <w:tc>
          <w:tcPr>
            <w:tcW w:w="3312" w:type="dxa"/>
            <w:vAlign w:val="center"/>
            <w:hideMark/>
          </w:tcPr>
          <w:p w14:paraId="612302D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Financial development</w:t>
            </w:r>
          </w:p>
        </w:tc>
        <w:tc>
          <w:tcPr>
            <w:tcW w:w="2994" w:type="dxa"/>
            <w:vAlign w:val="center"/>
          </w:tcPr>
          <w:p w14:paraId="17312749"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53BCD6F0"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0.062 </w:t>
            </w:r>
            <w:r w:rsidR="0037310D" w:rsidRPr="00A756C9">
              <w:rPr>
                <w:rFonts w:cs="Times New Roman"/>
                <w:color w:val="000000" w:themeColor="text1"/>
                <w:szCs w:val="24"/>
              </w:rPr>
              <w:t>(</w:t>
            </w:r>
            <w:r w:rsidRPr="00A756C9">
              <w:rPr>
                <w:rFonts w:cs="Times New Roman"/>
                <w:color w:val="000000" w:themeColor="text1"/>
                <w:szCs w:val="24"/>
              </w:rPr>
              <w:t>0.010) *</w:t>
            </w:r>
            <w:r w:rsidR="0037310D" w:rsidRPr="00A756C9">
              <w:rPr>
                <w:rFonts w:cs="Times New Roman"/>
                <w:color w:val="000000" w:themeColor="text1"/>
                <w:szCs w:val="24"/>
              </w:rPr>
              <w:t>*</w:t>
            </w:r>
          </w:p>
        </w:tc>
      </w:tr>
      <w:tr w:rsidR="0037310D" w:rsidRPr="00A756C9" w14:paraId="75D48F29" w14:textId="77777777" w:rsidTr="00A561C7">
        <w:trPr>
          <w:trHeight w:val="103"/>
          <w:tblCellSpacing w:w="15" w:type="dxa"/>
        </w:trPr>
        <w:tc>
          <w:tcPr>
            <w:tcW w:w="3312" w:type="dxa"/>
            <w:vAlign w:val="center"/>
            <w:hideMark/>
          </w:tcPr>
          <w:p w14:paraId="0E4E2E8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Economic growth</w:t>
            </w:r>
          </w:p>
        </w:tc>
        <w:tc>
          <w:tcPr>
            <w:tcW w:w="2994" w:type="dxa"/>
            <w:vAlign w:val="center"/>
            <w:hideMark/>
          </w:tcPr>
          <w:p w14:paraId="685AB412"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7ABB12FE"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0.850 </w:t>
            </w:r>
            <w:r w:rsidR="0037310D" w:rsidRPr="00A756C9">
              <w:rPr>
                <w:rFonts w:cs="Times New Roman"/>
                <w:color w:val="000000" w:themeColor="text1"/>
                <w:szCs w:val="24"/>
              </w:rPr>
              <w:t>(</w:t>
            </w:r>
            <w:r w:rsidRPr="00A756C9">
              <w:rPr>
                <w:rFonts w:cs="Times New Roman"/>
                <w:color w:val="000000" w:themeColor="text1"/>
                <w:szCs w:val="24"/>
              </w:rPr>
              <w:t>0.025) *</w:t>
            </w:r>
            <w:r w:rsidR="0037310D" w:rsidRPr="00A756C9">
              <w:rPr>
                <w:rFonts w:cs="Times New Roman"/>
                <w:color w:val="000000" w:themeColor="text1"/>
                <w:szCs w:val="24"/>
              </w:rPr>
              <w:t>*</w:t>
            </w:r>
          </w:p>
        </w:tc>
      </w:tr>
      <w:tr w:rsidR="0037310D" w:rsidRPr="00A756C9" w14:paraId="5EB7C357" w14:textId="77777777" w:rsidTr="00A561C7">
        <w:trPr>
          <w:trHeight w:val="103"/>
          <w:tblCellSpacing w:w="15" w:type="dxa"/>
        </w:trPr>
        <w:tc>
          <w:tcPr>
            <w:tcW w:w="3312" w:type="dxa"/>
            <w:vAlign w:val="center"/>
          </w:tcPr>
          <w:p w14:paraId="7684FF84" w14:textId="77777777" w:rsidR="0037310D" w:rsidRPr="00A756C9" w:rsidRDefault="0037310D" w:rsidP="00910619">
            <w:pPr>
              <w:spacing w:line="240" w:lineRule="auto"/>
              <w:jc w:val="both"/>
              <w:rPr>
                <w:rFonts w:cs="Times New Roman"/>
                <w:b/>
                <w:bCs/>
                <w:color w:val="000000" w:themeColor="text1"/>
                <w:szCs w:val="24"/>
              </w:rPr>
            </w:pPr>
            <w:r w:rsidRPr="00A756C9">
              <w:rPr>
                <w:rFonts w:cs="Times New Roman"/>
                <w:b/>
                <w:bCs/>
                <w:color w:val="000000" w:themeColor="text1"/>
                <w:szCs w:val="24"/>
              </w:rPr>
              <w:t>Post-estimation tests</w:t>
            </w:r>
          </w:p>
        </w:tc>
        <w:tc>
          <w:tcPr>
            <w:tcW w:w="2994" w:type="dxa"/>
            <w:vAlign w:val="center"/>
          </w:tcPr>
          <w:p w14:paraId="674B733F"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tcPr>
          <w:p w14:paraId="5491214F"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4A3052BD" w14:textId="77777777" w:rsidTr="00A561C7">
        <w:trPr>
          <w:trHeight w:val="103"/>
          <w:tblCellSpacing w:w="15" w:type="dxa"/>
        </w:trPr>
        <w:tc>
          <w:tcPr>
            <w:tcW w:w="3312" w:type="dxa"/>
            <w:vAlign w:val="center"/>
            <w:hideMark/>
          </w:tcPr>
          <w:p w14:paraId="4ACDD32C" w14:textId="77777777" w:rsidR="0037310D" w:rsidRPr="00A756C9" w:rsidRDefault="0037310D" w:rsidP="00910619">
            <w:pPr>
              <w:spacing w:line="240" w:lineRule="auto"/>
              <w:jc w:val="both"/>
              <w:rPr>
                <w:rFonts w:cs="Times New Roman"/>
                <w:color w:val="000000" w:themeColor="text1"/>
                <w:szCs w:val="24"/>
              </w:rPr>
            </w:pPr>
            <w:bookmarkStart w:id="7" w:name="_Hlk169862430"/>
            <w:proofErr w:type="gramStart"/>
            <w:r w:rsidRPr="00A756C9">
              <w:rPr>
                <w:rFonts w:cs="Times New Roman"/>
                <w:color w:val="000000" w:themeColor="text1"/>
                <w:szCs w:val="24"/>
              </w:rPr>
              <w:t>AR(</w:t>
            </w:r>
            <w:proofErr w:type="gramEnd"/>
            <w:r w:rsidRPr="00A756C9">
              <w:rPr>
                <w:rFonts w:cs="Times New Roman"/>
                <w:color w:val="000000" w:themeColor="text1"/>
                <w:szCs w:val="24"/>
              </w:rPr>
              <w:t xml:space="preserve">1)     </w:t>
            </w:r>
          </w:p>
        </w:tc>
        <w:tc>
          <w:tcPr>
            <w:tcW w:w="2994" w:type="dxa"/>
            <w:vAlign w:val="center"/>
            <w:hideMark/>
          </w:tcPr>
          <w:p w14:paraId="552B0E68"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0.071</w:t>
            </w:r>
          </w:p>
        </w:tc>
        <w:tc>
          <w:tcPr>
            <w:tcW w:w="0" w:type="auto"/>
            <w:vAlign w:val="center"/>
            <w:hideMark/>
          </w:tcPr>
          <w:p w14:paraId="6FD49A4C"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0.104</w:t>
            </w:r>
          </w:p>
        </w:tc>
      </w:tr>
      <w:tr w:rsidR="0037310D" w:rsidRPr="00A756C9" w14:paraId="3D272FCA" w14:textId="77777777" w:rsidTr="00A561C7">
        <w:trPr>
          <w:trHeight w:val="103"/>
          <w:tblCellSpacing w:w="15" w:type="dxa"/>
        </w:trPr>
        <w:tc>
          <w:tcPr>
            <w:tcW w:w="3312" w:type="dxa"/>
            <w:vAlign w:val="center"/>
          </w:tcPr>
          <w:p w14:paraId="3AE303B0" w14:textId="77777777" w:rsidR="0037310D" w:rsidRPr="00A756C9" w:rsidRDefault="0037310D" w:rsidP="00910619">
            <w:pPr>
              <w:spacing w:line="240" w:lineRule="auto"/>
              <w:jc w:val="both"/>
              <w:rPr>
                <w:rFonts w:cs="Times New Roman"/>
                <w:color w:val="000000" w:themeColor="text1"/>
                <w:szCs w:val="24"/>
              </w:rPr>
            </w:pPr>
            <w:proofErr w:type="gramStart"/>
            <w:r w:rsidRPr="00A756C9">
              <w:rPr>
                <w:rFonts w:cs="Times New Roman"/>
                <w:color w:val="000000" w:themeColor="text1"/>
                <w:szCs w:val="24"/>
              </w:rPr>
              <w:t>AR(</w:t>
            </w:r>
            <w:proofErr w:type="gramEnd"/>
            <w:r w:rsidRPr="00A756C9">
              <w:rPr>
                <w:rFonts w:cs="Times New Roman"/>
                <w:color w:val="000000" w:themeColor="text1"/>
                <w:szCs w:val="24"/>
              </w:rPr>
              <w:t>2)</w:t>
            </w:r>
          </w:p>
        </w:tc>
        <w:tc>
          <w:tcPr>
            <w:tcW w:w="2994" w:type="dxa"/>
            <w:vAlign w:val="center"/>
          </w:tcPr>
          <w:p w14:paraId="3211476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0A7339" w:rsidRPr="00A756C9">
              <w:rPr>
                <w:rFonts w:cs="Times New Roman"/>
                <w:color w:val="000000" w:themeColor="text1"/>
                <w:szCs w:val="24"/>
              </w:rPr>
              <w:t>096</w:t>
            </w:r>
          </w:p>
        </w:tc>
        <w:tc>
          <w:tcPr>
            <w:tcW w:w="0" w:type="auto"/>
            <w:vAlign w:val="center"/>
          </w:tcPr>
          <w:p w14:paraId="5BED642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827933" w:rsidRPr="00A756C9">
              <w:rPr>
                <w:rFonts w:cs="Times New Roman"/>
                <w:color w:val="000000" w:themeColor="text1"/>
                <w:szCs w:val="24"/>
              </w:rPr>
              <w:t>267</w:t>
            </w:r>
          </w:p>
        </w:tc>
      </w:tr>
      <w:tr w:rsidR="0037310D" w:rsidRPr="00A756C9" w14:paraId="1366C860" w14:textId="77777777" w:rsidTr="00A561C7">
        <w:trPr>
          <w:trHeight w:val="103"/>
          <w:tblCellSpacing w:w="15" w:type="dxa"/>
        </w:trPr>
        <w:tc>
          <w:tcPr>
            <w:tcW w:w="3312" w:type="dxa"/>
            <w:vAlign w:val="center"/>
          </w:tcPr>
          <w:p w14:paraId="23611E25" w14:textId="77777777" w:rsidR="0037310D" w:rsidRPr="00A756C9" w:rsidRDefault="0037310D" w:rsidP="00910619">
            <w:pPr>
              <w:spacing w:line="240" w:lineRule="auto"/>
              <w:jc w:val="both"/>
              <w:rPr>
                <w:rFonts w:cs="Times New Roman"/>
                <w:color w:val="000000" w:themeColor="text1"/>
                <w:szCs w:val="24"/>
              </w:rPr>
            </w:pPr>
            <w:proofErr w:type="spellStart"/>
            <w:r w:rsidRPr="00A756C9">
              <w:rPr>
                <w:rFonts w:cs="Times New Roman"/>
                <w:color w:val="000000" w:themeColor="text1"/>
                <w:szCs w:val="24"/>
              </w:rPr>
              <w:t>Sargan</w:t>
            </w:r>
            <w:proofErr w:type="spellEnd"/>
          </w:p>
        </w:tc>
        <w:tc>
          <w:tcPr>
            <w:tcW w:w="2994" w:type="dxa"/>
            <w:vAlign w:val="center"/>
          </w:tcPr>
          <w:p w14:paraId="5FCE2909"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0.546</w:t>
            </w:r>
          </w:p>
        </w:tc>
        <w:tc>
          <w:tcPr>
            <w:tcW w:w="0" w:type="auto"/>
            <w:vAlign w:val="center"/>
          </w:tcPr>
          <w:p w14:paraId="030935EF"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0.699</w:t>
            </w:r>
          </w:p>
        </w:tc>
      </w:tr>
      <w:tr w:rsidR="0037310D" w:rsidRPr="00A756C9" w14:paraId="26F0D820" w14:textId="77777777" w:rsidTr="00A561C7">
        <w:trPr>
          <w:trHeight w:val="103"/>
          <w:tblCellSpacing w:w="15" w:type="dxa"/>
        </w:trPr>
        <w:tc>
          <w:tcPr>
            <w:tcW w:w="3312" w:type="dxa"/>
            <w:vAlign w:val="center"/>
          </w:tcPr>
          <w:p w14:paraId="6921C75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Hansen</w:t>
            </w:r>
          </w:p>
        </w:tc>
        <w:tc>
          <w:tcPr>
            <w:tcW w:w="2994" w:type="dxa"/>
            <w:vAlign w:val="center"/>
          </w:tcPr>
          <w:p w14:paraId="4FE95BDA"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0.167</w:t>
            </w:r>
          </w:p>
        </w:tc>
        <w:tc>
          <w:tcPr>
            <w:tcW w:w="0" w:type="auto"/>
            <w:vAlign w:val="center"/>
          </w:tcPr>
          <w:p w14:paraId="46758EB7"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827933" w:rsidRPr="00A756C9">
              <w:rPr>
                <w:rFonts w:cs="Times New Roman"/>
                <w:color w:val="000000" w:themeColor="text1"/>
                <w:szCs w:val="24"/>
              </w:rPr>
              <w:t>1</w:t>
            </w:r>
            <w:r w:rsidRPr="00A756C9">
              <w:rPr>
                <w:rFonts w:cs="Times New Roman"/>
                <w:color w:val="000000" w:themeColor="text1"/>
                <w:szCs w:val="24"/>
              </w:rPr>
              <w:t>04</w:t>
            </w:r>
          </w:p>
        </w:tc>
      </w:tr>
      <w:tr w:rsidR="0037310D" w:rsidRPr="00A756C9" w14:paraId="43AE1A7B" w14:textId="77777777" w:rsidTr="00A561C7">
        <w:trPr>
          <w:trHeight w:val="103"/>
          <w:tblCellSpacing w:w="15" w:type="dxa"/>
        </w:trPr>
        <w:tc>
          <w:tcPr>
            <w:tcW w:w="3312" w:type="dxa"/>
            <w:vAlign w:val="center"/>
          </w:tcPr>
          <w:p w14:paraId="00A00EB5"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Observations</w:t>
            </w:r>
          </w:p>
        </w:tc>
        <w:tc>
          <w:tcPr>
            <w:tcW w:w="2994" w:type="dxa"/>
            <w:vAlign w:val="center"/>
          </w:tcPr>
          <w:p w14:paraId="1760E962" w14:textId="77777777" w:rsidR="0037310D" w:rsidRPr="00A756C9" w:rsidRDefault="00AF2FE2" w:rsidP="00910619">
            <w:pPr>
              <w:spacing w:line="240" w:lineRule="auto"/>
              <w:jc w:val="both"/>
              <w:rPr>
                <w:rFonts w:cs="Times New Roman"/>
                <w:color w:val="000000" w:themeColor="text1"/>
                <w:szCs w:val="24"/>
              </w:rPr>
            </w:pPr>
            <w:r>
              <w:rPr>
                <w:rFonts w:cs="Times New Roman"/>
                <w:color w:val="000000" w:themeColor="text1"/>
                <w:szCs w:val="24"/>
              </w:rPr>
              <w:t>528</w:t>
            </w:r>
          </w:p>
        </w:tc>
        <w:tc>
          <w:tcPr>
            <w:tcW w:w="0" w:type="auto"/>
            <w:vAlign w:val="center"/>
          </w:tcPr>
          <w:p w14:paraId="7BE60DD8"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528</w:t>
            </w:r>
          </w:p>
        </w:tc>
      </w:tr>
      <w:tr w:rsidR="0037310D" w:rsidRPr="00A756C9" w14:paraId="15FDDAC4" w14:textId="77777777" w:rsidTr="00A561C7">
        <w:trPr>
          <w:trHeight w:val="103"/>
          <w:tblCellSpacing w:w="15" w:type="dxa"/>
        </w:trPr>
        <w:tc>
          <w:tcPr>
            <w:tcW w:w="3312" w:type="dxa"/>
            <w:vAlign w:val="center"/>
          </w:tcPr>
          <w:p w14:paraId="093ABE6C"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Groups</w:t>
            </w:r>
          </w:p>
        </w:tc>
        <w:tc>
          <w:tcPr>
            <w:tcW w:w="2994" w:type="dxa"/>
            <w:vAlign w:val="center"/>
          </w:tcPr>
          <w:p w14:paraId="2DA7F1A1"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0" w:type="auto"/>
            <w:vAlign w:val="center"/>
          </w:tcPr>
          <w:p w14:paraId="1EED7067"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r>
      <w:tr w:rsidR="0037310D" w:rsidRPr="00A756C9" w14:paraId="337FF467" w14:textId="77777777" w:rsidTr="00A561C7">
        <w:trPr>
          <w:trHeight w:val="103"/>
          <w:tblCellSpacing w:w="15" w:type="dxa"/>
        </w:trPr>
        <w:tc>
          <w:tcPr>
            <w:tcW w:w="3312" w:type="dxa"/>
            <w:vAlign w:val="center"/>
          </w:tcPr>
          <w:p w14:paraId="46BE3F49"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F</w:t>
            </w:r>
          </w:p>
        </w:tc>
        <w:tc>
          <w:tcPr>
            <w:tcW w:w="2994" w:type="dxa"/>
            <w:vAlign w:val="center"/>
          </w:tcPr>
          <w:p w14:paraId="0B8EA233"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4249.56</w:t>
            </w:r>
          </w:p>
        </w:tc>
        <w:tc>
          <w:tcPr>
            <w:tcW w:w="0" w:type="auto"/>
            <w:vAlign w:val="center"/>
          </w:tcPr>
          <w:p w14:paraId="79F1275C"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893.77</w:t>
            </w:r>
          </w:p>
        </w:tc>
      </w:tr>
      <w:tr w:rsidR="0037310D" w:rsidRPr="00A756C9" w14:paraId="7754DF36" w14:textId="77777777" w:rsidTr="00A561C7">
        <w:trPr>
          <w:trHeight w:val="107"/>
          <w:tblCellSpacing w:w="15" w:type="dxa"/>
        </w:trPr>
        <w:tc>
          <w:tcPr>
            <w:tcW w:w="3312" w:type="dxa"/>
            <w:tcBorders>
              <w:bottom w:val="single" w:sz="18" w:space="0" w:color="auto"/>
            </w:tcBorders>
            <w:vAlign w:val="center"/>
          </w:tcPr>
          <w:p w14:paraId="4ECFD02F"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No. of instruments</w:t>
            </w:r>
          </w:p>
        </w:tc>
        <w:tc>
          <w:tcPr>
            <w:tcW w:w="2994" w:type="dxa"/>
            <w:tcBorders>
              <w:bottom w:val="single" w:sz="18" w:space="0" w:color="auto"/>
            </w:tcBorders>
            <w:vAlign w:val="center"/>
          </w:tcPr>
          <w:p w14:paraId="157280D4"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10</w:t>
            </w:r>
          </w:p>
        </w:tc>
        <w:tc>
          <w:tcPr>
            <w:tcW w:w="0" w:type="auto"/>
            <w:tcBorders>
              <w:bottom w:val="single" w:sz="18" w:space="0" w:color="auto"/>
            </w:tcBorders>
            <w:vAlign w:val="center"/>
          </w:tcPr>
          <w:p w14:paraId="64C5121D"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10</w:t>
            </w:r>
          </w:p>
        </w:tc>
      </w:tr>
    </w:tbl>
    <w:bookmarkEnd w:id="7"/>
    <w:p w14:paraId="0E04246A" w14:textId="77777777" w:rsidR="000A479B" w:rsidRDefault="00E560C0" w:rsidP="00910619">
      <w:pPr>
        <w:spacing w:line="240" w:lineRule="auto"/>
        <w:jc w:val="both"/>
        <w:rPr>
          <w:rFonts w:cs="Times New Roman"/>
          <w:szCs w:val="24"/>
        </w:rPr>
      </w:pPr>
      <w:r w:rsidRPr="00A756C9">
        <w:rPr>
          <w:rFonts w:cs="Times New Roman"/>
          <w:b/>
          <w:bCs/>
          <w:color w:val="000000" w:themeColor="text1"/>
          <w:szCs w:val="24"/>
        </w:rPr>
        <w:t>Source: Authors computation</w:t>
      </w:r>
      <w:r w:rsidR="00DD2701">
        <w:rPr>
          <w:rFonts w:cs="Times New Roman"/>
          <w:szCs w:val="24"/>
        </w:rPr>
        <w:t xml:space="preserve">; </w:t>
      </w:r>
      <w:r w:rsidR="0037310D" w:rsidRPr="00A756C9">
        <w:rPr>
          <w:rFonts w:cs="Times New Roman"/>
          <w:szCs w:val="24"/>
        </w:rPr>
        <w:t>** ρ &lt; 0.05,</w:t>
      </w:r>
      <w:r w:rsidR="00575317" w:rsidRPr="00A756C9">
        <w:rPr>
          <w:rFonts w:cs="Times New Roman"/>
          <w:szCs w:val="24"/>
        </w:rPr>
        <w:t xml:space="preserve"> </w:t>
      </w:r>
      <w:r w:rsidR="00575317" w:rsidRPr="00A756C9">
        <w:rPr>
          <w:rFonts w:cs="Times New Roman"/>
          <w:color w:val="000000" w:themeColor="text1"/>
          <w:szCs w:val="24"/>
        </w:rPr>
        <w:t xml:space="preserve">*P&lt;0.1 </w:t>
      </w:r>
      <w:r w:rsidR="00575317" w:rsidRPr="00A756C9">
        <w:rPr>
          <w:rFonts w:cs="Times New Roman"/>
          <w:szCs w:val="24"/>
        </w:rPr>
        <w:t>standard</w:t>
      </w:r>
      <w:r w:rsidR="0037310D" w:rsidRPr="00A756C9">
        <w:rPr>
          <w:rFonts w:cs="Times New Roman"/>
          <w:szCs w:val="24"/>
        </w:rPr>
        <w:t xml:space="preserve"> errors in parentheses</w:t>
      </w:r>
    </w:p>
    <w:p w14:paraId="4FF5AB7B" w14:textId="77777777" w:rsidR="00DD2701" w:rsidRPr="00A756C9" w:rsidRDefault="00DD2701" w:rsidP="00910619">
      <w:pPr>
        <w:spacing w:line="240" w:lineRule="auto"/>
        <w:rPr>
          <w:rFonts w:eastAsia="Calibri" w:cs="Times New Roman"/>
          <w:b/>
          <w:bCs/>
          <w:szCs w:val="24"/>
        </w:rPr>
      </w:pPr>
    </w:p>
    <w:p w14:paraId="1EC077A2" w14:textId="77777777" w:rsidR="000A479B" w:rsidRPr="00A756C9" w:rsidRDefault="00AF2FE2" w:rsidP="00910619">
      <w:pPr>
        <w:spacing w:line="240" w:lineRule="auto"/>
        <w:rPr>
          <w:rFonts w:eastAsia="Calibri" w:cs="Times New Roman"/>
          <w:b/>
          <w:bCs/>
          <w:szCs w:val="24"/>
        </w:rPr>
      </w:pPr>
      <w:r>
        <w:rPr>
          <w:rFonts w:eastAsia="Calibri" w:cs="Times New Roman"/>
          <w:b/>
          <w:bCs/>
          <w:szCs w:val="24"/>
        </w:rPr>
        <w:t>5</w:t>
      </w:r>
      <w:r w:rsidR="00861C50" w:rsidRPr="00A756C9">
        <w:rPr>
          <w:rFonts w:eastAsia="Calibri" w:cs="Times New Roman"/>
          <w:b/>
          <w:bCs/>
          <w:szCs w:val="24"/>
        </w:rPr>
        <w:t xml:space="preserve">.5 </w:t>
      </w:r>
      <w:r w:rsidR="0037310D" w:rsidRPr="00A756C9">
        <w:rPr>
          <w:rFonts w:eastAsia="Calibri" w:cs="Times New Roman"/>
          <w:b/>
          <w:bCs/>
          <w:szCs w:val="24"/>
        </w:rPr>
        <w:t>Further test</w:t>
      </w:r>
    </w:p>
    <w:p w14:paraId="58BA558C" w14:textId="77777777" w:rsidR="008C7F7B" w:rsidRPr="00A756C9" w:rsidRDefault="00A432B1" w:rsidP="00910619">
      <w:pPr>
        <w:spacing w:line="240" w:lineRule="auto"/>
        <w:jc w:val="both"/>
        <w:rPr>
          <w:rFonts w:cs="Times New Roman"/>
          <w:szCs w:val="24"/>
        </w:rPr>
      </w:pPr>
      <w:r>
        <w:t>To further assess robustness, we re-estimate the main specification using both fixed-effects (FE) and random-effects (RE) panel estimators. A Hausman specification test is used to guide the choice between FE and RE; when the test rejects the null hypothesis of no systematic difference in coefficients, FE is preferred because it is consistent in the presence of correlation between unobserved country effects and the regressors. The FE/RE estimates corroborate the System GMM results, confirming the direction and significance pattern of REC, NREC, FD and EG.</w:t>
      </w:r>
    </w:p>
    <w:p w14:paraId="7F70B193" w14:textId="5686451C" w:rsidR="00E560C0" w:rsidRPr="00A756C9" w:rsidRDefault="00E560C0" w:rsidP="00910619">
      <w:pPr>
        <w:pStyle w:val="Caption"/>
        <w:keepNext/>
        <w:rPr>
          <w:rFonts w:ascii="Times New Roman" w:hAnsi="Times New Roman"/>
          <w:i w:val="0"/>
          <w:iCs w:val="0"/>
          <w:color w:val="000000" w:themeColor="text1"/>
          <w:sz w:val="24"/>
          <w:szCs w:val="24"/>
        </w:rPr>
      </w:pPr>
      <w:r w:rsidRPr="00A756C9">
        <w:rPr>
          <w:rFonts w:ascii="Times New Roman" w:hAnsi="Times New Roman"/>
          <w:i w:val="0"/>
          <w:iCs w:val="0"/>
          <w:color w:val="000000" w:themeColor="text1"/>
          <w:sz w:val="24"/>
          <w:szCs w:val="24"/>
        </w:rPr>
        <w:t xml:space="preserve">Table </w:t>
      </w:r>
      <w:r w:rsidR="00286B7D">
        <w:rPr>
          <w:rFonts w:ascii="Times New Roman" w:hAnsi="Times New Roman"/>
          <w:i w:val="0"/>
          <w:iCs w:val="0"/>
          <w:color w:val="000000" w:themeColor="text1"/>
          <w:sz w:val="24"/>
          <w:szCs w:val="24"/>
        </w:rPr>
        <w:t>5</w:t>
      </w:r>
      <w:r w:rsidRPr="00A756C9">
        <w:rPr>
          <w:rFonts w:ascii="Times New Roman" w:hAnsi="Times New Roman"/>
          <w:i w:val="0"/>
          <w:iCs w:val="0"/>
          <w:color w:val="000000" w:themeColor="text1"/>
          <w:sz w:val="24"/>
          <w:szCs w:val="24"/>
        </w:rPr>
        <w:t>: Fixed and random effect regression results</w:t>
      </w:r>
    </w:p>
    <w:tbl>
      <w:tblPr>
        <w:tblW w:w="9388"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1860"/>
        <w:gridCol w:w="1860"/>
        <w:gridCol w:w="2037"/>
        <w:gridCol w:w="1948"/>
        <w:gridCol w:w="1683"/>
      </w:tblGrid>
      <w:tr w:rsidR="00B62C3C" w:rsidRPr="00A756C9" w14:paraId="2D2D9962" w14:textId="77777777" w:rsidTr="00A561C7">
        <w:trPr>
          <w:trHeight w:hRule="exact" w:val="2"/>
          <w:tblCellSpacing w:w="15" w:type="dxa"/>
        </w:trPr>
        <w:tc>
          <w:tcPr>
            <w:tcW w:w="1815" w:type="dxa"/>
            <w:vAlign w:val="center"/>
            <w:hideMark/>
          </w:tcPr>
          <w:p w14:paraId="21594CD0" w14:textId="77777777" w:rsidR="00B62C3C" w:rsidRPr="00A756C9" w:rsidRDefault="00B62C3C" w:rsidP="00910619">
            <w:pPr>
              <w:spacing w:line="240" w:lineRule="auto"/>
              <w:jc w:val="both"/>
              <w:rPr>
                <w:rFonts w:cs="Times New Roman"/>
                <w:color w:val="000000" w:themeColor="text1"/>
                <w:szCs w:val="24"/>
              </w:rPr>
            </w:pPr>
          </w:p>
        </w:tc>
        <w:tc>
          <w:tcPr>
            <w:tcW w:w="1830" w:type="dxa"/>
            <w:vAlign w:val="center"/>
            <w:hideMark/>
          </w:tcPr>
          <w:p w14:paraId="79E49D81" w14:textId="77777777" w:rsidR="00B62C3C" w:rsidRPr="00A756C9" w:rsidRDefault="00B62C3C" w:rsidP="00910619">
            <w:pPr>
              <w:spacing w:line="240" w:lineRule="auto"/>
              <w:jc w:val="both"/>
              <w:rPr>
                <w:rFonts w:cs="Times New Roman"/>
                <w:color w:val="000000" w:themeColor="text1"/>
                <w:szCs w:val="24"/>
              </w:rPr>
            </w:pPr>
          </w:p>
        </w:tc>
        <w:tc>
          <w:tcPr>
            <w:tcW w:w="2007" w:type="dxa"/>
          </w:tcPr>
          <w:p w14:paraId="527B44D0" w14:textId="77777777" w:rsidR="00B62C3C" w:rsidRPr="00A756C9" w:rsidRDefault="00B62C3C" w:rsidP="00910619">
            <w:pPr>
              <w:spacing w:line="240" w:lineRule="auto"/>
              <w:jc w:val="both"/>
              <w:rPr>
                <w:rFonts w:cs="Times New Roman"/>
                <w:color w:val="000000" w:themeColor="text1"/>
                <w:szCs w:val="24"/>
              </w:rPr>
            </w:pPr>
          </w:p>
        </w:tc>
        <w:tc>
          <w:tcPr>
            <w:tcW w:w="1918" w:type="dxa"/>
            <w:vAlign w:val="center"/>
            <w:hideMark/>
          </w:tcPr>
          <w:p w14:paraId="5E0BCF94" w14:textId="77777777" w:rsidR="00B62C3C" w:rsidRPr="00A756C9" w:rsidRDefault="00B62C3C" w:rsidP="00910619">
            <w:pPr>
              <w:spacing w:line="240" w:lineRule="auto"/>
              <w:jc w:val="both"/>
              <w:rPr>
                <w:rFonts w:cs="Times New Roman"/>
                <w:color w:val="000000" w:themeColor="text1"/>
                <w:szCs w:val="24"/>
              </w:rPr>
            </w:pPr>
          </w:p>
        </w:tc>
        <w:tc>
          <w:tcPr>
            <w:tcW w:w="1638" w:type="dxa"/>
          </w:tcPr>
          <w:p w14:paraId="06274FD0" w14:textId="77777777" w:rsidR="00B62C3C" w:rsidRPr="00A756C9" w:rsidRDefault="00B62C3C" w:rsidP="00910619">
            <w:pPr>
              <w:spacing w:line="240" w:lineRule="auto"/>
              <w:jc w:val="both"/>
              <w:rPr>
                <w:rFonts w:cs="Times New Roman"/>
                <w:color w:val="000000" w:themeColor="text1"/>
                <w:szCs w:val="24"/>
              </w:rPr>
            </w:pPr>
          </w:p>
        </w:tc>
      </w:tr>
      <w:tr w:rsidR="00B62C3C" w:rsidRPr="00A756C9" w14:paraId="181D0107" w14:textId="77777777" w:rsidTr="00A561C7">
        <w:trPr>
          <w:trHeight w:val="104"/>
          <w:tblCellSpacing w:w="15" w:type="dxa"/>
        </w:trPr>
        <w:tc>
          <w:tcPr>
            <w:tcW w:w="1815" w:type="dxa"/>
            <w:tcBorders>
              <w:top w:val="single" w:sz="18" w:space="0" w:color="auto"/>
            </w:tcBorders>
            <w:vAlign w:val="center"/>
          </w:tcPr>
          <w:p w14:paraId="49620EA1" w14:textId="77777777" w:rsidR="00B62C3C" w:rsidRPr="00A756C9" w:rsidRDefault="00B62C3C" w:rsidP="00910619">
            <w:pPr>
              <w:spacing w:line="240" w:lineRule="auto"/>
              <w:jc w:val="both"/>
              <w:rPr>
                <w:rFonts w:cs="Times New Roman"/>
                <w:color w:val="000000" w:themeColor="text1"/>
                <w:szCs w:val="24"/>
              </w:rPr>
            </w:pPr>
          </w:p>
        </w:tc>
        <w:tc>
          <w:tcPr>
            <w:tcW w:w="3867" w:type="dxa"/>
            <w:gridSpan w:val="2"/>
            <w:tcBorders>
              <w:top w:val="single" w:sz="18" w:space="0" w:color="auto"/>
            </w:tcBorders>
            <w:vAlign w:val="center"/>
          </w:tcPr>
          <w:p w14:paraId="51D82202" w14:textId="77777777" w:rsidR="00B62C3C" w:rsidRPr="00A756C9" w:rsidRDefault="00B62C3C" w:rsidP="00910619">
            <w:pPr>
              <w:spacing w:line="240" w:lineRule="auto"/>
              <w:jc w:val="center"/>
              <w:rPr>
                <w:rFonts w:cs="Times New Roman"/>
                <w:color w:val="000000" w:themeColor="text1"/>
                <w:szCs w:val="24"/>
              </w:rPr>
            </w:pPr>
            <w:r w:rsidRPr="00A756C9">
              <w:rPr>
                <w:rFonts w:cs="Times New Roman"/>
                <w:color w:val="000000" w:themeColor="text1"/>
                <w:szCs w:val="24"/>
              </w:rPr>
              <w:t>Fixed effect model</w:t>
            </w:r>
          </w:p>
        </w:tc>
        <w:tc>
          <w:tcPr>
            <w:tcW w:w="3586" w:type="dxa"/>
            <w:gridSpan w:val="2"/>
            <w:tcBorders>
              <w:top w:val="single" w:sz="18" w:space="0" w:color="auto"/>
            </w:tcBorders>
            <w:vAlign w:val="center"/>
          </w:tcPr>
          <w:p w14:paraId="6B9D99AA" w14:textId="77777777" w:rsidR="00B62C3C" w:rsidRPr="00A756C9" w:rsidRDefault="00B62C3C" w:rsidP="00910619">
            <w:pPr>
              <w:spacing w:line="240" w:lineRule="auto"/>
              <w:jc w:val="center"/>
              <w:rPr>
                <w:rFonts w:cs="Times New Roman"/>
                <w:color w:val="000000" w:themeColor="text1"/>
                <w:szCs w:val="24"/>
              </w:rPr>
            </w:pPr>
            <w:r w:rsidRPr="00A756C9">
              <w:rPr>
                <w:rFonts w:cs="Times New Roman"/>
                <w:color w:val="000000" w:themeColor="text1"/>
                <w:szCs w:val="24"/>
              </w:rPr>
              <w:t>Random effect model</w:t>
            </w:r>
          </w:p>
        </w:tc>
      </w:tr>
      <w:tr w:rsidR="00A561C7" w:rsidRPr="00A756C9" w14:paraId="4BF20472" w14:textId="77777777" w:rsidTr="00A561C7">
        <w:trPr>
          <w:trHeight w:val="104"/>
          <w:tblCellSpacing w:w="15" w:type="dxa"/>
        </w:trPr>
        <w:tc>
          <w:tcPr>
            <w:tcW w:w="1815" w:type="dxa"/>
            <w:tcBorders>
              <w:top w:val="single" w:sz="18" w:space="0" w:color="auto"/>
            </w:tcBorders>
            <w:vAlign w:val="center"/>
            <w:hideMark/>
          </w:tcPr>
          <w:p w14:paraId="2BBD1D2C" w14:textId="63ECE34A" w:rsidR="00596200" w:rsidRPr="00A756C9" w:rsidRDefault="004B55C3" w:rsidP="00910619">
            <w:pPr>
              <w:spacing w:line="240" w:lineRule="auto"/>
              <w:jc w:val="both"/>
              <w:rPr>
                <w:rFonts w:cs="Times New Roman"/>
                <w:color w:val="000000" w:themeColor="text1"/>
                <w:szCs w:val="24"/>
              </w:rPr>
            </w:pPr>
            <w:r>
              <w:rPr>
                <w:rFonts w:cs="Times New Roman"/>
                <w:color w:val="000000" w:themeColor="text1"/>
                <w:szCs w:val="24"/>
              </w:rPr>
              <w:lastRenderedPageBreak/>
              <w:t>Environmental sustainability</w:t>
            </w:r>
          </w:p>
        </w:tc>
        <w:tc>
          <w:tcPr>
            <w:tcW w:w="1830" w:type="dxa"/>
            <w:tcBorders>
              <w:top w:val="single" w:sz="18" w:space="0" w:color="auto"/>
            </w:tcBorders>
            <w:vAlign w:val="center"/>
            <w:hideMark/>
          </w:tcPr>
          <w:p w14:paraId="1114DA3C"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2007" w:type="dxa"/>
            <w:tcBorders>
              <w:top w:val="single" w:sz="18" w:space="0" w:color="auto"/>
            </w:tcBorders>
            <w:vAlign w:val="center"/>
          </w:tcPr>
          <w:p w14:paraId="6804DA94"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c>
          <w:tcPr>
            <w:tcW w:w="1918" w:type="dxa"/>
            <w:tcBorders>
              <w:top w:val="single" w:sz="18" w:space="0" w:color="auto"/>
            </w:tcBorders>
            <w:vAlign w:val="center"/>
            <w:hideMark/>
          </w:tcPr>
          <w:p w14:paraId="1D42551B"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1638" w:type="dxa"/>
            <w:tcBorders>
              <w:top w:val="single" w:sz="18" w:space="0" w:color="auto"/>
            </w:tcBorders>
            <w:vAlign w:val="center"/>
          </w:tcPr>
          <w:p w14:paraId="14C7B185"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r>
      <w:tr w:rsidR="00A561C7" w:rsidRPr="00A756C9" w14:paraId="6E5C36B5" w14:textId="77777777" w:rsidTr="00A561C7">
        <w:trPr>
          <w:trHeight w:hRule="exact" w:val="2"/>
          <w:tblCellSpacing w:w="15" w:type="dxa"/>
        </w:trPr>
        <w:tc>
          <w:tcPr>
            <w:tcW w:w="1815" w:type="dxa"/>
            <w:vAlign w:val="center"/>
            <w:hideMark/>
          </w:tcPr>
          <w:p w14:paraId="1EA16E0C" w14:textId="77777777" w:rsidR="00596200" w:rsidRPr="00A756C9" w:rsidRDefault="00596200" w:rsidP="00910619">
            <w:pPr>
              <w:spacing w:line="240" w:lineRule="auto"/>
              <w:jc w:val="both"/>
              <w:rPr>
                <w:rFonts w:cs="Times New Roman"/>
                <w:color w:val="000000" w:themeColor="text1"/>
                <w:szCs w:val="24"/>
              </w:rPr>
            </w:pPr>
          </w:p>
        </w:tc>
        <w:tc>
          <w:tcPr>
            <w:tcW w:w="1830" w:type="dxa"/>
            <w:vAlign w:val="center"/>
            <w:hideMark/>
          </w:tcPr>
          <w:p w14:paraId="320773AA" w14:textId="77777777" w:rsidR="00596200" w:rsidRPr="00A756C9" w:rsidRDefault="00596200" w:rsidP="00910619">
            <w:pPr>
              <w:spacing w:line="240" w:lineRule="auto"/>
              <w:jc w:val="both"/>
              <w:rPr>
                <w:rFonts w:cs="Times New Roman"/>
                <w:color w:val="000000" w:themeColor="text1"/>
                <w:szCs w:val="24"/>
              </w:rPr>
            </w:pPr>
          </w:p>
        </w:tc>
        <w:tc>
          <w:tcPr>
            <w:tcW w:w="2007" w:type="dxa"/>
            <w:vAlign w:val="center"/>
          </w:tcPr>
          <w:p w14:paraId="62ED082A" w14:textId="77777777" w:rsidR="00596200" w:rsidRPr="00A756C9" w:rsidRDefault="00596200" w:rsidP="00910619">
            <w:pPr>
              <w:spacing w:line="240" w:lineRule="auto"/>
              <w:jc w:val="both"/>
              <w:rPr>
                <w:rFonts w:cs="Times New Roman"/>
                <w:color w:val="000000" w:themeColor="text1"/>
                <w:szCs w:val="24"/>
              </w:rPr>
            </w:pPr>
          </w:p>
        </w:tc>
        <w:tc>
          <w:tcPr>
            <w:tcW w:w="1918" w:type="dxa"/>
            <w:vAlign w:val="center"/>
            <w:hideMark/>
          </w:tcPr>
          <w:p w14:paraId="3A5F1112" w14:textId="77777777" w:rsidR="00596200" w:rsidRPr="00A756C9" w:rsidRDefault="00596200" w:rsidP="00910619">
            <w:pPr>
              <w:spacing w:line="240" w:lineRule="auto"/>
              <w:jc w:val="both"/>
              <w:rPr>
                <w:rFonts w:cs="Times New Roman"/>
                <w:color w:val="000000" w:themeColor="text1"/>
                <w:szCs w:val="24"/>
              </w:rPr>
            </w:pPr>
          </w:p>
        </w:tc>
        <w:tc>
          <w:tcPr>
            <w:tcW w:w="1638" w:type="dxa"/>
            <w:vAlign w:val="center"/>
          </w:tcPr>
          <w:p w14:paraId="6C1EA2E6" w14:textId="77777777" w:rsidR="00596200" w:rsidRPr="00A756C9" w:rsidRDefault="00596200" w:rsidP="00910619">
            <w:pPr>
              <w:spacing w:line="240" w:lineRule="auto"/>
              <w:jc w:val="both"/>
              <w:rPr>
                <w:rFonts w:cs="Times New Roman"/>
                <w:color w:val="000000" w:themeColor="text1"/>
                <w:szCs w:val="24"/>
              </w:rPr>
            </w:pPr>
          </w:p>
        </w:tc>
      </w:tr>
      <w:tr w:rsidR="00A561C7" w:rsidRPr="00A756C9" w14:paraId="6AC5DD65" w14:textId="77777777" w:rsidTr="00A561C7">
        <w:trPr>
          <w:trHeight w:val="100"/>
          <w:tblCellSpacing w:w="15" w:type="dxa"/>
        </w:trPr>
        <w:tc>
          <w:tcPr>
            <w:tcW w:w="1815" w:type="dxa"/>
            <w:tcBorders>
              <w:bottom w:val="single" w:sz="18" w:space="0" w:color="auto"/>
            </w:tcBorders>
            <w:vAlign w:val="center"/>
          </w:tcPr>
          <w:p w14:paraId="62AB9FFC" w14:textId="77777777" w:rsidR="00596200" w:rsidRPr="00A756C9" w:rsidRDefault="00596200" w:rsidP="00910619">
            <w:pPr>
              <w:spacing w:line="240" w:lineRule="auto"/>
              <w:jc w:val="both"/>
              <w:rPr>
                <w:rFonts w:cs="Times New Roman"/>
                <w:color w:val="000000" w:themeColor="text1"/>
                <w:szCs w:val="24"/>
              </w:rPr>
            </w:pPr>
          </w:p>
        </w:tc>
        <w:tc>
          <w:tcPr>
            <w:tcW w:w="1830" w:type="dxa"/>
            <w:tcBorders>
              <w:bottom w:val="single" w:sz="18" w:space="0" w:color="auto"/>
            </w:tcBorders>
            <w:vAlign w:val="center"/>
          </w:tcPr>
          <w:p w14:paraId="6D25657B"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2007" w:type="dxa"/>
            <w:tcBorders>
              <w:bottom w:val="single" w:sz="18" w:space="0" w:color="auto"/>
            </w:tcBorders>
            <w:vAlign w:val="center"/>
          </w:tcPr>
          <w:p w14:paraId="4EB2FED8"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1918" w:type="dxa"/>
            <w:tcBorders>
              <w:bottom w:val="single" w:sz="18" w:space="0" w:color="auto"/>
            </w:tcBorders>
            <w:vAlign w:val="center"/>
          </w:tcPr>
          <w:p w14:paraId="43E77252"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1638" w:type="dxa"/>
            <w:tcBorders>
              <w:bottom w:val="single" w:sz="18" w:space="0" w:color="auto"/>
            </w:tcBorders>
            <w:vAlign w:val="center"/>
          </w:tcPr>
          <w:p w14:paraId="21198311"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r>
      <w:tr w:rsidR="00B62C3C" w:rsidRPr="00A756C9" w14:paraId="359B3C75" w14:textId="77777777" w:rsidTr="00A561C7">
        <w:trPr>
          <w:trHeight w:val="100"/>
          <w:tblCellSpacing w:w="15" w:type="dxa"/>
        </w:trPr>
        <w:tc>
          <w:tcPr>
            <w:tcW w:w="1815" w:type="dxa"/>
            <w:vAlign w:val="center"/>
            <w:hideMark/>
          </w:tcPr>
          <w:p w14:paraId="43CB4AB3"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Constant</w:t>
            </w:r>
          </w:p>
        </w:tc>
        <w:tc>
          <w:tcPr>
            <w:tcW w:w="1830" w:type="dxa"/>
            <w:vAlign w:val="center"/>
            <w:hideMark/>
          </w:tcPr>
          <w:p w14:paraId="68FD9B2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197AF0" w:rsidRPr="00A756C9">
              <w:rPr>
                <w:rFonts w:cs="Times New Roman"/>
                <w:color w:val="000000" w:themeColor="text1"/>
                <w:szCs w:val="24"/>
              </w:rPr>
              <w:t xml:space="preserve">022 </w:t>
            </w:r>
            <w:r w:rsidRPr="00A756C9">
              <w:rPr>
                <w:rFonts w:cs="Times New Roman"/>
                <w:color w:val="000000" w:themeColor="text1"/>
                <w:szCs w:val="24"/>
              </w:rPr>
              <w:t>(0.</w:t>
            </w:r>
            <w:r w:rsidR="00197AF0" w:rsidRPr="00A756C9">
              <w:rPr>
                <w:rFonts w:cs="Times New Roman"/>
                <w:color w:val="000000" w:themeColor="text1"/>
                <w:szCs w:val="24"/>
              </w:rPr>
              <w:t>020</w:t>
            </w:r>
            <w:r w:rsidRPr="00A756C9">
              <w:rPr>
                <w:rFonts w:cs="Times New Roman"/>
                <w:color w:val="000000" w:themeColor="text1"/>
                <w:szCs w:val="24"/>
              </w:rPr>
              <w:t>)</w:t>
            </w:r>
          </w:p>
        </w:tc>
        <w:tc>
          <w:tcPr>
            <w:tcW w:w="2007" w:type="dxa"/>
            <w:vAlign w:val="center"/>
          </w:tcPr>
          <w:p w14:paraId="6436171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-0.059 </w:t>
            </w:r>
            <w:r w:rsidR="00B62C3C" w:rsidRPr="00A756C9">
              <w:rPr>
                <w:rFonts w:cs="Times New Roman"/>
                <w:color w:val="000000" w:themeColor="text1"/>
                <w:szCs w:val="24"/>
              </w:rPr>
              <w:t>(</w:t>
            </w:r>
            <w:r w:rsidRPr="00A756C9">
              <w:rPr>
                <w:rFonts w:cs="Times New Roman"/>
                <w:color w:val="000000" w:themeColor="text1"/>
                <w:szCs w:val="24"/>
              </w:rPr>
              <w:t>0.021) *</w:t>
            </w:r>
            <w:r w:rsidR="00B62C3C" w:rsidRPr="00A756C9">
              <w:rPr>
                <w:rFonts w:cs="Times New Roman"/>
                <w:color w:val="000000" w:themeColor="text1"/>
                <w:szCs w:val="24"/>
              </w:rPr>
              <w:t>*</w:t>
            </w:r>
          </w:p>
        </w:tc>
        <w:tc>
          <w:tcPr>
            <w:tcW w:w="1918" w:type="dxa"/>
            <w:vAlign w:val="center"/>
            <w:hideMark/>
          </w:tcPr>
          <w:p w14:paraId="0A21754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321D37" w:rsidRPr="00A756C9">
              <w:rPr>
                <w:rFonts w:cs="Times New Roman"/>
                <w:color w:val="000000" w:themeColor="text1"/>
                <w:szCs w:val="24"/>
              </w:rPr>
              <w:t xml:space="preserve">022 </w:t>
            </w:r>
            <w:r w:rsidRPr="00A756C9">
              <w:rPr>
                <w:rFonts w:cs="Times New Roman"/>
                <w:color w:val="000000" w:themeColor="text1"/>
                <w:szCs w:val="24"/>
              </w:rPr>
              <w:t>(</w:t>
            </w:r>
            <w:r w:rsidR="006815A4" w:rsidRPr="00A756C9">
              <w:rPr>
                <w:rFonts w:cs="Times New Roman"/>
                <w:color w:val="000000" w:themeColor="text1"/>
                <w:szCs w:val="24"/>
              </w:rPr>
              <w:t>0.020) *</w:t>
            </w:r>
            <w:r w:rsidRPr="00A756C9">
              <w:rPr>
                <w:rFonts w:cs="Times New Roman"/>
                <w:color w:val="000000" w:themeColor="text1"/>
                <w:szCs w:val="24"/>
              </w:rPr>
              <w:t>*</w:t>
            </w:r>
          </w:p>
        </w:tc>
        <w:tc>
          <w:tcPr>
            <w:tcW w:w="1638" w:type="dxa"/>
            <w:vAlign w:val="center"/>
          </w:tcPr>
          <w:p w14:paraId="409BD731"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-0.089</w:t>
            </w:r>
            <w:r w:rsidR="00B62C3C" w:rsidRPr="00A756C9">
              <w:rPr>
                <w:rFonts w:cs="Times New Roman"/>
                <w:color w:val="000000" w:themeColor="text1"/>
                <w:szCs w:val="24"/>
              </w:rPr>
              <w:t>(</w:t>
            </w:r>
            <w:r w:rsidRPr="00A756C9">
              <w:rPr>
                <w:rFonts w:cs="Times New Roman"/>
                <w:color w:val="000000" w:themeColor="text1"/>
                <w:szCs w:val="24"/>
              </w:rPr>
              <w:t>0.022) *</w:t>
            </w:r>
            <w:r w:rsidR="00B62C3C" w:rsidRPr="00A756C9">
              <w:rPr>
                <w:rFonts w:cs="Times New Roman"/>
                <w:color w:val="000000" w:themeColor="text1"/>
                <w:szCs w:val="24"/>
              </w:rPr>
              <w:t>*</w:t>
            </w:r>
          </w:p>
        </w:tc>
      </w:tr>
      <w:tr w:rsidR="00B62C3C" w:rsidRPr="00A756C9" w14:paraId="3DF4A2E6" w14:textId="77777777" w:rsidTr="00A561C7">
        <w:trPr>
          <w:trHeight w:val="104"/>
          <w:tblCellSpacing w:w="15" w:type="dxa"/>
        </w:trPr>
        <w:tc>
          <w:tcPr>
            <w:tcW w:w="1815" w:type="dxa"/>
            <w:vAlign w:val="center"/>
            <w:hideMark/>
          </w:tcPr>
          <w:p w14:paraId="1F6B1D3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FDI</w:t>
            </w:r>
          </w:p>
        </w:tc>
        <w:tc>
          <w:tcPr>
            <w:tcW w:w="1830" w:type="dxa"/>
            <w:vAlign w:val="center"/>
            <w:hideMark/>
          </w:tcPr>
          <w:p w14:paraId="6B4B7541"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0.481 </w:t>
            </w:r>
            <w:r w:rsidR="00B62C3C" w:rsidRPr="00A756C9">
              <w:rPr>
                <w:rFonts w:cs="Times New Roman"/>
                <w:color w:val="000000" w:themeColor="text1"/>
                <w:szCs w:val="24"/>
              </w:rPr>
              <w:t>(</w:t>
            </w:r>
            <w:r w:rsidR="00321D37" w:rsidRPr="00A756C9">
              <w:rPr>
                <w:rFonts w:cs="Times New Roman"/>
                <w:color w:val="000000" w:themeColor="text1"/>
                <w:szCs w:val="24"/>
              </w:rPr>
              <w:t>0.020) *</w:t>
            </w:r>
            <w:r w:rsidR="00B62C3C" w:rsidRPr="00A756C9">
              <w:rPr>
                <w:rFonts w:cs="Times New Roman"/>
                <w:color w:val="000000" w:themeColor="text1"/>
                <w:szCs w:val="24"/>
              </w:rPr>
              <w:t>*</w:t>
            </w:r>
          </w:p>
        </w:tc>
        <w:tc>
          <w:tcPr>
            <w:tcW w:w="2007" w:type="dxa"/>
            <w:vAlign w:val="center"/>
          </w:tcPr>
          <w:p w14:paraId="48DE2F01"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-0.043 </w:t>
            </w:r>
            <w:r w:rsidR="00B62C3C" w:rsidRPr="00A756C9">
              <w:rPr>
                <w:rFonts w:cs="Times New Roman"/>
                <w:color w:val="000000" w:themeColor="text1"/>
                <w:szCs w:val="24"/>
              </w:rPr>
              <w:t>(</w:t>
            </w:r>
            <w:r w:rsidRPr="00A756C9">
              <w:rPr>
                <w:rFonts w:cs="Times New Roman"/>
                <w:color w:val="000000" w:themeColor="text1"/>
                <w:szCs w:val="24"/>
              </w:rPr>
              <w:t>0.013) *</w:t>
            </w:r>
            <w:r w:rsidR="00B62C3C" w:rsidRPr="00A756C9">
              <w:rPr>
                <w:rFonts w:cs="Times New Roman"/>
                <w:color w:val="000000" w:themeColor="text1"/>
                <w:szCs w:val="24"/>
              </w:rPr>
              <w:t>*</w:t>
            </w:r>
          </w:p>
        </w:tc>
        <w:tc>
          <w:tcPr>
            <w:tcW w:w="1918" w:type="dxa"/>
            <w:vAlign w:val="center"/>
            <w:hideMark/>
          </w:tcPr>
          <w:p w14:paraId="0EBE24E4"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474</w:t>
            </w:r>
            <w:r w:rsidR="00B62C3C" w:rsidRPr="00A756C9">
              <w:rPr>
                <w:rFonts w:cs="Times New Roman"/>
                <w:color w:val="000000" w:themeColor="text1"/>
                <w:szCs w:val="24"/>
              </w:rPr>
              <w:t>(0.</w:t>
            </w:r>
            <w:r w:rsidR="006815A4" w:rsidRPr="00A756C9">
              <w:rPr>
                <w:rFonts w:cs="Times New Roman"/>
                <w:color w:val="000000" w:themeColor="text1"/>
                <w:szCs w:val="24"/>
              </w:rPr>
              <w:t>020) *</w:t>
            </w:r>
            <w:r w:rsidR="00B62C3C" w:rsidRPr="00A756C9">
              <w:rPr>
                <w:rFonts w:cs="Times New Roman"/>
                <w:color w:val="000000" w:themeColor="text1"/>
                <w:szCs w:val="24"/>
              </w:rPr>
              <w:t>*</w:t>
            </w:r>
          </w:p>
        </w:tc>
        <w:tc>
          <w:tcPr>
            <w:tcW w:w="1638" w:type="dxa"/>
            <w:vAlign w:val="center"/>
          </w:tcPr>
          <w:p w14:paraId="2F99E50B"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-0.043</w:t>
            </w:r>
            <w:r w:rsidR="00B62C3C" w:rsidRPr="00A756C9">
              <w:rPr>
                <w:rFonts w:cs="Times New Roman"/>
                <w:color w:val="000000" w:themeColor="text1"/>
                <w:szCs w:val="24"/>
              </w:rPr>
              <w:t>(0.</w:t>
            </w:r>
            <w:r w:rsidRPr="00A756C9">
              <w:rPr>
                <w:rFonts w:cs="Times New Roman"/>
                <w:color w:val="000000" w:themeColor="text1"/>
                <w:szCs w:val="24"/>
              </w:rPr>
              <w:t>013) *</w:t>
            </w:r>
            <w:r w:rsidR="00B62C3C" w:rsidRPr="00A756C9">
              <w:rPr>
                <w:rFonts w:cs="Times New Roman"/>
                <w:color w:val="000000" w:themeColor="text1"/>
                <w:szCs w:val="24"/>
              </w:rPr>
              <w:t>*</w:t>
            </w:r>
          </w:p>
        </w:tc>
      </w:tr>
      <w:tr w:rsidR="00B62C3C" w:rsidRPr="00A756C9" w14:paraId="05CCE0B2" w14:textId="77777777" w:rsidTr="00A561C7">
        <w:trPr>
          <w:trHeight w:val="100"/>
          <w:tblCellSpacing w:w="15" w:type="dxa"/>
        </w:trPr>
        <w:tc>
          <w:tcPr>
            <w:tcW w:w="1815" w:type="dxa"/>
            <w:vAlign w:val="center"/>
            <w:hideMark/>
          </w:tcPr>
          <w:p w14:paraId="6D1A2B7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POP</w:t>
            </w:r>
          </w:p>
        </w:tc>
        <w:tc>
          <w:tcPr>
            <w:tcW w:w="1830" w:type="dxa"/>
            <w:vAlign w:val="center"/>
            <w:hideMark/>
          </w:tcPr>
          <w:p w14:paraId="2002733C"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-0.172 (</w:t>
            </w:r>
            <w:r w:rsidR="00321D37" w:rsidRPr="00A756C9">
              <w:rPr>
                <w:rFonts w:cs="Times New Roman"/>
                <w:color w:val="000000" w:themeColor="text1"/>
                <w:szCs w:val="24"/>
              </w:rPr>
              <w:t>0.061) *</w:t>
            </w:r>
            <w:r w:rsidRPr="00A756C9">
              <w:rPr>
                <w:rFonts w:cs="Times New Roman"/>
                <w:color w:val="000000" w:themeColor="text1"/>
                <w:szCs w:val="24"/>
              </w:rPr>
              <w:t>*</w:t>
            </w:r>
          </w:p>
        </w:tc>
        <w:tc>
          <w:tcPr>
            <w:tcW w:w="2007" w:type="dxa"/>
            <w:vAlign w:val="center"/>
          </w:tcPr>
          <w:p w14:paraId="190B9A25"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-0.511 </w:t>
            </w:r>
            <w:r w:rsidR="00B62C3C" w:rsidRPr="00A756C9">
              <w:rPr>
                <w:rFonts w:cs="Times New Roman"/>
                <w:color w:val="000000" w:themeColor="text1"/>
                <w:szCs w:val="24"/>
              </w:rPr>
              <w:t>(</w:t>
            </w:r>
            <w:r w:rsidRPr="00A756C9">
              <w:rPr>
                <w:rFonts w:cs="Times New Roman"/>
                <w:color w:val="000000" w:themeColor="text1"/>
                <w:szCs w:val="24"/>
              </w:rPr>
              <w:t>0.133) *</w:t>
            </w:r>
            <w:r w:rsidR="00B62C3C" w:rsidRPr="00A756C9">
              <w:rPr>
                <w:rFonts w:cs="Times New Roman"/>
                <w:color w:val="000000" w:themeColor="text1"/>
                <w:szCs w:val="24"/>
              </w:rPr>
              <w:t>*</w:t>
            </w:r>
          </w:p>
        </w:tc>
        <w:tc>
          <w:tcPr>
            <w:tcW w:w="1918" w:type="dxa"/>
            <w:vAlign w:val="center"/>
            <w:hideMark/>
          </w:tcPr>
          <w:p w14:paraId="6D252CA5"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142</w:t>
            </w:r>
            <w:r w:rsidR="00B62C3C" w:rsidRPr="00A756C9">
              <w:rPr>
                <w:rFonts w:cs="Times New Roman"/>
                <w:color w:val="000000" w:themeColor="text1"/>
                <w:szCs w:val="24"/>
              </w:rPr>
              <w:t>(</w:t>
            </w:r>
            <w:r w:rsidR="006815A4" w:rsidRPr="00A756C9">
              <w:rPr>
                <w:rFonts w:cs="Times New Roman"/>
                <w:color w:val="000000" w:themeColor="text1"/>
                <w:szCs w:val="24"/>
              </w:rPr>
              <w:t>0.060) *</w:t>
            </w:r>
            <w:r w:rsidR="00B62C3C" w:rsidRPr="00A756C9">
              <w:rPr>
                <w:rFonts w:cs="Times New Roman"/>
                <w:color w:val="000000" w:themeColor="text1"/>
                <w:szCs w:val="24"/>
              </w:rPr>
              <w:t>*</w:t>
            </w:r>
          </w:p>
        </w:tc>
        <w:tc>
          <w:tcPr>
            <w:tcW w:w="1638" w:type="dxa"/>
            <w:vAlign w:val="center"/>
          </w:tcPr>
          <w:p w14:paraId="462EA06A"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-0.678</w:t>
            </w:r>
            <w:r w:rsidR="00B62C3C" w:rsidRPr="00A756C9">
              <w:rPr>
                <w:rFonts w:cs="Times New Roman"/>
                <w:color w:val="000000" w:themeColor="text1"/>
                <w:szCs w:val="24"/>
              </w:rPr>
              <w:t>(0.</w:t>
            </w:r>
            <w:r w:rsidRPr="00A756C9">
              <w:rPr>
                <w:rFonts w:cs="Times New Roman"/>
                <w:color w:val="000000" w:themeColor="text1"/>
                <w:szCs w:val="24"/>
              </w:rPr>
              <w:t>137) *</w:t>
            </w:r>
            <w:r w:rsidR="00B62C3C" w:rsidRPr="00A756C9">
              <w:rPr>
                <w:rFonts w:cs="Times New Roman"/>
                <w:color w:val="000000" w:themeColor="text1"/>
                <w:szCs w:val="24"/>
              </w:rPr>
              <w:t>*</w:t>
            </w:r>
          </w:p>
        </w:tc>
      </w:tr>
      <w:tr w:rsidR="00B62C3C" w:rsidRPr="00A756C9" w14:paraId="78CD65E4" w14:textId="77777777" w:rsidTr="00A561C7">
        <w:trPr>
          <w:trHeight w:val="104"/>
          <w:tblCellSpacing w:w="15" w:type="dxa"/>
        </w:trPr>
        <w:tc>
          <w:tcPr>
            <w:tcW w:w="1815" w:type="dxa"/>
            <w:vAlign w:val="center"/>
            <w:hideMark/>
          </w:tcPr>
          <w:p w14:paraId="1FD4CC81"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IND</w:t>
            </w:r>
          </w:p>
        </w:tc>
        <w:tc>
          <w:tcPr>
            <w:tcW w:w="1830" w:type="dxa"/>
            <w:vAlign w:val="center"/>
            <w:hideMark/>
          </w:tcPr>
          <w:p w14:paraId="41B64169"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 xml:space="preserve">937 </w:t>
            </w:r>
            <w:r w:rsidR="00B62C3C" w:rsidRPr="00A756C9">
              <w:rPr>
                <w:rFonts w:cs="Times New Roman"/>
                <w:color w:val="000000" w:themeColor="text1"/>
                <w:szCs w:val="24"/>
              </w:rPr>
              <w:t>(</w:t>
            </w:r>
            <w:r w:rsidR="00321D37" w:rsidRPr="00A756C9">
              <w:rPr>
                <w:rFonts w:cs="Times New Roman"/>
                <w:color w:val="000000" w:themeColor="text1"/>
                <w:szCs w:val="24"/>
              </w:rPr>
              <w:t>0.062) *</w:t>
            </w:r>
            <w:r w:rsidR="00B62C3C" w:rsidRPr="00A756C9">
              <w:rPr>
                <w:rFonts w:cs="Times New Roman"/>
                <w:color w:val="000000" w:themeColor="text1"/>
                <w:szCs w:val="24"/>
              </w:rPr>
              <w:t>*</w:t>
            </w:r>
          </w:p>
        </w:tc>
        <w:tc>
          <w:tcPr>
            <w:tcW w:w="2007" w:type="dxa"/>
            <w:vAlign w:val="center"/>
          </w:tcPr>
          <w:p w14:paraId="07F83D1A"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0.839 </w:t>
            </w:r>
            <w:r w:rsidR="00B62C3C" w:rsidRPr="00A756C9">
              <w:rPr>
                <w:rFonts w:cs="Times New Roman"/>
                <w:color w:val="000000" w:themeColor="text1"/>
                <w:szCs w:val="24"/>
              </w:rPr>
              <w:t>(</w:t>
            </w:r>
            <w:r w:rsidRPr="00A756C9">
              <w:rPr>
                <w:rFonts w:cs="Times New Roman"/>
                <w:color w:val="000000" w:themeColor="text1"/>
                <w:szCs w:val="24"/>
              </w:rPr>
              <w:t>0.042) *</w:t>
            </w:r>
            <w:r w:rsidR="00B62C3C" w:rsidRPr="00A756C9">
              <w:rPr>
                <w:rFonts w:cs="Times New Roman"/>
                <w:color w:val="000000" w:themeColor="text1"/>
                <w:szCs w:val="24"/>
              </w:rPr>
              <w:t>*</w:t>
            </w:r>
          </w:p>
        </w:tc>
        <w:tc>
          <w:tcPr>
            <w:tcW w:w="1918" w:type="dxa"/>
            <w:vAlign w:val="center"/>
            <w:hideMark/>
          </w:tcPr>
          <w:p w14:paraId="594CCDC2"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902</w:t>
            </w:r>
            <w:r w:rsidR="00B62C3C" w:rsidRPr="00A756C9">
              <w:rPr>
                <w:rFonts w:cs="Times New Roman"/>
                <w:color w:val="000000" w:themeColor="text1"/>
                <w:szCs w:val="24"/>
              </w:rPr>
              <w:t>(0.</w:t>
            </w:r>
            <w:r w:rsidR="006815A4" w:rsidRPr="00A756C9">
              <w:rPr>
                <w:rFonts w:cs="Times New Roman"/>
                <w:color w:val="000000" w:themeColor="text1"/>
                <w:szCs w:val="24"/>
              </w:rPr>
              <w:t>060) *</w:t>
            </w:r>
            <w:r w:rsidR="00B62C3C" w:rsidRPr="00A756C9">
              <w:rPr>
                <w:rFonts w:cs="Times New Roman"/>
                <w:color w:val="000000" w:themeColor="text1"/>
                <w:szCs w:val="24"/>
              </w:rPr>
              <w:t>*</w:t>
            </w:r>
          </w:p>
        </w:tc>
        <w:tc>
          <w:tcPr>
            <w:tcW w:w="1638" w:type="dxa"/>
            <w:vAlign w:val="center"/>
          </w:tcPr>
          <w:p w14:paraId="727E77F8"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575317" w:rsidRPr="00A756C9">
              <w:rPr>
                <w:rFonts w:cs="Times New Roman"/>
                <w:color w:val="000000" w:themeColor="text1"/>
                <w:szCs w:val="24"/>
              </w:rPr>
              <w:t>844</w:t>
            </w:r>
            <w:r w:rsidR="00B62C3C" w:rsidRPr="00A756C9">
              <w:rPr>
                <w:rFonts w:cs="Times New Roman"/>
                <w:color w:val="000000" w:themeColor="text1"/>
                <w:szCs w:val="24"/>
              </w:rPr>
              <w:t>(</w:t>
            </w:r>
            <w:r w:rsidRPr="00A756C9">
              <w:rPr>
                <w:rFonts w:cs="Times New Roman"/>
                <w:color w:val="000000" w:themeColor="text1"/>
                <w:szCs w:val="24"/>
              </w:rPr>
              <w:t>0.</w:t>
            </w:r>
            <w:r w:rsidR="00575317" w:rsidRPr="00A756C9">
              <w:rPr>
                <w:rFonts w:cs="Times New Roman"/>
                <w:color w:val="000000" w:themeColor="text1"/>
                <w:szCs w:val="24"/>
              </w:rPr>
              <w:t>044</w:t>
            </w:r>
            <w:r w:rsidRPr="00A756C9">
              <w:rPr>
                <w:rFonts w:cs="Times New Roman"/>
                <w:color w:val="000000" w:themeColor="text1"/>
                <w:szCs w:val="24"/>
              </w:rPr>
              <w:t>) *</w:t>
            </w:r>
            <w:r w:rsidR="00B62C3C" w:rsidRPr="00A756C9">
              <w:rPr>
                <w:rFonts w:cs="Times New Roman"/>
                <w:color w:val="000000" w:themeColor="text1"/>
                <w:szCs w:val="24"/>
              </w:rPr>
              <w:t>*</w:t>
            </w:r>
          </w:p>
        </w:tc>
      </w:tr>
      <w:tr w:rsidR="00A561C7" w:rsidRPr="00A756C9" w14:paraId="35A51875" w14:textId="77777777" w:rsidTr="00A561C7">
        <w:trPr>
          <w:trHeight w:val="104"/>
          <w:tblCellSpacing w:w="15" w:type="dxa"/>
        </w:trPr>
        <w:tc>
          <w:tcPr>
            <w:tcW w:w="1815" w:type="dxa"/>
            <w:vAlign w:val="center"/>
            <w:hideMark/>
          </w:tcPr>
          <w:p w14:paraId="7ACAE551"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REC</w:t>
            </w:r>
          </w:p>
        </w:tc>
        <w:tc>
          <w:tcPr>
            <w:tcW w:w="1830" w:type="dxa"/>
            <w:vAlign w:val="center"/>
          </w:tcPr>
          <w:p w14:paraId="54CC609E"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3FA3618B"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w:t>
            </w:r>
            <w:r w:rsidR="006815A4" w:rsidRPr="00A756C9">
              <w:rPr>
                <w:rFonts w:cs="Times New Roman"/>
                <w:color w:val="000000" w:themeColor="text1"/>
                <w:szCs w:val="24"/>
              </w:rPr>
              <w:t xml:space="preserve">038 </w:t>
            </w:r>
            <w:r w:rsidRPr="00A756C9">
              <w:rPr>
                <w:rFonts w:cs="Times New Roman"/>
                <w:color w:val="000000" w:themeColor="text1"/>
                <w:szCs w:val="24"/>
              </w:rPr>
              <w:t>(</w:t>
            </w:r>
            <w:r w:rsidR="006815A4" w:rsidRPr="00A756C9">
              <w:rPr>
                <w:rFonts w:cs="Times New Roman"/>
                <w:color w:val="000000" w:themeColor="text1"/>
                <w:szCs w:val="24"/>
              </w:rPr>
              <w:t>0.012) *</w:t>
            </w:r>
            <w:r w:rsidRPr="00A756C9">
              <w:rPr>
                <w:rFonts w:cs="Times New Roman"/>
                <w:color w:val="000000" w:themeColor="text1"/>
                <w:szCs w:val="24"/>
              </w:rPr>
              <w:t>*</w:t>
            </w:r>
          </w:p>
        </w:tc>
        <w:tc>
          <w:tcPr>
            <w:tcW w:w="1918" w:type="dxa"/>
            <w:vAlign w:val="center"/>
          </w:tcPr>
          <w:p w14:paraId="79E1EAA8"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6AF43513"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575317" w:rsidRPr="00A756C9">
              <w:rPr>
                <w:rFonts w:cs="Times New Roman"/>
                <w:color w:val="000000" w:themeColor="text1"/>
                <w:szCs w:val="24"/>
              </w:rPr>
              <w:t>0.031</w:t>
            </w:r>
            <w:r w:rsidRPr="00A756C9">
              <w:rPr>
                <w:rFonts w:cs="Times New Roman"/>
                <w:color w:val="000000" w:themeColor="text1"/>
                <w:szCs w:val="24"/>
              </w:rPr>
              <w:t>(</w:t>
            </w:r>
            <w:proofErr w:type="gramStart"/>
            <w:r w:rsidR="006815A4" w:rsidRPr="00A756C9">
              <w:rPr>
                <w:rFonts w:cs="Times New Roman"/>
                <w:color w:val="000000" w:themeColor="text1"/>
                <w:szCs w:val="24"/>
              </w:rPr>
              <w:t>0.</w:t>
            </w:r>
            <w:r w:rsidR="00575317" w:rsidRPr="00A756C9">
              <w:rPr>
                <w:rFonts w:cs="Times New Roman"/>
                <w:color w:val="000000" w:themeColor="text1"/>
                <w:szCs w:val="24"/>
              </w:rPr>
              <w:t>013</w:t>
            </w:r>
            <w:r w:rsidR="006815A4" w:rsidRPr="00A756C9">
              <w:rPr>
                <w:rFonts w:cs="Times New Roman"/>
                <w:color w:val="000000" w:themeColor="text1"/>
                <w:szCs w:val="24"/>
              </w:rPr>
              <w:t>)*</w:t>
            </w:r>
            <w:proofErr w:type="gramEnd"/>
            <w:r w:rsidRPr="00A756C9">
              <w:rPr>
                <w:rFonts w:cs="Times New Roman"/>
                <w:color w:val="000000" w:themeColor="text1"/>
                <w:szCs w:val="24"/>
              </w:rPr>
              <w:t>*</w:t>
            </w:r>
          </w:p>
        </w:tc>
      </w:tr>
      <w:tr w:rsidR="00A561C7" w:rsidRPr="00A756C9" w14:paraId="56CD4464" w14:textId="77777777" w:rsidTr="00A561C7">
        <w:trPr>
          <w:trHeight w:val="100"/>
          <w:tblCellSpacing w:w="15" w:type="dxa"/>
        </w:trPr>
        <w:tc>
          <w:tcPr>
            <w:tcW w:w="1815" w:type="dxa"/>
            <w:vAlign w:val="center"/>
            <w:hideMark/>
          </w:tcPr>
          <w:p w14:paraId="19A8126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NREC</w:t>
            </w:r>
          </w:p>
        </w:tc>
        <w:tc>
          <w:tcPr>
            <w:tcW w:w="1830" w:type="dxa"/>
            <w:vAlign w:val="center"/>
          </w:tcPr>
          <w:p w14:paraId="5FD6C159"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4CC45B8F"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0.012 </w:t>
            </w:r>
            <w:r w:rsidR="00B62C3C" w:rsidRPr="00A756C9">
              <w:rPr>
                <w:rFonts w:cs="Times New Roman"/>
                <w:color w:val="000000" w:themeColor="text1"/>
                <w:szCs w:val="24"/>
              </w:rPr>
              <w:t>(0.</w:t>
            </w:r>
            <w:r w:rsidRPr="00A756C9">
              <w:rPr>
                <w:rFonts w:cs="Times New Roman"/>
                <w:color w:val="000000" w:themeColor="text1"/>
                <w:szCs w:val="24"/>
              </w:rPr>
              <w:t>014</w:t>
            </w:r>
            <w:r w:rsidR="00B62C3C" w:rsidRPr="00A756C9">
              <w:rPr>
                <w:rFonts w:cs="Times New Roman"/>
                <w:color w:val="000000" w:themeColor="text1"/>
                <w:szCs w:val="24"/>
              </w:rPr>
              <w:t>)</w:t>
            </w:r>
          </w:p>
        </w:tc>
        <w:tc>
          <w:tcPr>
            <w:tcW w:w="1918" w:type="dxa"/>
            <w:vAlign w:val="center"/>
          </w:tcPr>
          <w:p w14:paraId="23F949D4"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2D920B6E"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0.018</w:t>
            </w:r>
            <w:r w:rsidR="00B62C3C" w:rsidRPr="00A756C9">
              <w:rPr>
                <w:rFonts w:cs="Times New Roman"/>
                <w:color w:val="000000" w:themeColor="text1"/>
                <w:szCs w:val="24"/>
              </w:rPr>
              <w:t>(0.</w:t>
            </w:r>
            <w:r w:rsidRPr="00A756C9">
              <w:rPr>
                <w:rFonts w:cs="Times New Roman"/>
                <w:color w:val="000000" w:themeColor="text1"/>
                <w:szCs w:val="24"/>
              </w:rPr>
              <w:t>015</w:t>
            </w:r>
            <w:r w:rsidR="006815A4" w:rsidRPr="00A756C9">
              <w:rPr>
                <w:rFonts w:cs="Times New Roman"/>
                <w:color w:val="000000" w:themeColor="text1"/>
                <w:szCs w:val="24"/>
              </w:rPr>
              <w:t xml:space="preserve">) </w:t>
            </w:r>
          </w:p>
        </w:tc>
      </w:tr>
      <w:tr w:rsidR="00A561C7" w:rsidRPr="00A756C9" w14:paraId="1A877E71" w14:textId="77777777" w:rsidTr="00A561C7">
        <w:trPr>
          <w:trHeight w:val="104"/>
          <w:tblCellSpacing w:w="15" w:type="dxa"/>
        </w:trPr>
        <w:tc>
          <w:tcPr>
            <w:tcW w:w="1815" w:type="dxa"/>
            <w:vAlign w:val="center"/>
            <w:hideMark/>
          </w:tcPr>
          <w:p w14:paraId="1BC58A78"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FD</w:t>
            </w:r>
          </w:p>
        </w:tc>
        <w:tc>
          <w:tcPr>
            <w:tcW w:w="1830" w:type="dxa"/>
            <w:vAlign w:val="center"/>
          </w:tcPr>
          <w:p w14:paraId="045DE4C8"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211E6F33"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0.041</w:t>
            </w:r>
            <w:r w:rsidR="00B62C3C" w:rsidRPr="00A756C9">
              <w:rPr>
                <w:rFonts w:cs="Times New Roman"/>
                <w:color w:val="000000" w:themeColor="text1"/>
                <w:szCs w:val="24"/>
              </w:rPr>
              <w:t>(0.</w:t>
            </w:r>
            <w:r w:rsidRPr="00A756C9">
              <w:rPr>
                <w:rFonts w:cs="Times New Roman"/>
                <w:color w:val="000000" w:themeColor="text1"/>
                <w:szCs w:val="24"/>
              </w:rPr>
              <w:t>010) *</w:t>
            </w:r>
            <w:r w:rsidR="00B62C3C" w:rsidRPr="00A756C9">
              <w:rPr>
                <w:rFonts w:cs="Times New Roman"/>
                <w:color w:val="000000" w:themeColor="text1"/>
                <w:szCs w:val="24"/>
              </w:rPr>
              <w:t>*</w:t>
            </w:r>
          </w:p>
        </w:tc>
        <w:tc>
          <w:tcPr>
            <w:tcW w:w="1918" w:type="dxa"/>
            <w:vAlign w:val="center"/>
          </w:tcPr>
          <w:p w14:paraId="279CC741"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4494C648"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0.046</w:t>
            </w:r>
            <w:r w:rsidR="00B62C3C"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010</w:t>
            </w:r>
            <w:r w:rsidR="006815A4" w:rsidRPr="00A756C9">
              <w:rPr>
                <w:rFonts w:cs="Times New Roman"/>
                <w:color w:val="000000" w:themeColor="text1"/>
                <w:szCs w:val="24"/>
              </w:rPr>
              <w:t>) *</w:t>
            </w:r>
            <w:r w:rsidR="00B62C3C" w:rsidRPr="00A756C9">
              <w:rPr>
                <w:rFonts w:cs="Times New Roman"/>
                <w:color w:val="000000" w:themeColor="text1"/>
                <w:szCs w:val="24"/>
              </w:rPr>
              <w:t>*</w:t>
            </w:r>
          </w:p>
        </w:tc>
      </w:tr>
      <w:tr w:rsidR="00B62C3C" w:rsidRPr="00A756C9" w14:paraId="7B0291D5" w14:textId="77777777" w:rsidTr="00A561C7">
        <w:trPr>
          <w:trHeight w:val="100"/>
          <w:tblCellSpacing w:w="15" w:type="dxa"/>
        </w:trPr>
        <w:tc>
          <w:tcPr>
            <w:tcW w:w="1815" w:type="dxa"/>
            <w:vAlign w:val="center"/>
            <w:hideMark/>
          </w:tcPr>
          <w:p w14:paraId="5B0A771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E</w:t>
            </w:r>
            <w:r w:rsidR="0091219A" w:rsidRPr="00A756C9">
              <w:rPr>
                <w:rFonts w:cs="Times New Roman"/>
                <w:color w:val="000000" w:themeColor="text1"/>
                <w:szCs w:val="24"/>
              </w:rPr>
              <w:t>G</w:t>
            </w:r>
          </w:p>
        </w:tc>
        <w:tc>
          <w:tcPr>
            <w:tcW w:w="1830" w:type="dxa"/>
            <w:vAlign w:val="center"/>
            <w:hideMark/>
          </w:tcPr>
          <w:p w14:paraId="3B867BA0"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314188A9"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0.707(012) **</w:t>
            </w:r>
          </w:p>
        </w:tc>
        <w:tc>
          <w:tcPr>
            <w:tcW w:w="1918" w:type="dxa"/>
            <w:vAlign w:val="center"/>
          </w:tcPr>
          <w:p w14:paraId="3A248593"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26252B80"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0.698</w:t>
            </w:r>
            <w:r w:rsidR="00B62C3C"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012</w:t>
            </w:r>
            <w:r w:rsidR="006815A4" w:rsidRPr="00A756C9">
              <w:rPr>
                <w:rFonts w:cs="Times New Roman"/>
                <w:color w:val="000000" w:themeColor="text1"/>
                <w:szCs w:val="24"/>
              </w:rPr>
              <w:t>) *</w:t>
            </w:r>
            <w:r w:rsidR="00B62C3C" w:rsidRPr="00A756C9">
              <w:rPr>
                <w:rFonts w:cs="Times New Roman"/>
                <w:color w:val="000000" w:themeColor="text1"/>
                <w:szCs w:val="24"/>
              </w:rPr>
              <w:t>*</w:t>
            </w:r>
          </w:p>
        </w:tc>
      </w:tr>
      <w:tr w:rsidR="00B62C3C" w:rsidRPr="00A756C9" w14:paraId="259C7AC9" w14:textId="77777777" w:rsidTr="00A561C7">
        <w:trPr>
          <w:trHeight w:val="100"/>
          <w:tblCellSpacing w:w="15" w:type="dxa"/>
        </w:trPr>
        <w:tc>
          <w:tcPr>
            <w:tcW w:w="1815" w:type="dxa"/>
            <w:vAlign w:val="center"/>
          </w:tcPr>
          <w:p w14:paraId="2CA18B65" w14:textId="77777777" w:rsidR="00B62C3C" w:rsidRPr="00A756C9" w:rsidRDefault="00B62C3C" w:rsidP="00910619">
            <w:pPr>
              <w:spacing w:line="240" w:lineRule="auto"/>
              <w:jc w:val="both"/>
              <w:rPr>
                <w:rFonts w:cs="Times New Roman"/>
                <w:b/>
                <w:bCs/>
                <w:color w:val="000000" w:themeColor="text1"/>
                <w:szCs w:val="24"/>
              </w:rPr>
            </w:pPr>
          </w:p>
        </w:tc>
        <w:tc>
          <w:tcPr>
            <w:tcW w:w="1830" w:type="dxa"/>
            <w:vAlign w:val="center"/>
          </w:tcPr>
          <w:p w14:paraId="4C6D74A3"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1E206DFA" w14:textId="77777777" w:rsidR="00B62C3C" w:rsidRPr="00A756C9" w:rsidRDefault="00B62C3C" w:rsidP="00910619">
            <w:pPr>
              <w:spacing w:line="240" w:lineRule="auto"/>
              <w:jc w:val="both"/>
              <w:rPr>
                <w:rFonts w:cs="Times New Roman"/>
                <w:color w:val="000000" w:themeColor="text1"/>
                <w:szCs w:val="24"/>
              </w:rPr>
            </w:pPr>
          </w:p>
        </w:tc>
        <w:tc>
          <w:tcPr>
            <w:tcW w:w="1918" w:type="dxa"/>
            <w:vAlign w:val="center"/>
          </w:tcPr>
          <w:p w14:paraId="5D27E4B6"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5E7E129A" w14:textId="77777777" w:rsidR="00B62C3C" w:rsidRPr="00A756C9" w:rsidRDefault="00B62C3C" w:rsidP="00910619">
            <w:pPr>
              <w:spacing w:line="240" w:lineRule="auto"/>
              <w:jc w:val="both"/>
              <w:rPr>
                <w:rFonts w:cs="Times New Roman"/>
                <w:color w:val="000000" w:themeColor="text1"/>
                <w:szCs w:val="24"/>
              </w:rPr>
            </w:pPr>
          </w:p>
        </w:tc>
      </w:tr>
      <w:tr w:rsidR="00B62C3C" w:rsidRPr="00A756C9" w14:paraId="1F656142" w14:textId="77777777" w:rsidTr="00A561C7">
        <w:trPr>
          <w:trHeight w:val="100"/>
          <w:tblCellSpacing w:w="15" w:type="dxa"/>
        </w:trPr>
        <w:tc>
          <w:tcPr>
            <w:tcW w:w="1815" w:type="dxa"/>
            <w:vAlign w:val="center"/>
            <w:hideMark/>
          </w:tcPr>
          <w:p w14:paraId="7F1F2684"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R-</w:t>
            </w:r>
            <w:proofErr w:type="spellStart"/>
            <w:r w:rsidRPr="00A756C9">
              <w:rPr>
                <w:rFonts w:cs="Times New Roman"/>
                <w:color w:val="000000" w:themeColor="text1"/>
                <w:szCs w:val="24"/>
              </w:rPr>
              <w:t>sq</w:t>
            </w:r>
            <w:proofErr w:type="spellEnd"/>
            <w:r w:rsidR="006815A4" w:rsidRPr="00A756C9">
              <w:rPr>
                <w:rFonts w:cs="Times New Roman"/>
                <w:color w:val="000000" w:themeColor="text1"/>
                <w:szCs w:val="24"/>
              </w:rPr>
              <w:t>:</w:t>
            </w:r>
            <w:r w:rsidR="00B62C3C" w:rsidRPr="00A756C9">
              <w:rPr>
                <w:rFonts w:cs="Times New Roman"/>
                <w:color w:val="000000" w:themeColor="text1"/>
                <w:szCs w:val="24"/>
              </w:rPr>
              <w:t xml:space="preserve">    </w:t>
            </w:r>
          </w:p>
        </w:tc>
        <w:tc>
          <w:tcPr>
            <w:tcW w:w="1830" w:type="dxa"/>
            <w:vAlign w:val="center"/>
            <w:hideMark/>
          </w:tcPr>
          <w:p w14:paraId="69158A51"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0.6888</w:t>
            </w:r>
          </w:p>
        </w:tc>
        <w:tc>
          <w:tcPr>
            <w:tcW w:w="2007" w:type="dxa"/>
            <w:vAlign w:val="center"/>
          </w:tcPr>
          <w:p w14:paraId="7A6822B5"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0.9442</w:t>
            </w:r>
          </w:p>
        </w:tc>
        <w:tc>
          <w:tcPr>
            <w:tcW w:w="1918" w:type="dxa"/>
            <w:vAlign w:val="center"/>
            <w:hideMark/>
          </w:tcPr>
          <w:p w14:paraId="08087F6E"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0.6887</w:t>
            </w:r>
          </w:p>
        </w:tc>
        <w:tc>
          <w:tcPr>
            <w:tcW w:w="1638" w:type="dxa"/>
            <w:vAlign w:val="center"/>
          </w:tcPr>
          <w:p w14:paraId="490D543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0.9446</w:t>
            </w:r>
          </w:p>
        </w:tc>
      </w:tr>
      <w:tr w:rsidR="00B62C3C" w:rsidRPr="00A756C9" w14:paraId="25F0B6C0" w14:textId="77777777" w:rsidTr="00A561C7">
        <w:trPr>
          <w:trHeight w:val="100"/>
          <w:tblCellSpacing w:w="15" w:type="dxa"/>
        </w:trPr>
        <w:tc>
          <w:tcPr>
            <w:tcW w:w="1815" w:type="dxa"/>
            <w:vAlign w:val="center"/>
          </w:tcPr>
          <w:p w14:paraId="0F50E431"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Number of </w:t>
            </w:r>
            <w:proofErr w:type="spellStart"/>
            <w:r w:rsidRPr="00A756C9">
              <w:rPr>
                <w:rFonts w:cs="Times New Roman"/>
                <w:color w:val="000000" w:themeColor="text1"/>
                <w:szCs w:val="24"/>
              </w:rPr>
              <w:t>Obs</w:t>
            </w:r>
            <w:proofErr w:type="spellEnd"/>
          </w:p>
        </w:tc>
        <w:tc>
          <w:tcPr>
            <w:tcW w:w="1830" w:type="dxa"/>
            <w:vAlign w:val="center"/>
          </w:tcPr>
          <w:p w14:paraId="2D4EDCA8" w14:textId="649A5AD5" w:rsidR="00B62C3C" w:rsidRPr="00A756C9" w:rsidRDefault="00C5691D" w:rsidP="00910619">
            <w:pPr>
              <w:spacing w:line="240" w:lineRule="auto"/>
              <w:jc w:val="both"/>
              <w:rPr>
                <w:rFonts w:cs="Times New Roman"/>
                <w:color w:val="000000" w:themeColor="text1"/>
                <w:szCs w:val="24"/>
              </w:rPr>
            </w:pPr>
            <w:r>
              <w:rPr>
                <w:rFonts w:cs="Times New Roman"/>
                <w:color w:val="000000" w:themeColor="text1"/>
                <w:szCs w:val="24"/>
              </w:rPr>
              <w:t>528</w:t>
            </w:r>
          </w:p>
        </w:tc>
        <w:tc>
          <w:tcPr>
            <w:tcW w:w="2007" w:type="dxa"/>
            <w:vAlign w:val="center"/>
          </w:tcPr>
          <w:p w14:paraId="4573DCFE" w14:textId="34DBAA76"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5</w:t>
            </w:r>
            <w:r w:rsidR="00C5691D">
              <w:rPr>
                <w:rFonts w:cs="Times New Roman"/>
                <w:color w:val="000000" w:themeColor="text1"/>
                <w:szCs w:val="24"/>
              </w:rPr>
              <w:t>28</w:t>
            </w:r>
          </w:p>
        </w:tc>
        <w:tc>
          <w:tcPr>
            <w:tcW w:w="1918" w:type="dxa"/>
            <w:vAlign w:val="center"/>
          </w:tcPr>
          <w:p w14:paraId="08F1CC73" w14:textId="05D4A3AB" w:rsidR="00B62C3C" w:rsidRPr="00A756C9" w:rsidRDefault="00C5691D" w:rsidP="00910619">
            <w:pPr>
              <w:spacing w:line="240" w:lineRule="auto"/>
              <w:jc w:val="both"/>
              <w:rPr>
                <w:rFonts w:cs="Times New Roman"/>
                <w:color w:val="000000" w:themeColor="text1"/>
                <w:szCs w:val="24"/>
              </w:rPr>
            </w:pPr>
            <w:r>
              <w:rPr>
                <w:rFonts w:cs="Times New Roman"/>
                <w:color w:val="000000" w:themeColor="text1"/>
                <w:szCs w:val="24"/>
              </w:rPr>
              <w:t>528</w:t>
            </w:r>
          </w:p>
        </w:tc>
        <w:tc>
          <w:tcPr>
            <w:tcW w:w="1638" w:type="dxa"/>
            <w:vAlign w:val="center"/>
          </w:tcPr>
          <w:p w14:paraId="3F3D18E4" w14:textId="2056F14F"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5</w:t>
            </w:r>
            <w:r w:rsidR="00C5691D">
              <w:rPr>
                <w:rFonts w:cs="Times New Roman"/>
                <w:color w:val="000000" w:themeColor="text1"/>
                <w:szCs w:val="24"/>
              </w:rPr>
              <w:t>28</w:t>
            </w:r>
          </w:p>
        </w:tc>
      </w:tr>
      <w:tr w:rsidR="00B62C3C" w:rsidRPr="00A756C9" w14:paraId="355682A2" w14:textId="77777777" w:rsidTr="00A561C7">
        <w:trPr>
          <w:trHeight w:val="100"/>
          <w:tblCellSpacing w:w="15" w:type="dxa"/>
        </w:trPr>
        <w:tc>
          <w:tcPr>
            <w:tcW w:w="1815" w:type="dxa"/>
            <w:vAlign w:val="center"/>
          </w:tcPr>
          <w:p w14:paraId="1E9FA803"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Number of groups</w:t>
            </w:r>
          </w:p>
        </w:tc>
        <w:tc>
          <w:tcPr>
            <w:tcW w:w="1830" w:type="dxa"/>
            <w:vAlign w:val="center"/>
          </w:tcPr>
          <w:p w14:paraId="6DFD40C5"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2007" w:type="dxa"/>
            <w:vAlign w:val="center"/>
          </w:tcPr>
          <w:p w14:paraId="27AAC2E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1918" w:type="dxa"/>
            <w:vAlign w:val="center"/>
          </w:tcPr>
          <w:p w14:paraId="5D04AD3A"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1638" w:type="dxa"/>
            <w:vAlign w:val="center"/>
          </w:tcPr>
          <w:p w14:paraId="17766D94"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r>
      <w:tr w:rsidR="00B62C3C" w:rsidRPr="00A756C9" w14:paraId="67E16999" w14:textId="77777777" w:rsidTr="00A561C7">
        <w:trPr>
          <w:trHeight w:val="100"/>
          <w:tblCellSpacing w:w="15" w:type="dxa"/>
        </w:trPr>
        <w:tc>
          <w:tcPr>
            <w:tcW w:w="1815" w:type="dxa"/>
            <w:vAlign w:val="center"/>
          </w:tcPr>
          <w:p w14:paraId="52DE5FB6"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F</w:t>
            </w:r>
          </w:p>
        </w:tc>
        <w:tc>
          <w:tcPr>
            <w:tcW w:w="1830" w:type="dxa"/>
            <w:vAlign w:val="center"/>
          </w:tcPr>
          <w:p w14:paraId="380AA14F"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652.23</w:t>
            </w:r>
          </w:p>
        </w:tc>
        <w:tc>
          <w:tcPr>
            <w:tcW w:w="2007" w:type="dxa"/>
            <w:vAlign w:val="center"/>
          </w:tcPr>
          <w:p w14:paraId="0ADB2586"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1470.15</w:t>
            </w:r>
          </w:p>
        </w:tc>
        <w:tc>
          <w:tcPr>
            <w:tcW w:w="1918" w:type="dxa"/>
            <w:vAlign w:val="center"/>
          </w:tcPr>
          <w:p w14:paraId="143B46A5"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t>
            </w:r>
          </w:p>
        </w:tc>
        <w:tc>
          <w:tcPr>
            <w:tcW w:w="1638" w:type="dxa"/>
            <w:vAlign w:val="center"/>
          </w:tcPr>
          <w:p w14:paraId="4111EDED"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t>
            </w:r>
          </w:p>
        </w:tc>
      </w:tr>
      <w:tr w:rsidR="0041561A" w:rsidRPr="00A756C9" w14:paraId="77BFEA0F" w14:textId="77777777" w:rsidTr="00A561C7">
        <w:trPr>
          <w:trHeight w:val="100"/>
          <w:tblCellSpacing w:w="15" w:type="dxa"/>
        </w:trPr>
        <w:tc>
          <w:tcPr>
            <w:tcW w:w="1815" w:type="dxa"/>
            <w:vAlign w:val="center"/>
          </w:tcPr>
          <w:p w14:paraId="4D9CFDE1" w14:textId="77777777" w:rsidR="0041561A"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Wald chi2</w:t>
            </w:r>
          </w:p>
        </w:tc>
        <w:tc>
          <w:tcPr>
            <w:tcW w:w="1830" w:type="dxa"/>
            <w:vAlign w:val="center"/>
          </w:tcPr>
          <w:p w14:paraId="1AC47EC7" w14:textId="77777777" w:rsidR="0041561A" w:rsidRPr="00A756C9" w:rsidRDefault="0041561A" w:rsidP="00910619">
            <w:pPr>
              <w:spacing w:line="240" w:lineRule="auto"/>
              <w:jc w:val="both"/>
              <w:rPr>
                <w:rFonts w:cs="Times New Roman"/>
                <w:color w:val="000000" w:themeColor="text1"/>
                <w:szCs w:val="24"/>
              </w:rPr>
            </w:pPr>
          </w:p>
        </w:tc>
        <w:tc>
          <w:tcPr>
            <w:tcW w:w="2007" w:type="dxa"/>
            <w:vAlign w:val="center"/>
          </w:tcPr>
          <w:p w14:paraId="7F404A31" w14:textId="77777777" w:rsidR="0041561A" w:rsidRPr="00A756C9" w:rsidRDefault="0041561A" w:rsidP="00910619">
            <w:pPr>
              <w:spacing w:line="240" w:lineRule="auto"/>
              <w:jc w:val="both"/>
              <w:rPr>
                <w:rFonts w:cs="Times New Roman"/>
                <w:color w:val="000000" w:themeColor="text1"/>
                <w:szCs w:val="24"/>
              </w:rPr>
            </w:pPr>
          </w:p>
        </w:tc>
        <w:tc>
          <w:tcPr>
            <w:tcW w:w="1918" w:type="dxa"/>
            <w:vAlign w:val="center"/>
          </w:tcPr>
          <w:p w14:paraId="606B38F4" w14:textId="77777777" w:rsidR="0041561A"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1970.23</w:t>
            </w:r>
          </w:p>
        </w:tc>
        <w:tc>
          <w:tcPr>
            <w:tcW w:w="1638" w:type="dxa"/>
            <w:vAlign w:val="center"/>
          </w:tcPr>
          <w:p w14:paraId="0C74CBED" w14:textId="77777777" w:rsidR="0041561A"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9269.52</w:t>
            </w:r>
          </w:p>
        </w:tc>
      </w:tr>
      <w:tr w:rsidR="00A561C7" w:rsidRPr="00A756C9" w14:paraId="2CECDDF5" w14:textId="77777777" w:rsidTr="00A561C7">
        <w:trPr>
          <w:trHeight w:val="104"/>
          <w:tblCellSpacing w:w="15" w:type="dxa"/>
        </w:trPr>
        <w:tc>
          <w:tcPr>
            <w:tcW w:w="1815" w:type="dxa"/>
            <w:tcBorders>
              <w:bottom w:val="single" w:sz="18" w:space="0" w:color="auto"/>
            </w:tcBorders>
            <w:vAlign w:val="center"/>
          </w:tcPr>
          <w:p w14:paraId="18832CAD" w14:textId="77777777" w:rsidR="00321D37"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Prob&gt;F</w:t>
            </w:r>
            <w:r w:rsidR="0041561A" w:rsidRPr="00A756C9">
              <w:rPr>
                <w:rFonts w:cs="Times New Roman"/>
                <w:color w:val="000000" w:themeColor="text1"/>
                <w:szCs w:val="24"/>
              </w:rPr>
              <w:t>/Wald chi2</w:t>
            </w:r>
          </w:p>
        </w:tc>
        <w:tc>
          <w:tcPr>
            <w:tcW w:w="1830" w:type="dxa"/>
            <w:tcBorders>
              <w:bottom w:val="single" w:sz="18" w:space="0" w:color="auto"/>
            </w:tcBorders>
            <w:vAlign w:val="center"/>
          </w:tcPr>
          <w:p w14:paraId="7B55999F" w14:textId="77777777" w:rsidR="00321D37"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2007" w:type="dxa"/>
            <w:tcBorders>
              <w:bottom w:val="single" w:sz="18" w:space="0" w:color="auto"/>
            </w:tcBorders>
            <w:vAlign w:val="center"/>
          </w:tcPr>
          <w:p w14:paraId="1DF3727B" w14:textId="77777777" w:rsidR="00321D37"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1918" w:type="dxa"/>
            <w:tcBorders>
              <w:bottom w:val="single" w:sz="18" w:space="0" w:color="auto"/>
            </w:tcBorders>
            <w:vAlign w:val="center"/>
          </w:tcPr>
          <w:p w14:paraId="1F7BAD21" w14:textId="77777777" w:rsidR="00321D37"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1638" w:type="dxa"/>
            <w:tcBorders>
              <w:bottom w:val="single" w:sz="18" w:space="0" w:color="auto"/>
            </w:tcBorders>
            <w:vAlign w:val="center"/>
          </w:tcPr>
          <w:p w14:paraId="66AD99A9" w14:textId="77777777" w:rsidR="00321D37"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r>
    </w:tbl>
    <w:p w14:paraId="160BD99F" w14:textId="77777777" w:rsidR="00C53523" w:rsidRPr="00A756C9" w:rsidRDefault="00C53523" w:rsidP="00910619">
      <w:pPr>
        <w:spacing w:line="240" w:lineRule="auto"/>
        <w:jc w:val="both"/>
        <w:rPr>
          <w:rFonts w:cs="Times New Roman"/>
          <w:b/>
          <w:bCs/>
          <w:color w:val="000000" w:themeColor="text1"/>
          <w:szCs w:val="24"/>
        </w:rPr>
      </w:pPr>
      <w:r w:rsidRPr="00A756C9">
        <w:rPr>
          <w:rFonts w:cs="Times New Roman"/>
          <w:b/>
          <w:bCs/>
          <w:color w:val="000000" w:themeColor="text1"/>
          <w:szCs w:val="24"/>
        </w:rPr>
        <w:t>Source: Authors computation</w:t>
      </w:r>
    </w:p>
    <w:p w14:paraId="5FA86587" w14:textId="35F3372C" w:rsidR="00C53523" w:rsidRPr="00F14D3D" w:rsidRDefault="00C53523" w:rsidP="00910619">
      <w:pPr>
        <w:spacing w:line="240" w:lineRule="auto"/>
        <w:jc w:val="both"/>
        <w:rPr>
          <w:rFonts w:cs="Times New Roman"/>
          <w:szCs w:val="24"/>
        </w:rPr>
      </w:pPr>
      <w:r>
        <w:t xml:space="preserve">Note(s): CE = </w:t>
      </w:r>
      <w:r w:rsidR="004B55C3">
        <w:t>environmental sustainability</w:t>
      </w:r>
      <w:r>
        <w:t>; FDI = foreign direct investment; POP = population growth; IND = industrialization; REC = renewable energy consumption; NREC = non-renewable energy consumption; FD = financial development; EG = economic growth.</w:t>
      </w:r>
    </w:p>
    <w:p w14:paraId="5A4BD1CB" w14:textId="77777777" w:rsidR="00C53523" w:rsidRPr="00F14D3D" w:rsidRDefault="00C53523" w:rsidP="00910619">
      <w:pPr>
        <w:spacing w:line="240" w:lineRule="auto"/>
        <w:rPr>
          <w:rFonts w:cs="Times New Roman"/>
          <w:color w:val="000000" w:themeColor="text1"/>
          <w:szCs w:val="24"/>
        </w:rPr>
      </w:pPr>
      <w:r>
        <w:t>**p &lt; 0.05, *p &lt; 0.1; standard errors (Std. Err.) in parentheses.</w:t>
      </w:r>
    </w:p>
    <w:p w14:paraId="29BC4C36" w14:textId="77777777" w:rsidR="000A479B" w:rsidRPr="00AF2FE2" w:rsidRDefault="000A479B" w:rsidP="00910619">
      <w:pPr>
        <w:pStyle w:val="ListParagraph"/>
        <w:numPr>
          <w:ilvl w:val="0"/>
          <w:numId w:val="18"/>
        </w:numPr>
        <w:spacing w:line="240" w:lineRule="auto"/>
        <w:rPr>
          <w:rFonts w:ascii="Times New Roman" w:hAnsi="Times New Roman"/>
          <w:b/>
          <w:bCs/>
          <w:szCs w:val="24"/>
        </w:rPr>
      </w:pPr>
      <w:r w:rsidRPr="00AF2FE2">
        <w:rPr>
          <w:rFonts w:ascii="Times New Roman" w:hAnsi="Times New Roman"/>
          <w:b/>
          <w:bCs/>
          <w:szCs w:val="24"/>
        </w:rPr>
        <w:t>Conclusions and recommendations</w:t>
      </w:r>
    </w:p>
    <w:p w14:paraId="017015B0" w14:textId="2796056D" w:rsidR="00581861" w:rsidRPr="00581861" w:rsidRDefault="00581861" w:rsidP="00581861">
      <w:pPr>
        <w:spacing w:line="240" w:lineRule="auto"/>
        <w:jc w:val="both"/>
        <w:rPr>
          <w:rFonts w:cs="Times New Roman"/>
          <w:szCs w:val="24"/>
        </w:rPr>
      </w:pPr>
      <w:r w:rsidRPr="00581861">
        <w:rPr>
          <w:rFonts w:cs="Times New Roman"/>
          <w:szCs w:val="24"/>
        </w:rPr>
        <w:t xml:space="preserve">Conclusions from the GMM model results are of great significance in identifying the behavior of </w:t>
      </w:r>
      <w:r w:rsidR="004B55C3">
        <w:rPr>
          <w:rFonts w:cs="Times New Roman"/>
          <w:szCs w:val="24"/>
        </w:rPr>
        <w:t>environmental sustainability</w:t>
      </w:r>
      <w:r w:rsidRPr="00581861">
        <w:rPr>
          <w:rFonts w:cs="Times New Roman"/>
          <w:szCs w:val="24"/>
        </w:rPr>
        <w:t xml:space="preserve"> in Sub-Saharan Africa, where FDI, industrialization, population, energy consumption, financial development, and economic growth are important factors. The positive relationship between FDI and </w:t>
      </w:r>
      <w:r w:rsidR="004B55C3">
        <w:rPr>
          <w:rFonts w:cs="Times New Roman"/>
          <w:szCs w:val="24"/>
        </w:rPr>
        <w:t>environmental sustainability</w:t>
      </w:r>
      <w:r w:rsidRPr="00581861">
        <w:rPr>
          <w:rFonts w:cs="Times New Roman"/>
          <w:szCs w:val="24"/>
        </w:rPr>
        <w:t xml:space="preserve"> indicates an influx of investments in sectors with higher emission levels, focusing attention on the need for a suitable strategy in adopting environmentally sound behavior. Worth noting in this respect is that emissions during the transition to renewable energy consumption are an effective way of reducing emissions, unlike other effects related to non-renewable energy consumption. The positive relationship indicated in this study between </w:t>
      </w:r>
      <w:r w:rsidR="004B55C3">
        <w:rPr>
          <w:rFonts w:cs="Times New Roman"/>
          <w:szCs w:val="24"/>
        </w:rPr>
        <w:t>environmental sustainability</w:t>
      </w:r>
      <w:r w:rsidRPr="00581861">
        <w:rPr>
          <w:rFonts w:cs="Times New Roman"/>
          <w:szCs w:val="24"/>
        </w:rPr>
        <w:t xml:space="preserve"> and financial development and economic growth draws attention to the difficulty in making progress from an economic perspective towards ecological sustainability.</w:t>
      </w:r>
    </w:p>
    <w:p w14:paraId="43FCB098" w14:textId="77777777" w:rsidR="00581861" w:rsidRPr="00581861" w:rsidRDefault="00581861" w:rsidP="00581861">
      <w:pPr>
        <w:spacing w:line="240" w:lineRule="auto"/>
        <w:jc w:val="both"/>
        <w:rPr>
          <w:rFonts w:cs="Times New Roman"/>
          <w:szCs w:val="24"/>
        </w:rPr>
      </w:pPr>
    </w:p>
    <w:p w14:paraId="500F7EC7" w14:textId="5AC23F25" w:rsidR="00581861" w:rsidRPr="00581861" w:rsidRDefault="00581861" w:rsidP="00581861">
      <w:pPr>
        <w:spacing w:line="240" w:lineRule="auto"/>
        <w:jc w:val="both"/>
        <w:rPr>
          <w:rFonts w:cs="Times New Roman"/>
          <w:szCs w:val="24"/>
        </w:rPr>
      </w:pPr>
      <w:r w:rsidRPr="00581861">
        <w:rPr>
          <w:rFonts w:cs="Times New Roman"/>
          <w:szCs w:val="24"/>
        </w:rPr>
        <w:t xml:space="preserve">Based on these results obtained from GMM estimations, policymakers and practitioners in the energy sector, as well as government leaders, need to focus on incorporating renewable resources into their energy strategies to counteract </w:t>
      </w:r>
      <w:r w:rsidR="004B55C3">
        <w:rPr>
          <w:rFonts w:cs="Times New Roman"/>
          <w:szCs w:val="24"/>
        </w:rPr>
        <w:t>environmental sustainability</w:t>
      </w:r>
      <w:r w:rsidRPr="00581861">
        <w:rPr>
          <w:rFonts w:cs="Times New Roman"/>
          <w:szCs w:val="24"/>
        </w:rPr>
        <w:t xml:space="preserve">. The initiative to invest in less polluting resources using FDI incentives can aid in diversifying industries with high emission rates. In addition, enhancing financial development using green finance programs will aid in </w:t>
      </w:r>
      <w:r w:rsidRPr="00581861">
        <w:rPr>
          <w:rFonts w:cs="Times New Roman"/>
          <w:szCs w:val="24"/>
        </w:rPr>
        <w:lastRenderedPageBreak/>
        <w:t>effective conversion to emission-reducing resources. The government can aid industries in these transitions using intensive rules on non-renewable sources of energy production, with accompanying training programs to help them adopt better methods. Furthermore, encouraging public-private collaborations can aid in innovation in renewable energy production to align economic expansion with environmentally sustainable channels in Sub-Saharan Africa.</w:t>
      </w:r>
    </w:p>
    <w:p w14:paraId="7D7F6923" w14:textId="77777777" w:rsidR="00581861" w:rsidRPr="00581861" w:rsidRDefault="00581861" w:rsidP="00581861">
      <w:pPr>
        <w:spacing w:line="240" w:lineRule="auto"/>
        <w:jc w:val="both"/>
        <w:rPr>
          <w:rFonts w:cs="Times New Roman"/>
          <w:szCs w:val="24"/>
        </w:rPr>
      </w:pPr>
    </w:p>
    <w:p w14:paraId="4FF48DE0" w14:textId="1684A0D8" w:rsidR="00F93CF1" w:rsidRDefault="00581861" w:rsidP="00581861">
      <w:pPr>
        <w:spacing w:line="240" w:lineRule="auto"/>
        <w:jc w:val="both"/>
      </w:pPr>
      <w:r w:rsidRPr="00581861">
        <w:rPr>
          <w:rFonts w:cs="Times New Roman"/>
          <w:szCs w:val="24"/>
        </w:rPr>
        <w:t>Implication for decision support in operations research: The results of estimation can be used in planning models to aid in a low-carbon transition. A policymaker can construct a multi-criteria optimization problem where a minimal level of emissions is achieved with restrictions on energy demand and economic expansion, where econometric elasticities can be used as parameters in a variety of different scenarios</w:t>
      </w:r>
      <w:r>
        <w:t>.</w:t>
      </w:r>
    </w:p>
    <w:p w14:paraId="22B409F6" w14:textId="35F52922" w:rsidR="00581861" w:rsidRDefault="00581861" w:rsidP="00581861">
      <w:pPr>
        <w:spacing w:line="240" w:lineRule="auto"/>
        <w:jc w:val="both"/>
      </w:pPr>
    </w:p>
    <w:p w14:paraId="1937CA15" w14:textId="0C503B1C" w:rsidR="00D8402C" w:rsidRDefault="00D8402C" w:rsidP="00581861">
      <w:pPr>
        <w:spacing w:line="240" w:lineRule="auto"/>
        <w:jc w:val="both"/>
      </w:pPr>
    </w:p>
    <w:p w14:paraId="5C9AE412" w14:textId="77777777" w:rsidR="00D8402C" w:rsidRPr="00005ED1" w:rsidRDefault="00D8402C" w:rsidP="00D8402C">
      <w:pPr>
        <w:pStyle w:val="NoSpacing"/>
        <w:rPr>
          <w:rFonts w:ascii="Arial" w:hAnsi="Arial" w:cs="Arial"/>
          <w:highlight w:val="yellow"/>
        </w:rPr>
      </w:pPr>
      <w:bookmarkStart w:id="8" w:name="_Hlk198031404"/>
      <w:r w:rsidRPr="00005ED1">
        <w:rPr>
          <w:rFonts w:ascii="Arial" w:hAnsi="Arial" w:cs="Arial"/>
          <w:highlight w:val="yellow"/>
        </w:rPr>
        <w:t>Disclaimer (Artificial intelligence)</w:t>
      </w:r>
    </w:p>
    <w:p w14:paraId="3D2C7B34" w14:textId="77777777" w:rsidR="00D8402C" w:rsidRPr="00005ED1" w:rsidRDefault="00D8402C" w:rsidP="00D8402C">
      <w:pPr>
        <w:pStyle w:val="NoSpacing"/>
        <w:rPr>
          <w:rFonts w:ascii="Arial" w:hAnsi="Arial" w:cs="Arial"/>
          <w:highlight w:val="yellow"/>
        </w:rPr>
      </w:pPr>
    </w:p>
    <w:p w14:paraId="6E7F4C9C" w14:textId="77777777" w:rsidR="00D8402C" w:rsidRPr="00005ED1" w:rsidRDefault="00D8402C" w:rsidP="00D8402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8"/>
    <w:p w14:paraId="24AAEAE5" w14:textId="77777777" w:rsidR="00D8402C" w:rsidRDefault="00D8402C" w:rsidP="00D8402C">
      <w:pPr>
        <w:pStyle w:val="NoSpacing"/>
        <w:rPr>
          <w:rFonts w:ascii="Arial" w:hAnsi="Arial" w:cs="Arial"/>
        </w:rPr>
      </w:pPr>
    </w:p>
    <w:p w14:paraId="4C020E29" w14:textId="77777777" w:rsidR="00D8402C" w:rsidRDefault="00D8402C" w:rsidP="00D8402C">
      <w:pPr>
        <w:pStyle w:val="NoSpacing"/>
        <w:rPr>
          <w:rFonts w:ascii="Arial" w:hAnsi="Arial" w:cs="Arial"/>
        </w:rPr>
      </w:pPr>
    </w:p>
    <w:p w14:paraId="05E612DD" w14:textId="77777777" w:rsidR="00D8402C" w:rsidRPr="00005ED1" w:rsidRDefault="00D8402C" w:rsidP="00D8402C">
      <w:pPr>
        <w:pStyle w:val="NoSpacing"/>
        <w:rPr>
          <w:rFonts w:ascii="Arial" w:hAnsi="Arial" w:cs="Arial"/>
        </w:rPr>
      </w:pPr>
    </w:p>
    <w:p w14:paraId="7CF84C7A" w14:textId="77777777" w:rsidR="00D8402C" w:rsidRDefault="00D8402C" w:rsidP="00581861">
      <w:pPr>
        <w:spacing w:line="240" w:lineRule="auto"/>
        <w:jc w:val="both"/>
      </w:pPr>
    </w:p>
    <w:p w14:paraId="74AD1CB2" w14:textId="77777777" w:rsidR="005C68C0" w:rsidRPr="00F14D3D" w:rsidRDefault="005C68C0" w:rsidP="00910619">
      <w:pPr>
        <w:spacing w:line="240" w:lineRule="auto"/>
        <w:jc w:val="both"/>
        <w:rPr>
          <w:rFonts w:cs="Times New Roman"/>
          <w:b/>
          <w:bCs/>
          <w:color w:val="1F1F1F"/>
          <w:szCs w:val="24"/>
        </w:rPr>
      </w:pPr>
      <w:r w:rsidRPr="00F14D3D">
        <w:rPr>
          <w:rFonts w:cs="Times New Roman"/>
          <w:b/>
          <w:bCs/>
          <w:color w:val="1F1F1F"/>
          <w:szCs w:val="24"/>
        </w:rPr>
        <w:t>References</w:t>
      </w:r>
    </w:p>
    <w:p w14:paraId="3B355F79" w14:textId="77777777" w:rsidR="005B4C5C" w:rsidRPr="005B4C5C" w:rsidRDefault="005B4C5C" w:rsidP="00D8402C">
      <w:pPr>
        <w:pStyle w:val="ListParagraph"/>
        <w:numPr>
          <w:ilvl w:val="0"/>
          <w:numId w:val="20"/>
        </w:numPr>
        <w:spacing w:line="240" w:lineRule="auto"/>
        <w:jc w:val="both"/>
      </w:pPr>
      <w:proofErr w:type="spellStart"/>
      <w:r w:rsidRPr="005B4C5C">
        <w:t>Adu</w:t>
      </w:r>
      <w:proofErr w:type="spellEnd"/>
      <w:r w:rsidRPr="005B4C5C">
        <w:t xml:space="preserve">, G., </w:t>
      </w:r>
      <w:proofErr w:type="spellStart"/>
      <w:r w:rsidRPr="005B4C5C">
        <w:t>Marbuah</w:t>
      </w:r>
      <w:proofErr w:type="spellEnd"/>
      <w:r w:rsidRPr="005B4C5C">
        <w:t xml:space="preserve">, G., &amp; Mensah, J. T. (2013). Financial development and economic growth in Ghana: </w:t>
      </w:r>
      <w:proofErr w:type="gramStart"/>
      <w:r w:rsidRPr="005B4C5C">
        <w:t>Does</w:t>
      </w:r>
      <w:proofErr w:type="gramEnd"/>
      <w:r w:rsidRPr="005B4C5C">
        <w:t xml:space="preserve"> the measure of financial development matter? Review of Development finance, 3(4), 192-203.</w:t>
      </w:r>
    </w:p>
    <w:p w14:paraId="099C68EC" w14:textId="57942649" w:rsidR="005B4C5C" w:rsidRPr="005B4C5C" w:rsidRDefault="005B4C5C" w:rsidP="00D8402C">
      <w:pPr>
        <w:pStyle w:val="ListParagraph"/>
        <w:numPr>
          <w:ilvl w:val="0"/>
          <w:numId w:val="20"/>
        </w:numPr>
        <w:spacing w:line="240" w:lineRule="auto"/>
        <w:jc w:val="both"/>
      </w:pPr>
      <w:r w:rsidRPr="005B4C5C">
        <w:t xml:space="preserve">Ahmad, A., Zhao, Y., Shahbaz, M., </w:t>
      </w:r>
      <w:proofErr w:type="spellStart"/>
      <w:r w:rsidRPr="005B4C5C">
        <w:t>Bano</w:t>
      </w:r>
      <w:proofErr w:type="spellEnd"/>
      <w:r w:rsidRPr="005B4C5C">
        <w:t xml:space="preserve">, S., Zhang, Z., Wang, S., &amp; Liu, Y. (2016). </w:t>
      </w:r>
      <w:r w:rsidR="004B55C3">
        <w:t>Environmental sustainability</w:t>
      </w:r>
      <w:r w:rsidRPr="005B4C5C">
        <w:t>, energy consumption and economic growth: An aggregate and disaggregate analysis of the Indian economy. Energy policy, 96, 131-143.</w:t>
      </w:r>
    </w:p>
    <w:p w14:paraId="5071CF8B" w14:textId="77777777" w:rsidR="005B4C5C" w:rsidRPr="005B4C5C" w:rsidRDefault="005B4C5C" w:rsidP="00D8402C">
      <w:pPr>
        <w:pStyle w:val="ListParagraph"/>
        <w:numPr>
          <w:ilvl w:val="0"/>
          <w:numId w:val="20"/>
        </w:numPr>
        <w:spacing w:line="240" w:lineRule="auto"/>
        <w:jc w:val="both"/>
      </w:pPr>
      <w:r w:rsidRPr="005B4C5C">
        <w:t xml:space="preserve">Akinyemi, R. O., </w:t>
      </w:r>
      <w:proofErr w:type="spellStart"/>
      <w:r w:rsidRPr="005B4C5C">
        <w:t>Ovbiagele</w:t>
      </w:r>
      <w:proofErr w:type="spellEnd"/>
      <w:r w:rsidRPr="005B4C5C">
        <w:t xml:space="preserve">, B., </w:t>
      </w:r>
      <w:proofErr w:type="spellStart"/>
      <w:r w:rsidRPr="005B4C5C">
        <w:t>Adeniji</w:t>
      </w:r>
      <w:proofErr w:type="spellEnd"/>
      <w:r w:rsidRPr="005B4C5C">
        <w:t xml:space="preserve">, O. A., Sarfo, F. S., Abd-Allah, F., </w:t>
      </w:r>
      <w:proofErr w:type="spellStart"/>
      <w:r w:rsidRPr="005B4C5C">
        <w:t>Adoukonou</w:t>
      </w:r>
      <w:proofErr w:type="spellEnd"/>
      <w:r w:rsidRPr="005B4C5C">
        <w:t>, T., ... &amp; Owolabi, M. O. (2021). Stroke in Africa: profile, progress, prospects and priorities. Nature Reviews Neurology, 17(10), 634-656.</w:t>
      </w:r>
    </w:p>
    <w:p w14:paraId="3933EEF9" w14:textId="77777777" w:rsidR="005B4C5C" w:rsidRPr="005B4C5C" w:rsidRDefault="005B4C5C" w:rsidP="00D8402C">
      <w:pPr>
        <w:pStyle w:val="ListParagraph"/>
        <w:numPr>
          <w:ilvl w:val="0"/>
          <w:numId w:val="20"/>
        </w:numPr>
        <w:spacing w:line="240" w:lineRule="auto"/>
        <w:jc w:val="both"/>
      </w:pPr>
      <w:r w:rsidRPr="005B4C5C">
        <w:t>Al-</w:t>
      </w:r>
      <w:proofErr w:type="spellStart"/>
      <w:r w:rsidRPr="005B4C5C">
        <w:t>Mulali</w:t>
      </w:r>
      <w:proofErr w:type="spellEnd"/>
      <w:r w:rsidRPr="005B4C5C">
        <w:t>, U., &amp; Sab, C. N. B. C. (2012). The impact of energy consumption and CO2 emission on the economic growth and financial development in the sub-Saharan African countries. Energy, 39(1), 180-186.</w:t>
      </w:r>
    </w:p>
    <w:p w14:paraId="18639A61" w14:textId="77777777" w:rsidR="005B4C5C" w:rsidRPr="005B4C5C" w:rsidRDefault="005B4C5C" w:rsidP="00D8402C">
      <w:pPr>
        <w:pStyle w:val="ListParagraph"/>
        <w:numPr>
          <w:ilvl w:val="0"/>
          <w:numId w:val="20"/>
        </w:numPr>
        <w:spacing w:line="240" w:lineRule="auto"/>
        <w:jc w:val="both"/>
      </w:pPr>
      <w:proofErr w:type="spellStart"/>
      <w:r w:rsidRPr="005B4C5C">
        <w:t>Anchi</w:t>
      </w:r>
      <w:proofErr w:type="spellEnd"/>
      <w:r w:rsidRPr="005B4C5C">
        <w:t xml:space="preserve">, E. O., </w:t>
      </w:r>
      <w:proofErr w:type="spellStart"/>
      <w:r w:rsidRPr="005B4C5C">
        <w:t>Aboubakary</w:t>
      </w:r>
      <w:proofErr w:type="spellEnd"/>
      <w:r w:rsidRPr="005B4C5C">
        <w:t xml:space="preserve">, N., &amp; </w:t>
      </w:r>
      <w:proofErr w:type="spellStart"/>
      <w:r w:rsidRPr="005B4C5C">
        <w:t>Edoh</w:t>
      </w:r>
      <w:proofErr w:type="spellEnd"/>
      <w:r w:rsidRPr="005B4C5C">
        <w:t>, O. M. (2023). Contribution of Agricultural Productivity to Industrialization in Africa: Does Infrastructural Development Matter? Finance &amp; Economics Review, 5(2), 14-35.</w:t>
      </w:r>
    </w:p>
    <w:p w14:paraId="40263F80" w14:textId="77777777" w:rsidR="005B4C5C" w:rsidRPr="005B4C5C" w:rsidRDefault="005B4C5C" w:rsidP="00D8402C">
      <w:pPr>
        <w:pStyle w:val="ListParagraph"/>
        <w:numPr>
          <w:ilvl w:val="0"/>
          <w:numId w:val="20"/>
        </w:numPr>
        <w:spacing w:line="240" w:lineRule="auto"/>
        <w:jc w:val="both"/>
      </w:pPr>
      <w:r w:rsidRPr="005B4C5C">
        <w:t>Anger, A., &amp; Barker, T. (2015). The effects of the financial system and financial crises on global growth and the environment. Finance and the macroeconomics of environmental policies, 153-193.</w:t>
      </w:r>
    </w:p>
    <w:p w14:paraId="165ED730" w14:textId="77777777" w:rsidR="005B4C5C" w:rsidRPr="005B4C5C" w:rsidRDefault="005B4C5C" w:rsidP="00D8402C">
      <w:pPr>
        <w:pStyle w:val="ListParagraph"/>
        <w:numPr>
          <w:ilvl w:val="0"/>
          <w:numId w:val="20"/>
        </w:numPr>
        <w:spacing w:line="240" w:lineRule="auto"/>
        <w:jc w:val="both"/>
      </w:pPr>
      <w:r w:rsidRPr="005B4C5C">
        <w:t>Anwar, S., Shabir, G., &amp; Hussain, Z. (2011). Relationship between financial sector development and sustainable economic development: Time series analysis from Pakistan. International Journal of Economics and Finance, 3(1), 262-271.</w:t>
      </w:r>
    </w:p>
    <w:p w14:paraId="4F71FD11" w14:textId="77777777" w:rsidR="005B4C5C" w:rsidRPr="005B4C5C" w:rsidRDefault="005B4C5C" w:rsidP="00D8402C">
      <w:pPr>
        <w:pStyle w:val="ListParagraph"/>
        <w:numPr>
          <w:ilvl w:val="0"/>
          <w:numId w:val="20"/>
        </w:numPr>
        <w:spacing w:line="240" w:lineRule="auto"/>
        <w:jc w:val="both"/>
      </w:pPr>
      <w:proofErr w:type="spellStart"/>
      <w:r w:rsidRPr="005B4C5C">
        <w:lastRenderedPageBreak/>
        <w:t>Apergis</w:t>
      </w:r>
      <w:proofErr w:type="spellEnd"/>
      <w:r w:rsidRPr="005B4C5C">
        <w:t xml:space="preserve">, N., Payne, J. E., </w:t>
      </w:r>
      <w:proofErr w:type="spellStart"/>
      <w:r w:rsidRPr="005B4C5C">
        <w:t>Menyah</w:t>
      </w:r>
      <w:proofErr w:type="spellEnd"/>
      <w:r w:rsidRPr="005B4C5C">
        <w:t xml:space="preserve">, K., &amp; </w:t>
      </w:r>
      <w:proofErr w:type="spellStart"/>
      <w:r w:rsidRPr="005B4C5C">
        <w:t>Wolde-Rufael</w:t>
      </w:r>
      <w:proofErr w:type="spellEnd"/>
      <w:r w:rsidRPr="005B4C5C">
        <w:t>, Y. (2010). On the causal dynamics between emissions, nuclear energy, renewable energy, and economic growth. Ecological Economics, 69(11), 2255-2260.</w:t>
      </w:r>
    </w:p>
    <w:p w14:paraId="63064A98" w14:textId="77777777" w:rsidR="005B4C5C" w:rsidRPr="005B4C5C" w:rsidRDefault="005B4C5C" w:rsidP="00D8402C">
      <w:pPr>
        <w:pStyle w:val="ListParagraph"/>
        <w:numPr>
          <w:ilvl w:val="0"/>
          <w:numId w:val="20"/>
        </w:numPr>
        <w:spacing w:line="240" w:lineRule="auto"/>
        <w:jc w:val="both"/>
      </w:pPr>
      <w:r w:rsidRPr="005B4C5C">
        <w:t xml:space="preserve">Appiah, M., Li, F., &amp; </w:t>
      </w:r>
      <w:proofErr w:type="spellStart"/>
      <w:r w:rsidRPr="005B4C5C">
        <w:t>Korankye</w:t>
      </w:r>
      <w:proofErr w:type="spellEnd"/>
      <w:r w:rsidRPr="005B4C5C">
        <w:t>, B. (2021). Modeling the linkages among CO 2 emission, energy consumption, and industrialization in sub-Saharan African (SSA) countries. Environmental Science and Pollution Research, 28, 38506-38521.</w:t>
      </w:r>
    </w:p>
    <w:p w14:paraId="036885C2" w14:textId="77777777" w:rsidR="005B4C5C" w:rsidRPr="005B4C5C" w:rsidRDefault="005B4C5C" w:rsidP="00D8402C">
      <w:pPr>
        <w:pStyle w:val="ListParagraph"/>
        <w:numPr>
          <w:ilvl w:val="0"/>
          <w:numId w:val="20"/>
        </w:numPr>
        <w:spacing w:line="240" w:lineRule="auto"/>
        <w:jc w:val="both"/>
      </w:pPr>
      <w:r w:rsidRPr="005B4C5C">
        <w:t>Arellano, M., &amp; Bond, S. (1991). Some tests of specification for panel data: Monte Carlo evidence and an application to employment equations. The review of economic studies, 58(2), 277-297.</w:t>
      </w:r>
    </w:p>
    <w:p w14:paraId="5BE02377" w14:textId="77777777" w:rsidR="005B4C5C" w:rsidRPr="005B4C5C" w:rsidRDefault="005B4C5C" w:rsidP="00D8402C">
      <w:pPr>
        <w:pStyle w:val="ListParagraph"/>
        <w:numPr>
          <w:ilvl w:val="0"/>
          <w:numId w:val="20"/>
        </w:numPr>
        <w:spacing w:line="240" w:lineRule="auto"/>
        <w:jc w:val="both"/>
      </w:pPr>
      <w:proofErr w:type="spellStart"/>
      <w:r w:rsidRPr="005B4C5C">
        <w:t>Arouri</w:t>
      </w:r>
      <w:proofErr w:type="spellEnd"/>
      <w:r w:rsidRPr="005B4C5C">
        <w:t xml:space="preserve">, M. E. H., Youssef, A. B., </w:t>
      </w:r>
      <w:proofErr w:type="spellStart"/>
      <w:r w:rsidRPr="005B4C5C">
        <w:t>M'henni</w:t>
      </w:r>
      <w:proofErr w:type="spellEnd"/>
      <w:r w:rsidRPr="005B4C5C">
        <w:t xml:space="preserve">, H., &amp; </w:t>
      </w:r>
      <w:proofErr w:type="spellStart"/>
      <w:r w:rsidRPr="005B4C5C">
        <w:t>Rault</w:t>
      </w:r>
      <w:proofErr w:type="spellEnd"/>
      <w:r w:rsidRPr="005B4C5C">
        <w:t>, C. (2012). Energy consumption, economic growth and CO2 emissions in Middle East and North African countries. Energy policy, 45, 342-349.</w:t>
      </w:r>
    </w:p>
    <w:p w14:paraId="40BD6AB7" w14:textId="77777777" w:rsidR="005B4C5C" w:rsidRPr="005B4C5C" w:rsidRDefault="005B4C5C" w:rsidP="00D8402C">
      <w:pPr>
        <w:pStyle w:val="ListParagraph"/>
        <w:numPr>
          <w:ilvl w:val="0"/>
          <w:numId w:val="20"/>
        </w:numPr>
        <w:spacing w:line="240" w:lineRule="auto"/>
        <w:jc w:val="both"/>
      </w:pPr>
      <w:r w:rsidRPr="005B4C5C">
        <w:t>Atsu, F., Adams, S., &amp; Adjei, J. (2021). ICT, energy consumption, financial development, and environmental degradation in South Africa. </w:t>
      </w:r>
      <w:proofErr w:type="spellStart"/>
      <w:r w:rsidRPr="005B4C5C">
        <w:t>Heliyon</w:t>
      </w:r>
      <w:proofErr w:type="spellEnd"/>
      <w:r w:rsidRPr="005B4C5C">
        <w:t>, 7(7).</w:t>
      </w:r>
    </w:p>
    <w:p w14:paraId="3DB3CA31" w14:textId="77777777" w:rsidR="005B4C5C" w:rsidRPr="005B4C5C" w:rsidRDefault="005B4C5C" w:rsidP="00D8402C">
      <w:pPr>
        <w:pStyle w:val="ListParagraph"/>
        <w:numPr>
          <w:ilvl w:val="0"/>
          <w:numId w:val="20"/>
        </w:numPr>
        <w:spacing w:line="240" w:lineRule="auto"/>
        <w:jc w:val="both"/>
      </w:pPr>
      <w:proofErr w:type="spellStart"/>
      <w:r w:rsidRPr="005B4C5C">
        <w:t>Bagenda</w:t>
      </w:r>
      <w:proofErr w:type="spellEnd"/>
      <w:r w:rsidRPr="005B4C5C">
        <w:t xml:space="preserve">, B., </w:t>
      </w:r>
      <w:proofErr w:type="spellStart"/>
      <w:r w:rsidRPr="005B4C5C">
        <w:t>Ahimbisibwe</w:t>
      </w:r>
      <w:proofErr w:type="spellEnd"/>
      <w:r w:rsidRPr="005B4C5C">
        <w:t xml:space="preserve">, A., </w:t>
      </w:r>
      <w:proofErr w:type="spellStart"/>
      <w:r w:rsidRPr="005B4C5C">
        <w:t>Tusiime</w:t>
      </w:r>
      <w:proofErr w:type="spellEnd"/>
      <w:r w:rsidRPr="005B4C5C">
        <w:t xml:space="preserve">, W., &amp; Moya, M. (2017). Regulation of </w:t>
      </w:r>
      <w:proofErr w:type="spellStart"/>
      <w:r w:rsidRPr="005B4C5C">
        <w:t>boda</w:t>
      </w:r>
      <w:proofErr w:type="spellEnd"/>
      <w:r w:rsidRPr="005B4C5C">
        <w:t xml:space="preserve"> </w:t>
      </w:r>
      <w:proofErr w:type="spellStart"/>
      <w:r w:rsidRPr="005B4C5C">
        <w:t>boda</w:t>
      </w:r>
      <w:proofErr w:type="spellEnd"/>
      <w:r w:rsidRPr="005B4C5C">
        <w:t xml:space="preserve"> operators and road accident reduction in Uganda: A case of Kampala City Council Authority. ORSEA Journal, 5(1).</w:t>
      </w:r>
    </w:p>
    <w:p w14:paraId="3560A03B" w14:textId="553C4B8B" w:rsidR="005B4C5C" w:rsidRPr="005B4C5C" w:rsidRDefault="005B4C5C" w:rsidP="00D8402C">
      <w:pPr>
        <w:pStyle w:val="ListParagraph"/>
        <w:numPr>
          <w:ilvl w:val="0"/>
          <w:numId w:val="20"/>
        </w:numPr>
        <w:spacing w:line="240" w:lineRule="auto"/>
        <w:jc w:val="both"/>
      </w:pPr>
      <w:proofErr w:type="spellStart"/>
      <w:r w:rsidRPr="005B4C5C">
        <w:t>Bailis</w:t>
      </w:r>
      <w:proofErr w:type="spellEnd"/>
      <w:r w:rsidRPr="005B4C5C">
        <w:t xml:space="preserve">, R., </w:t>
      </w:r>
      <w:proofErr w:type="spellStart"/>
      <w:r w:rsidRPr="005B4C5C">
        <w:t>Ezzati</w:t>
      </w:r>
      <w:proofErr w:type="spellEnd"/>
      <w:r w:rsidRPr="005B4C5C">
        <w:t xml:space="preserve">, M., &amp; </w:t>
      </w:r>
      <w:proofErr w:type="spellStart"/>
      <w:r w:rsidRPr="005B4C5C">
        <w:t>Kammen</w:t>
      </w:r>
      <w:proofErr w:type="spellEnd"/>
      <w:r w:rsidRPr="005B4C5C">
        <w:t>, D. M. (2005). Mortality and greenhouse gas impacts of biomass and petroleum energy futures in Africa. Science, 308(5718), 98-103.</w:t>
      </w:r>
    </w:p>
    <w:p w14:paraId="56EFB686" w14:textId="77777777" w:rsidR="005B4C5C" w:rsidRPr="005B4C5C" w:rsidRDefault="005B4C5C" w:rsidP="00D8402C">
      <w:pPr>
        <w:pStyle w:val="ListParagraph"/>
        <w:numPr>
          <w:ilvl w:val="0"/>
          <w:numId w:val="20"/>
        </w:numPr>
        <w:spacing w:line="240" w:lineRule="auto"/>
        <w:jc w:val="both"/>
      </w:pPr>
      <w:proofErr w:type="spellStart"/>
      <w:r w:rsidRPr="005B4C5C">
        <w:t>Balsalobre-Lorente</w:t>
      </w:r>
      <w:proofErr w:type="spellEnd"/>
      <w:r w:rsidRPr="005B4C5C">
        <w:t xml:space="preserve">, D., Shahbaz, M., </w:t>
      </w:r>
      <w:proofErr w:type="spellStart"/>
      <w:r w:rsidRPr="005B4C5C">
        <w:t>Roubaud</w:t>
      </w:r>
      <w:proofErr w:type="spellEnd"/>
      <w:r w:rsidRPr="005B4C5C">
        <w:t xml:space="preserve">, D., &amp; </w:t>
      </w:r>
      <w:proofErr w:type="spellStart"/>
      <w:r w:rsidRPr="005B4C5C">
        <w:t>Farhani</w:t>
      </w:r>
      <w:proofErr w:type="spellEnd"/>
      <w:r w:rsidRPr="005B4C5C">
        <w:t xml:space="preserve">, S. (2018). How economic growth, renewable electricity and natural resources contribute to CO2 </w:t>
      </w:r>
      <w:proofErr w:type="gramStart"/>
      <w:r w:rsidRPr="005B4C5C">
        <w:t>emissions?.</w:t>
      </w:r>
      <w:proofErr w:type="gramEnd"/>
      <w:r w:rsidRPr="005B4C5C">
        <w:t> Energy policy, 113, 356-367.</w:t>
      </w:r>
    </w:p>
    <w:p w14:paraId="453A0A45" w14:textId="77777777" w:rsidR="005B4C5C" w:rsidRPr="005B4C5C" w:rsidRDefault="005B4C5C" w:rsidP="00D8402C">
      <w:pPr>
        <w:pStyle w:val="ListParagraph"/>
        <w:numPr>
          <w:ilvl w:val="0"/>
          <w:numId w:val="20"/>
        </w:numPr>
        <w:spacing w:line="240" w:lineRule="auto"/>
        <w:jc w:val="both"/>
      </w:pPr>
      <w:proofErr w:type="spellStart"/>
      <w:r w:rsidRPr="005B4C5C">
        <w:t>Banday</w:t>
      </w:r>
      <w:proofErr w:type="spellEnd"/>
      <w:r w:rsidRPr="005B4C5C">
        <w:t xml:space="preserve">, U. J., &amp; </w:t>
      </w:r>
      <w:proofErr w:type="spellStart"/>
      <w:r w:rsidRPr="005B4C5C">
        <w:t>Aneja</w:t>
      </w:r>
      <w:proofErr w:type="spellEnd"/>
      <w:r w:rsidRPr="005B4C5C">
        <w:t>, R. (2019). Energy consumption, economic growth and CO2 emissions: evidence from G7 countries. World Journal of Science, Technology and Sustainable Development, 16(1), 22-39.</w:t>
      </w:r>
    </w:p>
    <w:p w14:paraId="5EA8DFDE" w14:textId="5CCE1989" w:rsidR="005B4C5C" w:rsidRPr="005B4C5C" w:rsidRDefault="005B4C5C" w:rsidP="00D8402C">
      <w:pPr>
        <w:pStyle w:val="ListParagraph"/>
        <w:numPr>
          <w:ilvl w:val="0"/>
          <w:numId w:val="20"/>
        </w:numPr>
        <w:spacing w:line="240" w:lineRule="auto"/>
        <w:jc w:val="both"/>
      </w:pPr>
      <w:proofErr w:type="spellStart"/>
      <w:r w:rsidRPr="005B4C5C">
        <w:t>Banday</w:t>
      </w:r>
      <w:proofErr w:type="spellEnd"/>
      <w:r w:rsidRPr="005B4C5C">
        <w:t xml:space="preserve">, U. J., &amp; </w:t>
      </w:r>
      <w:proofErr w:type="spellStart"/>
      <w:r w:rsidRPr="005B4C5C">
        <w:t>Aneja</w:t>
      </w:r>
      <w:proofErr w:type="spellEnd"/>
      <w:r w:rsidRPr="005B4C5C">
        <w:t xml:space="preserve">, R. (2020). Renewable and non-renewable energy consumption, economic growth and </w:t>
      </w:r>
      <w:r w:rsidR="004B55C3">
        <w:t>environmental sustainability</w:t>
      </w:r>
      <w:r w:rsidRPr="005B4C5C">
        <w:t xml:space="preserve"> in BRICS: evidence from bootstrap panel causality. International Journal of Energy Sector Management, 14(1), 248-260.</w:t>
      </w:r>
    </w:p>
    <w:p w14:paraId="0FA12995" w14:textId="77777777" w:rsidR="005B4C5C" w:rsidRPr="005B4C5C" w:rsidRDefault="005B4C5C" w:rsidP="00D8402C">
      <w:pPr>
        <w:pStyle w:val="ListParagraph"/>
        <w:numPr>
          <w:ilvl w:val="0"/>
          <w:numId w:val="20"/>
        </w:numPr>
        <w:spacing w:line="240" w:lineRule="auto"/>
        <w:jc w:val="both"/>
      </w:pPr>
      <w:r w:rsidRPr="005B4C5C">
        <w:t>Bao, C., &amp; Xu, M. (2019). Cause and effect of renewable energy consumption on urbanization and economic growth in China's provinces and regions. Journal of cleaner production, 231, 483-493.</w:t>
      </w:r>
    </w:p>
    <w:p w14:paraId="34C4FC1E" w14:textId="77777777" w:rsidR="005B4C5C" w:rsidRPr="005B4C5C" w:rsidRDefault="005B4C5C" w:rsidP="00D8402C">
      <w:pPr>
        <w:pStyle w:val="ListParagraph"/>
        <w:numPr>
          <w:ilvl w:val="0"/>
          <w:numId w:val="20"/>
        </w:numPr>
        <w:spacing w:line="240" w:lineRule="auto"/>
        <w:jc w:val="both"/>
      </w:pPr>
      <w:r w:rsidRPr="005B4C5C">
        <w:t xml:space="preserve">Bayar, Y., </w:t>
      </w:r>
      <w:proofErr w:type="spellStart"/>
      <w:r w:rsidRPr="005B4C5C">
        <w:t>Sezgin</w:t>
      </w:r>
      <w:proofErr w:type="spellEnd"/>
      <w:r w:rsidRPr="005B4C5C">
        <w:t xml:space="preserve">, H. F., </w:t>
      </w:r>
      <w:proofErr w:type="spellStart"/>
      <w:r w:rsidRPr="005B4C5C">
        <w:t>Öztürk</w:t>
      </w:r>
      <w:proofErr w:type="spellEnd"/>
      <w:r w:rsidRPr="005B4C5C">
        <w:t xml:space="preserve">, Ö. F., &amp; </w:t>
      </w:r>
      <w:proofErr w:type="spellStart"/>
      <w:r w:rsidRPr="005B4C5C">
        <w:t>Şaşmaz</w:t>
      </w:r>
      <w:proofErr w:type="spellEnd"/>
      <w:r w:rsidRPr="005B4C5C">
        <w:t>, M. Ü. (2020). Financial literacy and financial risk tolerance of individual investors: Multinomial logistic regression approach. Sage Open, 10(3), 2158244020945717.</w:t>
      </w:r>
    </w:p>
    <w:p w14:paraId="0408CD37" w14:textId="77777777" w:rsidR="005B4C5C" w:rsidRPr="005B4C5C" w:rsidRDefault="005B4C5C" w:rsidP="00D8402C">
      <w:pPr>
        <w:pStyle w:val="ListParagraph"/>
        <w:numPr>
          <w:ilvl w:val="0"/>
          <w:numId w:val="20"/>
        </w:numPr>
        <w:spacing w:line="240" w:lineRule="auto"/>
        <w:jc w:val="both"/>
      </w:pPr>
      <w:r w:rsidRPr="005B4C5C">
        <w:t>Baz, K., Cheng, J., Xu, D., Abbas, K., Ali, I., Ali, H., &amp; Fang, C. (2021). Asymmetric impact of fossil fuel and renewable energy consumption on economic growth: A nonlinear technique. Energy, 226, 120357.</w:t>
      </w:r>
    </w:p>
    <w:p w14:paraId="60B560F0" w14:textId="77777777" w:rsidR="005B4C5C" w:rsidRPr="005B4C5C" w:rsidRDefault="005B4C5C" w:rsidP="00D8402C">
      <w:pPr>
        <w:pStyle w:val="ListParagraph"/>
        <w:numPr>
          <w:ilvl w:val="0"/>
          <w:numId w:val="20"/>
        </w:numPr>
        <w:spacing w:line="240" w:lineRule="auto"/>
        <w:jc w:val="both"/>
      </w:pPr>
      <w:proofErr w:type="spellStart"/>
      <w:r w:rsidRPr="005B4C5C">
        <w:t>Bekhet</w:t>
      </w:r>
      <w:proofErr w:type="spellEnd"/>
      <w:r w:rsidRPr="005B4C5C">
        <w:t>, H. A., &amp; Harun, N. H. B. (2012). Energy essential in the industrial manufacturing in Malaysia. International Journal of Economics and Finance, 4(1), 129-137.</w:t>
      </w:r>
    </w:p>
    <w:p w14:paraId="2954CC9A" w14:textId="77777777" w:rsidR="005B4C5C" w:rsidRPr="005B4C5C" w:rsidRDefault="005B4C5C" w:rsidP="00D8402C">
      <w:pPr>
        <w:pStyle w:val="ListParagraph"/>
        <w:numPr>
          <w:ilvl w:val="0"/>
          <w:numId w:val="20"/>
        </w:numPr>
        <w:spacing w:line="240" w:lineRule="auto"/>
        <w:jc w:val="both"/>
      </w:pPr>
      <w:proofErr w:type="spellStart"/>
      <w:r w:rsidRPr="005B4C5C">
        <w:t>Belianska</w:t>
      </w:r>
      <w:proofErr w:type="spellEnd"/>
      <w:r w:rsidRPr="005B4C5C">
        <w:t xml:space="preserve">, A., Bohme, N., Cai, K., Diallo, Y., Jain, S., Melina, M. G., ... &amp; </w:t>
      </w:r>
      <w:proofErr w:type="spellStart"/>
      <w:r w:rsidRPr="005B4C5C">
        <w:t>Zerbo</w:t>
      </w:r>
      <w:proofErr w:type="spellEnd"/>
      <w:r w:rsidRPr="005B4C5C">
        <w:t>, S. (2022). Climate change and select financial instruments: an overview of opportunities and challenges for Sub-Saharan Africa.</w:t>
      </w:r>
    </w:p>
    <w:p w14:paraId="3539FBA0" w14:textId="77777777" w:rsidR="005B4C5C" w:rsidRPr="005B4C5C" w:rsidRDefault="005B4C5C" w:rsidP="00D8402C">
      <w:pPr>
        <w:pStyle w:val="ListParagraph"/>
        <w:numPr>
          <w:ilvl w:val="0"/>
          <w:numId w:val="20"/>
        </w:numPr>
        <w:spacing w:line="240" w:lineRule="auto"/>
        <w:jc w:val="both"/>
      </w:pPr>
      <w:r w:rsidRPr="005B4C5C">
        <w:t xml:space="preserve">Boden, T. A., Andres, R. J., &amp; </w:t>
      </w:r>
      <w:proofErr w:type="spellStart"/>
      <w:r w:rsidRPr="005B4C5C">
        <w:t>Marland</w:t>
      </w:r>
      <w:proofErr w:type="spellEnd"/>
      <w:r w:rsidRPr="005B4C5C">
        <w:t>, G. (2016). Global, Regional, and National Fossil-Fuel CO2 Emissions (1751-</w:t>
      </w:r>
      <w:proofErr w:type="gramStart"/>
      <w:r w:rsidRPr="005B4C5C">
        <w:t>2013)(</w:t>
      </w:r>
      <w:proofErr w:type="gramEnd"/>
      <w:r w:rsidRPr="005B4C5C">
        <w:t xml:space="preserve">V. 2016). Environmental System Science Data Infrastructure </w:t>
      </w:r>
      <w:r w:rsidRPr="005B4C5C">
        <w:lastRenderedPageBreak/>
        <w:t>for a Virtual Ecosystem (ESS-</w:t>
      </w:r>
      <w:proofErr w:type="gramStart"/>
      <w:r w:rsidRPr="005B4C5C">
        <w:t>DIVE)(</w:t>
      </w:r>
      <w:proofErr w:type="gramEnd"/>
      <w:r w:rsidRPr="005B4C5C">
        <w:t>United States); Carbon Dioxide Information Analysis Center (CDIAC), Oak Ridge National Laboratory (ORNL), Oak Ridge, TN (United States).</w:t>
      </w:r>
    </w:p>
    <w:p w14:paraId="0C76EE23" w14:textId="77777777" w:rsidR="005B4C5C" w:rsidRPr="005B4C5C" w:rsidRDefault="005B4C5C" w:rsidP="00D8402C">
      <w:pPr>
        <w:pStyle w:val="ListParagraph"/>
        <w:numPr>
          <w:ilvl w:val="0"/>
          <w:numId w:val="20"/>
        </w:numPr>
        <w:spacing w:line="240" w:lineRule="auto"/>
        <w:jc w:val="both"/>
      </w:pPr>
      <w:proofErr w:type="spellStart"/>
      <w:r w:rsidRPr="005B4C5C">
        <w:t>Byaro</w:t>
      </w:r>
      <w:proofErr w:type="spellEnd"/>
      <w:r w:rsidRPr="005B4C5C">
        <w:t xml:space="preserve">, M., </w:t>
      </w:r>
      <w:proofErr w:type="spellStart"/>
      <w:r w:rsidRPr="005B4C5C">
        <w:t>Nkonoki</w:t>
      </w:r>
      <w:proofErr w:type="spellEnd"/>
      <w:r w:rsidRPr="005B4C5C">
        <w:t xml:space="preserve">, J., &amp; </w:t>
      </w:r>
      <w:proofErr w:type="spellStart"/>
      <w:r w:rsidRPr="005B4C5C">
        <w:t>Mafwolo</w:t>
      </w:r>
      <w:proofErr w:type="spellEnd"/>
      <w:r w:rsidRPr="005B4C5C">
        <w:t>, G. (2023). Exploring the nexus between natural resource depletion, renewable energy use, and environmental degradation in sub-Saharan Africa. Environmental Science and Pollution Research, 30(8), 19931-19945.</w:t>
      </w:r>
    </w:p>
    <w:p w14:paraId="499A735B" w14:textId="77777777" w:rsidR="005B4C5C" w:rsidRPr="005B4C5C" w:rsidRDefault="005B4C5C" w:rsidP="00D8402C">
      <w:pPr>
        <w:pStyle w:val="ListParagraph"/>
        <w:numPr>
          <w:ilvl w:val="0"/>
          <w:numId w:val="20"/>
        </w:numPr>
        <w:spacing w:line="240" w:lineRule="auto"/>
        <w:jc w:val="both"/>
      </w:pPr>
      <w:proofErr w:type="spellStart"/>
      <w:r w:rsidRPr="005B4C5C">
        <w:t>Charfeddine</w:t>
      </w:r>
      <w:proofErr w:type="spellEnd"/>
      <w:r w:rsidRPr="005B4C5C">
        <w:t xml:space="preserve">, L., &amp; </w:t>
      </w:r>
      <w:proofErr w:type="spellStart"/>
      <w:r w:rsidRPr="005B4C5C">
        <w:t>Kahia</w:t>
      </w:r>
      <w:proofErr w:type="spellEnd"/>
      <w:r w:rsidRPr="005B4C5C">
        <w:t>, M. (2019). Impact of renewable energy consumption and financial development on CO2 emissions and economic growth in the MENA region: a panel vector autoregressive (PVAR) analysis. Renewable energy, 139, 198-213.</w:t>
      </w:r>
    </w:p>
    <w:p w14:paraId="45483E34" w14:textId="77777777" w:rsidR="005B4C5C" w:rsidRPr="005B4C5C" w:rsidRDefault="005B4C5C" w:rsidP="00D8402C">
      <w:pPr>
        <w:pStyle w:val="ListParagraph"/>
        <w:numPr>
          <w:ilvl w:val="0"/>
          <w:numId w:val="20"/>
        </w:numPr>
        <w:spacing w:line="240" w:lineRule="auto"/>
        <w:jc w:val="both"/>
      </w:pPr>
      <w:r w:rsidRPr="005B4C5C">
        <w:t>Cole, M. A. (2004). Trade, the pollution haven hypothesis and the environmental Kuznets curve: examining the linkages. Ecological economics, 48(1), 71-81.</w:t>
      </w:r>
    </w:p>
    <w:p w14:paraId="7F872A0D" w14:textId="77777777" w:rsidR="005B4C5C" w:rsidRPr="005B4C5C" w:rsidRDefault="005B4C5C" w:rsidP="00D8402C">
      <w:pPr>
        <w:pStyle w:val="ListParagraph"/>
        <w:numPr>
          <w:ilvl w:val="0"/>
          <w:numId w:val="20"/>
        </w:numPr>
        <w:spacing w:line="240" w:lineRule="auto"/>
        <w:jc w:val="both"/>
      </w:pPr>
      <w:r w:rsidRPr="005B4C5C">
        <w:t>Collier, P., Conway, G., &amp; Venables, T. (2008). Climate change and Africa. Oxford review of economic policy, 24(2), 337-353.</w:t>
      </w:r>
    </w:p>
    <w:p w14:paraId="7F653AC4" w14:textId="77777777" w:rsidR="005B4C5C" w:rsidRPr="005B4C5C" w:rsidRDefault="005B4C5C" w:rsidP="00D8402C">
      <w:pPr>
        <w:pStyle w:val="ListParagraph"/>
        <w:numPr>
          <w:ilvl w:val="0"/>
          <w:numId w:val="20"/>
        </w:numPr>
        <w:spacing w:line="240" w:lineRule="auto"/>
        <w:jc w:val="both"/>
      </w:pPr>
      <w:proofErr w:type="spellStart"/>
      <w:r w:rsidRPr="005B4C5C">
        <w:t>Copinschi</w:t>
      </w:r>
      <w:proofErr w:type="spellEnd"/>
      <w:r w:rsidRPr="005B4C5C">
        <w:t>, P. (2022). Energy and the Economy in Sub-Saharan Africa. In </w:t>
      </w:r>
      <w:proofErr w:type="gramStart"/>
      <w:r w:rsidRPr="005B4C5C">
        <w:t>The</w:t>
      </w:r>
      <w:proofErr w:type="gramEnd"/>
      <w:r w:rsidRPr="005B4C5C">
        <w:t xml:space="preserve"> Palgrave handbook of international energy economics (pp. 693-712). Cham: Springer International Publishing.</w:t>
      </w:r>
    </w:p>
    <w:p w14:paraId="698C6FC1" w14:textId="77777777" w:rsidR="005B4C5C" w:rsidRPr="005B4C5C" w:rsidRDefault="005B4C5C" w:rsidP="00D8402C">
      <w:pPr>
        <w:pStyle w:val="ListParagraph"/>
        <w:numPr>
          <w:ilvl w:val="0"/>
          <w:numId w:val="20"/>
        </w:numPr>
        <w:spacing w:line="240" w:lineRule="auto"/>
        <w:jc w:val="both"/>
      </w:pPr>
      <w:proofErr w:type="spellStart"/>
      <w:r w:rsidRPr="005B4C5C">
        <w:t>Destek</w:t>
      </w:r>
      <w:proofErr w:type="spellEnd"/>
      <w:r w:rsidRPr="005B4C5C">
        <w:t>, M. A., &amp; Aslan, A. (2017). Renewable and non-renewable energy consumption and economic growth in emerging economies: Evidence from bootstrap panel causality. Renewable Energy, 111, 757-763.</w:t>
      </w:r>
    </w:p>
    <w:p w14:paraId="4BA8375F" w14:textId="77777777" w:rsidR="005B4C5C" w:rsidRPr="005B4C5C" w:rsidRDefault="005B4C5C" w:rsidP="00D8402C">
      <w:pPr>
        <w:pStyle w:val="ListParagraph"/>
        <w:numPr>
          <w:ilvl w:val="0"/>
          <w:numId w:val="20"/>
        </w:numPr>
        <w:spacing w:line="240" w:lineRule="auto"/>
        <w:jc w:val="both"/>
      </w:pPr>
      <w:r w:rsidRPr="005B4C5C">
        <w:t>Dong, K. Y., Sun, R. J., Li, H., &amp; Jiang, H. D. (2017). A review of China’s energy consumption structure and outlook based on a long-range energy alternatives modeling tool. Petroleum Science, 14, 214-227.</w:t>
      </w:r>
    </w:p>
    <w:p w14:paraId="0F6125CF" w14:textId="77777777" w:rsidR="005B4C5C" w:rsidRPr="005B4C5C" w:rsidRDefault="005B4C5C" w:rsidP="00D8402C">
      <w:pPr>
        <w:pStyle w:val="ListParagraph"/>
        <w:numPr>
          <w:ilvl w:val="0"/>
          <w:numId w:val="20"/>
        </w:numPr>
        <w:spacing w:line="240" w:lineRule="auto"/>
        <w:jc w:val="both"/>
      </w:pPr>
      <w:proofErr w:type="spellStart"/>
      <w:r w:rsidRPr="005B4C5C">
        <w:t>Doytch</w:t>
      </w:r>
      <w:proofErr w:type="spellEnd"/>
      <w:r w:rsidRPr="005B4C5C">
        <w:t>, N. (2020). The impact of foreign direct investment on the ecological footprints of nations. Environmental and Sustainability Indicators, 8, 100085.</w:t>
      </w:r>
    </w:p>
    <w:p w14:paraId="1CF43810" w14:textId="77777777" w:rsidR="005B4C5C" w:rsidRPr="005B4C5C" w:rsidRDefault="005B4C5C" w:rsidP="00D8402C">
      <w:pPr>
        <w:pStyle w:val="ListParagraph"/>
        <w:numPr>
          <w:ilvl w:val="0"/>
          <w:numId w:val="20"/>
        </w:numPr>
        <w:spacing w:line="240" w:lineRule="auto"/>
        <w:jc w:val="both"/>
      </w:pPr>
      <w:proofErr w:type="spellStart"/>
      <w:r w:rsidRPr="005B4C5C">
        <w:t>Dumitrescu</w:t>
      </w:r>
      <w:proofErr w:type="spellEnd"/>
      <w:r w:rsidRPr="005B4C5C">
        <w:t xml:space="preserve">, E. I., &amp; </w:t>
      </w:r>
      <w:proofErr w:type="spellStart"/>
      <w:r w:rsidRPr="005B4C5C">
        <w:t>Hurlin</w:t>
      </w:r>
      <w:proofErr w:type="spellEnd"/>
      <w:r w:rsidRPr="005B4C5C">
        <w:t>, C. (2012). Testing for Granger non-causality in heterogeneous panels. Economic modelling, 29(4), 1450-1460.</w:t>
      </w:r>
    </w:p>
    <w:p w14:paraId="60178AB0" w14:textId="7845F127" w:rsidR="005B4C5C" w:rsidRPr="005B4C5C" w:rsidRDefault="005B4C5C" w:rsidP="00D8402C">
      <w:pPr>
        <w:pStyle w:val="ListParagraph"/>
        <w:numPr>
          <w:ilvl w:val="0"/>
          <w:numId w:val="20"/>
        </w:numPr>
        <w:spacing w:line="240" w:lineRule="auto"/>
        <w:jc w:val="both"/>
      </w:pPr>
      <w:proofErr w:type="spellStart"/>
      <w:r w:rsidRPr="005B4C5C">
        <w:t>Ehigiamusoe</w:t>
      </w:r>
      <w:proofErr w:type="spellEnd"/>
      <w:r w:rsidRPr="005B4C5C">
        <w:t xml:space="preserve">, K. U., &amp; Dogan, E. (2022). The role of interaction effect between renewable energy consumption and real income in </w:t>
      </w:r>
      <w:r w:rsidR="004B55C3">
        <w:t>environmental sustainability</w:t>
      </w:r>
      <w:r w:rsidRPr="005B4C5C">
        <w:t>: evidence from low-income countries. Renewable and Sustainable Energy Reviews, 154, 111883.</w:t>
      </w:r>
    </w:p>
    <w:p w14:paraId="023069B8" w14:textId="77777777" w:rsidR="005B4C5C" w:rsidRPr="005B4C5C" w:rsidRDefault="005B4C5C" w:rsidP="00D8402C">
      <w:pPr>
        <w:pStyle w:val="ListParagraph"/>
        <w:numPr>
          <w:ilvl w:val="0"/>
          <w:numId w:val="20"/>
        </w:numPr>
        <w:spacing w:line="240" w:lineRule="auto"/>
        <w:jc w:val="both"/>
      </w:pPr>
      <w:proofErr w:type="spellStart"/>
      <w:r w:rsidRPr="005B4C5C">
        <w:t>Eskander</w:t>
      </w:r>
      <w:proofErr w:type="spellEnd"/>
      <w:r w:rsidRPr="005B4C5C">
        <w:t>, S. M., &amp; Fankhauser, S. (2020). Reduction in greenhouse gas emissions from national climate legislation. Nature Climate Change, 10(8), 750-756.</w:t>
      </w:r>
    </w:p>
    <w:p w14:paraId="16545AEA" w14:textId="1A45C871" w:rsidR="005B4C5C" w:rsidRPr="005B4C5C" w:rsidRDefault="005B4C5C" w:rsidP="00D8402C">
      <w:pPr>
        <w:pStyle w:val="ListParagraph"/>
        <w:numPr>
          <w:ilvl w:val="0"/>
          <w:numId w:val="20"/>
        </w:numPr>
        <w:spacing w:line="240" w:lineRule="auto"/>
        <w:jc w:val="both"/>
      </w:pPr>
      <w:r w:rsidRPr="005B4C5C">
        <w:t xml:space="preserve">Esso, L. J., &amp; </w:t>
      </w:r>
      <w:proofErr w:type="spellStart"/>
      <w:r w:rsidRPr="005B4C5C">
        <w:t>Keho</w:t>
      </w:r>
      <w:proofErr w:type="spellEnd"/>
      <w:r w:rsidRPr="005B4C5C">
        <w:t xml:space="preserve">, Y. (2016). Energy consumption, economic growth and </w:t>
      </w:r>
      <w:r w:rsidR="004B55C3">
        <w:t>environmental sustainability</w:t>
      </w:r>
      <w:r w:rsidRPr="005B4C5C">
        <w:t>: Cointegration and causality evidence from selected African countries. Energy, 114, 492-497.</w:t>
      </w:r>
    </w:p>
    <w:p w14:paraId="3D3076C9" w14:textId="77777777" w:rsidR="005B4C5C" w:rsidRPr="005B4C5C" w:rsidRDefault="005B4C5C" w:rsidP="00D8402C">
      <w:pPr>
        <w:pStyle w:val="ListParagraph"/>
        <w:numPr>
          <w:ilvl w:val="0"/>
          <w:numId w:val="20"/>
        </w:numPr>
        <w:spacing w:line="240" w:lineRule="auto"/>
        <w:jc w:val="both"/>
      </w:pPr>
      <w:proofErr w:type="spellStart"/>
      <w:r w:rsidRPr="005B4C5C">
        <w:t>Gielen</w:t>
      </w:r>
      <w:proofErr w:type="spellEnd"/>
      <w:r w:rsidRPr="005B4C5C">
        <w:t xml:space="preserve">, D., </w:t>
      </w:r>
      <w:proofErr w:type="spellStart"/>
      <w:r w:rsidRPr="005B4C5C">
        <w:t>Boshell</w:t>
      </w:r>
      <w:proofErr w:type="spellEnd"/>
      <w:r w:rsidRPr="005B4C5C">
        <w:t xml:space="preserve">, F., </w:t>
      </w:r>
      <w:proofErr w:type="spellStart"/>
      <w:r w:rsidRPr="005B4C5C">
        <w:t>Saygin</w:t>
      </w:r>
      <w:proofErr w:type="spellEnd"/>
      <w:r w:rsidRPr="005B4C5C">
        <w:t xml:space="preserve">, D., </w:t>
      </w:r>
      <w:proofErr w:type="spellStart"/>
      <w:r w:rsidRPr="005B4C5C">
        <w:t>Bazilian</w:t>
      </w:r>
      <w:proofErr w:type="spellEnd"/>
      <w:r w:rsidRPr="005B4C5C">
        <w:t xml:space="preserve">, M. D., Wagner, N., &amp; </w:t>
      </w:r>
      <w:proofErr w:type="spellStart"/>
      <w:r w:rsidRPr="005B4C5C">
        <w:t>Gorini</w:t>
      </w:r>
      <w:proofErr w:type="spellEnd"/>
      <w:r w:rsidRPr="005B4C5C">
        <w:t>, R. (2019). The role of renewable energy in the global energy transformation. Energy strategy reviews, 24, 38-50.</w:t>
      </w:r>
    </w:p>
    <w:p w14:paraId="0749DB35" w14:textId="77777777" w:rsidR="005B4C5C" w:rsidRPr="005B4C5C" w:rsidRDefault="005B4C5C" w:rsidP="00D8402C">
      <w:pPr>
        <w:pStyle w:val="ListParagraph"/>
        <w:numPr>
          <w:ilvl w:val="0"/>
          <w:numId w:val="20"/>
        </w:numPr>
        <w:spacing w:line="240" w:lineRule="auto"/>
        <w:jc w:val="both"/>
      </w:pPr>
      <w:proofErr w:type="spellStart"/>
      <w:r w:rsidRPr="005B4C5C">
        <w:t>Gök</w:t>
      </w:r>
      <w:proofErr w:type="spellEnd"/>
      <w:r w:rsidRPr="005B4C5C">
        <w:t>, A. (2020). Financial sector development and its implications for sustainability. Journal of Sustainable Finance &amp; Investment, 10(2), 144-162.</w:t>
      </w:r>
    </w:p>
    <w:p w14:paraId="376B4018" w14:textId="77777777" w:rsidR="005B4C5C" w:rsidRPr="005B4C5C" w:rsidRDefault="005B4C5C" w:rsidP="00D8402C">
      <w:pPr>
        <w:pStyle w:val="ListParagraph"/>
        <w:numPr>
          <w:ilvl w:val="0"/>
          <w:numId w:val="20"/>
        </w:numPr>
        <w:spacing w:line="240" w:lineRule="auto"/>
        <w:jc w:val="both"/>
      </w:pPr>
      <w:r w:rsidRPr="005B4C5C">
        <w:t>Grossman, G. M. (1991). Environmental impacts of a North American Free Trade Agreement.</w:t>
      </w:r>
    </w:p>
    <w:p w14:paraId="2886A945" w14:textId="77777777" w:rsidR="005B4C5C" w:rsidRPr="005B4C5C" w:rsidRDefault="005B4C5C" w:rsidP="00D8402C">
      <w:pPr>
        <w:pStyle w:val="ListParagraph"/>
        <w:numPr>
          <w:ilvl w:val="0"/>
          <w:numId w:val="20"/>
        </w:numPr>
        <w:spacing w:line="240" w:lineRule="auto"/>
        <w:jc w:val="both"/>
      </w:pPr>
      <w:r w:rsidRPr="005B4C5C">
        <w:t>Grossman, G. M., &amp; Krueger, A. B. (1995). Economic growth and the environment. Quarterly Journal of Economics, 110(2), 353-377.</w:t>
      </w:r>
    </w:p>
    <w:p w14:paraId="511879A8" w14:textId="77777777" w:rsidR="005B4C5C" w:rsidRPr="005B4C5C" w:rsidRDefault="005B4C5C" w:rsidP="00D8402C">
      <w:pPr>
        <w:pStyle w:val="ListParagraph"/>
        <w:numPr>
          <w:ilvl w:val="0"/>
          <w:numId w:val="20"/>
        </w:numPr>
        <w:spacing w:line="240" w:lineRule="auto"/>
        <w:jc w:val="both"/>
      </w:pPr>
      <w:r w:rsidRPr="005B4C5C">
        <w:t>Gu, D., Andreev, K., &amp; Dupre, M. E. (2021). Major trends in population growth around the world. China CDC weekly, 3(28), 604.</w:t>
      </w:r>
    </w:p>
    <w:p w14:paraId="330007B6" w14:textId="77777777" w:rsidR="005B4C5C" w:rsidRPr="005B4C5C" w:rsidRDefault="005B4C5C" w:rsidP="00D8402C">
      <w:pPr>
        <w:pStyle w:val="ListParagraph"/>
        <w:numPr>
          <w:ilvl w:val="0"/>
          <w:numId w:val="20"/>
        </w:numPr>
        <w:spacing w:line="240" w:lineRule="auto"/>
        <w:jc w:val="both"/>
      </w:pPr>
      <w:proofErr w:type="spellStart"/>
      <w:r w:rsidRPr="005B4C5C">
        <w:lastRenderedPageBreak/>
        <w:t>Halicioglu</w:t>
      </w:r>
      <w:proofErr w:type="spellEnd"/>
      <w:r w:rsidRPr="005B4C5C">
        <w:t>, F. (2011). A dynamic econometric study of income, energy and exports in Turkey. Energy, 36(5), 3348-3354.</w:t>
      </w:r>
    </w:p>
    <w:p w14:paraId="23349741" w14:textId="77777777" w:rsidR="005B4C5C" w:rsidRPr="005B4C5C" w:rsidRDefault="005B4C5C" w:rsidP="00D8402C">
      <w:pPr>
        <w:pStyle w:val="ListParagraph"/>
        <w:numPr>
          <w:ilvl w:val="0"/>
          <w:numId w:val="20"/>
        </w:numPr>
        <w:spacing w:line="240" w:lineRule="auto"/>
        <w:jc w:val="both"/>
      </w:pPr>
      <w:r w:rsidRPr="005B4C5C">
        <w:t>Hanif, I. (2017). Economics-energy-environment nexus in Latin America and the Caribbean. Energy, 141, 170-178.</w:t>
      </w:r>
    </w:p>
    <w:p w14:paraId="339B4CB1" w14:textId="77777777" w:rsidR="005B4C5C" w:rsidRPr="005B4C5C" w:rsidRDefault="005B4C5C" w:rsidP="00D8402C">
      <w:pPr>
        <w:pStyle w:val="ListParagraph"/>
        <w:numPr>
          <w:ilvl w:val="0"/>
          <w:numId w:val="20"/>
        </w:numPr>
        <w:spacing w:line="240" w:lineRule="auto"/>
        <w:jc w:val="both"/>
      </w:pPr>
      <w:r w:rsidRPr="005B4C5C">
        <w:t>Hanif, I., &amp; Gago-de-Santos, P. (2017). The importance of population control and macroeconomic stability to reducing environmental degradation: An empirical test of the environmental Kuznets curve for developing countries. Environmental Development, 23, 1-9.</w:t>
      </w:r>
    </w:p>
    <w:p w14:paraId="67D9DEFE" w14:textId="184A2C56" w:rsidR="005B4C5C" w:rsidRPr="005B4C5C" w:rsidRDefault="005B4C5C" w:rsidP="00D8402C">
      <w:pPr>
        <w:pStyle w:val="ListParagraph"/>
        <w:numPr>
          <w:ilvl w:val="0"/>
          <w:numId w:val="20"/>
        </w:numPr>
        <w:spacing w:line="240" w:lineRule="auto"/>
        <w:jc w:val="both"/>
      </w:pPr>
      <w:r w:rsidRPr="005B4C5C">
        <w:t xml:space="preserve">Hao, L. N., Umar, M., Khan, Z., &amp; Ali, W. (2021). Green growth and low </w:t>
      </w:r>
      <w:r w:rsidR="004B55C3">
        <w:t>environmental sustainability</w:t>
      </w:r>
      <w:r w:rsidRPr="005B4C5C">
        <w:t xml:space="preserve"> in G7 countries: how critical the network of environmental taxes, renewable energy and human capital </w:t>
      </w:r>
      <w:proofErr w:type="gramStart"/>
      <w:r w:rsidRPr="005B4C5C">
        <w:t>is?.</w:t>
      </w:r>
      <w:proofErr w:type="gramEnd"/>
      <w:r w:rsidRPr="005B4C5C">
        <w:t> Science of the Total Environment, 752, 141853.</w:t>
      </w:r>
    </w:p>
    <w:p w14:paraId="2C4C950F" w14:textId="77777777" w:rsidR="005B4C5C" w:rsidRPr="005B4C5C" w:rsidRDefault="005B4C5C" w:rsidP="00D8402C">
      <w:pPr>
        <w:pStyle w:val="ListParagraph"/>
        <w:numPr>
          <w:ilvl w:val="0"/>
          <w:numId w:val="20"/>
        </w:numPr>
        <w:spacing w:line="240" w:lineRule="auto"/>
        <w:jc w:val="both"/>
      </w:pPr>
      <w:r w:rsidRPr="005B4C5C">
        <w:t xml:space="preserve">International Energy Agency (IEA). (2019). Africa energy outlook 2019: World energy outlook special report. </w:t>
      </w:r>
      <w:hyperlink r:id="rId7" w:history="1">
        <w:r w:rsidRPr="005B4C5C">
          <w:t>https://www.iea.org/reports/africa-energy-outlook-2019</w:t>
        </w:r>
      </w:hyperlink>
    </w:p>
    <w:p w14:paraId="10FF31AD" w14:textId="77777777" w:rsidR="005B4C5C" w:rsidRPr="005B4C5C" w:rsidRDefault="005B4C5C" w:rsidP="00D8402C">
      <w:pPr>
        <w:pStyle w:val="ListParagraph"/>
        <w:numPr>
          <w:ilvl w:val="0"/>
          <w:numId w:val="20"/>
        </w:numPr>
        <w:spacing w:line="240" w:lineRule="auto"/>
        <w:jc w:val="both"/>
      </w:pPr>
      <w:r w:rsidRPr="005B4C5C">
        <w:t xml:space="preserve">International Monetary Fund (IMF). (2020). Financial development index. </w:t>
      </w:r>
      <w:hyperlink r:id="rId8" w:tgtFrame="_new" w:history="1">
        <w:r w:rsidRPr="005B4C5C">
          <w:t>https://www.imf.org</w:t>
        </w:r>
      </w:hyperlink>
    </w:p>
    <w:p w14:paraId="2921696E" w14:textId="77777777" w:rsidR="005B4C5C" w:rsidRPr="005B4C5C" w:rsidRDefault="005B4C5C" w:rsidP="00D8402C">
      <w:pPr>
        <w:pStyle w:val="ListParagraph"/>
        <w:numPr>
          <w:ilvl w:val="0"/>
          <w:numId w:val="20"/>
        </w:numPr>
        <w:spacing w:line="240" w:lineRule="auto"/>
        <w:jc w:val="both"/>
      </w:pPr>
      <w:r w:rsidRPr="005B4C5C">
        <w:t xml:space="preserve">Jalil, A., &amp; </w:t>
      </w:r>
      <w:proofErr w:type="spellStart"/>
      <w:r w:rsidRPr="005B4C5C">
        <w:t>Feridun</w:t>
      </w:r>
      <w:proofErr w:type="spellEnd"/>
      <w:r w:rsidRPr="005B4C5C">
        <w:t>, M. (2011). The impact of growth, energy and financial development on the environment in China: a cointegration analysis. Energy economics, 33(2), 284-291.</w:t>
      </w:r>
    </w:p>
    <w:p w14:paraId="01D6618E" w14:textId="39DB7DC6" w:rsidR="005B4C5C" w:rsidRPr="005B4C5C" w:rsidRDefault="005B4C5C" w:rsidP="00D8402C">
      <w:pPr>
        <w:pStyle w:val="ListParagraph"/>
        <w:numPr>
          <w:ilvl w:val="0"/>
          <w:numId w:val="20"/>
        </w:numPr>
        <w:spacing w:line="240" w:lineRule="auto"/>
        <w:jc w:val="both"/>
      </w:pPr>
      <w:r w:rsidRPr="005B4C5C">
        <w:t xml:space="preserve">Jiang, C., &amp; Ma, X. (2019). The impact of financial development on </w:t>
      </w:r>
      <w:r w:rsidR="004B55C3">
        <w:t>environmental sustainability</w:t>
      </w:r>
      <w:r w:rsidRPr="005B4C5C">
        <w:t>: a global perspective. Sustainability, 11(19), 5241.</w:t>
      </w:r>
    </w:p>
    <w:p w14:paraId="186927BB" w14:textId="77777777" w:rsidR="005B4C5C" w:rsidRPr="005B4C5C" w:rsidRDefault="005B4C5C" w:rsidP="00D8402C">
      <w:pPr>
        <w:pStyle w:val="ListParagraph"/>
        <w:numPr>
          <w:ilvl w:val="0"/>
          <w:numId w:val="20"/>
        </w:numPr>
        <w:spacing w:line="240" w:lineRule="auto"/>
        <w:jc w:val="both"/>
      </w:pPr>
      <w:r w:rsidRPr="005B4C5C">
        <w:t xml:space="preserve">Jones, L. E., &amp; </w:t>
      </w:r>
      <w:proofErr w:type="spellStart"/>
      <w:r w:rsidRPr="005B4C5C">
        <w:t>Manuelli</w:t>
      </w:r>
      <w:proofErr w:type="spellEnd"/>
      <w:r w:rsidRPr="005B4C5C">
        <w:t>, R. E. (2005). Neoclassical models of endogenous growth: The effects of fiscal policy, innovation and fluctuations. Handbook of economic growth, 1, 13-65.</w:t>
      </w:r>
    </w:p>
    <w:p w14:paraId="1525EBAF" w14:textId="77777777" w:rsidR="005B4C5C" w:rsidRPr="005B4C5C" w:rsidRDefault="005B4C5C" w:rsidP="00D8402C">
      <w:pPr>
        <w:pStyle w:val="ListParagraph"/>
        <w:numPr>
          <w:ilvl w:val="0"/>
          <w:numId w:val="20"/>
        </w:numPr>
        <w:spacing w:line="240" w:lineRule="auto"/>
        <w:jc w:val="both"/>
      </w:pPr>
      <w:r w:rsidRPr="005B4C5C">
        <w:t xml:space="preserve">Jorgenson, D. W., &amp; </w:t>
      </w:r>
      <w:proofErr w:type="spellStart"/>
      <w:r w:rsidRPr="005B4C5C">
        <w:t>Wilcoxen</w:t>
      </w:r>
      <w:proofErr w:type="spellEnd"/>
      <w:r w:rsidRPr="005B4C5C">
        <w:t>, P. J. (1993). The economic impact of the Clean Air Act Amendments of 1990. The Energy Journal, 14(1), 159–182.</w:t>
      </w:r>
    </w:p>
    <w:p w14:paraId="6ACF4C46" w14:textId="77777777" w:rsidR="005B4C5C" w:rsidRPr="005B4C5C" w:rsidRDefault="005B4C5C" w:rsidP="00D8402C">
      <w:pPr>
        <w:pStyle w:val="ListParagraph"/>
        <w:numPr>
          <w:ilvl w:val="0"/>
          <w:numId w:val="20"/>
        </w:numPr>
        <w:spacing w:line="240" w:lineRule="auto"/>
        <w:jc w:val="both"/>
      </w:pPr>
      <w:proofErr w:type="spellStart"/>
      <w:r w:rsidRPr="005B4C5C">
        <w:t>Kartal</w:t>
      </w:r>
      <w:proofErr w:type="spellEnd"/>
      <w:r w:rsidRPr="005B4C5C">
        <w:t xml:space="preserve">, M. T., </w:t>
      </w:r>
      <w:proofErr w:type="spellStart"/>
      <w:r w:rsidRPr="005B4C5C">
        <w:t>Kılıç</w:t>
      </w:r>
      <w:proofErr w:type="spellEnd"/>
      <w:r w:rsidRPr="005B4C5C">
        <w:t xml:space="preserve"> </w:t>
      </w:r>
      <w:proofErr w:type="spellStart"/>
      <w:r w:rsidRPr="005B4C5C">
        <w:t>Depren</w:t>
      </w:r>
      <w:proofErr w:type="spellEnd"/>
      <w:r w:rsidRPr="005B4C5C">
        <w:t xml:space="preserve">, S., </w:t>
      </w:r>
      <w:proofErr w:type="spellStart"/>
      <w:r w:rsidRPr="005B4C5C">
        <w:t>Ayhan</w:t>
      </w:r>
      <w:proofErr w:type="spellEnd"/>
      <w:r w:rsidRPr="005B4C5C">
        <w:t xml:space="preserve">, F., &amp; </w:t>
      </w:r>
      <w:proofErr w:type="spellStart"/>
      <w:r w:rsidRPr="005B4C5C">
        <w:t>Depren</w:t>
      </w:r>
      <w:proofErr w:type="spellEnd"/>
      <w:r w:rsidRPr="005B4C5C">
        <w:t>, Ö. (2022). Impact of renewable and fossil fuel energy consumption on environmental degradation: evidence from USA by nonlinear approaches. International Journal of Sustainable Development &amp; World Ecology, 29(8), 738-755.</w:t>
      </w:r>
    </w:p>
    <w:p w14:paraId="2DAE0002" w14:textId="77777777" w:rsidR="005B4C5C" w:rsidRPr="005B4C5C" w:rsidRDefault="005B4C5C" w:rsidP="00D8402C">
      <w:pPr>
        <w:pStyle w:val="ListParagraph"/>
        <w:numPr>
          <w:ilvl w:val="0"/>
          <w:numId w:val="20"/>
        </w:numPr>
        <w:spacing w:line="240" w:lineRule="auto"/>
        <w:jc w:val="both"/>
      </w:pPr>
      <w:r w:rsidRPr="005B4C5C">
        <w:t>Khan, A. (2001). Financial development and economic growth. Macroeconomic dynamics, 5(3), 413-433.</w:t>
      </w:r>
    </w:p>
    <w:p w14:paraId="074319D5" w14:textId="77777777" w:rsidR="005B4C5C" w:rsidRPr="005B4C5C" w:rsidRDefault="005B4C5C" w:rsidP="00D8402C">
      <w:pPr>
        <w:pStyle w:val="ListParagraph"/>
        <w:numPr>
          <w:ilvl w:val="0"/>
          <w:numId w:val="20"/>
        </w:numPr>
        <w:spacing w:line="240" w:lineRule="auto"/>
        <w:jc w:val="both"/>
      </w:pPr>
      <w:r w:rsidRPr="005B4C5C">
        <w:t>Khan, M. I., Yasmeen, T., Shakoor, A., Khan, N. B., &amp; Muhammad, R. (2017). 2014 oil plunge: Causes and impacts on renewable energy. Renewable and Sustainable Energy Reviews, 68, 609-622.</w:t>
      </w:r>
    </w:p>
    <w:p w14:paraId="3442B056" w14:textId="77777777" w:rsidR="005B4C5C" w:rsidRPr="005B4C5C" w:rsidRDefault="005B4C5C" w:rsidP="00D8402C">
      <w:pPr>
        <w:pStyle w:val="ListParagraph"/>
        <w:numPr>
          <w:ilvl w:val="0"/>
          <w:numId w:val="20"/>
        </w:numPr>
        <w:spacing w:line="240" w:lineRule="auto"/>
        <w:jc w:val="both"/>
      </w:pPr>
      <w:r w:rsidRPr="005B4C5C">
        <w:t>Khan, M., Khan, H., Khan, S., &amp; Nawaz, M. (2020). Epidemiological and clinical characteristics of coronavirus disease (COVID-19) cases at a screening clinic during the early outbreak period: a single-</w:t>
      </w:r>
      <w:proofErr w:type="spellStart"/>
      <w:r w:rsidRPr="005B4C5C">
        <w:t>centre</w:t>
      </w:r>
      <w:proofErr w:type="spellEnd"/>
      <w:r w:rsidRPr="005B4C5C">
        <w:t xml:space="preserve"> study. Journal of medical microbiology, 69(8), 1114-1123.</w:t>
      </w:r>
    </w:p>
    <w:p w14:paraId="7D73904E" w14:textId="77777777" w:rsidR="005B4C5C" w:rsidRPr="005B4C5C" w:rsidRDefault="005B4C5C" w:rsidP="00D8402C">
      <w:pPr>
        <w:pStyle w:val="ListParagraph"/>
        <w:numPr>
          <w:ilvl w:val="0"/>
          <w:numId w:val="20"/>
        </w:numPr>
        <w:spacing w:line="240" w:lineRule="auto"/>
        <w:jc w:val="both"/>
      </w:pPr>
      <w:r w:rsidRPr="005B4C5C">
        <w:t xml:space="preserve">Kim, J., Park, J., Hu, H., </w:t>
      </w:r>
      <w:proofErr w:type="spellStart"/>
      <w:r w:rsidRPr="005B4C5C">
        <w:t>Crippa</w:t>
      </w:r>
      <w:proofErr w:type="spellEnd"/>
      <w:r w:rsidRPr="005B4C5C">
        <w:t xml:space="preserve">, M., </w:t>
      </w:r>
      <w:proofErr w:type="spellStart"/>
      <w:r w:rsidRPr="005B4C5C">
        <w:t>Guizzardi</w:t>
      </w:r>
      <w:proofErr w:type="spellEnd"/>
      <w:r w:rsidRPr="005B4C5C">
        <w:t xml:space="preserve">, D., </w:t>
      </w:r>
      <w:proofErr w:type="spellStart"/>
      <w:r w:rsidRPr="005B4C5C">
        <w:t>Chatani</w:t>
      </w:r>
      <w:proofErr w:type="spellEnd"/>
      <w:r w:rsidRPr="005B4C5C">
        <w:t>, S., ... &amp; Woo, J. H. (2023). Long-term historical trends in air pollutant emissions in South Korea (2000–2018). Asian Journal of Atmospheric Environment, 17(1), 12.</w:t>
      </w:r>
    </w:p>
    <w:p w14:paraId="557401F6" w14:textId="01529D44" w:rsidR="005B4C5C" w:rsidRPr="005B4C5C" w:rsidRDefault="005B4C5C" w:rsidP="00D8402C">
      <w:pPr>
        <w:pStyle w:val="ListParagraph"/>
        <w:numPr>
          <w:ilvl w:val="0"/>
          <w:numId w:val="20"/>
        </w:numPr>
        <w:spacing w:line="240" w:lineRule="auto"/>
        <w:jc w:val="both"/>
      </w:pPr>
      <w:proofErr w:type="spellStart"/>
      <w:r w:rsidRPr="005B4C5C">
        <w:t>Kivyiro</w:t>
      </w:r>
      <w:proofErr w:type="spellEnd"/>
      <w:r w:rsidRPr="005B4C5C">
        <w:t xml:space="preserve">, P., &amp; </w:t>
      </w:r>
      <w:proofErr w:type="spellStart"/>
      <w:r w:rsidRPr="005B4C5C">
        <w:t>Arminen</w:t>
      </w:r>
      <w:proofErr w:type="spellEnd"/>
      <w:r w:rsidRPr="005B4C5C">
        <w:t xml:space="preserve">, H. (2014). </w:t>
      </w:r>
      <w:r w:rsidR="004B55C3">
        <w:t>Environmental sustainability</w:t>
      </w:r>
      <w:r w:rsidRPr="005B4C5C">
        <w:t>, energy consumption, economic growth, and foreign direct investment: Causality analysis for Sub-Saharan Africa. Energy, 74, 595-606.</w:t>
      </w:r>
    </w:p>
    <w:p w14:paraId="5E7C1D7F" w14:textId="77777777" w:rsidR="005B4C5C" w:rsidRPr="005B4C5C" w:rsidRDefault="005B4C5C" w:rsidP="00D8402C">
      <w:pPr>
        <w:pStyle w:val="ListParagraph"/>
        <w:numPr>
          <w:ilvl w:val="0"/>
          <w:numId w:val="20"/>
        </w:numPr>
        <w:spacing w:line="240" w:lineRule="auto"/>
        <w:jc w:val="both"/>
      </w:pPr>
      <w:r w:rsidRPr="005B4C5C">
        <w:lastRenderedPageBreak/>
        <w:t xml:space="preserve">Kolstad, C. D., &amp; </w:t>
      </w:r>
      <w:proofErr w:type="spellStart"/>
      <w:r w:rsidRPr="005B4C5C">
        <w:t>Krautkraemer</w:t>
      </w:r>
      <w:proofErr w:type="spellEnd"/>
      <w:r w:rsidRPr="005B4C5C">
        <w:t>, J. A. (1993). Natural resource use and the environment. In Handbook of natural resource and energy economics (Vol. 3, pp. 1219-1265). Elsevier.</w:t>
      </w:r>
    </w:p>
    <w:p w14:paraId="5A8476E3" w14:textId="77777777" w:rsidR="005B4C5C" w:rsidRPr="005B4C5C" w:rsidRDefault="005B4C5C" w:rsidP="00D8402C">
      <w:pPr>
        <w:pStyle w:val="ListParagraph"/>
        <w:numPr>
          <w:ilvl w:val="0"/>
          <w:numId w:val="20"/>
        </w:numPr>
        <w:spacing w:line="240" w:lineRule="auto"/>
        <w:jc w:val="both"/>
      </w:pPr>
      <w:r w:rsidRPr="005B4C5C">
        <w:t>Kraft, J., &amp; Kraft, A. (1978). On the relationship between energy and GNP. The Journal of Energy and Development, 401-403.</w:t>
      </w:r>
    </w:p>
    <w:p w14:paraId="26D1D5EE" w14:textId="77777777" w:rsidR="005B4C5C" w:rsidRPr="005B4C5C" w:rsidRDefault="005B4C5C" w:rsidP="00D8402C">
      <w:pPr>
        <w:pStyle w:val="ListParagraph"/>
        <w:numPr>
          <w:ilvl w:val="0"/>
          <w:numId w:val="20"/>
        </w:numPr>
        <w:spacing w:line="240" w:lineRule="auto"/>
        <w:jc w:val="both"/>
      </w:pPr>
      <w:r w:rsidRPr="005B4C5C">
        <w:t>Kuznets, S. (1955). International differences in capital formation and financing. In Capital formation and economic growth (pp. 19-111). Princeton University Press.</w:t>
      </w:r>
    </w:p>
    <w:p w14:paraId="5B08E1C7" w14:textId="042DC1F0" w:rsidR="005B4C5C" w:rsidRPr="005B4C5C" w:rsidRDefault="005B4C5C" w:rsidP="00D8402C">
      <w:pPr>
        <w:pStyle w:val="ListParagraph"/>
        <w:numPr>
          <w:ilvl w:val="0"/>
          <w:numId w:val="20"/>
        </w:numPr>
        <w:spacing w:line="240" w:lineRule="auto"/>
        <w:jc w:val="both"/>
      </w:pPr>
      <w:proofErr w:type="spellStart"/>
      <w:r w:rsidRPr="005B4C5C">
        <w:t>Kwakwa</w:t>
      </w:r>
      <w:proofErr w:type="spellEnd"/>
      <w:r w:rsidRPr="005B4C5C">
        <w:t xml:space="preserve">, P. A. (2023). Climate change mitigation role of renewable energy consumption: does institutional quality matter in the case of reducing Africa's </w:t>
      </w:r>
      <w:r w:rsidR="004B55C3">
        <w:t xml:space="preserve">environmental </w:t>
      </w:r>
      <w:proofErr w:type="gramStart"/>
      <w:r w:rsidR="004B55C3">
        <w:t>sustainability</w:t>
      </w:r>
      <w:r w:rsidRPr="005B4C5C">
        <w:t>?.</w:t>
      </w:r>
      <w:proofErr w:type="gramEnd"/>
      <w:r w:rsidRPr="005B4C5C">
        <w:t> Journal of Environmental Management, 342, 118234.</w:t>
      </w:r>
    </w:p>
    <w:p w14:paraId="7ECA72B8" w14:textId="77777777" w:rsidR="005B4C5C" w:rsidRPr="005B4C5C" w:rsidRDefault="005B4C5C" w:rsidP="00D8402C">
      <w:pPr>
        <w:pStyle w:val="ListParagraph"/>
        <w:numPr>
          <w:ilvl w:val="0"/>
          <w:numId w:val="20"/>
        </w:numPr>
        <w:spacing w:line="240" w:lineRule="auto"/>
        <w:jc w:val="both"/>
      </w:pPr>
      <w:r w:rsidRPr="005B4C5C">
        <w:t xml:space="preserve">M. O. </w:t>
      </w:r>
      <w:proofErr w:type="spellStart"/>
      <w:r w:rsidRPr="005B4C5C">
        <w:t>Oyegbile</w:t>
      </w:r>
      <w:proofErr w:type="spellEnd"/>
      <w:r w:rsidRPr="005B4C5C">
        <w:t xml:space="preserve">, C. </w:t>
      </w:r>
      <w:proofErr w:type="spellStart"/>
      <w:r w:rsidRPr="005B4C5C">
        <w:t>Emeke</w:t>
      </w:r>
      <w:proofErr w:type="spellEnd"/>
      <w:r w:rsidRPr="005B4C5C">
        <w:t xml:space="preserve">, M. C. </w:t>
      </w:r>
      <w:proofErr w:type="spellStart"/>
      <w:r w:rsidRPr="005B4C5C">
        <w:t>Eze</w:t>
      </w:r>
      <w:proofErr w:type="spellEnd"/>
      <w:r w:rsidRPr="005B4C5C">
        <w:t xml:space="preserve"> (2024). Assessing the Economic Impacts of Renewable Energy in Sub-Saharan Africa: A GDP-Centric Approach.  SPE Nigeria Annual International Conference and Exhibition. </w:t>
      </w:r>
      <w:hyperlink r:id="rId9" w:tgtFrame="_blank" w:history="1">
        <w:r w:rsidRPr="005B4C5C">
          <w:t>https://www.semanticscholar.org/paper/5610f6775a38a03f4d5e87779a53e2673627e51c</w:t>
        </w:r>
      </w:hyperlink>
    </w:p>
    <w:p w14:paraId="379FFE78" w14:textId="77777777" w:rsidR="005B4C5C" w:rsidRPr="005B4C5C" w:rsidRDefault="005B4C5C" w:rsidP="00D8402C">
      <w:pPr>
        <w:pStyle w:val="ListParagraph"/>
        <w:numPr>
          <w:ilvl w:val="0"/>
          <w:numId w:val="20"/>
        </w:numPr>
        <w:spacing w:line="240" w:lineRule="auto"/>
        <w:jc w:val="both"/>
      </w:pPr>
      <w:proofErr w:type="spellStart"/>
      <w:r w:rsidRPr="005B4C5C">
        <w:t>Masele</w:t>
      </w:r>
      <w:proofErr w:type="spellEnd"/>
      <w:r w:rsidRPr="005B4C5C">
        <w:t xml:space="preserve">, J. J., &amp; </w:t>
      </w:r>
      <w:proofErr w:type="spellStart"/>
      <w:r w:rsidRPr="005B4C5C">
        <w:t>Mwita</w:t>
      </w:r>
      <w:proofErr w:type="spellEnd"/>
      <w:r w:rsidRPr="005B4C5C">
        <w:t>, D. (2024). Online television subscription in Tanzania: Examination of the influence of information quality, video quality and technology ease of use. ORSEA Journal, 13(2), 67–85.</w:t>
      </w:r>
    </w:p>
    <w:p w14:paraId="0FF224BA" w14:textId="77777777" w:rsidR="005B4C5C" w:rsidRPr="005B4C5C" w:rsidRDefault="005B4C5C" w:rsidP="00D8402C">
      <w:pPr>
        <w:pStyle w:val="ListParagraph"/>
        <w:numPr>
          <w:ilvl w:val="0"/>
          <w:numId w:val="20"/>
        </w:numPr>
        <w:spacing w:line="240" w:lineRule="auto"/>
        <w:jc w:val="both"/>
      </w:pPr>
      <w:proofErr w:type="spellStart"/>
      <w:r w:rsidRPr="005B4C5C">
        <w:t>Menyah</w:t>
      </w:r>
      <w:proofErr w:type="spellEnd"/>
      <w:r w:rsidRPr="005B4C5C">
        <w:t xml:space="preserve">, K., &amp; </w:t>
      </w:r>
      <w:proofErr w:type="spellStart"/>
      <w:r w:rsidRPr="005B4C5C">
        <w:t>Wolde-Rufael</w:t>
      </w:r>
      <w:proofErr w:type="spellEnd"/>
      <w:r w:rsidRPr="005B4C5C">
        <w:t>, Y. (2010). CO2 emissions, nuclear energy, renewable energy and economic growth in the US. Energy policy, 38(6), 2911-2915.</w:t>
      </w:r>
    </w:p>
    <w:p w14:paraId="5777B2F5" w14:textId="77777777" w:rsidR="005B4C5C" w:rsidRPr="005B4C5C" w:rsidRDefault="005B4C5C" w:rsidP="00D8402C">
      <w:pPr>
        <w:pStyle w:val="ListParagraph"/>
        <w:numPr>
          <w:ilvl w:val="0"/>
          <w:numId w:val="20"/>
        </w:numPr>
        <w:spacing w:line="240" w:lineRule="auto"/>
        <w:jc w:val="both"/>
      </w:pPr>
      <w:proofErr w:type="spellStart"/>
      <w:r w:rsidRPr="005B4C5C">
        <w:t>Meo</w:t>
      </w:r>
      <w:proofErr w:type="spellEnd"/>
      <w:r w:rsidRPr="005B4C5C">
        <w:t>, M. S., &amp; Abd Karim, M. Z. (2022). The role of green finance in reducing CO2 emissions: An empirical analysis. </w:t>
      </w:r>
      <w:proofErr w:type="spellStart"/>
      <w:r w:rsidRPr="005B4C5C">
        <w:t>Borsa</w:t>
      </w:r>
      <w:proofErr w:type="spellEnd"/>
      <w:r w:rsidRPr="005B4C5C">
        <w:t xml:space="preserve"> Istanbul Review, 22(1), 169-178.</w:t>
      </w:r>
    </w:p>
    <w:p w14:paraId="26195478" w14:textId="77777777" w:rsidR="005B4C5C" w:rsidRPr="005B4C5C" w:rsidRDefault="005B4C5C" w:rsidP="00D8402C">
      <w:pPr>
        <w:pStyle w:val="ListParagraph"/>
        <w:numPr>
          <w:ilvl w:val="0"/>
          <w:numId w:val="20"/>
        </w:numPr>
        <w:spacing w:line="240" w:lineRule="auto"/>
        <w:jc w:val="both"/>
      </w:pPr>
      <w:proofErr w:type="spellStart"/>
      <w:r w:rsidRPr="005B4C5C">
        <w:t>Mkwizu</w:t>
      </w:r>
      <w:proofErr w:type="spellEnd"/>
      <w:r w:rsidRPr="005B4C5C">
        <w:t xml:space="preserve">, K. H., &amp; </w:t>
      </w:r>
      <w:proofErr w:type="spellStart"/>
      <w:r w:rsidRPr="005B4C5C">
        <w:t>Matama</w:t>
      </w:r>
      <w:proofErr w:type="spellEnd"/>
      <w:r w:rsidRPr="005B4C5C">
        <w:t xml:space="preserve">, R. (2019). Milk society and </w:t>
      </w:r>
      <w:proofErr w:type="spellStart"/>
      <w:r w:rsidRPr="005B4C5C">
        <w:t>industrialisation</w:t>
      </w:r>
      <w:proofErr w:type="spellEnd"/>
      <w:r w:rsidRPr="005B4C5C">
        <w:t xml:space="preserve"> in East Africa. ORSEA Journal, 9, 32–46.</w:t>
      </w:r>
    </w:p>
    <w:p w14:paraId="34CA55EA" w14:textId="77777777" w:rsidR="005B4C5C" w:rsidRPr="005B4C5C" w:rsidRDefault="005B4C5C" w:rsidP="00D8402C">
      <w:pPr>
        <w:pStyle w:val="ListParagraph"/>
        <w:numPr>
          <w:ilvl w:val="0"/>
          <w:numId w:val="20"/>
        </w:numPr>
        <w:spacing w:line="240" w:lineRule="auto"/>
        <w:jc w:val="both"/>
      </w:pPr>
      <w:proofErr w:type="spellStart"/>
      <w:r w:rsidRPr="005B4C5C">
        <w:t>Moyo</w:t>
      </w:r>
      <w:proofErr w:type="spellEnd"/>
      <w:r w:rsidRPr="005B4C5C">
        <w:t>, S., O'Keefe, P., &amp; Sill, M. (2014). The southern African environment: Profiles of the SADC countries. Routledge.</w:t>
      </w:r>
    </w:p>
    <w:p w14:paraId="514EAF13" w14:textId="77777777" w:rsidR="005B4C5C" w:rsidRPr="005B4C5C" w:rsidRDefault="005B4C5C" w:rsidP="00D8402C">
      <w:pPr>
        <w:pStyle w:val="ListParagraph"/>
        <w:numPr>
          <w:ilvl w:val="0"/>
          <w:numId w:val="20"/>
        </w:numPr>
        <w:spacing w:line="240" w:lineRule="auto"/>
        <w:jc w:val="both"/>
      </w:pPr>
      <w:proofErr w:type="spellStart"/>
      <w:r w:rsidRPr="005B4C5C">
        <w:t>Namahoro</w:t>
      </w:r>
      <w:proofErr w:type="spellEnd"/>
      <w:r w:rsidRPr="005B4C5C">
        <w:t>, J. P., Wu, Q., Xiao, H., &amp; Zhou, N. (2021). The asymmetric nexus of renewable energy consumption and economic growth: New evidence from Rwanda. Renewable Energy, 174, 336-346.</w:t>
      </w:r>
    </w:p>
    <w:p w14:paraId="529F472A" w14:textId="77777777" w:rsidR="005B4C5C" w:rsidRPr="005B4C5C" w:rsidRDefault="005B4C5C" w:rsidP="00D8402C">
      <w:pPr>
        <w:pStyle w:val="ListParagraph"/>
        <w:numPr>
          <w:ilvl w:val="0"/>
          <w:numId w:val="20"/>
        </w:numPr>
        <w:spacing w:line="240" w:lineRule="auto"/>
        <w:jc w:val="both"/>
      </w:pPr>
      <w:r w:rsidRPr="005B4C5C">
        <w:t>Narayan, P. K., &amp; Smyth, R. (2005). Electricity consumption, employment and real income in Australia evidence from multivariate Granger causality tests. Energy policy, 33(9), 1109-1116.</w:t>
      </w:r>
    </w:p>
    <w:p w14:paraId="4379F93D" w14:textId="77777777" w:rsidR="005B4C5C" w:rsidRPr="005B4C5C" w:rsidRDefault="005B4C5C" w:rsidP="00D8402C">
      <w:pPr>
        <w:pStyle w:val="ListParagraph"/>
        <w:numPr>
          <w:ilvl w:val="0"/>
          <w:numId w:val="20"/>
        </w:numPr>
        <w:spacing w:line="240" w:lineRule="auto"/>
        <w:jc w:val="both"/>
      </w:pPr>
      <w:proofErr w:type="spellStart"/>
      <w:r w:rsidRPr="005B4C5C">
        <w:t>Nyeko</w:t>
      </w:r>
      <w:proofErr w:type="spellEnd"/>
      <w:r w:rsidRPr="005B4C5C">
        <w:t xml:space="preserve">, S. J., </w:t>
      </w:r>
      <w:proofErr w:type="spellStart"/>
      <w:r w:rsidRPr="005B4C5C">
        <w:t>Mlay</w:t>
      </w:r>
      <w:proofErr w:type="spellEnd"/>
      <w:r w:rsidRPr="005B4C5C">
        <w:t xml:space="preserve">, S., </w:t>
      </w:r>
      <w:proofErr w:type="spellStart"/>
      <w:r w:rsidRPr="005B4C5C">
        <w:t>Amerit</w:t>
      </w:r>
      <w:proofErr w:type="spellEnd"/>
      <w:r w:rsidRPr="005B4C5C">
        <w:t xml:space="preserve">, B., &amp; </w:t>
      </w:r>
      <w:proofErr w:type="spellStart"/>
      <w:r w:rsidRPr="005B4C5C">
        <w:t>Nyero</w:t>
      </w:r>
      <w:proofErr w:type="spellEnd"/>
      <w:r w:rsidRPr="005B4C5C">
        <w:t xml:space="preserve">, A. I. (2021). Drivers and inhibitors of sustainable electronic waste collection and disposal </w:t>
      </w:r>
      <w:proofErr w:type="spellStart"/>
      <w:r w:rsidRPr="005B4C5C">
        <w:t>behavioural</w:t>
      </w:r>
      <w:proofErr w:type="spellEnd"/>
      <w:r w:rsidRPr="005B4C5C">
        <w:t xml:space="preserve"> intentions in a developing country. ORSEA Journal, 11(2), 1–19.</w:t>
      </w:r>
    </w:p>
    <w:p w14:paraId="395B70FA" w14:textId="77777777" w:rsidR="005B4C5C" w:rsidRPr="005B4C5C" w:rsidRDefault="005B4C5C" w:rsidP="00D8402C">
      <w:pPr>
        <w:pStyle w:val="ListParagraph"/>
        <w:numPr>
          <w:ilvl w:val="0"/>
          <w:numId w:val="20"/>
        </w:numPr>
        <w:spacing w:line="240" w:lineRule="auto"/>
        <w:jc w:val="both"/>
      </w:pPr>
      <w:proofErr w:type="spellStart"/>
      <w:r w:rsidRPr="005B4C5C">
        <w:t>Obedgiu</w:t>
      </w:r>
      <w:proofErr w:type="spellEnd"/>
      <w:r w:rsidRPr="005B4C5C">
        <w:t xml:space="preserve">, V., </w:t>
      </w:r>
      <w:proofErr w:type="spellStart"/>
      <w:r w:rsidRPr="005B4C5C">
        <w:t>Lagat</w:t>
      </w:r>
      <w:proofErr w:type="spellEnd"/>
      <w:r w:rsidRPr="005B4C5C">
        <w:t>, C., &amp; Sang, J. (2022). Talent management and employee performance: The moderating effect of transformational leadership. ORSEA Journal, 12(1), 16–38.</w:t>
      </w:r>
    </w:p>
    <w:p w14:paraId="0409FC2B" w14:textId="77777777" w:rsidR="005B4C5C" w:rsidRPr="005B4C5C" w:rsidRDefault="005B4C5C" w:rsidP="00D8402C">
      <w:pPr>
        <w:pStyle w:val="ListParagraph"/>
        <w:numPr>
          <w:ilvl w:val="0"/>
          <w:numId w:val="20"/>
        </w:numPr>
        <w:spacing w:line="240" w:lineRule="auto"/>
        <w:jc w:val="both"/>
      </w:pPr>
      <w:proofErr w:type="spellStart"/>
      <w:r w:rsidRPr="005B4C5C">
        <w:t>Omoke</w:t>
      </w:r>
      <w:proofErr w:type="spellEnd"/>
      <w:r w:rsidRPr="005B4C5C">
        <w:t xml:space="preserve">, P. C., </w:t>
      </w:r>
      <w:proofErr w:type="spellStart"/>
      <w:r w:rsidRPr="005B4C5C">
        <w:t>Nwani</w:t>
      </w:r>
      <w:proofErr w:type="spellEnd"/>
      <w:r w:rsidRPr="005B4C5C">
        <w:t xml:space="preserve">, C., Effiong, E. L., </w:t>
      </w:r>
      <w:proofErr w:type="spellStart"/>
      <w:r w:rsidRPr="005B4C5C">
        <w:t>Evbuomwan</w:t>
      </w:r>
      <w:proofErr w:type="spellEnd"/>
      <w:r w:rsidRPr="005B4C5C">
        <w:t xml:space="preserve">, O. O., &amp; </w:t>
      </w:r>
      <w:proofErr w:type="spellStart"/>
      <w:r w:rsidRPr="005B4C5C">
        <w:t>Emenekwe</w:t>
      </w:r>
      <w:proofErr w:type="spellEnd"/>
      <w:r w:rsidRPr="005B4C5C">
        <w:t>, C. C. (2020). The impact of financial development on carbon, non-carbon, and total ecological footprint in Nigeria: new evidence from asymmetric dynamic analysis. Environmental science and pollution research, 27(17), 21628-21646.</w:t>
      </w:r>
    </w:p>
    <w:p w14:paraId="0E1BACD4" w14:textId="77777777" w:rsidR="005B4C5C" w:rsidRPr="005B4C5C" w:rsidRDefault="005B4C5C" w:rsidP="00D8402C">
      <w:pPr>
        <w:pStyle w:val="ListParagraph"/>
        <w:numPr>
          <w:ilvl w:val="0"/>
          <w:numId w:val="20"/>
        </w:numPr>
        <w:spacing w:line="240" w:lineRule="auto"/>
        <w:jc w:val="both"/>
      </w:pPr>
      <w:r w:rsidRPr="005B4C5C">
        <w:t>Pal, D., &amp; Mitra, S. K. (2017). The environmental Kuznets curve for carbon dioxide in India and China: Growth and pollution at crossroad. Journal of Policy Modeling, 39(2), 371-385.</w:t>
      </w:r>
    </w:p>
    <w:p w14:paraId="56C20520" w14:textId="77777777" w:rsidR="005B4C5C" w:rsidRPr="005B4C5C" w:rsidRDefault="005B4C5C" w:rsidP="00D8402C">
      <w:pPr>
        <w:pStyle w:val="ListParagraph"/>
        <w:numPr>
          <w:ilvl w:val="0"/>
          <w:numId w:val="20"/>
        </w:numPr>
        <w:spacing w:line="240" w:lineRule="auto"/>
        <w:jc w:val="both"/>
      </w:pPr>
      <w:proofErr w:type="spellStart"/>
      <w:r w:rsidRPr="005B4C5C">
        <w:lastRenderedPageBreak/>
        <w:t>Pata</w:t>
      </w:r>
      <w:proofErr w:type="spellEnd"/>
      <w:r w:rsidRPr="005B4C5C">
        <w:t>, U. K. (2018). Renewable energy consumption, urbanization, financial development, income and CO2 emissions in Turkey: testing EKC hypothesis with structural breaks. Journal of cleaner production, 187, 770-779.</w:t>
      </w:r>
    </w:p>
    <w:p w14:paraId="6C4B7ABC" w14:textId="77777777" w:rsidR="005B4C5C" w:rsidRPr="005B4C5C" w:rsidRDefault="005B4C5C" w:rsidP="00D8402C">
      <w:pPr>
        <w:pStyle w:val="ListParagraph"/>
        <w:numPr>
          <w:ilvl w:val="0"/>
          <w:numId w:val="20"/>
        </w:numPr>
        <w:spacing w:line="240" w:lineRule="auto"/>
        <w:jc w:val="both"/>
      </w:pPr>
      <w:proofErr w:type="spellStart"/>
      <w:r w:rsidRPr="005B4C5C">
        <w:t>Pata</w:t>
      </w:r>
      <w:proofErr w:type="spellEnd"/>
      <w:r w:rsidRPr="005B4C5C">
        <w:t>, U. K. (2021). Renewable and non-renewable energy consumption, economic complexity, CO 2 emissions, and ecological footprint in the USA: testing the EKC hypothesis with a structural break. Environmental science and pollution research, 28, 846-861.</w:t>
      </w:r>
    </w:p>
    <w:p w14:paraId="26B05D88" w14:textId="77777777" w:rsidR="005B4C5C" w:rsidRPr="005B4C5C" w:rsidRDefault="005B4C5C" w:rsidP="00D8402C">
      <w:pPr>
        <w:pStyle w:val="ListParagraph"/>
        <w:numPr>
          <w:ilvl w:val="0"/>
          <w:numId w:val="20"/>
        </w:numPr>
        <w:spacing w:line="240" w:lineRule="auto"/>
        <w:jc w:val="both"/>
      </w:pPr>
      <w:proofErr w:type="spellStart"/>
      <w:r w:rsidRPr="005B4C5C">
        <w:t>Pattayat</w:t>
      </w:r>
      <w:proofErr w:type="spellEnd"/>
      <w:r w:rsidRPr="005B4C5C">
        <w:t>, S. S. (2016). Examining the determinants of FDI inflows in India. Theoretical &amp; Applied Economics, 23(2).</w:t>
      </w:r>
    </w:p>
    <w:p w14:paraId="5700FF26" w14:textId="77777777" w:rsidR="005B4C5C" w:rsidRPr="005B4C5C" w:rsidRDefault="005B4C5C" w:rsidP="00D8402C">
      <w:pPr>
        <w:pStyle w:val="ListParagraph"/>
        <w:numPr>
          <w:ilvl w:val="0"/>
          <w:numId w:val="20"/>
        </w:numPr>
        <w:spacing w:line="240" w:lineRule="auto"/>
        <w:jc w:val="both"/>
      </w:pPr>
      <w:proofErr w:type="spellStart"/>
      <w:r w:rsidRPr="005B4C5C">
        <w:t>Pizzorni</w:t>
      </w:r>
      <w:proofErr w:type="spellEnd"/>
      <w:r w:rsidRPr="005B4C5C">
        <w:t xml:space="preserve">, M., </w:t>
      </w:r>
      <w:proofErr w:type="spellStart"/>
      <w:r w:rsidRPr="005B4C5C">
        <w:t>Innocenti</w:t>
      </w:r>
      <w:proofErr w:type="spellEnd"/>
      <w:r w:rsidRPr="005B4C5C">
        <w:t xml:space="preserve">, A., &amp; </w:t>
      </w:r>
      <w:proofErr w:type="spellStart"/>
      <w:r w:rsidRPr="005B4C5C">
        <w:t>Tollin</w:t>
      </w:r>
      <w:proofErr w:type="spellEnd"/>
      <w:r w:rsidRPr="005B4C5C">
        <w:t>, N. (2024). Droughts and floods in a changing climate and implications for multi-hazard urban planning: A review. City and Environment Interactions, 100169.</w:t>
      </w:r>
    </w:p>
    <w:p w14:paraId="5C493F5A" w14:textId="77777777" w:rsidR="005B4C5C" w:rsidRPr="005B4C5C" w:rsidRDefault="005B4C5C" w:rsidP="00D8402C">
      <w:pPr>
        <w:pStyle w:val="ListParagraph"/>
        <w:numPr>
          <w:ilvl w:val="0"/>
          <w:numId w:val="20"/>
        </w:numPr>
        <w:spacing w:line="240" w:lineRule="auto"/>
        <w:jc w:val="both"/>
      </w:pPr>
      <w:r w:rsidRPr="005B4C5C">
        <w:t xml:space="preserve">Qayyum, M., Ali, M., </w:t>
      </w:r>
      <w:proofErr w:type="spellStart"/>
      <w:r w:rsidRPr="005B4C5C">
        <w:t>Nizamani</w:t>
      </w:r>
      <w:proofErr w:type="spellEnd"/>
      <w:r w:rsidRPr="005B4C5C">
        <w:t xml:space="preserve">, M. M., Li, S., Yu, Y., &amp; </w:t>
      </w:r>
      <w:proofErr w:type="spellStart"/>
      <w:r w:rsidRPr="005B4C5C">
        <w:t>Jahanger</w:t>
      </w:r>
      <w:proofErr w:type="spellEnd"/>
      <w:r w:rsidRPr="005B4C5C">
        <w:t>, A. (2021). Nexus between financial development, renewable energy consumption, technological innovations and CO2 emissions: the case of India. Energies, 14(15), 4505.</w:t>
      </w:r>
    </w:p>
    <w:p w14:paraId="011044C7" w14:textId="77777777" w:rsidR="005B4C5C" w:rsidRPr="005B4C5C" w:rsidRDefault="005B4C5C" w:rsidP="00D8402C">
      <w:pPr>
        <w:pStyle w:val="ListParagraph"/>
        <w:numPr>
          <w:ilvl w:val="0"/>
          <w:numId w:val="20"/>
        </w:numPr>
        <w:spacing w:line="240" w:lineRule="auto"/>
        <w:jc w:val="both"/>
      </w:pPr>
      <w:r w:rsidRPr="005B4C5C">
        <w:t xml:space="preserve">Rahman, M. M., &amp; </w:t>
      </w:r>
      <w:proofErr w:type="spellStart"/>
      <w:r w:rsidRPr="005B4C5C">
        <w:t>Velayutham</w:t>
      </w:r>
      <w:proofErr w:type="spellEnd"/>
      <w:r w:rsidRPr="005B4C5C">
        <w:t>, E. (2020). Renewable and non-renewable energy consumption-economic growth nexus: new evidence from South Asia. Renewable Energy, 147, 399-408.</w:t>
      </w:r>
    </w:p>
    <w:p w14:paraId="682B3B0A" w14:textId="77777777" w:rsidR="005B4C5C" w:rsidRPr="005B4C5C" w:rsidRDefault="005B4C5C" w:rsidP="00D8402C">
      <w:pPr>
        <w:pStyle w:val="ListParagraph"/>
        <w:numPr>
          <w:ilvl w:val="0"/>
          <w:numId w:val="20"/>
        </w:numPr>
        <w:spacing w:line="240" w:lineRule="auto"/>
        <w:jc w:val="both"/>
      </w:pPr>
      <w:r w:rsidRPr="005B4C5C">
        <w:t xml:space="preserve">Rahman, M. M., Sultana, N., &amp; </w:t>
      </w:r>
      <w:proofErr w:type="spellStart"/>
      <w:r w:rsidRPr="005B4C5C">
        <w:t>Velayutham</w:t>
      </w:r>
      <w:proofErr w:type="spellEnd"/>
      <w:r w:rsidRPr="005B4C5C">
        <w:t>, E. (2022). Renewable energy, energy intensity and carbon reduction: Experience of large emerging economies. Renewable Energy, 184, 252-265.</w:t>
      </w:r>
    </w:p>
    <w:p w14:paraId="5D84EA0A" w14:textId="77777777" w:rsidR="005B4C5C" w:rsidRPr="005B4C5C" w:rsidRDefault="005B4C5C" w:rsidP="00D8402C">
      <w:pPr>
        <w:pStyle w:val="ListParagraph"/>
        <w:numPr>
          <w:ilvl w:val="0"/>
          <w:numId w:val="20"/>
        </w:numPr>
        <w:spacing w:line="240" w:lineRule="auto"/>
        <w:jc w:val="both"/>
      </w:pPr>
      <w:r w:rsidRPr="005B4C5C">
        <w:t>Ramirez-</w:t>
      </w:r>
      <w:proofErr w:type="spellStart"/>
      <w:r w:rsidRPr="005B4C5C">
        <w:t>Corredores</w:t>
      </w:r>
      <w:proofErr w:type="spellEnd"/>
      <w:r w:rsidRPr="005B4C5C">
        <w:t xml:space="preserve">, M. M., Goldwasser, M. R., &amp; </w:t>
      </w:r>
      <w:proofErr w:type="spellStart"/>
      <w:r w:rsidRPr="005B4C5C">
        <w:t>Falabella</w:t>
      </w:r>
      <w:proofErr w:type="spellEnd"/>
      <w:r w:rsidRPr="005B4C5C">
        <w:t xml:space="preserve"> de Sousa Aguiar, E. (2023). Carbon dioxide and climate change. In Decarbonization as a Route Towards Sustainable Circularity (pp. 1-14). Cham: Springer International Publishing.</w:t>
      </w:r>
    </w:p>
    <w:p w14:paraId="4F136D28" w14:textId="047D49CE" w:rsidR="005B4C5C" w:rsidRPr="005B4C5C" w:rsidRDefault="005B4C5C" w:rsidP="00D8402C">
      <w:pPr>
        <w:pStyle w:val="ListParagraph"/>
        <w:numPr>
          <w:ilvl w:val="0"/>
          <w:numId w:val="20"/>
        </w:numPr>
        <w:spacing w:line="240" w:lineRule="auto"/>
        <w:jc w:val="both"/>
      </w:pPr>
      <w:r w:rsidRPr="005B4C5C">
        <w:t xml:space="preserve">Ren, Y. S., Ma, C. Q., </w:t>
      </w:r>
      <w:proofErr w:type="spellStart"/>
      <w:r w:rsidRPr="005B4C5C">
        <w:t>Apergis</w:t>
      </w:r>
      <w:proofErr w:type="spellEnd"/>
      <w:r w:rsidRPr="005B4C5C">
        <w:t xml:space="preserve">, N., &amp; Sharp, B. (2021). Responses of </w:t>
      </w:r>
      <w:r w:rsidR="004B55C3">
        <w:t>environmental sustainability</w:t>
      </w:r>
      <w:r w:rsidRPr="005B4C5C">
        <w:t xml:space="preserve"> to corruption across Chinese provinces. Energy Economics, 98, 105241.</w:t>
      </w:r>
    </w:p>
    <w:p w14:paraId="374F641C" w14:textId="77777777" w:rsidR="005B4C5C" w:rsidRPr="005B4C5C" w:rsidRDefault="005B4C5C" w:rsidP="00D8402C">
      <w:pPr>
        <w:pStyle w:val="ListParagraph"/>
        <w:numPr>
          <w:ilvl w:val="0"/>
          <w:numId w:val="20"/>
        </w:numPr>
        <w:spacing w:line="240" w:lineRule="auto"/>
        <w:jc w:val="both"/>
      </w:pPr>
      <w:r w:rsidRPr="005B4C5C">
        <w:t>Ricci, F. (2007). Channels of transmission of environmental policy to economic growth: A survey of the theory. Ecological Economics, 60(4), 688-699.</w:t>
      </w:r>
    </w:p>
    <w:p w14:paraId="7BC05212" w14:textId="77777777" w:rsidR="005B4C5C" w:rsidRPr="005B4C5C" w:rsidRDefault="005B4C5C" w:rsidP="00D8402C">
      <w:pPr>
        <w:pStyle w:val="ListParagraph"/>
        <w:numPr>
          <w:ilvl w:val="0"/>
          <w:numId w:val="20"/>
        </w:numPr>
        <w:spacing w:line="240" w:lineRule="auto"/>
        <w:jc w:val="both"/>
      </w:pPr>
      <w:proofErr w:type="spellStart"/>
      <w:r w:rsidRPr="005B4C5C">
        <w:t>Roodman</w:t>
      </w:r>
      <w:proofErr w:type="spellEnd"/>
      <w:r w:rsidRPr="005B4C5C">
        <w:t xml:space="preserve">, D. (2009). How to do xtabond2: An introduction to difference and system GMM in Stata. The </w:t>
      </w:r>
      <w:proofErr w:type="spellStart"/>
      <w:r w:rsidRPr="005B4C5C">
        <w:t>stata</w:t>
      </w:r>
      <w:proofErr w:type="spellEnd"/>
      <w:r w:rsidRPr="005B4C5C">
        <w:t xml:space="preserve"> journal, 9(1), 86-136.</w:t>
      </w:r>
    </w:p>
    <w:p w14:paraId="1C197CD2" w14:textId="77777777" w:rsidR="005B4C5C" w:rsidRPr="005B4C5C" w:rsidRDefault="005B4C5C" w:rsidP="00D8402C">
      <w:pPr>
        <w:pStyle w:val="ListParagraph"/>
        <w:numPr>
          <w:ilvl w:val="0"/>
          <w:numId w:val="20"/>
        </w:numPr>
        <w:spacing w:line="240" w:lineRule="auto"/>
        <w:jc w:val="both"/>
      </w:pPr>
      <w:proofErr w:type="spellStart"/>
      <w:r w:rsidRPr="005B4C5C">
        <w:t>Sackeyfio</w:t>
      </w:r>
      <w:proofErr w:type="spellEnd"/>
      <w:r w:rsidRPr="005B4C5C">
        <w:t xml:space="preserve">, N., </w:t>
      </w:r>
      <w:proofErr w:type="spellStart"/>
      <w:r w:rsidRPr="005B4C5C">
        <w:t>Sackeyfio</w:t>
      </w:r>
      <w:proofErr w:type="spellEnd"/>
      <w:r w:rsidRPr="005B4C5C">
        <w:t xml:space="preserve">, &amp; </w:t>
      </w:r>
      <w:proofErr w:type="spellStart"/>
      <w:r w:rsidRPr="005B4C5C">
        <w:t>Pusca</w:t>
      </w:r>
      <w:proofErr w:type="spellEnd"/>
      <w:r w:rsidRPr="005B4C5C">
        <w:t>. (2018). Energy Politics and Rural Development in Sub-Saharan Africa. Springer Verlag.</w:t>
      </w:r>
    </w:p>
    <w:p w14:paraId="18D63692" w14:textId="77777777" w:rsidR="005B4C5C" w:rsidRPr="005B4C5C" w:rsidRDefault="005B4C5C" w:rsidP="00D8402C">
      <w:pPr>
        <w:pStyle w:val="ListParagraph"/>
        <w:numPr>
          <w:ilvl w:val="0"/>
          <w:numId w:val="20"/>
        </w:numPr>
        <w:spacing w:line="240" w:lineRule="auto"/>
        <w:jc w:val="both"/>
      </w:pPr>
      <w:proofErr w:type="spellStart"/>
      <w:r w:rsidRPr="005B4C5C">
        <w:t>Sadorsky</w:t>
      </w:r>
      <w:proofErr w:type="spellEnd"/>
      <w:r w:rsidRPr="005B4C5C">
        <w:t>, P. (2012). Energy consumption, output and trade in South America. Energy Economics, 34(2), 476-488.</w:t>
      </w:r>
    </w:p>
    <w:p w14:paraId="6CF82DF1" w14:textId="77777777" w:rsidR="005B4C5C" w:rsidRPr="005B4C5C" w:rsidRDefault="005B4C5C" w:rsidP="00D8402C">
      <w:pPr>
        <w:pStyle w:val="ListParagraph"/>
        <w:numPr>
          <w:ilvl w:val="0"/>
          <w:numId w:val="20"/>
        </w:numPr>
        <w:spacing w:line="240" w:lineRule="auto"/>
        <w:jc w:val="both"/>
      </w:pPr>
      <w:r w:rsidRPr="005B4C5C">
        <w:t>Sarkodie, S. A., &amp; Adams, S. (2018). Renewable energy, nuclear energy, and environmental pollution: accounting for political institutional quality in South Africa. Science of the total environment, 643, 1590-1601.</w:t>
      </w:r>
    </w:p>
    <w:p w14:paraId="08076B85" w14:textId="77777777" w:rsidR="005B4C5C" w:rsidRPr="005B4C5C" w:rsidRDefault="005B4C5C" w:rsidP="00D8402C">
      <w:pPr>
        <w:pStyle w:val="ListParagraph"/>
        <w:numPr>
          <w:ilvl w:val="0"/>
          <w:numId w:val="20"/>
        </w:numPr>
        <w:spacing w:line="240" w:lineRule="auto"/>
        <w:jc w:val="both"/>
      </w:pPr>
      <w:r w:rsidRPr="005B4C5C">
        <w:t>Saud, S., Chen, S., &amp; Haseeb, A. (2020). The role of financial development and globalization in the environment: accounting ecological footprint indicators for selected one-belt-one-road initiative countries. Journal of Cleaner Production, 250, 119518.</w:t>
      </w:r>
    </w:p>
    <w:p w14:paraId="1FB46F43" w14:textId="77777777" w:rsidR="005B4C5C" w:rsidRPr="005B4C5C" w:rsidRDefault="005B4C5C" w:rsidP="00D8402C">
      <w:pPr>
        <w:pStyle w:val="ListParagraph"/>
        <w:numPr>
          <w:ilvl w:val="0"/>
          <w:numId w:val="20"/>
        </w:numPr>
        <w:spacing w:line="240" w:lineRule="auto"/>
        <w:jc w:val="both"/>
      </w:pPr>
      <w:r w:rsidRPr="005B4C5C">
        <w:t>Saud, S., Danish, &amp; Chen, S. (2018). An empirical analysis of financial development and energy demand: establishing the role of globalization. Environmental Science and Pollution Research, 25, 24326-24337.</w:t>
      </w:r>
    </w:p>
    <w:p w14:paraId="681D1BAE" w14:textId="77777777" w:rsidR="005B4C5C" w:rsidRPr="005B4C5C" w:rsidRDefault="005B4C5C" w:rsidP="00D8402C">
      <w:pPr>
        <w:pStyle w:val="ListParagraph"/>
        <w:numPr>
          <w:ilvl w:val="0"/>
          <w:numId w:val="20"/>
        </w:numPr>
        <w:spacing w:line="240" w:lineRule="auto"/>
        <w:jc w:val="both"/>
      </w:pPr>
      <w:proofErr w:type="spellStart"/>
      <w:r w:rsidRPr="005B4C5C">
        <w:lastRenderedPageBreak/>
        <w:t>Sebri</w:t>
      </w:r>
      <w:proofErr w:type="spellEnd"/>
      <w:r w:rsidRPr="005B4C5C">
        <w:t>, M., &amp; Ben-</w:t>
      </w:r>
      <w:proofErr w:type="spellStart"/>
      <w:r w:rsidRPr="005B4C5C">
        <w:t>Salha</w:t>
      </w:r>
      <w:proofErr w:type="spellEnd"/>
      <w:r w:rsidRPr="005B4C5C">
        <w:t>, O. (2014). On the causal dynamics between economic growth, renewable energy consumption, CO2 emissions and trade openness: Fresh evidence from BRICS countries. Renewable and Sustainable Energy Reviews, 39, 14-23.</w:t>
      </w:r>
    </w:p>
    <w:p w14:paraId="3FBBC0D9" w14:textId="77777777" w:rsidR="005B4C5C" w:rsidRPr="005B4C5C" w:rsidRDefault="005B4C5C" w:rsidP="00D8402C">
      <w:pPr>
        <w:pStyle w:val="ListParagraph"/>
        <w:numPr>
          <w:ilvl w:val="0"/>
          <w:numId w:val="20"/>
        </w:numPr>
        <w:spacing w:line="240" w:lineRule="auto"/>
        <w:jc w:val="both"/>
      </w:pPr>
      <w:proofErr w:type="spellStart"/>
      <w:r w:rsidRPr="005B4C5C">
        <w:t>Seker</w:t>
      </w:r>
      <w:proofErr w:type="spellEnd"/>
      <w:r w:rsidRPr="005B4C5C">
        <w:t xml:space="preserve">, F., </w:t>
      </w:r>
      <w:proofErr w:type="spellStart"/>
      <w:r w:rsidRPr="005B4C5C">
        <w:t>Ertugrul</w:t>
      </w:r>
      <w:proofErr w:type="spellEnd"/>
      <w:r w:rsidRPr="005B4C5C">
        <w:t xml:space="preserve">, H. M., &amp; Cetin, M. (2015). The impact of foreign direct investment on environmental quality: a </w:t>
      </w:r>
      <w:proofErr w:type="gramStart"/>
      <w:r w:rsidRPr="005B4C5C">
        <w:t>bounds</w:t>
      </w:r>
      <w:proofErr w:type="gramEnd"/>
      <w:r w:rsidRPr="005B4C5C">
        <w:t xml:space="preserve"> testing and causality analysis for Turkey. Renewable and Sustainable Energy Reviews, 52, 347-356.</w:t>
      </w:r>
    </w:p>
    <w:p w14:paraId="20E2081F" w14:textId="77777777" w:rsidR="005B4C5C" w:rsidRPr="005B4C5C" w:rsidRDefault="005B4C5C" w:rsidP="00D8402C">
      <w:pPr>
        <w:pStyle w:val="ListParagraph"/>
        <w:numPr>
          <w:ilvl w:val="0"/>
          <w:numId w:val="20"/>
        </w:numPr>
        <w:spacing w:line="240" w:lineRule="auto"/>
        <w:jc w:val="both"/>
      </w:pPr>
      <w:r w:rsidRPr="005B4C5C">
        <w:t xml:space="preserve">Shahbaz, M., </w:t>
      </w:r>
      <w:proofErr w:type="spellStart"/>
      <w:r w:rsidRPr="005B4C5C">
        <w:t>Hye</w:t>
      </w:r>
      <w:proofErr w:type="spellEnd"/>
      <w:r w:rsidRPr="005B4C5C">
        <w:t xml:space="preserve">, Q. M. A., Tiwari, A. K., &amp; </w:t>
      </w:r>
      <w:proofErr w:type="spellStart"/>
      <w:r w:rsidRPr="005B4C5C">
        <w:t>Leitão</w:t>
      </w:r>
      <w:proofErr w:type="spellEnd"/>
      <w:r w:rsidRPr="005B4C5C">
        <w:t>, N. C. (2017). Economic growth, energy consumption, financial development, international trade, and CO2 emissions in Indonesia. Renewable and Sustainable Energy Reviews, 25, 109-121</w:t>
      </w:r>
    </w:p>
    <w:p w14:paraId="1A5E4516" w14:textId="77777777" w:rsidR="005B4C5C" w:rsidRPr="005B4C5C" w:rsidRDefault="005B4C5C" w:rsidP="00D8402C">
      <w:pPr>
        <w:pStyle w:val="ListParagraph"/>
        <w:numPr>
          <w:ilvl w:val="0"/>
          <w:numId w:val="20"/>
        </w:numPr>
        <w:spacing w:line="240" w:lineRule="auto"/>
        <w:jc w:val="both"/>
      </w:pPr>
      <w:r w:rsidRPr="005B4C5C">
        <w:t>Shahbaz, M., Khan, S., &amp; Tahir, M. I. (2013). The dynamic links between energy consumption, economic growth, financial development and trade in China: fresh evidence from multivariate framework analysis. Energy economics, 40, 8-21.</w:t>
      </w:r>
    </w:p>
    <w:p w14:paraId="2D8D1CD5" w14:textId="77777777" w:rsidR="005B4C5C" w:rsidRPr="005B4C5C" w:rsidRDefault="005B4C5C" w:rsidP="00D8402C">
      <w:pPr>
        <w:pStyle w:val="ListParagraph"/>
        <w:numPr>
          <w:ilvl w:val="0"/>
          <w:numId w:val="20"/>
        </w:numPr>
        <w:spacing w:line="240" w:lineRule="auto"/>
        <w:jc w:val="both"/>
      </w:pPr>
      <w:r w:rsidRPr="005B4C5C">
        <w:t>Shahbaz, M., Lean, H. H., &amp; Shabbir, M. S. (2012). Environmental Kuznets curve hypothesis in Pakistan: cointegration and Granger causality. Renewable and Sustainable Energy Reviews, 16(5), 2947-2953.</w:t>
      </w:r>
    </w:p>
    <w:p w14:paraId="1997E7EE" w14:textId="77777777" w:rsidR="005B4C5C" w:rsidRPr="005B4C5C" w:rsidRDefault="005B4C5C" w:rsidP="00D8402C">
      <w:pPr>
        <w:pStyle w:val="ListParagraph"/>
        <w:numPr>
          <w:ilvl w:val="0"/>
          <w:numId w:val="20"/>
        </w:numPr>
        <w:spacing w:line="240" w:lineRule="auto"/>
        <w:jc w:val="both"/>
      </w:pPr>
      <w:r w:rsidRPr="005B4C5C">
        <w:t xml:space="preserve">Shahbaz, M., Zakaria, M., Shahzad, S. J. H., &amp; </w:t>
      </w:r>
      <w:proofErr w:type="spellStart"/>
      <w:r w:rsidRPr="005B4C5C">
        <w:t>Mahalik</w:t>
      </w:r>
      <w:proofErr w:type="spellEnd"/>
      <w:r w:rsidRPr="005B4C5C">
        <w:t>, M. K. (2018). The energy consumption and economic growth nexus in top ten energy-consuming countries: Fresh evidence from using the quantile-on-quantile approach. Energy Economics, 71, 282-301.</w:t>
      </w:r>
    </w:p>
    <w:p w14:paraId="73A9530D" w14:textId="77777777" w:rsidR="005B4C5C" w:rsidRPr="005B4C5C" w:rsidRDefault="005B4C5C" w:rsidP="00D8402C">
      <w:pPr>
        <w:pStyle w:val="ListParagraph"/>
        <w:numPr>
          <w:ilvl w:val="0"/>
          <w:numId w:val="20"/>
        </w:numPr>
        <w:spacing w:line="240" w:lineRule="auto"/>
        <w:jc w:val="both"/>
      </w:pPr>
      <w:r w:rsidRPr="005B4C5C">
        <w:t>Solow, R. M. (1956). A contribution to the theory of economic growth. The quarterly journal of economics, 70(1), 65-94.</w:t>
      </w:r>
    </w:p>
    <w:p w14:paraId="41E3FF67" w14:textId="77777777" w:rsidR="005B4C5C" w:rsidRPr="005B4C5C" w:rsidRDefault="005B4C5C" w:rsidP="00D8402C">
      <w:pPr>
        <w:pStyle w:val="ListParagraph"/>
        <w:numPr>
          <w:ilvl w:val="0"/>
          <w:numId w:val="20"/>
        </w:numPr>
        <w:spacing w:line="240" w:lineRule="auto"/>
        <w:jc w:val="both"/>
      </w:pPr>
      <w:proofErr w:type="spellStart"/>
      <w:r w:rsidRPr="005B4C5C">
        <w:t>Stepanov</w:t>
      </w:r>
      <w:proofErr w:type="spellEnd"/>
      <w:r w:rsidRPr="005B4C5C">
        <w:t xml:space="preserve">, I., Makarov, I., Makarova, E., &amp; </w:t>
      </w:r>
      <w:proofErr w:type="spellStart"/>
      <w:r w:rsidRPr="005B4C5C">
        <w:t>Smolovik</w:t>
      </w:r>
      <w:proofErr w:type="spellEnd"/>
      <w:r w:rsidRPr="005B4C5C">
        <w:t>, E. (2023). Climate change and challenges to sustainable development in the Russian Arctic. Climatic Change, 176(4), 39.</w:t>
      </w:r>
    </w:p>
    <w:p w14:paraId="62C9D8A0" w14:textId="77777777" w:rsidR="005B4C5C" w:rsidRPr="005B4C5C" w:rsidRDefault="005B4C5C" w:rsidP="00D8402C">
      <w:pPr>
        <w:pStyle w:val="ListParagraph"/>
        <w:numPr>
          <w:ilvl w:val="0"/>
          <w:numId w:val="20"/>
        </w:numPr>
        <w:spacing w:line="240" w:lineRule="auto"/>
        <w:jc w:val="both"/>
      </w:pPr>
      <w:proofErr w:type="spellStart"/>
      <w:r w:rsidRPr="005B4C5C">
        <w:t>Sulemana</w:t>
      </w:r>
      <w:proofErr w:type="spellEnd"/>
      <w:r w:rsidRPr="005B4C5C">
        <w:t xml:space="preserve">, I., James, H. S., &amp; </w:t>
      </w:r>
      <w:proofErr w:type="spellStart"/>
      <w:r w:rsidRPr="005B4C5C">
        <w:t>Rikoon</w:t>
      </w:r>
      <w:proofErr w:type="spellEnd"/>
      <w:r w:rsidRPr="005B4C5C">
        <w:t>, J. S. (2017). Environmental Kuznets Curves for air pollution in African and developed countries: exploring turning point incomes and the role of democracy. Journal of Environmental Economics and Policy, 6(2), 134-152.</w:t>
      </w:r>
    </w:p>
    <w:p w14:paraId="74885387" w14:textId="77777777" w:rsidR="005B4C5C" w:rsidRPr="005B4C5C" w:rsidRDefault="005B4C5C" w:rsidP="00D8402C">
      <w:pPr>
        <w:pStyle w:val="ListParagraph"/>
        <w:numPr>
          <w:ilvl w:val="0"/>
          <w:numId w:val="20"/>
        </w:numPr>
        <w:spacing w:line="240" w:lineRule="auto"/>
        <w:jc w:val="both"/>
      </w:pPr>
      <w:proofErr w:type="spellStart"/>
      <w:r w:rsidRPr="005B4C5C">
        <w:t>Svirydzenka</w:t>
      </w:r>
      <w:proofErr w:type="spellEnd"/>
      <w:r w:rsidRPr="005B4C5C">
        <w:t>, K. (2016). Introducing a new broad-based index of financial development. International Monetary Fund.</w:t>
      </w:r>
    </w:p>
    <w:p w14:paraId="2CF96758" w14:textId="44232ECD" w:rsidR="005B4C5C" w:rsidRPr="005B4C5C" w:rsidRDefault="005B4C5C" w:rsidP="00D8402C">
      <w:pPr>
        <w:pStyle w:val="ListParagraph"/>
        <w:numPr>
          <w:ilvl w:val="0"/>
          <w:numId w:val="20"/>
        </w:numPr>
        <w:spacing w:line="240" w:lineRule="auto"/>
        <w:jc w:val="both"/>
      </w:pPr>
      <w:r w:rsidRPr="005B4C5C">
        <w:t xml:space="preserve">Tang, C. F., &amp; Tan, B. W. (2015). The impact of energy consumption, income and foreign direct investment on </w:t>
      </w:r>
      <w:r w:rsidR="004B55C3">
        <w:t>environmental sustainability</w:t>
      </w:r>
      <w:r w:rsidRPr="005B4C5C">
        <w:t xml:space="preserve"> in Vietnam. Energy, 79, 447-454.</w:t>
      </w:r>
    </w:p>
    <w:p w14:paraId="76FE53D6" w14:textId="77777777" w:rsidR="005B4C5C" w:rsidRPr="005B4C5C" w:rsidRDefault="005B4C5C" w:rsidP="00D8402C">
      <w:pPr>
        <w:pStyle w:val="ListParagraph"/>
        <w:numPr>
          <w:ilvl w:val="0"/>
          <w:numId w:val="20"/>
        </w:numPr>
        <w:spacing w:line="240" w:lineRule="auto"/>
        <w:jc w:val="both"/>
      </w:pPr>
      <w:r w:rsidRPr="005B4C5C">
        <w:t>Toda, H. Y., &amp; Yamamoto, T. (1995). Statistical inference in vector autoregressions with possibly integrated processes. Journal of econometrics, 66(1-2), 225-250.</w:t>
      </w:r>
    </w:p>
    <w:p w14:paraId="15E333C7" w14:textId="77777777" w:rsidR="005B4C5C" w:rsidRPr="005B4C5C" w:rsidRDefault="005B4C5C" w:rsidP="00D8402C">
      <w:pPr>
        <w:pStyle w:val="ListParagraph"/>
        <w:numPr>
          <w:ilvl w:val="0"/>
          <w:numId w:val="20"/>
        </w:numPr>
        <w:spacing w:line="240" w:lineRule="auto"/>
        <w:jc w:val="both"/>
      </w:pPr>
      <w:r w:rsidRPr="005B4C5C">
        <w:t xml:space="preserve">Usman, M., </w:t>
      </w:r>
      <w:proofErr w:type="spellStart"/>
      <w:r w:rsidRPr="005B4C5C">
        <w:t>Balsalobre-Lorente</w:t>
      </w:r>
      <w:proofErr w:type="spellEnd"/>
      <w:r w:rsidRPr="005B4C5C">
        <w:t xml:space="preserve">, D., </w:t>
      </w:r>
      <w:proofErr w:type="spellStart"/>
      <w:r w:rsidRPr="005B4C5C">
        <w:t>Jahanger</w:t>
      </w:r>
      <w:proofErr w:type="spellEnd"/>
      <w:r w:rsidRPr="005B4C5C">
        <w:t xml:space="preserve">, A., &amp; Ahmad, P. (2022). Pollution concern during globalization mode in financially resource-rich countries: do financial development, natural resources, and renewable energy consumption </w:t>
      </w:r>
      <w:proofErr w:type="gramStart"/>
      <w:r w:rsidRPr="005B4C5C">
        <w:t>matter?.</w:t>
      </w:r>
      <w:proofErr w:type="gramEnd"/>
      <w:r w:rsidRPr="005B4C5C">
        <w:t> Renewable energy, 183, 90-102.</w:t>
      </w:r>
    </w:p>
    <w:p w14:paraId="484616A9" w14:textId="77777777" w:rsidR="005B4C5C" w:rsidRPr="005B4C5C" w:rsidRDefault="005B4C5C" w:rsidP="00D8402C">
      <w:pPr>
        <w:pStyle w:val="ListParagraph"/>
        <w:numPr>
          <w:ilvl w:val="0"/>
          <w:numId w:val="20"/>
        </w:numPr>
        <w:spacing w:line="240" w:lineRule="auto"/>
        <w:jc w:val="both"/>
      </w:pPr>
      <w:proofErr w:type="spellStart"/>
      <w:r w:rsidRPr="005B4C5C">
        <w:t>Uzar</w:t>
      </w:r>
      <w:proofErr w:type="spellEnd"/>
      <w:r w:rsidRPr="005B4C5C">
        <w:t xml:space="preserve">, U. (2020). Is income inequality a driver for renewable energy </w:t>
      </w:r>
      <w:proofErr w:type="gramStart"/>
      <w:r w:rsidRPr="005B4C5C">
        <w:t>consumption?.</w:t>
      </w:r>
      <w:proofErr w:type="gramEnd"/>
      <w:r w:rsidRPr="005B4C5C">
        <w:t> Journal of cleaner production, 255, 120287.</w:t>
      </w:r>
    </w:p>
    <w:p w14:paraId="43E0222B" w14:textId="77777777" w:rsidR="005B4C5C" w:rsidRPr="005B4C5C" w:rsidRDefault="005B4C5C" w:rsidP="00D8402C">
      <w:pPr>
        <w:pStyle w:val="ListParagraph"/>
        <w:numPr>
          <w:ilvl w:val="0"/>
          <w:numId w:val="20"/>
        </w:numPr>
        <w:spacing w:line="240" w:lineRule="auto"/>
        <w:jc w:val="both"/>
      </w:pPr>
      <w:r w:rsidRPr="005B4C5C">
        <w:t xml:space="preserve">Vo, D. H., Nguyen, N. T., Ho, C. M., &amp; Nguyen, T. C. (2021). Does the Kuznets curve apply for financial development and environmental degradation in the Asia-Pacific </w:t>
      </w:r>
      <w:proofErr w:type="gramStart"/>
      <w:r w:rsidRPr="005B4C5C">
        <w:t>region?.</w:t>
      </w:r>
      <w:proofErr w:type="gramEnd"/>
      <w:r w:rsidRPr="005B4C5C">
        <w:t> </w:t>
      </w:r>
      <w:proofErr w:type="spellStart"/>
      <w:r w:rsidRPr="005B4C5C">
        <w:t>Heliyon</w:t>
      </w:r>
      <w:proofErr w:type="spellEnd"/>
      <w:r w:rsidRPr="005B4C5C">
        <w:t>, 7(4).</w:t>
      </w:r>
    </w:p>
    <w:p w14:paraId="088B9E1F" w14:textId="77777777" w:rsidR="005B4C5C" w:rsidRPr="005B4C5C" w:rsidRDefault="005B4C5C" w:rsidP="00D8402C">
      <w:pPr>
        <w:pStyle w:val="ListParagraph"/>
        <w:numPr>
          <w:ilvl w:val="0"/>
          <w:numId w:val="20"/>
        </w:numPr>
        <w:spacing w:line="240" w:lineRule="auto"/>
        <w:jc w:val="both"/>
      </w:pPr>
      <w:proofErr w:type="spellStart"/>
      <w:r w:rsidRPr="005B4C5C">
        <w:t>Vujović</w:t>
      </w:r>
      <w:proofErr w:type="spellEnd"/>
      <w:r w:rsidRPr="005B4C5C">
        <w:t xml:space="preserve">, T., </w:t>
      </w:r>
      <w:proofErr w:type="spellStart"/>
      <w:r w:rsidRPr="005B4C5C">
        <w:t>Petković</w:t>
      </w:r>
      <w:proofErr w:type="spellEnd"/>
      <w:r w:rsidRPr="005B4C5C">
        <w:t xml:space="preserve">, Z., Pavlović, M., &amp; </w:t>
      </w:r>
      <w:proofErr w:type="spellStart"/>
      <w:r w:rsidRPr="005B4C5C">
        <w:t>Jović</w:t>
      </w:r>
      <w:proofErr w:type="spellEnd"/>
      <w:r w:rsidRPr="005B4C5C">
        <w:t>, S. (2018). Economic growth based in carbon dioxide emission intensity. </w:t>
      </w:r>
      <w:proofErr w:type="spellStart"/>
      <w:r w:rsidRPr="005B4C5C">
        <w:t>Physica</w:t>
      </w:r>
      <w:proofErr w:type="spellEnd"/>
      <w:r w:rsidRPr="005B4C5C">
        <w:t xml:space="preserve"> A: Statistical Mechanics and its Applications, 506, 179-185.</w:t>
      </w:r>
    </w:p>
    <w:p w14:paraId="6F3DBE36" w14:textId="77777777" w:rsidR="005B4C5C" w:rsidRPr="005B4C5C" w:rsidRDefault="005B4C5C" w:rsidP="00D8402C">
      <w:pPr>
        <w:pStyle w:val="ListParagraph"/>
        <w:numPr>
          <w:ilvl w:val="0"/>
          <w:numId w:val="20"/>
        </w:numPr>
        <w:spacing w:line="240" w:lineRule="auto"/>
        <w:jc w:val="both"/>
      </w:pPr>
      <w:proofErr w:type="spellStart"/>
      <w:r w:rsidRPr="005B4C5C">
        <w:lastRenderedPageBreak/>
        <w:t>Walugembe</w:t>
      </w:r>
      <w:proofErr w:type="spellEnd"/>
      <w:r w:rsidRPr="005B4C5C">
        <w:t xml:space="preserve">, A., Mutebi, H., </w:t>
      </w:r>
      <w:proofErr w:type="spellStart"/>
      <w:r w:rsidRPr="005B4C5C">
        <w:t>Tweyongyere</w:t>
      </w:r>
      <w:proofErr w:type="spellEnd"/>
      <w:r w:rsidRPr="005B4C5C">
        <w:t xml:space="preserve">, M., &amp; </w:t>
      </w:r>
      <w:proofErr w:type="spellStart"/>
      <w:r w:rsidRPr="005B4C5C">
        <w:t>Kusemererwa</w:t>
      </w:r>
      <w:proofErr w:type="spellEnd"/>
      <w:r w:rsidRPr="005B4C5C">
        <w:t>, C. (2023). Compliance with quality standards, firm ethical orientation, and usage of locally made products in Uganda. ORSEA Journal, 13(1), 104–124.</w:t>
      </w:r>
    </w:p>
    <w:p w14:paraId="2EB70B3D" w14:textId="77777777" w:rsidR="005B4C5C" w:rsidRPr="005B4C5C" w:rsidRDefault="005B4C5C" w:rsidP="00D8402C">
      <w:pPr>
        <w:pStyle w:val="ListParagraph"/>
        <w:numPr>
          <w:ilvl w:val="0"/>
          <w:numId w:val="20"/>
        </w:numPr>
        <w:spacing w:line="240" w:lineRule="auto"/>
        <w:jc w:val="both"/>
      </w:pPr>
      <w:r w:rsidRPr="005B4C5C">
        <w:t>Wang, J., &amp; Azam, W. (2024). Natural resource scarcity, fossil fuel energy consumption, and total greenhouse gas emissions in top emitting countries. Geoscience Frontiers, 15(2), 101757.</w:t>
      </w:r>
    </w:p>
    <w:p w14:paraId="3F36F31C" w14:textId="77777777" w:rsidR="005B4C5C" w:rsidRPr="005B4C5C" w:rsidRDefault="005B4C5C" w:rsidP="00D8402C">
      <w:pPr>
        <w:pStyle w:val="ListParagraph"/>
        <w:numPr>
          <w:ilvl w:val="0"/>
          <w:numId w:val="20"/>
        </w:numPr>
        <w:spacing w:line="240" w:lineRule="auto"/>
        <w:jc w:val="both"/>
      </w:pPr>
      <w:r w:rsidRPr="005B4C5C">
        <w:t>Wang, J., &amp; Wang, X. (2015). Benefits of foreign ownership: Evidence from foreign direct investment in China. Journal of International Economics, 97(2), 325-338.</w:t>
      </w:r>
    </w:p>
    <w:p w14:paraId="3A194BBE" w14:textId="6FFE5129" w:rsidR="005B4C5C" w:rsidRPr="005B4C5C" w:rsidRDefault="005B4C5C" w:rsidP="00D8402C">
      <w:pPr>
        <w:pStyle w:val="ListParagraph"/>
        <w:numPr>
          <w:ilvl w:val="0"/>
          <w:numId w:val="20"/>
        </w:numPr>
        <w:spacing w:line="240" w:lineRule="auto"/>
        <w:jc w:val="both"/>
      </w:pPr>
      <w:r w:rsidRPr="005B4C5C">
        <w:t xml:space="preserve">Wang, X. C., </w:t>
      </w:r>
      <w:proofErr w:type="spellStart"/>
      <w:r w:rsidRPr="005B4C5C">
        <w:t>Klemeš</w:t>
      </w:r>
      <w:proofErr w:type="spellEnd"/>
      <w:r w:rsidRPr="005B4C5C">
        <w:t xml:space="preserve">, J. J., Wang, Y., Dong, X., Wei, H., Xu, Z., &amp; </w:t>
      </w:r>
      <w:proofErr w:type="spellStart"/>
      <w:r w:rsidRPr="005B4C5C">
        <w:t>Varbanov</w:t>
      </w:r>
      <w:proofErr w:type="spellEnd"/>
      <w:r w:rsidRPr="005B4C5C">
        <w:t>, P. S. (2020). Water-Energy-</w:t>
      </w:r>
      <w:r w:rsidR="004B55C3">
        <w:t>Environmental sustainability</w:t>
      </w:r>
      <w:r w:rsidRPr="005B4C5C">
        <w:t xml:space="preserve"> nexus analysis of China: An environmental input-output model-based approach. Applied Energy, 261, 114431.</w:t>
      </w:r>
    </w:p>
    <w:p w14:paraId="777B984E" w14:textId="77777777" w:rsidR="005B4C5C" w:rsidRPr="005B4C5C" w:rsidRDefault="005B4C5C" w:rsidP="00D8402C">
      <w:pPr>
        <w:pStyle w:val="ListParagraph"/>
        <w:numPr>
          <w:ilvl w:val="0"/>
          <w:numId w:val="20"/>
        </w:numPr>
        <w:spacing w:line="240" w:lineRule="auto"/>
        <w:jc w:val="both"/>
      </w:pPr>
      <w:proofErr w:type="spellStart"/>
      <w:r w:rsidRPr="005B4C5C">
        <w:t>Weimin</w:t>
      </w:r>
      <w:proofErr w:type="spellEnd"/>
      <w:r w:rsidRPr="005B4C5C">
        <w:t xml:space="preserve">, Z., </w:t>
      </w:r>
      <w:proofErr w:type="spellStart"/>
      <w:r w:rsidRPr="005B4C5C">
        <w:t>Sibt</w:t>
      </w:r>
      <w:proofErr w:type="spellEnd"/>
      <w:r w:rsidRPr="005B4C5C">
        <w:t xml:space="preserve">-e-Ali, M., Tariq, M., </w:t>
      </w:r>
      <w:proofErr w:type="spellStart"/>
      <w:r w:rsidRPr="005B4C5C">
        <w:t>Dagar</w:t>
      </w:r>
      <w:proofErr w:type="spellEnd"/>
      <w:r w:rsidRPr="005B4C5C">
        <w:t>, V., &amp; Khan, M. K. (2022). Globalization toward environmental sustainability and electricity consumption to environmental degradation: does EKC inverted U-shaped hypothesis exist between squared economic growth and CO 2 emissions in top globalized economies. Environmental Science &amp; Pollution Research, 29(40).</w:t>
      </w:r>
    </w:p>
    <w:p w14:paraId="5B8ED1D5" w14:textId="77777777" w:rsidR="005B4C5C" w:rsidRPr="005B4C5C" w:rsidRDefault="005B4C5C" w:rsidP="00D8402C">
      <w:pPr>
        <w:pStyle w:val="ListParagraph"/>
        <w:numPr>
          <w:ilvl w:val="0"/>
          <w:numId w:val="20"/>
        </w:numPr>
        <w:spacing w:line="240" w:lineRule="auto"/>
        <w:jc w:val="both"/>
      </w:pPr>
      <w:proofErr w:type="spellStart"/>
      <w:r w:rsidRPr="005B4C5C">
        <w:t>Wolde-Rufael</w:t>
      </w:r>
      <w:proofErr w:type="spellEnd"/>
      <w:r w:rsidRPr="005B4C5C">
        <w:t>, Y. (2005). Energy demand and economic growth: The African experience. Journal of Policy Modeling, 27(8), 891-903.</w:t>
      </w:r>
    </w:p>
    <w:p w14:paraId="1114CEFE" w14:textId="77777777" w:rsidR="005B4C5C" w:rsidRPr="005B4C5C" w:rsidRDefault="005B4C5C" w:rsidP="00D8402C">
      <w:pPr>
        <w:pStyle w:val="ListParagraph"/>
        <w:numPr>
          <w:ilvl w:val="0"/>
          <w:numId w:val="20"/>
        </w:numPr>
        <w:spacing w:line="240" w:lineRule="auto"/>
        <w:jc w:val="both"/>
      </w:pPr>
      <w:r w:rsidRPr="005B4C5C">
        <w:t xml:space="preserve">World Bank. (2022). World development indicators: Renewable energy consumption. </w:t>
      </w:r>
      <w:hyperlink r:id="rId10" w:tgtFrame="_new" w:history="1">
        <w:r w:rsidRPr="005B4C5C">
          <w:t>https://data.worldbank.org/indicator</w:t>
        </w:r>
      </w:hyperlink>
    </w:p>
    <w:p w14:paraId="6655AE5A" w14:textId="77777777" w:rsidR="005B4C5C" w:rsidRPr="005B4C5C" w:rsidRDefault="005B4C5C" w:rsidP="00D8402C">
      <w:pPr>
        <w:pStyle w:val="ListParagraph"/>
        <w:numPr>
          <w:ilvl w:val="0"/>
          <w:numId w:val="20"/>
        </w:numPr>
        <w:spacing w:line="240" w:lineRule="auto"/>
        <w:jc w:val="both"/>
      </w:pPr>
      <w:r w:rsidRPr="005B4C5C">
        <w:t xml:space="preserve">World Health Organization. (2016). Ambient air pollution: A global assessment of exposure and burden of disease. </w:t>
      </w:r>
      <w:hyperlink r:id="rId11" w:tgtFrame="_new" w:history="1">
        <w:r w:rsidRPr="005B4C5C">
          <w:t>https://www.who.int/publications/i/item/9789241511353</w:t>
        </w:r>
      </w:hyperlink>
    </w:p>
    <w:p w14:paraId="000EA8DD" w14:textId="77777777" w:rsidR="005B4C5C" w:rsidRPr="005B4C5C" w:rsidRDefault="005B4C5C" w:rsidP="00D8402C">
      <w:pPr>
        <w:pStyle w:val="ListParagraph"/>
        <w:numPr>
          <w:ilvl w:val="0"/>
          <w:numId w:val="20"/>
        </w:numPr>
        <w:spacing w:line="240" w:lineRule="auto"/>
        <w:jc w:val="both"/>
      </w:pPr>
      <w:r w:rsidRPr="005B4C5C">
        <w:t xml:space="preserve">World Health Organization. (2017). Air pollution and child health: Prescribing clean air. </w:t>
      </w:r>
      <w:hyperlink r:id="rId12" w:tgtFrame="_new" w:history="1">
        <w:r w:rsidRPr="005B4C5C">
          <w:t>https://www.who.int/publications/i/item/air-pollution-and-child-health</w:t>
        </w:r>
      </w:hyperlink>
    </w:p>
    <w:p w14:paraId="4D70C48E" w14:textId="77777777" w:rsidR="005B4C5C" w:rsidRPr="005B4C5C" w:rsidRDefault="005B4C5C" w:rsidP="00D8402C">
      <w:pPr>
        <w:pStyle w:val="ListParagraph"/>
        <w:numPr>
          <w:ilvl w:val="0"/>
          <w:numId w:val="20"/>
        </w:numPr>
        <w:spacing w:line="240" w:lineRule="auto"/>
        <w:jc w:val="both"/>
      </w:pPr>
      <w:r w:rsidRPr="005B4C5C">
        <w:t xml:space="preserve">World Health Organization. (2018). COP24 special report: Health and climate change. </w:t>
      </w:r>
      <w:hyperlink r:id="rId13" w:tgtFrame="_new" w:history="1">
        <w:r w:rsidRPr="005B4C5C">
          <w:t>https://www.who.int/publications/i/item/cop24-special-report-health-climate-change</w:t>
        </w:r>
      </w:hyperlink>
    </w:p>
    <w:p w14:paraId="7A31641C" w14:textId="77777777" w:rsidR="005B4C5C" w:rsidRPr="005B4C5C" w:rsidRDefault="005B4C5C" w:rsidP="00D8402C">
      <w:pPr>
        <w:pStyle w:val="ListParagraph"/>
        <w:numPr>
          <w:ilvl w:val="0"/>
          <w:numId w:val="20"/>
        </w:numPr>
        <w:spacing w:line="240" w:lineRule="auto"/>
        <w:jc w:val="both"/>
      </w:pPr>
      <w:r w:rsidRPr="005B4C5C">
        <w:t>Yang, Y., Zhao, J., &amp; Yang, Y. S. (2024). Foreign direct investment and export expansion: political connection and innovative performance. Management Decision.</w:t>
      </w:r>
    </w:p>
    <w:p w14:paraId="53DA7C8F" w14:textId="6590B6C3" w:rsidR="005B4C5C" w:rsidRPr="005B4C5C" w:rsidRDefault="005B4C5C" w:rsidP="00D8402C">
      <w:pPr>
        <w:pStyle w:val="ListParagraph"/>
        <w:numPr>
          <w:ilvl w:val="0"/>
          <w:numId w:val="20"/>
        </w:numPr>
        <w:spacing w:line="240" w:lineRule="auto"/>
        <w:jc w:val="both"/>
      </w:pPr>
      <w:r w:rsidRPr="005B4C5C">
        <w:t xml:space="preserve">Yao, S., &amp; Zhang, S. (2021). Energy mix, financial development, and </w:t>
      </w:r>
      <w:r w:rsidR="004B55C3">
        <w:t>environmental sustainability</w:t>
      </w:r>
      <w:r w:rsidRPr="005B4C5C">
        <w:t xml:space="preserve"> in China: a directed technical change perspective. Environmental Science and Pollution Research, 28, 62959-62974.</w:t>
      </w:r>
    </w:p>
    <w:p w14:paraId="7FE9537C" w14:textId="77777777" w:rsidR="005B4C5C" w:rsidRPr="005B4C5C" w:rsidRDefault="005B4C5C" w:rsidP="00D8402C">
      <w:pPr>
        <w:pStyle w:val="ListParagraph"/>
        <w:numPr>
          <w:ilvl w:val="0"/>
          <w:numId w:val="20"/>
        </w:numPr>
        <w:spacing w:line="240" w:lineRule="auto"/>
        <w:jc w:val="both"/>
      </w:pPr>
      <w:r w:rsidRPr="005B4C5C">
        <w:t xml:space="preserve">Yeboah, K. E., </w:t>
      </w:r>
      <w:proofErr w:type="spellStart"/>
      <w:r w:rsidRPr="005B4C5C">
        <w:t>Abbass</w:t>
      </w:r>
      <w:proofErr w:type="spellEnd"/>
      <w:r w:rsidRPr="005B4C5C">
        <w:t xml:space="preserve">, K., </w:t>
      </w:r>
      <w:proofErr w:type="spellStart"/>
      <w:r w:rsidRPr="005B4C5C">
        <w:t>Jamatutu</w:t>
      </w:r>
      <w:proofErr w:type="spellEnd"/>
      <w:r w:rsidRPr="005B4C5C">
        <w:t>, S. A., Feng, B., &amp; Feng, J. (2024). Achieving sustainability: Unravelling the role of financial development and foreign direct investment in sub‐Saharan Africa. In Natural Resources Forum. Oxford, UK: Blackwell Publishing Ltd.</w:t>
      </w:r>
    </w:p>
    <w:p w14:paraId="3534BE93" w14:textId="77777777" w:rsidR="005B4C5C" w:rsidRPr="005B4C5C" w:rsidRDefault="005B4C5C" w:rsidP="00D8402C">
      <w:pPr>
        <w:pStyle w:val="ListParagraph"/>
        <w:numPr>
          <w:ilvl w:val="0"/>
          <w:numId w:val="20"/>
        </w:numPr>
        <w:spacing w:line="240" w:lineRule="auto"/>
        <w:jc w:val="both"/>
      </w:pPr>
      <w:r w:rsidRPr="005B4C5C">
        <w:t>Zhang, X., Guo, X., &amp; Zhang, X. (2023). Bidding modes for renewable energy considering electricity-carbon integrated market mechanism based on multi-agent hybrid game. Energy, 263, 125616.</w:t>
      </w:r>
    </w:p>
    <w:p w14:paraId="437FD110" w14:textId="193D5C2F" w:rsidR="005B4C5C" w:rsidRPr="005B4C5C" w:rsidRDefault="005B4C5C" w:rsidP="00D8402C">
      <w:pPr>
        <w:pStyle w:val="ListParagraph"/>
        <w:numPr>
          <w:ilvl w:val="0"/>
          <w:numId w:val="20"/>
        </w:numPr>
        <w:spacing w:line="240" w:lineRule="auto"/>
        <w:jc w:val="both"/>
      </w:pPr>
      <w:r w:rsidRPr="005B4C5C">
        <w:t xml:space="preserve">Zhang, Y. J. (2011). The impact of financial development on </w:t>
      </w:r>
      <w:r w:rsidR="004B55C3">
        <w:t>environmental sustainability</w:t>
      </w:r>
      <w:r w:rsidRPr="005B4C5C">
        <w:t>: An empirical analysis in China. Energy policy, 39(4), 2197-2203.</w:t>
      </w:r>
    </w:p>
    <w:p w14:paraId="19842D7A" w14:textId="77777777" w:rsidR="005B4C5C" w:rsidRPr="005B4C5C" w:rsidRDefault="005B4C5C" w:rsidP="00D8402C">
      <w:pPr>
        <w:pStyle w:val="ListParagraph"/>
        <w:numPr>
          <w:ilvl w:val="0"/>
          <w:numId w:val="20"/>
        </w:numPr>
        <w:spacing w:line="240" w:lineRule="auto"/>
        <w:jc w:val="both"/>
      </w:pPr>
      <w:proofErr w:type="spellStart"/>
      <w:r w:rsidRPr="005B4C5C">
        <w:t>Zioło</w:t>
      </w:r>
      <w:proofErr w:type="spellEnd"/>
      <w:r w:rsidRPr="005B4C5C">
        <w:t xml:space="preserve">, M., </w:t>
      </w:r>
      <w:proofErr w:type="spellStart"/>
      <w:r w:rsidRPr="005B4C5C">
        <w:t>Kluza</w:t>
      </w:r>
      <w:proofErr w:type="spellEnd"/>
      <w:r w:rsidRPr="005B4C5C">
        <w:t xml:space="preserve">, K., </w:t>
      </w:r>
      <w:proofErr w:type="spellStart"/>
      <w:r w:rsidRPr="005B4C5C">
        <w:t>Kozuba</w:t>
      </w:r>
      <w:proofErr w:type="spellEnd"/>
      <w:r w:rsidRPr="005B4C5C">
        <w:t xml:space="preserve">, J., Kelemen, M., </w:t>
      </w:r>
      <w:proofErr w:type="spellStart"/>
      <w:r w:rsidRPr="005B4C5C">
        <w:t>Niedzielski</w:t>
      </w:r>
      <w:proofErr w:type="spellEnd"/>
      <w:r w:rsidRPr="005B4C5C">
        <w:t xml:space="preserve">, P., &amp; </w:t>
      </w:r>
      <w:proofErr w:type="spellStart"/>
      <w:r w:rsidRPr="005B4C5C">
        <w:t>Zinczak</w:t>
      </w:r>
      <w:proofErr w:type="spellEnd"/>
      <w:r w:rsidRPr="005B4C5C">
        <w:t xml:space="preserve">, P. (2020). Patterns of interdependence between financial development, fiscal instruments, and </w:t>
      </w:r>
      <w:r w:rsidRPr="005B4C5C">
        <w:lastRenderedPageBreak/>
        <w:t>environmental degradation in developed and converging EU countries. International Journal of Environmental Research and Public Health, 17(12), 4425.</w:t>
      </w:r>
    </w:p>
    <w:p w14:paraId="53741DED" w14:textId="77777777" w:rsidR="00701F52" w:rsidRDefault="00701F52" w:rsidP="00910619">
      <w:pPr>
        <w:spacing w:line="240" w:lineRule="auto"/>
        <w:jc w:val="both"/>
        <w:rPr>
          <w:szCs w:val="24"/>
          <w:shd w:val="clear" w:color="auto" w:fill="FFFFFF"/>
        </w:rPr>
      </w:pPr>
    </w:p>
    <w:p w14:paraId="169AED62" w14:textId="77777777" w:rsidR="00525CE2" w:rsidRPr="00DD2701" w:rsidRDefault="00525CE2" w:rsidP="00DD2701">
      <w:pPr>
        <w:spacing w:line="240" w:lineRule="auto"/>
        <w:jc w:val="both"/>
        <w:rPr>
          <w:szCs w:val="24"/>
          <w:shd w:val="clear" w:color="auto" w:fill="FFFFFF"/>
        </w:rPr>
      </w:pPr>
    </w:p>
    <w:p w14:paraId="50918298" w14:textId="77777777" w:rsidR="00FB1401" w:rsidRDefault="00FB1401" w:rsidP="00FB1401">
      <w:pPr>
        <w:rPr>
          <w:rFonts w:ascii="Arial" w:hAnsi="Arial" w:cs="Arial"/>
          <w:color w:val="222222"/>
          <w:sz w:val="20"/>
          <w:szCs w:val="20"/>
          <w:shd w:val="clear" w:color="auto" w:fill="FFFFFF"/>
        </w:rPr>
      </w:pPr>
    </w:p>
    <w:p w14:paraId="794BF1AF" w14:textId="77777777" w:rsidR="00FB1401" w:rsidRPr="00F14D3D" w:rsidRDefault="00FB1401" w:rsidP="00FB1401">
      <w:pPr>
        <w:rPr>
          <w:rFonts w:cs="Times New Roman"/>
          <w:szCs w:val="24"/>
        </w:rPr>
      </w:pPr>
      <w:bookmarkStart w:id="9" w:name="_GoBack"/>
      <w:bookmarkEnd w:id="9"/>
    </w:p>
    <w:sectPr w:rsidR="00FB1401" w:rsidRPr="00F14D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C99C0" w14:textId="77777777" w:rsidR="00BB796D" w:rsidRDefault="00BB796D" w:rsidP="001C3EF6">
      <w:pPr>
        <w:spacing w:line="240" w:lineRule="auto"/>
      </w:pPr>
      <w:r>
        <w:separator/>
      </w:r>
    </w:p>
  </w:endnote>
  <w:endnote w:type="continuationSeparator" w:id="0">
    <w:p w14:paraId="5376CBAA" w14:textId="77777777" w:rsidR="00BB796D" w:rsidRDefault="00BB796D" w:rsidP="001C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6AF4" w14:textId="77777777" w:rsidR="00A57A32" w:rsidRDefault="00A5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755254"/>
      <w:docPartObj>
        <w:docPartGallery w:val="Page Numbers (Bottom of Page)"/>
        <w:docPartUnique/>
      </w:docPartObj>
    </w:sdtPr>
    <w:sdtEndPr>
      <w:rPr>
        <w:noProof/>
      </w:rPr>
    </w:sdtEndPr>
    <w:sdtContent>
      <w:p w14:paraId="713A0DC4" w14:textId="77777777" w:rsidR="001C3EF6" w:rsidRDefault="001C3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EFD21" w14:textId="77777777" w:rsidR="001C3EF6" w:rsidRDefault="001C3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EA91" w14:textId="77777777" w:rsidR="00A57A32" w:rsidRDefault="00A5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B8A5" w14:textId="77777777" w:rsidR="00BB796D" w:rsidRDefault="00BB796D" w:rsidP="001C3EF6">
      <w:pPr>
        <w:spacing w:line="240" w:lineRule="auto"/>
      </w:pPr>
      <w:r>
        <w:separator/>
      </w:r>
    </w:p>
  </w:footnote>
  <w:footnote w:type="continuationSeparator" w:id="0">
    <w:p w14:paraId="68DDA742" w14:textId="77777777" w:rsidR="00BB796D" w:rsidRDefault="00BB796D" w:rsidP="001C3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A258" w14:textId="552C5C9D" w:rsidR="00A57A32" w:rsidRDefault="00BB796D">
    <w:pPr>
      <w:pStyle w:val="Header"/>
    </w:pPr>
    <w:r>
      <w:rPr>
        <w:noProof/>
      </w:rPr>
      <w:pict w14:anchorId="5F623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753E" w14:textId="4F44DBD4" w:rsidR="00A57A32" w:rsidRDefault="00BB796D">
    <w:pPr>
      <w:pStyle w:val="Header"/>
    </w:pPr>
    <w:r>
      <w:rPr>
        <w:noProof/>
      </w:rPr>
      <w:pict w14:anchorId="6CA9F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4A41" w14:textId="00BD4A22" w:rsidR="00A57A32" w:rsidRDefault="00BB796D">
    <w:pPr>
      <w:pStyle w:val="Header"/>
    </w:pPr>
    <w:r>
      <w:rPr>
        <w:noProof/>
      </w:rPr>
      <w:pict w14:anchorId="7516A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FA0"/>
    <w:multiLevelType w:val="hybridMultilevel"/>
    <w:tmpl w:val="F19ED88C"/>
    <w:lvl w:ilvl="0" w:tplc="724A1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01299"/>
    <w:multiLevelType w:val="multilevel"/>
    <w:tmpl w:val="4770168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 w15:restartNumberingAfterBreak="0">
    <w:nsid w:val="0EEE6164"/>
    <w:multiLevelType w:val="multilevel"/>
    <w:tmpl w:val="08C84CD2"/>
    <w:lvl w:ilvl="0">
      <w:start w:val="6"/>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1C95303F"/>
    <w:multiLevelType w:val="multilevel"/>
    <w:tmpl w:val="437661E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 w15:restartNumberingAfterBreak="0">
    <w:nsid w:val="1E001BA9"/>
    <w:multiLevelType w:val="multilevel"/>
    <w:tmpl w:val="A92A60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2452CF"/>
    <w:multiLevelType w:val="multilevel"/>
    <w:tmpl w:val="1816792C"/>
    <w:lvl w:ilvl="0">
      <w:start w:val="7"/>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77B61A0"/>
    <w:multiLevelType w:val="hybridMultilevel"/>
    <w:tmpl w:val="F12E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962E2"/>
    <w:multiLevelType w:val="multilevel"/>
    <w:tmpl w:val="7DDCCC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637F2A"/>
    <w:multiLevelType w:val="multilevel"/>
    <w:tmpl w:val="9A0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D3ED5"/>
    <w:multiLevelType w:val="hybridMultilevel"/>
    <w:tmpl w:val="BF942BD2"/>
    <w:lvl w:ilvl="0" w:tplc="1A2448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781CF0"/>
    <w:multiLevelType w:val="hybridMultilevel"/>
    <w:tmpl w:val="C0AC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D6FF9"/>
    <w:multiLevelType w:val="multilevel"/>
    <w:tmpl w:val="35BE1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8E456E"/>
    <w:multiLevelType w:val="multilevel"/>
    <w:tmpl w:val="B91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349FC"/>
    <w:multiLevelType w:val="multilevel"/>
    <w:tmpl w:val="3D240D7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4" w15:restartNumberingAfterBreak="0">
    <w:nsid w:val="7F7758EF"/>
    <w:multiLevelType w:val="hybridMultilevel"/>
    <w:tmpl w:val="38742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lvlOverride w:ilvl="0">
      <w:startOverride w:val="1"/>
    </w:lvlOverride>
  </w:num>
  <w:num w:numId="6">
    <w:abstractNumId w:val="4"/>
    <w:lvlOverride w:ilvl="0"/>
    <w:lvlOverride w:ilvl="1">
      <w:startOverride w:val="1"/>
    </w:lvlOverride>
  </w:num>
  <w:num w:numId="7">
    <w:abstractNumId w:val="4"/>
    <w:lvlOverride w:ilvl="0">
      <w:startOverride w:val="2"/>
    </w:lvlOverride>
    <w:lvlOverride w:ilvl="1"/>
  </w:num>
  <w:num w:numId="8">
    <w:abstractNumId w:val="4"/>
    <w:lvlOverride w:ilvl="0"/>
    <w:lvlOverride w:ilvl="1">
      <w:startOverride w:val="1"/>
    </w:lvlOverride>
  </w:num>
  <w:num w:numId="9">
    <w:abstractNumId w:val="4"/>
    <w:lvlOverride w:ilvl="0">
      <w:startOverride w:val="3"/>
    </w:lvlOverride>
    <w:lvlOverride w:ilvl="1"/>
  </w:num>
  <w:num w:numId="10">
    <w:abstractNumId w:val="4"/>
    <w:lvlOverride w:ilvl="0"/>
    <w:lvlOverride w:ilvl="1">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7"/>
  </w:num>
  <w:num w:numId="18">
    <w:abstractNumId w:val="0"/>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D7"/>
    <w:rsid w:val="00013EFD"/>
    <w:rsid w:val="00031E79"/>
    <w:rsid w:val="0004132A"/>
    <w:rsid w:val="000431A4"/>
    <w:rsid w:val="0005098F"/>
    <w:rsid w:val="0007308C"/>
    <w:rsid w:val="000951F2"/>
    <w:rsid w:val="000979AD"/>
    <w:rsid w:val="000A4368"/>
    <w:rsid w:val="000A479B"/>
    <w:rsid w:val="000A7339"/>
    <w:rsid w:val="000B0884"/>
    <w:rsid w:val="000B781D"/>
    <w:rsid w:val="000B7CCA"/>
    <w:rsid w:val="000C3C4C"/>
    <w:rsid w:val="000D1E13"/>
    <w:rsid w:val="000D278A"/>
    <w:rsid w:val="000E0312"/>
    <w:rsid w:val="00100061"/>
    <w:rsid w:val="00116373"/>
    <w:rsid w:val="00122969"/>
    <w:rsid w:val="00122E91"/>
    <w:rsid w:val="001270A5"/>
    <w:rsid w:val="00142F12"/>
    <w:rsid w:val="00155537"/>
    <w:rsid w:val="001608E4"/>
    <w:rsid w:val="00163427"/>
    <w:rsid w:val="001641F5"/>
    <w:rsid w:val="00181530"/>
    <w:rsid w:val="001978CD"/>
    <w:rsid w:val="00197AF0"/>
    <w:rsid w:val="001A0470"/>
    <w:rsid w:val="001A7A54"/>
    <w:rsid w:val="001B1E1E"/>
    <w:rsid w:val="001B5F5B"/>
    <w:rsid w:val="001B70DD"/>
    <w:rsid w:val="001C29D4"/>
    <w:rsid w:val="001C3EF6"/>
    <w:rsid w:val="001D2E23"/>
    <w:rsid w:val="001D3F9F"/>
    <w:rsid w:val="001E03B5"/>
    <w:rsid w:val="001E7807"/>
    <w:rsid w:val="001F6291"/>
    <w:rsid w:val="00205F26"/>
    <w:rsid w:val="00221A82"/>
    <w:rsid w:val="002330C9"/>
    <w:rsid w:val="0023396D"/>
    <w:rsid w:val="00234903"/>
    <w:rsid w:val="00263023"/>
    <w:rsid w:val="00282287"/>
    <w:rsid w:val="00286B7D"/>
    <w:rsid w:val="00292EC5"/>
    <w:rsid w:val="002A03E9"/>
    <w:rsid w:val="002B6EBD"/>
    <w:rsid w:val="002C6852"/>
    <w:rsid w:val="002C7C77"/>
    <w:rsid w:val="002D6010"/>
    <w:rsid w:val="002F59A7"/>
    <w:rsid w:val="0030499F"/>
    <w:rsid w:val="00314B21"/>
    <w:rsid w:val="003200EF"/>
    <w:rsid w:val="00320CF7"/>
    <w:rsid w:val="00321D37"/>
    <w:rsid w:val="00326AE3"/>
    <w:rsid w:val="0033398F"/>
    <w:rsid w:val="00333D46"/>
    <w:rsid w:val="00336732"/>
    <w:rsid w:val="00337C8B"/>
    <w:rsid w:val="0036080D"/>
    <w:rsid w:val="0037310D"/>
    <w:rsid w:val="00392557"/>
    <w:rsid w:val="003A66F8"/>
    <w:rsid w:val="003C1C22"/>
    <w:rsid w:val="003C7806"/>
    <w:rsid w:val="003C7A69"/>
    <w:rsid w:val="003D10B9"/>
    <w:rsid w:val="0040154B"/>
    <w:rsid w:val="00412947"/>
    <w:rsid w:val="0041561A"/>
    <w:rsid w:val="004220AE"/>
    <w:rsid w:val="00442B81"/>
    <w:rsid w:val="00455B74"/>
    <w:rsid w:val="00463F92"/>
    <w:rsid w:val="004B55C3"/>
    <w:rsid w:val="004B6270"/>
    <w:rsid w:val="004C024E"/>
    <w:rsid w:val="004C3B0B"/>
    <w:rsid w:val="004D1B1C"/>
    <w:rsid w:val="004D7C92"/>
    <w:rsid w:val="004F4C90"/>
    <w:rsid w:val="004F526D"/>
    <w:rsid w:val="00501135"/>
    <w:rsid w:val="005131E9"/>
    <w:rsid w:val="00522992"/>
    <w:rsid w:val="00525CE2"/>
    <w:rsid w:val="00540AD8"/>
    <w:rsid w:val="00545691"/>
    <w:rsid w:val="00554CF7"/>
    <w:rsid w:val="005557FF"/>
    <w:rsid w:val="00557E85"/>
    <w:rsid w:val="00564818"/>
    <w:rsid w:val="005715F8"/>
    <w:rsid w:val="00572738"/>
    <w:rsid w:val="00572881"/>
    <w:rsid w:val="00573B5B"/>
    <w:rsid w:val="00575317"/>
    <w:rsid w:val="00576A1D"/>
    <w:rsid w:val="00577D6B"/>
    <w:rsid w:val="00581861"/>
    <w:rsid w:val="00582211"/>
    <w:rsid w:val="00585DFC"/>
    <w:rsid w:val="005901FB"/>
    <w:rsid w:val="00590204"/>
    <w:rsid w:val="00590322"/>
    <w:rsid w:val="00596200"/>
    <w:rsid w:val="005A12BE"/>
    <w:rsid w:val="005A4F1F"/>
    <w:rsid w:val="005A7B2F"/>
    <w:rsid w:val="005B0B99"/>
    <w:rsid w:val="005B377D"/>
    <w:rsid w:val="005B4C5C"/>
    <w:rsid w:val="005C68C0"/>
    <w:rsid w:val="005D3504"/>
    <w:rsid w:val="006019EC"/>
    <w:rsid w:val="006272AF"/>
    <w:rsid w:val="00637245"/>
    <w:rsid w:val="00645E83"/>
    <w:rsid w:val="00662ABE"/>
    <w:rsid w:val="00676D40"/>
    <w:rsid w:val="006815A4"/>
    <w:rsid w:val="006A4A13"/>
    <w:rsid w:val="006C3E84"/>
    <w:rsid w:val="006D35F6"/>
    <w:rsid w:val="006E0958"/>
    <w:rsid w:val="006E2F48"/>
    <w:rsid w:val="006F0895"/>
    <w:rsid w:val="006F1B56"/>
    <w:rsid w:val="006F4DE1"/>
    <w:rsid w:val="00701F52"/>
    <w:rsid w:val="00702C3A"/>
    <w:rsid w:val="00705B24"/>
    <w:rsid w:val="007311F0"/>
    <w:rsid w:val="00746D79"/>
    <w:rsid w:val="00760464"/>
    <w:rsid w:val="007825DB"/>
    <w:rsid w:val="007913AA"/>
    <w:rsid w:val="007A2F9B"/>
    <w:rsid w:val="007B28BD"/>
    <w:rsid w:val="007B339D"/>
    <w:rsid w:val="007D2548"/>
    <w:rsid w:val="007D5F73"/>
    <w:rsid w:val="007D6045"/>
    <w:rsid w:val="007E0566"/>
    <w:rsid w:val="00814007"/>
    <w:rsid w:val="0082713F"/>
    <w:rsid w:val="00827933"/>
    <w:rsid w:val="0083199B"/>
    <w:rsid w:val="0085792B"/>
    <w:rsid w:val="00861C50"/>
    <w:rsid w:val="00863785"/>
    <w:rsid w:val="00865F1C"/>
    <w:rsid w:val="00867901"/>
    <w:rsid w:val="00873593"/>
    <w:rsid w:val="00876EE5"/>
    <w:rsid w:val="00880AAB"/>
    <w:rsid w:val="00886C64"/>
    <w:rsid w:val="008870B9"/>
    <w:rsid w:val="008C1136"/>
    <w:rsid w:val="008C51FE"/>
    <w:rsid w:val="008C7F7B"/>
    <w:rsid w:val="008D0590"/>
    <w:rsid w:val="008D20C1"/>
    <w:rsid w:val="008D73F5"/>
    <w:rsid w:val="008E4309"/>
    <w:rsid w:val="008E79F9"/>
    <w:rsid w:val="00910619"/>
    <w:rsid w:val="0091219A"/>
    <w:rsid w:val="00922E0D"/>
    <w:rsid w:val="00932D72"/>
    <w:rsid w:val="00932DED"/>
    <w:rsid w:val="0093657D"/>
    <w:rsid w:val="00940BB3"/>
    <w:rsid w:val="009721EF"/>
    <w:rsid w:val="0098480B"/>
    <w:rsid w:val="009916D7"/>
    <w:rsid w:val="009B4B2A"/>
    <w:rsid w:val="009B5CD7"/>
    <w:rsid w:val="009F628C"/>
    <w:rsid w:val="00A20D5D"/>
    <w:rsid w:val="00A21682"/>
    <w:rsid w:val="00A226AF"/>
    <w:rsid w:val="00A256B7"/>
    <w:rsid w:val="00A37D0F"/>
    <w:rsid w:val="00A432B1"/>
    <w:rsid w:val="00A50287"/>
    <w:rsid w:val="00A561C7"/>
    <w:rsid w:val="00A5769F"/>
    <w:rsid w:val="00A57A32"/>
    <w:rsid w:val="00A726CA"/>
    <w:rsid w:val="00A756C9"/>
    <w:rsid w:val="00A7615E"/>
    <w:rsid w:val="00A819CC"/>
    <w:rsid w:val="00A81C61"/>
    <w:rsid w:val="00A95F00"/>
    <w:rsid w:val="00A964F4"/>
    <w:rsid w:val="00AA1DF4"/>
    <w:rsid w:val="00AC0641"/>
    <w:rsid w:val="00AE2233"/>
    <w:rsid w:val="00AF2FE2"/>
    <w:rsid w:val="00B0098B"/>
    <w:rsid w:val="00B03255"/>
    <w:rsid w:val="00B10C74"/>
    <w:rsid w:val="00B17A05"/>
    <w:rsid w:val="00B50801"/>
    <w:rsid w:val="00B62C3C"/>
    <w:rsid w:val="00B821AE"/>
    <w:rsid w:val="00B84F2E"/>
    <w:rsid w:val="00B95C1A"/>
    <w:rsid w:val="00BA3EB0"/>
    <w:rsid w:val="00BB1610"/>
    <w:rsid w:val="00BB796D"/>
    <w:rsid w:val="00BD3388"/>
    <w:rsid w:val="00BE777A"/>
    <w:rsid w:val="00BE798C"/>
    <w:rsid w:val="00BF2A4A"/>
    <w:rsid w:val="00C10936"/>
    <w:rsid w:val="00C11F96"/>
    <w:rsid w:val="00C20DA0"/>
    <w:rsid w:val="00C40835"/>
    <w:rsid w:val="00C440F5"/>
    <w:rsid w:val="00C53523"/>
    <w:rsid w:val="00C5691D"/>
    <w:rsid w:val="00C61184"/>
    <w:rsid w:val="00C71A5E"/>
    <w:rsid w:val="00C76F9F"/>
    <w:rsid w:val="00C7735E"/>
    <w:rsid w:val="00C92033"/>
    <w:rsid w:val="00CC48EF"/>
    <w:rsid w:val="00CD5695"/>
    <w:rsid w:val="00D10797"/>
    <w:rsid w:val="00D117ED"/>
    <w:rsid w:val="00D15167"/>
    <w:rsid w:val="00D175F1"/>
    <w:rsid w:val="00D24E09"/>
    <w:rsid w:val="00D332A2"/>
    <w:rsid w:val="00D65D7B"/>
    <w:rsid w:val="00D831AF"/>
    <w:rsid w:val="00D8402C"/>
    <w:rsid w:val="00D92C18"/>
    <w:rsid w:val="00DC224C"/>
    <w:rsid w:val="00DC5CBF"/>
    <w:rsid w:val="00DD2701"/>
    <w:rsid w:val="00DE22BC"/>
    <w:rsid w:val="00DE5B01"/>
    <w:rsid w:val="00DE794B"/>
    <w:rsid w:val="00DF57F6"/>
    <w:rsid w:val="00E065D5"/>
    <w:rsid w:val="00E15359"/>
    <w:rsid w:val="00E229D5"/>
    <w:rsid w:val="00E32A3B"/>
    <w:rsid w:val="00E351FB"/>
    <w:rsid w:val="00E5054E"/>
    <w:rsid w:val="00E560C0"/>
    <w:rsid w:val="00E6099F"/>
    <w:rsid w:val="00E858ED"/>
    <w:rsid w:val="00E86EBC"/>
    <w:rsid w:val="00E933A5"/>
    <w:rsid w:val="00EB2290"/>
    <w:rsid w:val="00EB3A06"/>
    <w:rsid w:val="00EC7AEF"/>
    <w:rsid w:val="00ED4ACC"/>
    <w:rsid w:val="00ED4EDD"/>
    <w:rsid w:val="00EF0288"/>
    <w:rsid w:val="00EF2560"/>
    <w:rsid w:val="00F00C59"/>
    <w:rsid w:val="00F0435B"/>
    <w:rsid w:val="00F14D3D"/>
    <w:rsid w:val="00F26B0C"/>
    <w:rsid w:val="00F44D5B"/>
    <w:rsid w:val="00F47C74"/>
    <w:rsid w:val="00F66FDD"/>
    <w:rsid w:val="00F93CF1"/>
    <w:rsid w:val="00FA5702"/>
    <w:rsid w:val="00FB1401"/>
    <w:rsid w:val="00FD3479"/>
    <w:rsid w:val="00FE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33297F"/>
  <w15:docId w15:val="{50FDB00D-5608-40A9-922D-2821F103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480" w:lineRule="auto"/>
    </w:pPr>
    <w:rPr>
      <w:rFonts w:ascii="Times New Roman" w:eastAsia="Times New Roman" w:hAnsi="Times New Roman"/>
      <w:sz w:val="24"/>
    </w:rPr>
  </w:style>
  <w:style w:type="paragraph" w:styleId="Heading2">
    <w:name w:val="heading 2"/>
    <w:basedOn w:val="Normal"/>
    <w:link w:val="Heading2Char"/>
    <w:uiPriority w:val="9"/>
    <w:qFormat/>
    <w:rsid w:val="004D7C92"/>
    <w:pPr>
      <w:spacing w:before="100" w:beforeAutospacing="1" w:after="100" w:afterAutospacing="1" w:line="240" w:lineRule="auto"/>
      <w:outlineLvl w:val="1"/>
    </w:pPr>
    <w:rPr>
      <w:rFonts w:cs="Times New Roman"/>
      <w:b/>
      <w:bCs/>
      <w:sz w:val="36"/>
      <w:szCs w:val="36"/>
    </w:rPr>
  </w:style>
  <w:style w:type="paragraph" w:styleId="Heading3">
    <w:name w:val="heading 3"/>
    <w:basedOn w:val="Normal"/>
    <w:link w:val="Heading3Char"/>
    <w:uiPriority w:val="9"/>
    <w:qFormat/>
    <w:rsid w:val="004D7C92"/>
    <w:pPr>
      <w:spacing w:before="100" w:beforeAutospacing="1" w:after="100" w:afterAutospacing="1" w:line="240" w:lineRule="auto"/>
      <w:outlineLvl w:val="2"/>
    </w:pPr>
    <w:rPr>
      <w:rFonts w:cs="Times New Roman"/>
      <w:b/>
      <w:bCs/>
      <w:sz w:val="27"/>
      <w:szCs w:val="27"/>
    </w:rPr>
  </w:style>
  <w:style w:type="paragraph" w:styleId="Heading4">
    <w:name w:val="heading 4"/>
    <w:basedOn w:val="Normal"/>
    <w:next w:val="Normal"/>
    <w:link w:val="Heading4Char"/>
    <w:uiPriority w:val="9"/>
    <w:semiHidden/>
    <w:unhideWhenUsed/>
    <w:qFormat/>
    <w:rsid w:val="008C7F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F1F"/>
    <w:pPr>
      <w:spacing w:before="100" w:beforeAutospacing="1" w:after="100" w:afterAutospacing="1" w:line="240" w:lineRule="auto"/>
    </w:pPr>
    <w:rPr>
      <w:rFonts w:cs="Times New Roman"/>
      <w:szCs w:val="24"/>
    </w:rPr>
  </w:style>
  <w:style w:type="paragraph" w:styleId="ListParagraph">
    <w:name w:val="List Paragraph"/>
    <w:basedOn w:val="Normal"/>
    <w:uiPriority w:val="99"/>
    <w:qFormat/>
    <w:rsid w:val="005A4F1F"/>
    <w:pPr>
      <w:spacing w:before="100" w:beforeAutospacing="1" w:line="256" w:lineRule="auto"/>
      <w:ind w:left="720"/>
      <w:contextualSpacing/>
    </w:pPr>
    <w:rPr>
      <w:rFonts w:ascii="Calibri" w:hAnsi="Calibri" w:cs="Times New Roman"/>
      <w:kern w:val="2"/>
    </w:rPr>
  </w:style>
  <w:style w:type="character" w:styleId="Hyperlink">
    <w:name w:val="Hyperlink"/>
    <w:basedOn w:val="DefaultParagraphFont"/>
    <w:uiPriority w:val="99"/>
    <w:unhideWhenUsed/>
    <w:rsid w:val="004F4C90"/>
    <w:rPr>
      <w:color w:val="0000FF"/>
      <w:u w:val="single"/>
    </w:rPr>
  </w:style>
  <w:style w:type="character" w:customStyle="1" w:styleId="anchor-text">
    <w:name w:val="anchor-text"/>
    <w:basedOn w:val="DefaultParagraphFont"/>
    <w:rsid w:val="003C7806"/>
  </w:style>
  <w:style w:type="character" w:customStyle="1" w:styleId="mjxassistivemathml">
    <w:name w:val="mjx_assistive_mathml"/>
    <w:basedOn w:val="DefaultParagraphFont"/>
    <w:rsid w:val="002C6852"/>
  </w:style>
  <w:style w:type="character" w:customStyle="1" w:styleId="sc-c876d9c9-0">
    <w:name w:val="sc-c876d9c9-0"/>
    <w:basedOn w:val="DefaultParagraphFont"/>
    <w:rsid w:val="004D7C92"/>
  </w:style>
  <w:style w:type="character" w:customStyle="1" w:styleId="Heading2Char">
    <w:name w:val="Heading 2 Char"/>
    <w:basedOn w:val="DefaultParagraphFont"/>
    <w:link w:val="Heading2"/>
    <w:uiPriority w:val="9"/>
    <w:rsid w:val="004D7C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7C92"/>
    <w:rPr>
      <w:rFonts w:ascii="Times New Roman" w:eastAsia="Times New Roman" w:hAnsi="Times New Roman" w:cs="Times New Roman"/>
      <w:b/>
      <w:bCs/>
      <w:sz w:val="27"/>
      <w:szCs w:val="27"/>
    </w:rPr>
  </w:style>
  <w:style w:type="paragraph" w:customStyle="1" w:styleId="editor-listitem">
    <w:name w:val="editor-listitem"/>
    <w:basedOn w:val="Normal"/>
    <w:rsid w:val="004D7C92"/>
    <w:pPr>
      <w:spacing w:before="100" w:beforeAutospacing="1" w:after="100" w:afterAutospacing="1" w:line="240" w:lineRule="auto"/>
    </w:pPr>
    <w:rPr>
      <w:rFonts w:cs="Times New Roman"/>
      <w:szCs w:val="24"/>
    </w:rPr>
  </w:style>
  <w:style w:type="paragraph" w:customStyle="1" w:styleId="editor-paragraph">
    <w:name w:val="editor-paragraph"/>
    <w:basedOn w:val="Normal"/>
    <w:rsid w:val="004D7C92"/>
    <w:pPr>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DC5CBF"/>
    <w:rPr>
      <w:i/>
      <w:iCs/>
    </w:rPr>
  </w:style>
  <w:style w:type="paragraph" w:styleId="Caption">
    <w:name w:val="caption"/>
    <w:basedOn w:val="Normal"/>
    <w:next w:val="Normal"/>
    <w:uiPriority w:val="99"/>
    <w:qFormat/>
    <w:rsid w:val="000A479B"/>
    <w:pPr>
      <w:spacing w:before="100" w:beforeAutospacing="1" w:after="200" w:line="240" w:lineRule="auto"/>
    </w:pPr>
    <w:rPr>
      <w:rFonts w:ascii="Calibri" w:hAnsi="Calibri" w:cs="Times New Roman"/>
      <w:i/>
      <w:iCs/>
      <w:color w:val="44546A"/>
      <w:kern w:val="2"/>
      <w:sz w:val="18"/>
      <w:szCs w:val="18"/>
    </w:rPr>
  </w:style>
  <w:style w:type="character" w:customStyle="1" w:styleId="15">
    <w:name w:val="15"/>
    <w:basedOn w:val="DefaultParagraphFont"/>
    <w:rsid w:val="000A479B"/>
    <w:rPr>
      <w:rFonts w:ascii="Calibri" w:hAnsi="Calibri" w:cs="Calibri" w:hint="default"/>
      <w:color w:val="0000FF"/>
      <w:u w:val="single"/>
    </w:rPr>
  </w:style>
  <w:style w:type="character" w:customStyle="1" w:styleId="16">
    <w:name w:val="16"/>
    <w:basedOn w:val="DefaultParagraphFont"/>
    <w:rsid w:val="000A479B"/>
    <w:rPr>
      <w:rFonts w:ascii="Calibri" w:hAnsi="Calibri" w:cs="Calibri" w:hint="default"/>
      <w:color w:val="0563C1"/>
      <w:u w:val="single"/>
    </w:rPr>
  </w:style>
  <w:style w:type="table" w:styleId="TableGrid">
    <w:name w:val="Table Grid"/>
    <w:basedOn w:val="TableNormal"/>
    <w:uiPriority w:val="99"/>
    <w:rsid w:val="000A47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499F"/>
    <w:rPr>
      <w:b/>
      <w:bCs/>
    </w:rPr>
  </w:style>
  <w:style w:type="character" w:customStyle="1" w:styleId="Heading4Char">
    <w:name w:val="Heading 4 Char"/>
    <w:basedOn w:val="DefaultParagraphFont"/>
    <w:link w:val="Heading4"/>
    <w:uiPriority w:val="9"/>
    <w:semiHidden/>
    <w:rsid w:val="008C7F7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1C3EF6"/>
    <w:pPr>
      <w:tabs>
        <w:tab w:val="center" w:pos="4680"/>
        <w:tab w:val="right" w:pos="9360"/>
      </w:tabs>
      <w:spacing w:line="240" w:lineRule="auto"/>
    </w:pPr>
  </w:style>
  <w:style w:type="character" w:customStyle="1" w:styleId="HeaderChar">
    <w:name w:val="Header Char"/>
    <w:basedOn w:val="DefaultParagraphFont"/>
    <w:link w:val="Header"/>
    <w:uiPriority w:val="99"/>
    <w:rsid w:val="001C3EF6"/>
  </w:style>
  <w:style w:type="paragraph" w:styleId="Footer">
    <w:name w:val="footer"/>
    <w:basedOn w:val="Normal"/>
    <w:link w:val="FooterChar"/>
    <w:uiPriority w:val="99"/>
    <w:unhideWhenUsed/>
    <w:rsid w:val="001C3EF6"/>
    <w:pPr>
      <w:tabs>
        <w:tab w:val="center" w:pos="4680"/>
        <w:tab w:val="right" w:pos="9360"/>
      </w:tabs>
      <w:spacing w:line="240" w:lineRule="auto"/>
    </w:pPr>
  </w:style>
  <w:style w:type="character" w:customStyle="1" w:styleId="FooterChar">
    <w:name w:val="Footer Char"/>
    <w:basedOn w:val="DefaultParagraphFont"/>
    <w:link w:val="Footer"/>
    <w:uiPriority w:val="99"/>
    <w:rsid w:val="001C3EF6"/>
  </w:style>
  <w:style w:type="paragraph" w:styleId="NoSpacing">
    <w:name w:val="No Spacing"/>
    <w:uiPriority w:val="1"/>
    <w:qFormat/>
    <w:rsid w:val="00554CF7"/>
    <w:pPr>
      <w:spacing w:after="0" w:line="240" w:lineRule="auto"/>
    </w:pPr>
    <w:rPr>
      <w:rFonts w:ascii="Calibri" w:eastAsia="Calibri" w:hAnsi="Calibri" w:cs="Times New Roman"/>
    </w:rPr>
  </w:style>
  <w:style w:type="paragraph" w:styleId="Revision">
    <w:name w:val="Revision"/>
    <w:hidden/>
    <w:uiPriority w:val="99"/>
    <w:semiHidden/>
    <w:rsid w:val="003200EF"/>
    <w:pPr>
      <w:spacing w:after="0" w:line="240" w:lineRule="auto"/>
    </w:pPr>
  </w:style>
  <w:style w:type="character" w:styleId="CommentReference">
    <w:name w:val="annotation reference"/>
    <w:basedOn w:val="DefaultParagraphFont"/>
    <w:uiPriority w:val="99"/>
    <w:semiHidden/>
    <w:unhideWhenUsed/>
    <w:rsid w:val="007825DB"/>
    <w:rPr>
      <w:sz w:val="16"/>
      <w:szCs w:val="16"/>
    </w:rPr>
  </w:style>
  <w:style w:type="paragraph" w:styleId="CommentText">
    <w:name w:val="annotation text"/>
    <w:basedOn w:val="Normal"/>
    <w:link w:val="CommentTextChar"/>
    <w:uiPriority w:val="99"/>
    <w:unhideWhenUsed/>
    <w:rsid w:val="007825DB"/>
    <w:pPr>
      <w:spacing w:line="240" w:lineRule="auto"/>
    </w:pPr>
    <w:rPr>
      <w:sz w:val="20"/>
      <w:szCs w:val="20"/>
    </w:rPr>
  </w:style>
  <w:style w:type="character" w:customStyle="1" w:styleId="CommentTextChar">
    <w:name w:val="Comment Text Char"/>
    <w:basedOn w:val="DefaultParagraphFont"/>
    <w:link w:val="CommentText"/>
    <w:uiPriority w:val="99"/>
    <w:rsid w:val="007825DB"/>
    <w:rPr>
      <w:sz w:val="20"/>
      <w:szCs w:val="20"/>
    </w:rPr>
  </w:style>
  <w:style w:type="paragraph" w:styleId="CommentSubject">
    <w:name w:val="annotation subject"/>
    <w:basedOn w:val="CommentText"/>
    <w:next w:val="CommentText"/>
    <w:link w:val="CommentSubjectChar"/>
    <w:uiPriority w:val="99"/>
    <w:semiHidden/>
    <w:unhideWhenUsed/>
    <w:rsid w:val="007825DB"/>
    <w:rPr>
      <w:b/>
      <w:bCs/>
    </w:rPr>
  </w:style>
  <w:style w:type="character" w:customStyle="1" w:styleId="CommentSubjectChar">
    <w:name w:val="Comment Subject Char"/>
    <w:basedOn w:val="CommentTextChar"/>
    <w:link w:val="CommentSubject"/>
    <w:uiPriority w:val="99"/>
    <w:semiHidden/>
    <w:rsid w:val="007825DB"/>
    <w:rPr>
      <w:b/>
      <w:bCs/>
      <w:sz w:val="20"/>
      <w:szCs w:val="20"/>
    </w:rPr>
  </w:style>
  <w:style w:type="paragraph" w:customStyle="1" w:styleId="MDPI62BackMatter">
    <w:name w:val="MDPI_6.2_BackMatter"/>
    <w:qFormat/>
    <w:rsid w:val="00A256B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UnresolvedMention">
    <w:name w:val="Unresolved Mention"/>
    <w:basedOn w:val="DefaultParagraphFont"/>
    <w:uiPriority w:val="99"/>
    <w:semiHidden/>
    <w:unhideWhenUsed/>
    <w:rsid w:val="00C6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68281">
      <w:bodyDiv w:val="1"/>
      <w:marLeft w:val="0"/>
      <w:marRight w:val="0"/>
      <w:marTop w:val="0"/>
      <w:marBottom w:val="0"/>
      <w:divBdr>
        <w:top w:val="none" w:sz="0" w:space="0" w:color="auto"/>
        <w:left w:val="none" w:sz="0" w:space="0" w:color="auto"/>
        <w:bottom w:val="none" w:sz="0" w:space="0" w:color="auto"/>
        <w:right w:val="none" w:sz="0" w:space="0" w:color="auto"/>
      </w:divBdr>
    </w:div>
    <w:div w:id="345256465">
      <w:bodyDiv w:val="1"/>
      <w:marLeft w:val="0"/>
      <w:marRight w:val="0"/>
      <w:marTop w:val="0"/>
      <w:marBottom w:val="0"/>
      <w:divBdr>
        <w:top w:val="none" w:sz="0" w:space="0" w:color="auto"/>
        <w:left w:val="none" w:sz="0" w:space="0" w:color="auto"/>
        <w:bottom w:val="none" w:sz="0" w:space="0" w:color="auto"/>
        <w:right w:val="none" w:sz="0" w:space="0" w:color="auto"/>
      </w:divBdr>
    </w:div>
    <w:div w:id="389154416">
      <w:bodyDiv w:val="1"/>
      <w:marLeft w:val="0"/>
      <w:marRight w:val="0"/>
      <w:marTop w:val="0"/>
      <w:marBottom w:val="0"/>
      <w:divBdr>
        <w:top w:val="none" w:sz="0" w:space="0" w:color="auto"/>
        <w:left w:val="none" w:sz="0" w:space="0" w:color="auto"/>
        <w:bottom w:val="none" w:sz="0" w:space="0" w:color="auto"/>
        <w:right w:val="none" w:sz="0" w:space="0" w:color="auto"/>
      </w:divBdr>
    </w:div>
    <w:div w:id="415517263">
      <w:bodyDiv w:val="1"/>
      <w:marLeft w:val="0"/>
      <w:marRight w:val="0"/>
      <w:marTop w:val="0"/>
      <w:marBottom w:val="0"/>
      <w:divBdr>
        <w:top w:val="none" w:sz="0" w:space="0" w:color="auto"/>
        <w:left w:val="none" w:sz="0" w:space="0" w:color="auto"/>
        <w:bottom w:val="none" w:sz="0" w:space="0" w:color="auto"/>
        <w:right w:val="none" w:sz="0" w:space="0" w:color="auto"/>
      </w:divBdr>
    </w:div>
    <w:div w:id="559482086">
      <w:bodyDiv w:val="1"/>
      <w:marLeft w:val="0"/>
      <w:marRight w:val="0"/>
      <w:marTop w:val="0"/>
      <w:marBottom w:val="0"/>
      <w:divBdr>
        <w:top w:val="none" w:sz="0" w:space="0" w:color="auto"/>
        <w:left w:val="none" w:sz="0" w:space="0" w:color="auto"/>
        <w:bottom w:val="none" w:sz="0" w:space="0" w:color="auto"/>
        <w:right w:val="none" w:sz="0" w:space="0" w:color="auto"/>
      </w:divBdr>
    </w:div>
    <w:div w:id="579556566">
      <w:bodyDiv w:val="1"/>
      <w:marLeft w:val="0"/>
      <w:marRight w:val="0"/>
      <w:marTop w:val="0"/>
      <w:marBottom w:val="0"/>
      <w:divBdr>
        <w:top w:val="none" w:sz="0" w:space="0" w:color="auto"/>
        <w:left w:val="none" w:sz="0" w:space="0" w:color="auto"/>
        <w:bottom w:val="none" w:sz="0" w:space="0" w:color="auto"/>
        <w:right w:val="none" w:sz="0" w:space="0" w:color="auto"/>
      </w:divBdr>
    </w:div>
    <w:div w:id="818767217">
      <w:bodyDiv w:val="1"/>
      <w:marLeft w:val="0"/>
      <w:marRight w:val="0"/>
      <w:marTop w:val="0"/>
      <w:marBottom w:val="0"/>
      <w:divBdr>
        <w:top w:val="none" w:sz="0" w:space="0" w:color="auto"/>
        <w:left w:val="none" w:sz="0" w:space="0" w:color="auto"/>
        <w:bottom w:val="none" w:sz="0" w:space="0" w:color="auto"/>
        <w:right w:val="none" w:sz="0" w:space="0" w:color="auto"/>
      </w:divBdr>
    </w:div>
    <w:div w:id="862863548">
      <w:bodyDiv w:val="1"/>
      <w:marLeft w:val="0"/>
      <w:marRight w:val="0"/>
      <w:marTop w:val="0"/>
      <w:marBottom w:val="0"/>
      <w:divBdr>
        <w:top w:val="none" w:sz="0" w:space="0" w:color="auto"/>
        <w:left w:val="none" w:sz="0" w:space="0" w:color="auto"/>
        <w:bottom w:val="none" w:sz="0" w:space="0" w:color="auto"/>
        <w:right w:val="none" w:sz="0" w:space="0" w:color="auto"/>
      </w:divBdr>
    </w:div>
    <w:div w:id="863253483">
      <w:bodyDiv w:val="1"/>
      <w:marLeft w:val="0"/>
      <w:marRight w:val="0"/>
      <w:marTop w:val="0"/>
      <w:marBottom w:val="0"/>
      <w:divBdr>
        <w:top w:val="none" w:sz="0" w:space="0" w:color="auto"/>
        <w:left w:val="none" w:sz="0" w:space="0" w:color="auto"/>
        <w:bottom w:val="none" w:sz="0" w:space="0" w:color="auto"/>
        <w:right w:val="none" w:sz="0" w:space="0" w:color="auto"/>
      </w:divBdr>
    </w:div>
    <w:div w:id="948783895">
      <w:bodyDiv w:val="1"/>
      <w:marLeft w:val="0"/>
      <w:marRight w:val="0"/>
      <w:marTop w:val="0"/>
      <w:marBottom w:val="0"/>
      <w:divBdr>
        <w:top w:val="none" w:sz="0" w:space="0" w:color="auto"/>
        <w:left w:val="none" w:sz="0" w:space="0" w:color="auto"/>
        <w:bottom w:val="none" w:sz="0" w:space="0" w:color="auto"/>
        <w:right w:val="none" w:sz="0" w:space="0" w:color="auto"/>
      </w:divBdr>
    </w:div>
    <w:div w:id="1083988892">
      <w:bodyDiv w:val="1"/>
      <w:marLeft w:val="0"/>
      <w:marRight w:val="0"/>
      <w:marTop w:val="0"/>
      <w:marBottom w:val="0"/>
      <w:divBdr>
        <w:top w:val="none" w:sz="0" w:space="0" w:color="auto"/>
        <w:left w:val="none" w:sz="0" w:space="0" w:color="auto"/>
        <w:bottom w:val="none" w:sz="0" w:space="0" w:color="auto"/>
        <w:right w:val="none" w:sz="0" w:space="0" w:color="auto"/>
      </w:divBdr>
    </w:div>
    <w:div w:id="1100878253">
      <w:bodyDiv w:val="1"/>
      <w:marLeft w:val="0"/>
      <w:marRight w:val="0"/>
      <w:marTop w:val="0"/>
      <w:marBottom w:val="0"/>
      <w:divBdr>
        <w:top w:val="none" w:sz="0" w:space="0" w:color="auto"/>
        <w:left w:val="none" w:sz="0" w:space="0" w:color="auto"/>
        <w:bottom w:val="none" w:sz="0" w:space="0" w:color="auto"/>
        <w:right w:val="none" w:sz="0" w:space="0" w:color="auto"/>
      </w:divBdr>
    </w:div>
    <w:div w:id="1169633002">
      <w:bodyDiv w:val="1"/>
      <w:marLeft w:val="0"/>
      <w:marRight w:val="0"/>
      <w:marTop w:val="0"/>
      <w:marBottom w:val="0"/>
      <w:divBdr>
        <w:top w:val="none" w:sz="0" w:space="0" w:color="auto"/>
        <w:left w:val="none" w:sz="0" w:space="0" w:color="auto"/>
        <w:bottom w:val="none" w:sz="0" w:space="0" w:color="auto"/>
        <w:right w:val="none" w:sz="0" w:space="0" w:color="auto"/>
      </w:divBdr>
    </w:div>
    <w:div w:id="1171212915">
      <w:bodyDiv w:val="1"/>
      <w:marLeft w:val="0"/>
      <w:marRight w:val="0"/>
      <w:marTop w:val="0"/>
      <w:marBottom w:val="0"/>
      <w:divBdr>
        <w:top w:val="none" w:sz="0" w:space="0" w:color="auto"/>
        <w:left w:val="none" w:sz="0" w:space="0" w:color="auto"/>
        <w:bottom w:val="none" w:sz="0" w:space="0" w:color="auto"/>
        <w:right w:val="none" w:sz="0" w:space="0" w:color="auto"/>
      </w:divBdr>
    </w:div>
    <w:div w:id="1171869543">
      <w:bodyDiv w:val="1"/>
      <w:marLeft w:val="0"/>
      <w:marRight w:val="0"/>
      <w:marTop w:val="0"/>
      <w:marBottom w:val="0"/>
      <w:divBdr>
        <w:top w:val="none" w:sz="0" w:space="0" w:color="auto"/>
        <w:left w:val="none" w:sz="0" w:space="0" w:color="auto"/>
        <w:bottom w:val="none" w:sz="0" w:space="0" w:color="auto"/>
        <w:right w:val="none" w:sz="0" w:space="0" w:color="auto"/>
      </w:divBdr>
    </w:div>
    <w:div w:id="1266889328">
      <w:bodyDiv w:val="1"/>
      <w:marLeft w:val="0"/>
      <w:marRight w:val="0"/>
      <w:marTop w:val="0"/>
      <w:marBottom w:val="0"/>
      <w:divBdr>
        <w:top w:val="none" w:sz="0" w:space="0" w:color="auto"/>
        <w:left w:val="none" w:sz="0" w:space="0" w:color="auto"/>
        <w:bottom w:val="none" w:sz="0" w:space="0" w:color="auto"/>
        <w:right w:val="none" w:sz="0" w:space="0" w:color="auto"/>
      </w:divBdr>
    </w:div>
    <w:div w:id="135319112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395466700">
      <w:bodyDiv w:val="1"/>
      <w:marLeft w:val="0"/>
      <w:marRight w:val="0"/>
      <w:marTop w:val="0"/>
      <w:marBottom w:val="0"/>
      <w:divBdr>
        <w:top w:val="none" w:sz="0" w:space="0" w:color="auto"/>
        <w:left w:val="none" w:sz="0" w:space="0" w:color="auto"/>
        <w:bottom w:val="none" w:sz="0" w:space="0" w:color="auto"/>
        <w:right w:val="none" w:sz="0" w:space="0" w:color="auto"/>
      </w:divBdr>
    </w:div>
    <w:div w:id="1413893737">
      <w:bodyDiv w:val="1"/>
      <w:marLeft w:val="0"/>
      <w:marRight w:val="0"/>
      <w:marTop w:val="0"/>
      <w:marBottom w:val="0"/>
      <w:divBdr>
        <w:top w:val="none" w:sz="0" w:space="0" w:color="auto"/>
        <w:left w:val="none" w:sz="0" w:space="0" w:color="auto"/>
        <w:bottom w:val="none" w:sz="0" w:space="0" w:color="auto"/>
        <w:right w:val="none" w:sz="0" w:space="0" w:color="auto"/>
      </w:divBdr>
    </w:div>
    <w:div w:id="1419212134">
      <w:bodyDiv w:val="1"/>
      <w:marLeft w:val="0"/>
      <w:marRight w:val="0"/>
      <w:marTop w:val="0"/>
      <w:marBottom w:val="0"/>
      <w:divBdr>
        <w:top w:val="none" w:sz="0" w:space="0" w:color="auto"/>
        <w:left w:val="none" w:sz="0" w:space="0" w:color="auto"/>
        <w:bottom w:val="none" w:sz="0" w:space="0" w:color="auto"/>
        <w:right w:val="none" w:sz="0" w:space="0" w:color="auto"/>
      </w:divBdr>
    </w:div>
    <w:div w:id="1426413755">
      <w:bodyDiv w:val="1"/>
      <w:marLeft w:val="0"/>
      <w:marRight w:val="0"/>
      <w:marTop w:val="0"/>
      <w:marBottom w:val="0"/>
      <w:divBdr>
        <w:top w:val="none" w:sz="0" w:space="0" w:color="auto"/>
        <w:left w:val="none" w:sz="0" w:space="0" w:color="auto"/>
        <w:bottom w:val="none" w:sz="0" w:space="0" w:color="auto"/>
        <w:right w:val="none" w:sz="0" w:space="0" w:color="auto"/>
      </w:divBdr>
    </w:div>
    <w:div w:id="1435979581">
      <w:bodyDiv w:val="1"/>
      <w:marLeft w:val="0"/>
      <w:marRight w:val="0"/>
      <w:marTop w:val="0"/>
      <w:marBottom w:val="0"/>
      <w:divBdr>
        <w:top w:val="none" w:sz="0" w:space="0" w:color="auto"/>
        <w:left w:val="none" w:sz="0" w:space="0" w:color="auto"/>
        <w:bottom w:val="none" w:sz="0" w:space="0" w:color="auto"/>
        <w:right w:val="none" w:sz="0" w:space="0" w:color="auto"/>
      </w:divBdr>
    </w:div>
    <w:div w:id="1442458526">
      <w:bodyDiv w:val="1"/>
      <w:marLeft w:val="0"/>
      <w:marRight w:val="0"/>
      <w:marTop w:val="0"/>
      <w:marBottom w:val="0"/>
      <w:divBdr>
        <w:top w:val="none" w:sz="0" w:space="0" w:color="auto"/>
        <w:left w:val="none" w:sz="0" w:space="0" w:color="auto"/>
        <w:bottom w:val="none" w:sz="0" w:space="0" w:color="auto"/>
        <w:right w:val="none" w:sz="0" w:space="0" w:color="auto"/>
      </w:divBdr>
    </w:div>
    <w:div w:id="1469544939">
      <w:bodyDiv w:val="1"/>
      <w:marLeft w:val="0"/>
      <w:marRight w:val="0"/>
      <w:marTop w:val="0"/>
      <w:marBottom w:val="0"/>
      <w:divBdr>
        <w:top w:val="none" w:sz="0" w:space="0" w:color="auto"/>
        <w:left w:val="none" w:sz="0" w:space="0" w:color="auto"/>
        <w:bottom w:val="none" w:sz="0" w:space="0" w:color="auto"/>
        <w:right w:val="none" w:sz="0" w:space="0" w:color="auto"/>
      </w:divBdr>
    </w:div>
    <w:div w:id="1480927595">
      <w:bodyDiv w:val="1"/>
      <w:marLeft w:val="0"/>
      <w:marRight w:val="0"/>
      <w:marTop w:val="0"/>
      <w:marBottom w:val="0"/>
      <w:divBdr>
        <w:top w:val="none" w:sz="0" w:space="0" w:color="auto"/>
        <w:left w:val="none" w:sz="0" w:space="0" w:color="auto"/>
        <w:bottom w:val="none" w:sz="0" w:space="0" w:color="auto"/>
        <w:right w:val="none" w:sz="0" w:space="0" w:color="auto"/>
      </w:divBdr>
    </w:div>
    <w:div w:id="1564636386">
      <w:bodyDiv w:val="1"/>
      <w:marLeft w:val="0"/>
      <w:marRight w:val="0"/>
      <w:marTop w:val="0"/>
      <w:marBottom w:val="0"/>
      <w:divBdr>
        <w:top w:val="none" w:sz="0" w:space="0" w:color="auto"/>
        <w:left w:val="none" w:sz="0" w:space="0" w:color="auto"/>
        <w:bottom w:val="none" w:sz="0" w:space="0" w:color="auto"/>
        <w:right w:val="none" w:sz="0" w:space="0" w:color="auto"/>
      </w:divBdr>
    </w:div>
    <w:div w:id="1614555878">
      <w:bodyDiv w:val="1"/>
      <w:marLeft w:val="0"/>
      <w:marRight w:val="0"/>
      <w:marTop w:val="0"/>
      <w:marBottom w:val="0"/>
      <w:divBdr>
        <w:top w:val="none" w:sz="0" w:space="0" w:color="auto"/>
        <w:left w:val="none" w:sz="0" w:space="0" w:color="auto"/>
        <w:bottom w:val="none" w:sz="0" w:space="0" w:color="auto"/>
        <w:right w:val="none" w:sz="0" w:space="0" w:color="auto"/>
      </w:divBdr>
    </w:div>
    <w:div w:id="1688748677">
      <w:bodyDiv w:val="1"/>
      <w:marLeft w:val="0"/>
      <w:marRight w:val="0"/>
      <w:marTop w:val="0"/>
      <w:marBottom w:val="0"/>
      <w:divBdr>
        <w:top w:val="none" w:sz="0" w:space="0" w:color="auto"/>
        <w:left w:val="none" w:sz="0" w:space="0" w:color="auto"/>
        <w:bottom w:val="none" w:sz="0" w:space="0" w:color="auto"/>
        <w:right w:val="none" w:sz="0" w:space="0" w:color="auto"/>
      </w:divBdr>
    </w:div>
    <w:div w:id="1747264132">
      <w:bodyDiv w:val="1"/>
      <w:marLeft w:val="0"/>
      <w:marRight w:val="0"/>
      <w:marTop w:val="0"/>
      <w:marBottom w:val="0"/>
      <w:divBdr>
        <w:top w:val="none" w:sz="0" w:space="0" w:color="auto"/>
        <w:left w:val="none" w:sz="0" w:space="0" w:color="auto"/>
        <w:bottom w:val="none" w:sz="0" w:space="0" w:color="auto"/>
        <w:right w:val="none" w:sz="0" w:space="0" w:color="auto"/>
      </w:divBdr>
    </w:div>
    <w:div w:id="1765224465">
      <w:bodyDiv w:val="1"/>
      <w:marLeft w:val="0"/>
      <w:marRight w:val="0"/>
      <w:marTop w:val="0"/>
      <w:marBottom w:val="0"/>
      <w:divBdr>
        <w:top w:val="none" w:sz="0" w:space="0" w:color="auto"/>
        <w:left w:val="none" w:sz="0" w:space="0" w:color="auto"/>
        <w:bottom w:val="none" w:sz="0" w:space="0" w:color="auto"/>
        <w:right w:val="none" w:sz="0" w:space="0" w:color="auto"/>
      </w:divBdr>
    </w:div>
    <w:div w:id="1767382233">
      <w:bodyDiv w:val="1"/>
      <w:marLeft w:val="0"/>
      <w:marRight w:val="0"/>
      <w:marTop w:val="0"/>
      <w:marBottom w:val="0"/>
      <w:divBdr>
        <w:top w:val="none" w:sz="0" w:space="0" w:color="auto"/>
        <w:left w:val="none" w:sz="0" w:space="0" w:color="auto"/>
        <w:bottom w:val="none" w:sz="0" w:space="0" w:color="auto"/>
        <w:right w:val="none" w:sz="0" w:space="0" w:color="auto"/>
      </w:divBdr>
    </w:div>
    <w:div w:id="1855219313">
      <w:bodyDiv w:val="1"/>
      <w:marLeft w:val="0"/>
      <w:marRight w:val="0"/>
      <w:marTop w:val="0"/>
      <w:marBottom w:val="0"/>
      <w:divBdr>
        <w:top w:val="none" w:sz="0" w:space="0" w:color="auto"/>
        <w:left w:val="none" w:sz="0" w:space="0" w:color="auto"/>
        <w:bottom w:val="none" w:sz="0" w:space="0" w:color="auto"/>
        <w:right w:val="none" w:sz="0" w:space="0" w:color="auto"/>
      </w:divBdr>
    </w:div>
    <w:div w:id="1889485910">
      <w:bodyDiv w:val="1"/>
      <w:marLeft w:val="0"/>
      <w:marRight w:val="0"/>
      <w:marTop w:val="0"/>
      <w:marBottom w:val="0"/>
      <w:divBdr>
        <w:top w:val="none" w:sz="0" w:space="0" w:color="auto"/>
        <w:left w:val="none" w:sz="0" w:space="0" w:color="auto"/>
        <w:bottom w:val="none" w:sz="0" w:space="0" w:color="auto"/>
        <w:right w:val="none" w:sz="0" w:space="0" w:color="auto"/>
      </w:divBdr>
      <w:divsChild>
        <w:div w:id="256643892">
          <w:marLeft w:val="0"/>
          <w:marRight w:val="0"/>
          <w:marTop w:val="0"/>
          <w:marBottom w:val="0"/>
          <w:divBdr>
            <w:top w:val="none" w:sz="0" w:space="0" w:color="auto"/>
            <w:left w:val="none" w:sz="0" w:space="0" w:color="auto"/>
            <w:bottom w:val="none" w:sz="0" w:space="0" w:color="auto"/>
            <w:right w:val="none" w:sz="0" w:space="0" w:color="auto"/>
          </w:divBdr>
        </w:div>
        <w:div w:id="1072388898">
          <w:marLeft w:val="0"/>
          <w:marRight w:val="0"/>
          <w:marTop w:val="0"/>
          <w:marBottom w:val="0"/>
          <w:divBdr>
            <w:top w:val="none" w:sz="0" w:space="0" w:color="auto"/>
            <w:left w:val="none" w:sz="0" w:space="0" w:color="auto"/>
            <w:bottom w:val="none" w:sz="0" w:space="0" w:color="auto"/>
            <w:right w:val="none" w:sz="0" w:space="0" w:color="auto"/>
          </w:divBdr>
        </w:div>
        <w:div w:id="1351292862">
          <w:marLeft w:val="0"/>
          <w:marRight w:val="0"/>
          <w:marTop w:val="0"/>
          <w:marBottom w:val="0"/>
          <w:divBdr>
            <w:top w:val="none" w:sz="0" w:space="0" w:color="auto"/>
            <w:left w:val="none" w:sz="0" w:space="0" w:color="auto"/>
            <w:bottom w:val="none" w:sz="0" w:space="0" w:color="auto"/>
            <w:right w:val="none" w:sz="0" w:space="0" w:color="auto"/>
          </w:divBdr>
        </w:div>
        <w:div w:id="1767726905">
          <w:marLeft w:val="0"/>
          <w:marRight w:val="0"/>
          <w:marTop w:val="0"/>
          <w:marBottom w:val="0"/>
          <w:divBdr>
            <w:top w:val="none" w:sz="0" w:space="0" w:color="auto"/>
            <w:left w:val="none" w:sz="0" w:space="0" w:color="auto"/>
            <w:bottom w:val="none" w:sz="0" w:space="0" w:color="auto"/>
            <w:right w:val="none" w:sz="0" w:space="0" w:color="auto"/>
          </w:divBdr>
        </w:div>
        <w:div w:id="2144738332">
          <w:marLeft w:val="0"/>
          <w:marRight w:val="0"/>
          <w:marTop w:val="0"/>
          <w:marBottom w:val="0"/>
          <w:divBdr>
            <w:top w:val="none" w:sz="0" w:space="0" w:color="auto"/>
            <w:left w:val="none" w:sz="0" w:space="0" w:color="auto"/>
            <w:bottom w:val="none" w:sz="0" w:space="0" w:color="auto"/>
            <w:right w:val="none" w:sz="0" w:space="0" w:color="auto"/>
          </w:divBdr>
        </w:div>
      </w:divsChild>
    </w:div>
    <w:div w:id="1891728326">
      <w:bodyDiv w:val="1"/>
      <w:marLeft w:val="0"/>
      <w:marRight w:val="0"/>
      <w:marTop w:val="0"/>
      <w:marBottom w:val="0"/>
      <w:divBdr>
        <w:top w:val="none" w:sz="0" w:space="0" w:color="auto"/>
        <w:left w:val="none" w:sz="0" w:space="0" w:color="auto"/>
        <w:bottom w:val="none" w:sz="0" w:space="0" w:color="auto"/>
        <w:right w:val="none" w:sz="0" w:space="0" w:color="auto"/>
      </w:divBdr>
    </w:div>
    <w:div w:id="1909657376">
      <w:bodyDiv w:val="1"/>
      <w:marLeft w:val="0"/>
      <w:marRight w:val="0"/>
      <w:marTop w:val="0"/>
      <w:marBottom w:val="0"/>
      <w:divBdr>
        <w:top w:val="none" w:sz="0" w:space="0" w:color="auto"/>
        <w:left w:val="none" w:sz="0" w:space="0" w:color="auto"/>
        <w:bottom w:val="none" w:sz="0" w:space="0" w:color="auto"/>
        <w:right w:val="none" w:sz="0" w:space="0" w:color="auto"/>
      </w:divBdr>
    </w:div>
    <w:div w:id="1922565170">
      <w:bodyDiv w:val="1"/>
      <w:marLeft w:val="0"/>
      <w:marRight w:val="0"/>
      <w:marTop w:val="0"/>
      <w:marBottom w:val="0"/>
      <w:divBdr>
        <w:top w:val="none" w:sz="0" w:space="0" w:color="auto"/>
        <w:left w:val="none" w:sz="0" w:space="0" w:color="auto"/>
        <w:bottom w:val="none" w:sz="0" w:space="0" w:color="auto"/>
        <w:right w:val="none" w:sz="0" w:space="0" w:color="auto"/>
      </w:divBdr>
    </w:div>
    <w:div w:id="2034334747">
      <w:bodyDiv w:val="1"/>
      <w:marLeft w:val="0"/>
      <w:marRight w:val="0"/>
      <w:marTop w:val="0"/>
      <w:marBottom w:val="0"/>
      <w:divBdr>
        <w:top w:val="none" w:sz="0" w:space="0" w:color="auto"/>
        <w:left w:val="none" w:sz="0" w:space="0" w:color="auto"/>
        <w:bottom w:val="none" w:sz="0" w:space="0" w:color="auto"/>
        <w:right w:val="none" w:sz="0" w:space="0" w:color="auto"/>
      </w:divBdr>
    </w:div>
    <w:div w:id="2047564206">
      <w:bodyDiv w:val="1"/>
      <w:marLeft w:val="0"/>
      <w:marRight w:val="0"/>
      <w:marTop w:val="0"/>
      <w:marBottom w:val="0"/>
      <w:divBdr>
        <w:top w:val="none" w:sz="0" w:space="0" w:color="auto"/>
        <w:left w:val="none" w:sz="0" w:space="0" w:color="auto"/>
        <w:bottom w:val="none" w:sz="0" w:space="0" w:color="auto"/>
        <w:right w:val="none" w:sz="0" w:space="0" w:color="auto"/>
      </w:divBdr>
    </w:div>
    <w:div w:id="206001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mf.org" TargetMode="External"/><Relationship Id="rId13" Type="http://schemas.openxmlformats.org/officeDocument/2006/relationships/hyperlink" Target="https://www.who.int/publications/i/item/cop24-special-report-health-climate-chan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ea.org/reports/africa-energy-outlook-2019" TargetMode="External"/><Relationship Id="rId12" Type="http://schemas.openxmlformats.org/officeDocument/2006/relationships/hyperlink" Target="https://www.who.int/publications/i/item/air-pollution-and-child-healt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151135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ata.worldbank.org/indicato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emanticscholar.org/paper/5610f6775a38a03f4d5e87779a53e2673627e51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11682</Words>
  <Characters>66590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mwai</dc:creator>
  <cp:keywords/>
  <dc:description/>
  <cp:lastModifiedBy>SDI 1186</cp:lastModifiedBy>
  <cp:revision>26</cp:revision>
  <dcterms:created xsi:type="dcterms:W3CDTF">2026-02-09T16:24:00Z</dcterms:created>
  <dcterms:modified xsi:type="dcterms:W3CDTF">2026-02-14T05:56:00Z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2024-12-08T13:38:37Z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2f26b947-6770-4922-bab3-647d3c73e51e</vt:lpwstr>
  </property>
  <property fmtid="{D5CDD505-2E9C-101B-9397-08002B2CF9AE}" pid="8" name="MSIP_Label_d0484126-3486-41a9-802e-7f1e2277276c_ContentBits">
    <vt:lpwstr>0</vt:lpwstr>
  </property>
</Properties>
</file>