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E1591" w14:textId="06E0833F" w:rsidR="00B704C9" w:rsidRDefault="00304A10">
      <w:pPr>
        <w:spacing w:before="160" w:after="100"/>
        <w:jc w:val="center"/>
      </w:pPr>
      <w:r w:rsidRPr="00764F51">
        <w:rPr>
          <w:b/>
          <w:bCs/>
          <w:sz w:val="30"/>
          <w:szCs w:val="30"/>
          <w:highlight w:val="yellow"/>
        </w:rPr>
        <w:t>Comparative Evaluation of Push-out Bond Strength Between Surface-Treated Glass Fiber Reinforced Composite Resin Post and CAD/CAM Milled Polyetheretherketone Post: An In Vitro Study</w:t>
      </w:r>
    </w:p>
    <w:p w14:paraId="3FD54418" w14:textId="6C5CCD02" w:rsidR="00B704C9" w:rsidRDefault="00B704C9">
      <w:pPr>
        <w:pBdr>
          <w:bottom w:val="single" w:sz="6" w:space="1" w:color="2E74B5"/>
        </w:pBdr>
      </w:pPr>
    </w:p>
    <w:p w14:paraId="3F31C897" w14:textId="77777777" w:rsidR="00617FDC" w:rsidRDefault="00617FDC">
      <w:pPr>
        <w:pBdr>
          <w:bottom w:val="single" w:sz="6" w:space="1" w:color="2E74B5"/>
        </w:pBdr>
      </w:pPr>
    </w:p>
    <w:p w14:paraId="2FB0D8FC" w14:textId="77777777" w:rsidR="00B704C9" w:rsidRDefault="00304A10">
      <w:pPr>
        <w:spacing w:before="160" w:after="80"/>
      </w:pPr>
      <w:r>
        <w:rPr>
          <w:b/>
          <w:bCs/>
          <w:color w:val="1F3864"/>
          <w:sz w:val="26"/>
          <w:szCs w:val="26"/>
        </w:rPr>
        <w:t>ABSTRACT</w:t>
      </w:r>
    </w:p>
    <w:p w14:paraId="2E8118AF" w14:textId="77777777" w:rsidR="00B704C9" w:rsidRDefault="00304A10">
      <w:pPr>
        <w:spacing w:before="60" w:after="60" w:line="320" w:lineRule="auto"/>
        <w:jc w:val="both"/>
      </w:pPr>
      <w:r>
        <w:rPr>
          <w:b/>
          <w:bCs/>
          <w:sz w:val="22"/>
          <w:szCs w:val="22"/>
        </w:rPr>
        <w:t xml:space="preserve">Background: </w:t>
      </w:r>
      <w:r>
        <w:rPr>
          <w:sz w:val="22"/>
          <w:szCs w:val="22"/>
        </w:rPr>
        <w:t>Endodontically treated teeth with extensive coronal structure loss require dependable post-and-core restorations. Prefabricated glass fiber reinforced composite resin (FRC) posts are in routine use, while custom CAD/CAM milled polyetheretherketone (PEEK) posts are an emerging alternative with potentially superior bonding and biomechanical characteristics.</w:t>
      </w:r>
    </w:p>
    <w:p w14:paraId="299CC2F3" w14:textId="77777777" w:rsidR="00B704C9" w:rsidRDefault="00304A10">
      <w:pPr>
        <w:spacing w:before="60" w:after="60" w:line="320" w:lineRule="auto"/>
        <w:jc w:val="both"/>
      </w:pPr>
      <w:r>
        <w:rPr>
          <w:b/>
          <w:bCs/>
          <w:sz w:val="22"/>
          <w:szCs w:val="22"/>
        </w:rPr>
        <w:t xml:space="preserve">Aim: </w:t>
      </w:r>
      <w:r>
        <w:rPr>
          <w:sz w:val="22"/>
          <w:szCs w:val="22"/>
        </w:rPr>
        <w:t>To evaluate and compare the push-out bond strength of surface-treated FRC posts and CAD/CAM milled PEEK posts across coronal, middle, and apical root thirds.</w:t>
      </w:r>
    </w:p>
    <w:p w14:paraId="7DEFA1CA" w14:textId="77777777" w:rsidR="00B704C9" w:rsidRDefault="00304A10">
      <w:pPr>
        <w:spacing w:before="60" w:after="60" w:line="320" w:lineRule="auto"/>
        <w:jc w:val="both"/>
      </w:pPr>
      <w:r>
        <w:rPr>
          <w:b/>
          <w:bCs/>
          <w:sz w:val="22"/>
          <w:szCs w:val="22"/>
        </w:rPr>
        <w:t xml:space="preserve">Materials and Methods: </w:t>
      </w:r>
      <w:r>
        <w:rPr>
          <w:sz w:val="22"/>
          <w:szCs w:val="22"/>
        </w:rPr>
        <w:t xml:space="preserve">Twenty-two extracted human maxillary central incisors were endodontically treated and randomly allocated to Group I (n = 11, prefabricated FRC posts) and Group II (n = 11, CAD/CAM milled PEEK posts). Both groups underwent identical surface treatment — 50 µm Al₂O₃ sandblasting followed by silane application — and cementation with dual-cure self-adhesive resin cement. </w:t>
      </w:r>
      <w:r w:rsidRPr="00764F51">
        <w:rPr>
          <w:sz w:val="22"/>
          <w:szCs w:val="22"/>
          <w:highlight w:val="yellow"/>
        </w:rPr>
        <w:t>Cemented specimens were stored in distilled water at 37°C for 24 hours prior to testing (no thermal cycling or fatigue loading).</w:t>
      </w:r>
      <w:r>
        <w:rPr>
          <w:sz w:val="22"/>
          <w:szCs w:val="22"/>
        </w:rPr>
        <w:t xml:space="preserve"> Three transverse 2 mm slices per specimen (coronal, middle, apical) were tested on a universal testing machine. Descriptive statistics, independent samples t-test, one-way ANOVA for intragroup regional comparisons, and Bonferroni post hoc analysis were performed (SPSS v28.0.1; significance threshold p &lt; 0.05).</w:t>
      </w:r>
    </w:p>
    <w:p w14:paraId="6D1EC774" w14:textId="77777777" w:rsidR="00B704C9" w:rsidRDefault="00304A10">
      <w:pPr>
        <w:spacing w:before="60" w:after="60" w:line="320" w:lineRule="auto"/>
        <w:jc w:val="both"/>
      </w:pPr>
      <w:r>
        <w:rPr>
          <w:b/>
          <w:bCs/>
          <w:sz w:val="22"/>
          <w:szCs w:val="22"/>
        </w:rPr>
        <w:t xml:space="preserve">Results: </w:t>
      </w:r>
      <w:r>
        <w:rPr>
          <w:sz w:val="22"/>
          <w:szCs w:val="22"/>
        </w:rPr>
        <w:t>Group II (PEEK) demonstrated significantly higher push-out bond strength than Group I (FRC) at all three root thirds: coronal (11.86 ± 1.14 vs 7.74 ± 1.60 MPa; t = −6.968; p &lt; 0.001), middle (12.33 ± 0.75 vs 7.53 ± 0.92 MPa; t = −13.382; p &lt; 0.001), and apical (10.99 ± 0.69 vs 6.36 ± 0.80 MPa; t = −14.536; p &lt; 0.001). One-way ANOVA revealed significant intragroup regional variation in both Group I (F(2,30) = 4.497; p = 0.020) and Group II (F(2,30) = 6.566; p = 0.004). Bonferroni post hoc analysis identified the middle-to-apical contrast as the only significant pairwise difference within each group (Group I: p = 0.014; Group II: p &lt; 0.001). Coronal-to-middle and coronal-to-apical comparisons were not significant after correction in either group.</w:t>
      </w:r>
    </w:p>
    <w:p w14:paraId="50D69DC2" w14:textId="77777777" w:rsidR="00B704C9" w:rsidRDefault="00304A10">
      <w:pPr>
        <w:spacing w:before="60" w:after="60" w:line="320" w:lineRule="auto"/>
        <w:jc w:val="both"/>
      </w:pPr>
      <w:r>
        <w:rPr>
          <w:b/>
          <w:bCs/>
          <w:sz w:val="22"/>
          <w:szCs w:val="22"/>
        </w:rPr>
        <w:t xml:space="preserve">Conclusion: </w:t>
      </w:r>
      <w:r>
        <w:rPr>
          <w:sz w:val="22"/>
          <w:szCs w:val="22"/>
        </w:rPr>
        <w:t>CAD/CAM milled PEEK posts exhibit significantly superior push-out bond strength compared with prefabricated FRC posts following equivalent dual surface treatment. The apical third represents the consistently weakest bonding zone in both post systems. These findings support the clinical use of CAD/CAM milled PEEK posts as a viable alternative for restoring endodontically treated teeth</w:t>
      </w:r>
      <w:r w:rsidRPr="00764F51">
        <w:rPr>
          <w:sz w:val="22"/>
          <w:szCs w:val="22"/>
          <w:highlight w:val="yellow"/>
        </w:rPr>
        <w:t>, with clinical implications for improved retention and reduced root fracture risk in heavily restored endodontically treated teeth.</w:t>
      </w:r>
    </w:p>
    <w:p w14:paraId="546EF59D" w14:textId="4787F7FE" w:rsidR="00B704C9" w:rsidRDefault="00304A10">
      <w:pPr>
        <w:spacing w:before="60" w:after="120" w:line="320" w:lineRule="auto"/>
        <w:jc w:val="both"/>
      </w:pPr>
      <w:r>
        <w:rPr>
          <w:b/>
          <w:bCs/>
          <w:sz w:val="22"/>
          <w:szCs w:val="22"/>
        </w:rPr>
        <w:lastRenderedPageBreak/>
        <w:t xml:space="preserve">Keywords: </w:t>
      </w:r>
      <w:r>
        <w:rPr>
          <w:i/>
          <w:iCs/>
          <w:sz w:val="22"/>
          <w:szCs w:val="22"/>
        </w:rPr>
        <w:t xml:space="preserve">glass fiber reinforced composite resin post; push-out bond strength; CAD/CAM; endodontic post; surface treatment; </w:t>
      </w:r>
    </w:p>
    <w:p w14:paraId="3FD17595" w14:textId="77777777" w:rsidR="00B704C9" w:rsidRDefault="00B704C9">
      <w:pPr>
        <w:pBdr>
          <w:bottom w:val="single" w:sz="6" w:space="1" w:color="2E74B5"/>
        </w:pBdr>
      </w:pPr>
    </w:p>
    <w:p w14:paraId="61989E08" w14:textId="77777777" w:rsidR="00B704C9" w:rsidRDefault="00B704C9"/>
    <w:p w14:paraId="36F38EFE" w14:textId="77777777" w:rsidR="00B704C9" w:rsidRDefault="00304A10">
      <w:pPr>
        <w:spacing w:before="340" w:after="140"/>
      </w:pPr>
      <w:r>
        <w:rPr>
          <w:b/>
          <w:bCs/>
          <w:color w:val="1F3864"/>
          <w:sz w:val="28"/>
          <w:szCs w:val="28"/>
        </w:rPr>
        <w:t>1. INTRODUCTION</w:t>
      </w:r>
    </w:p>
    <w:p w14:paraId="38C18A4E" w14:textId="77777777" w:rsidR="00B704C9" w:rsidRDefault="00304A10">
      <w:pPr>
        <w:spacing w:before="80" w:after="80" w:line="360" w:lineRule="auto"/>
        <w:ind w:firstLine="720"/>
        <w:jc w:val="both"/>
      </w:pPr>
      <w:r>
        <w:t>Endodontically treated teeth represent a persistent restorative challenge in clinical prosthodontics. Removal of vital pulp tissue combined with mechanical root canal preparation reduces dentinal volume and alters the stress distribution within the root under functional occlusal loading. These biomechanical changes render treated teeth more susceptible to fracture than comparable vital teeth, and the risk increases proportionally with the extent of residual coronal tissue lost to disease, caries, or prior restorations.</w:t>
      </w:r>
    </w:p>
    <w:p w14:paraId="73E3989E" w14:textId="77777777" w:rsidR="00B704C9" w:rsidRDefault="00304A10">
      <w:pPr>
        <w:spacing w:before="80" w:after="80" w:line="360" w:lineRule="auto"/>
        <w:ind w:firstLine="720"/>
        <w:jc w:val="both"/>
      </w:pPr>
      <w:r>
        <w:t>When insufficient coronal tooth structure remains to support a definitive crown restoration, a post-and-core system is required. The endodontic post does not reinforce the root; its function is to retain the core build-up material that, in turn, supports the overlying prosthesis. Over the past two centuries, post materials have evolved from wooden dowels through cast metal posts and cores to contemporary fiber-reinforced resin systems and, most recently, high-performance engineering polymers.</w:t>
      </w:r>
    </w:p>
    <w:p w14:paraId="7D62CDC5" w14:textId="77777777" w:rsidR="00B704C9" w:rsidRDefault="00304A10">
      <w:pPr>
        <w:spacing w:before="80" w:after="80" w:line="360" w:lineRule="auto"/>
        <w:ind w:firstLine="720"/>
        <w:jc w:val="both"/>
      </w:pPr>
      <w:r>
        <w:t>Glass fiber reinforced composite resin (FRC) posts have become the dominant fiber post system in contemporary restorative practice. Their elastic modulus (approximately 18–20 GPa) closely approximates that of root dentin, promoting a more homogeneous distribution of occlusal forces and reducing the incidence of catastrophic root fractures compared with stiffer metal posts. FRC posts bond reliably to root dentin through adhesive resin cement systems, transmit light for optimal aesthetic outcomes, and can be retrieved for retreatment when necessary. Despite these advantages, the prefabricated circular cross-section of FRC posts does not always conform to the oval or irregular morphology of prepared root canals, necessitating a thicker intervening resin cement layer that may concentrate stress and compromise long-term bond integrity.</w:t>
      </w:r>
    </w:p>
    <w:p w14:paraId="527CFFD1" w14:textId="77777777" w:rsidR="00B704C9" w:rsidRDefault="00304A10">
      <w:pPr>
        <w:spacing w:before="80" w:after="80" w:line="360" w:lineRule="auto"/>
        <w:ind w:firstLine="720"/>
        <w:jc w:val="both"/>
      </w:pPr>
      <w:r>
        <w:t xml:space="preserve">Polyetheretherketone (PEEK) is a semi-crystalline thermoplastic polymer from the polyaryl ether ketone family, initially developed for aerospace and orthopedic biomedical engineering. Its elastic modulus of 3–4 GPa, while lower than that of dentin (approximately 18 GPa), imparts flexural compliance that distributes stress over a wider area of root dentin. </w:t>
      </w:r>
      <w:r w:rsidRPr="00764F51">
        <w:rPr>
          <w:highlight w:val="yellow"/>
        </w:rPr>
        <w:t xml:space="preserve">Although </w:t>
      </w:r>
      <w:r w:rsidRPr="00764F51">
        <w:rPr>
          <w:highlight w:val="yellow"/>
        </w:rPr>
        <w:lastRenderedPageBreak/>
        <w:t>this modulus is below that of dentin, the resulting compliance acts as a stress-absorbing buffer, reducing peak stress concentrations at the post–dentin interface and lowering the risk of root fracture — an advantage that partially compensates for the lower inherent stiffness, particularly in thin-walled roots and curved canals.</w:t>
      </w:r>
      <w:r>
        <w:t xml:space="preserve"> PEEK is biocompatible, chemically inert to oral fluids, thermally stable, and radiolucent — properties that facilitate post-treatment radiographic monitoring without metallic scatter. Critically, PEEK can be precisely milled from prefabricated blanks using CAD/CAM technology, enabling fabrication of custom post forms that adapt closely to individual canal morphology and minimize cement film thickness.</w:t>
      </w:r>
    </w:p>
    <w:p w14:paraId="206EDB81" w14:textId="77777777" w:rsidR="00B704C9" w:rsidRDefault="00304A10">
      <w:pPr>
        <w:spacing w:before="80" w:after="80" w:line="360" w:lineRule="auto"/>
        <w:ind w:firstLine="720"/>
        <w:jc w:val="both"/>
      </w:pPr>
      <w:r>
        <w:t>The quality of the post–cement–dentin bond is a primary determinant of post retention and restoration longevity. Because PEEK's chemically inert surface resists adhesive bonding without preconditioning, surface treatment is essential. Sandblasting with aluminum oxide particles increases surface roughness and creates micromechanical interlocking sites, while silane coupling agents provide molecular bridges between the post surface and resin cement. Identical protocols are employed for FRC posts to maximize adhesion at the epoxy matrix–cement interface.</w:t>
      </w:r>
    </w:p>
    <w:p w14:paraId="57E7B0E3" w14:textId="77777777" w:rsidR="00B704C9" w:rsidRDefault="00304A10">
      <w:pPr>
        <w:spacing w:before="80" w:after="80" w:line="360" w:lineRule="auto"/>
        <w:ind w:firstLine="720"/>
        <w:jc w:val="both"/>
      </w:pPr>
      <w:r>
        <w:t>The push-out bond strength test is the established method for quantifying interfacial adhesion in the post–cement–dentin complex. It replicates the shear stresses generated at this interface during masticatory function and permits regional assessment across coronal, middle, and apical root thirds, reflecting anatomical variation in dentinal tubule density and differential resin cement penetration. Comparative in vitro data on push-out bond strength of surface-treated CAD/CAM milled PEEK posts relative to prefabricated FRC posts, employing comprehensive statistical analysis including intragroup regional comparison by ANOVA and post hoc testing, remain scarce. The present study was designed to address this gap.</w:t>
      </w:r>
    </w:p>
    <w:p w14:paraId="6E79EA2D" w14:textId="77777777" w:rsidR="00B704C9" w:rsidRDefault="00304A10">
      <w:pPr>
        <w:spacing w:before="340" w:after="140"/>
      </w:pPr>
      <w:r>
        <w:rPr>
          <w:b/>
          <w:bCs/>
          <w:color w:val="1F3864"/>
          <w:sz w:val="28"/>
          <w:szCs w:val="28"/>
        </w:rPr>
        <w:t>2. AIM AND OBJECTIVES</w:t>
      </w:r>
    </w:p>
    <w:p w14:paraId="5619A7E6" w14:textId="77777777" w:rsidR="00B704C9" w:rsidRDefault="00304A10">
      <w:pPr>
        <w:spacing w:before="80" w:after="80" w:line="360" w:lineRule="auto"/>
        <w:ind w:firstLine="720"/>
        <w:jc w:val="both"/>
      </w:pPr>
      <w:r>
        <w:t>The aim of this study was to evaluate and compare the push-out bond strength between surface-treated prefabricated glass fiber reinforced composite resin posts (Group I) and surface-treated CAD/CAM milled PEEK posts (Group II). The specific objectives were: (i) to determine descriptive statistics for push-out bond strength in each subgroup; (ii) to compare intergroup push-out bond strength at each root third using the independent samples t-test; (iii) to assess intragroup regional variation across coronal, middle, and apical thirds by one-way ANOVA; and (iv) to identify specific pairwise regional differences within each group by Bonferroni post hoc analysis.</w:t>
      </w:r>
    </w:p>
    <w:p w14:paraId="314AFD98" w14:textId="77777777" w:rsidR="00B704C9" w:rsidRDefault="00304A10">
      <w:pPr>
        <w:spacing w:before="340" w:after="140"/>
      </w:pPr>
      <w:r>
        <w:rPr>
          <w:b/>
          <w:bCs/>
          <w:color w:val="1F3864"/>
          <w:sz w:val="28"/>
          <w:szCs w:val="28"/>
        </w:rPr>
        <w:lastRenderedPageBreak/>
        <w:t>3. MATERIALS AND METHODS</w:t>
      </w:r>
    </w:p>
    <w:p w14:paraId="24EF7E4C" w14:textId="11E10AC7" w:rsidR="00B704C9" w:rsidRDefault="00304A10">
      <w:pPr>
        <w:spacing w:before="220" w:after="100"/>
      </w:pPr>
      <w:r>
        <w:rPr>
          <w:b/>
          <w:bCs/>
          <w:i/>
          <w:iCs/>
        </w:rPr>
        <w:t xml:space="preserve">3.1 Study Design </w:t>
      </w:r>
    </w:p>
    <w:p w14:paraId="12CCE76E" w14:textId="77777777" w:rsidR="00B704C9" w:rsidRDefault="00304A10">
      <w:pPr>
        <w:spacing w:before="80" w:after="80" w:line="360" w:lineRule="auto"/>
        <w:ind w:firstLine="720"/>
        <w:jc w:val="both"/>
      </w:pPr>
      <w:r>
        <w:t xml:space="preserve">This prospective in vitro study was conducted in the Department of Prosthodontics and Crown &amp; Bridge, Bapuji Dental College and Hospital, Davangere. </w:t>
      </w:r>
      <w:r w:rsidRPr="00D218A1">
        <w:rPr>
          <w:highlight w:val="yellow"/>
        </w:rPr>
        <w:t>Extracted human permanent maxillary central incisors were collected from the Department of Oral and Maxillofacial Surgery following extraction for periodontal reasons, with informed patient consent for research use</w:t>
      </w:r>
      <w:r>
        <w:t>. The study was conducted in accordance with the institutional ethical guidelines.</w:t>
      </w:r>
    </w:p>
    <w:p w14:paraId="59D714D1" w14:textId="77777777" w:rsidR="00B704C9" w:rsidRDefault="00304A10">
      <w:pPr>
        <w:spacing w:before="220" w:after="100"/>
      </w:pPr>
      <w:r>
        <w:rPr>
          <w:b/>
          <w:bCs/>
          <w:i/>
          <w:iCs/>
        </w:rPr>
        <w:t>3.2 Sample Size Calculation and Group Allocation</w:t>
      </w:r>
    </w:p>
    <w:p w14:paraId="2B46760F" w14:textId="77777777" w:rsidR="00B704C9" w:rsidRDefault="00304A10">
      <w:pPr>
        <w:spacing w:before="80" w:after="80" w:line="360" w:lineRule="auto"/>
        <w:ind w:firstLine="720"/>
        <w:jc w:val="both"/>
      </w:pPr>
      <w:r>
        <w:t>Sample size was calculated based on the primary objective of comparing mean push-out bond strength between two independent groups. Using a pooled standard deviation of 3.5 MPa, expected group means of 9 MPa and 6 MPa, a two-tailed Type I error (α) of 5%, and a statistical power of 80%, the minimum required sample size was 22 specimens (11 per group). Specimens were allocated to Group I (prefabricated FRC posts; Reforpost, Angelus, Brazil) and Group II (CAD/CAM milled PEEK posts; PEEK Blanks, Tanna Engineering Enterprises, India). Each group was further subdivided by root third: coronal (IA/IIA), middle (IB/IIB), and apical (IC/IIC), yielding 11 observations per subgroup.</w:t>
      </w:r>
    </w:p>
    <w:p w14:paraId="492BF903" w14:textId="77777777" w:rsidR="00B704C9" w:rsidRDefault="00304A10">
      <w:pPr>
        <w:spacing w:before="220" w:after="100"/>
      </w:pPr>
      <w:r>
        <w:rPr>
          <w:b/>
          <w:bCs/>
          <w:i/>
          <w:iCs/>
        </w:rPr>
        <w:t>3.3 Specimen Preparation and Endodontic Treatment</w:t>
      </w:r>
    </w:p>
    <w:p w14:paraId="36FCC095" w14:textId="77777777" w:rsidR="00B704C9" w:rsidRDefault="00304A10">
      <w:pPr>
        <w:spacing w:before="80" w:after="80" w:line="360" w:lineRule="auto"/>
        <w:ind w:firstLine="720"/>
        <w:jc w:val="both"/>
      </w:pPr>
      <w:r>
        <w:t>Inclusion criteria: extracted maxillary central incisors with mature apex, straight root, single canal, no prior endodontic treatment, and absence of internal calcification, resorption, root fractures, or developmental anomalies. Selected teeth were cleaned and stored in 0.9% normal saline at room temperature. Each tooth was decoronated 15 mm from the root apex at the cemento-enamel junction using a diamond disc (DFS, Germany) and embedded in self-cure clear acrylic resin (DPI, India) using an addition silicone putty index to standardize orientation.</w:t>
      </w:r>
    </w:p>
    <w:p w14:paraId="1974DB77" w14:textId="77777777" w:rsidR="00B704C9" w:rsidRDefault="00304A10">
      <w:pPr>
        <w:spacing w:before="80" w:after="80" w:line="360" w:lineRule="auto"/>
        <w:ind w:firstLine="720"/>
        <w:jc w:val="both"/>
      </w:pPr>
      <w:r>
        <w:t xml:space="preserve">Access cavities were prepared with a high-speed round bur and safe-end Endo-Z bur. Working length was confirmed radiographically with a #10 K-file (Mani Inc., Japan). Canals were shaped by crown-down instrumentation using hand files followed by 4% taper rotary ProTaper Gold files (Dentsply Sirona, Germany) to size F3. Irrigation employed 2 mL of 3% NaOCl per sequence via a 30-gauge side-vented needle (1 mm short of working length). Final irrigation with 17% EDTA removed the smear layer, followed by saline rinse and drying with sterile paper points. Obturation used size 30, 4% taper ProTaper gutta-percha cones (Dentsply Sirona) with AH Plus </w:t>
      </w:r>
      <w:r>
        <w:lastRenderedPageBreak/>
        <w:t>sealer (Dentsply, Germany) by cold lateral compaction. All specimens were stored in distilled water at 37°C for 24 hours.</w:t>
      </w:r>
    </w:p>
    <w:p w14:paraId="331414B6" w14:textId="77777777" w:rsidR="00B704C9" w:rsidRDefault="00304A10">
      <w:pPr>
        <w:spacing w:before="220" w:after="100"/>
      </w:pPr>
      <w:r>
        <w:rPr>
          <w:b/>
          <w:bCs/>
          <w:i/>
          <w:iCs/>
        </w:rPr>
        <w:t>3.4 Post Space Preparation</w:t>
      </w:r>
    </w:p>
    <w:p w14:paraId="246B519A" w14:textId="77777777" w:rsidR="00B704C9" w:rsidRDefault="00304A10">
      <w:pPr>
        <w:spacing w:before="80" w:after="80" w:line="360" w:lineRule="auto"/>
        <w:ind w:firstLine="720"/>
        <w:jc w:val="both"/>
      </w:pPr>
      <w:r>
        <w:t>Gutta-percha was removed with Peeso reamers (sizes 1–4, Mani Inc., Japan), preserving a minimum 5 mm apical seal. A standardized post space depth of 9 mm from the coronal surface was established using a silicone stopper. Post spaces were irrigated with 3% NaOCl, rinsed with distilled water, and dried with sterile paper points.</w:t>
      </w:r>
    </w:p>
    <w:p w14:paraId="44263F5C" w14:textId="77777777" w:rsidR="00B704C9" w:rsidRDefault="00304A10">
      <w:pPr>
        <w:spacing w:before="220" w:after="100"/>
      </w:pPr>
      <w:r>
        <w:rPr>
          <w:b/>
          <w:bCs/>
          <w:i/>
          <w:iCs/>
        </w:rPr>
        <w:t>3.5 CAD/CAM Fabrication of PEEK Posts (Group II)</w:t>
      </w:r>
    </w:p>
    <w:p w14:paraId="0A599207" w14:textId="77777777" w:rsidR="00B704C9" w:rsidRDefault="00304A10">
      <w:pPr>
        <w:spacing w:before="80" w:after="80" w:line="360" w:lineRule="auto"/>
        <w:ind w:firstLine="720"/>
        <w:jc w:val="both"/>
      </w:pPr>
      <w:r>
        <w:t>Prepared post spaces were digitally scanned using an intraoral Prime Scan scanner (Dentsply Sirona, Germany). Scan data were imported into Inlab CAD software (MCX5 22.1.1, Germany) for custom post design. Posts were milled from 98 × 12 mm PEEK blanks using the Inlab MCX5 milling machine (Dentsply Sirona), producing anatomically adapted post forms matching each specimen's individual canal morphology.</w:t>
      </w:r>
    </w:p>
    <w:p w14:paraId="2943D5B6" w14:textId="77777777" w:rsidR="00B704C9" w:rsidRDefault="00304A10">
      <w:pPr>
        <w:spacing w:before="220" w:after="100"/>
      </w:pPr>
      <w:r>
        <w:rPr>
          <w:b/>
          <w:bCs/>
          <w:i/>
          <w:iCs/>
        </w:rPr>
        <w:t>3.6 Surface Treatment and Cementation Protocol</w:t>
      </w:r>
    </w:p>
    <w:p w14:paraId="2A6A5F51" w14:textId="77777777" w:rsidR="00B704C9" w:rsidRDefault="00304A10">
      <w:pPr>
        <w:spacing w:before="80" w:after="80" w:line="360" w:lineRule="auto"/>
        <w:ind w:firstLine="720"/>
        <w:jc w:val="both"/>
      </w:pPr>
      <w:r>
        <w:t>All posts in both groups underwent identical dual surface treatment. Posts were sandblasted with 50 µm Al₂O₃ particles at 2 bar pressure for 10 seconds, with the spray nozzle perpendicular to and 10 mm from the post surface. Specimens were rinsed with running water and dried with oil-free compressed air for 10 seconds. Silane coupling agent (Silano, Angelus, Brazil) was applied and gently air-dried. Posts were luted using self-etch self-adhesive dual-cure resin cement (Maxcem Elite, Kerr, Australia) per manufacturer's instructions. Cement was delivered intracanally via intracanal tips (Denmax, India), posts were seated under steady finger pressure, and light-cured for 20 seconds. Cemented specimens were stored in distilled water at 37°C for 24 hours prior to sectioning.</w:t>
      </w:r>
    </w:p>
    <w:p w14:paraId="4DD762BE" w14:textId="77777777" w:rsidR="00B704C9" w:rsidRDefault="00304A10">
      <w:pPr>
        <w:spacing w:before="220" w:after="100"/>
      </w:pPr>
      <w:r>
        <w:rPr>
          <w:b/>
          <w:bCs/>
          <w:i/>
          <w:iCs/>
        </w:rPr>
        <w:t>3.7 Sectioning and Pushout Bond Strength Testing</w:t>
      </w:r>
    </w:p>
    <w:p w14:paraId="5AF3F554" w14:textId="77777777" w:rsidR="00B704C9" w:rsidRDefault="00304A10">
      <w:pPr>
        <w:spacing w:before="80" w:after="80" w:line="360" w:lineRule="auto"/>
        <w:ind w:firstLine="720"/>
        <w:jc w:val="both"/>
      </w:pPr>
      <w:r>
        <w:t xml:space="preserve">Each specimen was sectioned transversely perpendicular to the post long axis using a hard tissue microtome (Leica SP 1600, India) under continuous water irrigation, yielding three 2 mm slices representing the coronal, middle, and apical thirds. Pushout testing was performed on a universal testing machine (Hounsfield, China) at a crosshead speed of 1.0 mm/min until complete post extrusion. Peak load at failure (N) was converted to bond strength (MPa) using the formula: </w:t>
      </w:r>
      <w:r>
        <w:lastRenderedPageBreak/>
        <w:t>A = π(R₁ + R₂)√[(R₁ − R₂)² + h²], where R₁ and R₂ are the largest and smallest radii of the section and h is the slice thickness.</w:t>
      </w:r>
    </w:p>
    <w:p w14:paraId="5C177D57" w14:textId="77777777" w:rsidR="00B704C9" w:rsidRDefault="00304A10">
      <w:pPr>
        <w:spacing w:before="220" w:after="100"/>
      </w:pPr>
      <w:r>
        <w:rPr>
          <w:b/>
          <w:bCs/>
          <w:i/>
          <w:iCs/>
        </w:rPr>
        <w:t>3.8 Statistical Analysis</w:t>
      </w:r>
    </w:p>
    <w:p w14:paraId="0C306D0B" w14:textId="77777777" w:rsidR="00B704C9" w:rsidRDefault="00304A10">
      <w:pPr>
        <w:spacing w:before="80" w:after="80" w:line="360" w:lineRule="auto"/>
        <w:ind w:firstLine="720"/>
        <w:jc w:val="both"/>
      </w:pPr>
      <w:r>
        <w:t>Data were analyzed using SPSS version 28.0.1. Descriptive statistics (mean, standard deviation, minimum, and maximum) were calculated for each subgroup. Intergroup differences (Group I vs Group II) at each root third were evaluated using the independent samples t-test. Intragroup regional variation (coronal vs middle vs apical) within each group was assessed by one-way ANOVA. Significant ANOVA results were followed by Bonferroni-corrected pairwise post hoc comparisons (k = 3 comparisons per group). A p-value &lt; 0.05 was considered statistically significant.</w:t>
      </w:r>
    </w:p>
    <w:p w14:paraId="38D3EAD4" w14:textId="77777777" w:rsidR="00B704C9" w:rsidRDefault="00304A10">
      <w:pPr>
        <w:spacing w:before="340" w:after="140"/>
      </w:pPr>
      <w:r>
        <w:rPr>
          <w:b/>
          <w:bCs/>
          <w:color w:val="1F3864"/>
          <w:sz w:val="28"/>
          <w:szCs w:val="28"/>
        </w:rPr>
        <w:t>4. RESULTS</w:t>
      </w:r>
    </w:p>
    <w:p w14:paraId="34E4AAD2" w14:textId="77777777" w:rsidR="00B704C9" w:rsidRDefault="00304A10">
      <w:pPr>
        <w:spacing w:before="80" w:after="80" w:line="360" w:lineRule="auto"/>
        <w:ind w:firstLine="720"/>
        <w:jc w:val="both"/>
      </w:pPr>
      <w:r>
        <w:t>A total of 22 specimens — 11 per group, yielding 3 sections each (33 observations per group) — were evaluated for push-out bond strength. The research hypothesis (H₁) that a significant difference in push-out bond strength exists between surface-treated FRC posts and CAD/CAM milled PEEK posts was confirmed; the null hypothesis (H₀) was rejected (independent t-test, p &lt; 0.001 at all root thirds).</w:t>
      </w:r>
    </w:p>
    <w:p w14:paraId="437A1208" w14:textId="77777777" w:rsidR="00B704C9" w:rsidRDefault="00304A10">
      <w:pPr>
        <w:spacing w:before="220" w:after="100"/>
      </w:pPr>
      <w:r>
        <w:rPr>
          <w:b/>
          <w:bCs/>
          <w:i/>
          <w:iCs/>
        </w:rPr>
        <w:t>4.1 Descriptive Statistics</w:t>
      </w:r>
    </w:p>
    <w:p w14:paraId="3D128B48" w14:textId="77777777" w:rsidR="00B704C9" w:rsidRDefault="00304A10">
      <w:pPr>
        <w:spacing w:before="80" w:after="80" w:line="360" w:lineRule="auto"/>
        <w:ind w:firstLine="720"/>
        <w:jc w:val="both"/>
      </w:pPr>
      <w:r>
        <w:t>Descriptive statistics for all six subgroups are presented in Table 1. Group I (FRC posts) recorded mean push-out bond strength of 7.74 ± 1.60 MPa at the coronal third, 7.53 ± 0.92 MPa at the middle third, and 6.36 ± 0.80 MPa at the apical third. The coronal subgroup demonstrated the widest spread (range: 5.71–11.42 MPa), reflecting inter-specimen variability arising from the geometric mismatch between the prefabricated post diameter and the wider, more variable coronal canal lumen. Group II (PEEK posts) recorded substantially higher values of 11.86 ± 1.14 MPa (coronal), 12.33 ± 0.75 MPa (middle), and 10.99 ± 0.69 MPa (apical). Standard deviations in Group II were consistently narrower than those in Group I at all three levels, indicating more uniform bonding attributable to the close anatomical canal adaptation achieved by CAD/CAM fabrication. In both groups, the middle third yielded the highest and the apical third the lowest mean push-out bond strength.</w:t>
      </w:r>
    </w:p>
    <w:p w14:paraId="0B7622D9" w14:textId="77777777" w:rsidR="00B704C9" w:rsidRDefault="00B704C9"/>
    <w:p w14:paraId="4E23A291" w14:textId="77777777" w:rsidR="00B704C9" w:rsidRDefault="00304A10">
      <w:pPr>
        <w:spacing w:before="180" w:after="60"/>
      </w:pPr>
      <w:r>
        <w:rPr>
          <w:b/>
          <w:bCs/>
          <w:sz w:val="22"/>
          <w:szCs w:val="22"/>
        </w:rPr>
        <w:lastRenderedPageBreak/>
        <w:t>Table 1. Descriptive Statistics of Pushout Bond Strength (MPa) by Subgroup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9"/>
        <w:gridCol w:w="587"/>
        <w:gridCol w:w="2073"/>
        <w:gridCol w:w="1521"/>
      </w:tblGrid>
      <w:tr w:rsidR="00B704C9" w14:paraId="331D22D7" w14:textId="77777777">
        <w:tc>
          <w:tcPr>
            <w:tcW w:w="30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4820764F" w14:textId="77777777" w:rsidR="00B704C9" w:rsidRDefault="00304A10">
            <w:pPr>
              <w:jc w:val="center"/>
            </w:pPr>
            <w:r>
              <w:rPr>
                <w:b/>
                <w:bCs/>
                <w:color w:val="FFFFFF"/>
                <w:sz w:val="20"/>
                <w:szCs w:val="20"/>
              </w:rPr>
              <w:t>Subgroup</w:t>
            </w:r>
          </w:p>
        </w:tc>
        <w:tc>
          <w:tcPr>
            <w:tcW w:w="7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2067822D" w14:textId="77777777" w:rsidR="00B704C9" w:rsidRDefault="00304A10">
            <w:pPr>
              <w:jc w:val="center"/>
            </w:pPr>
            <w:r>
              <w:rPr>
                <w:b/>
                <w:bCs/>
                <w:color w:val="FFFFFF"/>
                <w:sz w:val="20"/>
                <w:szCs w:val="20"/>
              </w:rPr>
              <w:t>n</w:t>
            </w:r>
          </w:p>
        </w:tc>
        <w:tc>
          <w:tcPr>
            <w:tcW w:w="34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DF9CB25" w14:textId="77777777" w:rsidR="00B704C9" w:rsidRDefault="00304A10">
            <w:pPr>
              <w:jc w:val="center"/>
            </w:pPr>
            <w:r>
              <w:rPr>
                <w:b/>
                <w:bCs/>
                <w:color w:val="FFFFFF"/>
                <w:sz w:val="20"/>
                <w:szCs w:val="20"/>
              </w:rPr>
              <w:t>Mean ± SD (MPa)</w:t>
            </w:r>
          </w:p>
        </w:tc>
        <w:tc>
          <w:tcPr>
            <w:tcW w:w="226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2F31944" w14:textId="77777777" w:rsidR="00B704C9" w:rsidRDefault="00304A10">
            <w:pPr>
              <w:jc w:val="center"/>
            </w:pPr>
            <w:r>
              <w:rPr>
                <w:b/>
                <w:bCs/>
                <w:color w:val="FFFFFF"/>
                <w:sz w:val="20"/>
                <w:szCs w:val="20"/>
              </w:rPr>
              <w:t>Range (MPa)</w:t>
            </w:r>
          </w:p>
        </w:tc>
      </w:tr>
      <w:tr w:rsidR="00B704C9" w14:paraId="2BCB2334" w14:textId="77777777">
        <w:trPr>
          <w:gridAfter w:val="3"/>
          <w:wAfter w:w="6360" w:type="dxa"/>
        </w:trPr>
        <w:tc>
          <w:tcPr>
            <w:tcW w:w="9360" w:type="dxa"/>
            <w:tcBorders>
              <w:top w:val="single" w:sz="4" w:space="0" w:color="999999"/>
              <w:left w:val="single" w:sz="4" w:space="0" w:color="999999"/>
              <w:bottom w:val="single" w:sz="4" w:space="0" w:color="999999"/>
              <w:right w:val="single" w:sz="4" w:space="0" w:color="999999"/>
            </w:tcBorders>
            <w:shd w:val="clear" w:color="auto" w:fill="DDEEFF"/>
            <w:tcMar>
              <w:top w:w="80" w:type="dxa"/>
              <w:left w:w="140" w:type="dxa"/>
              <w:bottom w:w="80" w:type="dxa"/>
              <w:right w:w="140" w:type="dxa"/>
            </w:tcMar>
          </w:tcPr>
          <w:p w14:paraId="7FCE6379" w14:textId="77777777" w:rsidR="00B704C9" w:rsidRDefault="00304A10">
            <w:r>
              <w:rPr>
                <w:b/>
                <w:bCs/>
                <w:sz w:val="20"/>
                <w:szCs w:val="20"/>
              </w:rPr>
              <w:t>Group I – Glass Fiber Reinforced Composite Resin (FRC) Post</w:t>
            </w:r>
          </w:p>
        </w:tc>
      </w:tr>
      <w:tr w:rsidR="00B704C9" w14:paraId="7DE518A9"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B123A50" w14:textId="77777777" w:rsidR="00B704C9" w:rsidRDefault="00304A10">
            <w:r>
              <w:rPr>
                <w:color w:val="000000"/>
                <w:sz w:val="20"/>
                <w:szCs w:val="20"/>
              </w:rPr>
              <w:t>Coronal (IA)</w:t>
            </w:r>
          </w:p>
        </w:tc>
        <w:tc>
          <w:tcPr>
            <w:tcW w:w="7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553E048"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DD02677" w14:textId="77777777" w:rsidR="00B704C9" w:rsidRDefault="00304A10">
            <w:pPr>
              <w:jc w:val="center"/>
            </w:pPr>
            <w:r>
              <w:rPr>
                <w:color w:val="000000"/>
                <w:sz w:val="20"/>
                <w:szCs w:val="20"/>
              </w:rPr>
              <w:t>7.74 ± 1.60</w:t>
            </w:r>
          </w:p>
        </w:tc>
        <w:tc>
          <w:tcPr>
            <w:tcW w:w="22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56063E5" w14:textId="77777777" w:rsidR="00B704C9" w:rsidRDefault="00304A10">
            <w:pPr>
              <w:jc w:val="center"/>
            </w:pPr>
            <w:r>
              <w:rPr>
                <w:color w:val="000000"/>
                <w:sz w:val="20"/>
                <w:szCs w:val="20"/>
              </w:rPr>
              <w:t>5.71 – 11.42</w:t>
            </w:r>
          </w:p>
        </w:tc>
      </w:tr>
      <w:tr w:rsidR="00B704C9" w14:paraId="0247FB50" w14:textId="77777777">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58F00EBE" w14:textId="77777777" w:rsidR="00B704C9" w:rsidRDefault="00304A10">
            <w:r>
              <w:rPr>
                <w:color w:val="000000"/>
                <w:sz w:val="20"/>
                <w:szCs w:val="20"/>
              </w:rPr>
              <w:t>Middle (IB)</w:t>
            </w:r>
          </w:p>
        </w:tc>
        <w:tc>
          <w:tcPr>
            <w:tcW w:w="7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0C7278E7"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E94DC49" w14:textId="77777777" w:rsidR="00B704C9" w:rsidRDefault="00304A10">
            <w:pPr>
              <w:jc w:val="center"/>
            </w:pPr>
            <w:r>
              <w:rPr>
                <w:color w:val="000000"/>
                <w:sz w:val="20"/>
                <w:szCs w:val="20"/>
              </w:rPr>
              <w:t>7.53 ± 0.92</w:t>
            </w:r>
          </w:p>
        </w:tc>
        <w:tc>
          <w:tcPr>
            <w:tcW w:w="22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FD38FFF" w14:textId="77777777" w:rsidR="00B704C9" w:rsidRDefault="00304A10">
            <w:pPr>
              <w:jc w:val="center"/>
            </w:pPr>
            <w:r>
              <w:rPr>
                <w:color w:val="000000"/>
                <w:sz w:val="20"/>
                <w:szCs w:val="20"/>
              </w:rPr>
              <w:t>6.19 – 9.04</w:t>
            </w:r>
          </w:p>
        </w:tc>
      </w:tr>
      <w:tr w:rsidR="00B704C9" w14:paraId="1E674495"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E80DF17" w14:textId="77777777" w:rsidR="00B704C9" w:rsidRDefault="00304A10">
            <w:r>
              <w:rPr>
                <w:color w:val="000000"/>
                <w:sz w:val="20"/>
                <w:szCs w:val="20"/>
              </w:rPr>
              <w:t>Apical (IC)</w:t>
            </w:r>
          </w:p>
        </w:tc>
        <w:tc>
          <w:tcPr>
            <w:tcW w:w="7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0FB4395"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25C8DE2" w14:textId="77777777" w:rsidR="00B704C9" w:rsidRDefault="00304A10">
            <w:pPr>
              <w:jc w:val="center"/>
            </w:pPr>
            <w:r>
              <w:rPr>
                <w:color w:val="000000"/>
                <w:sz w:val="20"/>
                <w:szCs w:val="20"/>
              </w:rPr>
              <w:t>6.36 ± 0.80</w:t>
            </w:r>
          </w:p>
        </w:tc>
        <w:tc>
          <w:tcPr>
            <w:tcW w:w="22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3BC0060" w14:textId="77777777" w:rsidR="00B704C9" w:rsidRDefault="00304A10">
            <w:pPr>
              <w:jc w:val="center"/>
            </w:pPr>
            <w:r>
              <w:rPr>
                <w:color w:val="000000"/>
                <w:sz w:val="20"/>
                <w:szCs w:val="20"/>
              </w:rPr>
              <w:t>5.23 – 7.61</w:t>
            </w:r>
          </w:p>
        </w:tc>
      </w:tr>
      <w:tr w:rsidR="00B704C9" w14:paraId="0720C215" w14:textId="77777777">
        <w:trPr>
          <w:gridAfter w:val="3"/>
          <w:wAfter w:w="6360" w:type="dxa"/>
        </w:trPr>
        <w:tc>
          <w:tcPr>
            <w:tcW w:w="9360" w:type="dxa"/>
            <w:tcBorders>
              <w:top w:val="single" w:sz="4" w:space="0" w:color="999999"/>
              <w:left w:val="single" w:sz="4" w:space="0" w:color="999999"/>
              <w:bottom w:val="single" w:sz="4" w:space="0" w:color="999999"/>
              <w:right w:val="single" w:sz="4" w:space="0" w:color="999999"/>
            </w:tcBorders>
            <w:shd w:val="clear" w:color="auto" w:fill="DDEEFF"/>
            <w:tcMar>
              <w:top w:w="80" w:type="dxa"/>
              <w:left w:w="140" w:type="dxa"/>
              <w:bottom w:w="80" w:type="dxa"/>
              <w:right w:w="140" w:type="dxa"/>
            </w:tcMar>
          </w:tcPr>
          <w:p w14:paraId="7ABEDC92" w14:textId="77777777" w:rsidR="00B704C9" w:rsidRDefault="00304A10">
            <w:r>
              <w:rPr>
                <w:b/>
                <w:bCs/>
                <w:sz w:val="20"/>
                <w:szCs w:val="20"/>
              </w:rPr>
              <w:t>Group II – CAD/CAM Milled PEEK Post</w:t>
            </w:r>
          </w:p>
        </w:tc>
      </w:tr>
      <w:tr w:rsidR="00B704C9" w14:paraId="35543D15"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EC2489E" w14:textId="77777777" w:rsidR="00B704C9" w:rsidRDefault="00304A10">
            <w:r>
              <w:rPr>
                <w:color w:val="000000"/>
                <w:sz w:val="20"/>
                <w:szCs w:val="20"/>
              </w:rPr>
              <w:t>Coronal (IIA)</w:t>
            </w:r>
          </w:p>
        </w:tc>
        <w:tc>
          <w:tcPr>
            <w:tcW w:w="7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E689696"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D65D362" w14:textId="77777777" w:rsidR="00B704C9" w:rsidRDefault="00304A10">
            <w:pPr>
              <w:jc w:val="center"/>
            </w:pPr>
            <w:r>
              <w:rPr>
                <w:color w:val="000000"/>
                <w:sz w:val="20"/>
                <w:szCs w:val="20"/>
              </w:rPr>
              <w:t>11.86 ± 1.14</w:t>
            </w:r>
          </w:p>
        </w:tc>
        <w:tc>
          <w:tcPr>
            <w:tcW w:w="22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66B16BD" w14:textId="77777777" w:rsidR="00B704C9" w:rsidRDefault="00304A10">
            <w:pPr>
              <w:jc w:val="center"/>
            </w:pPr>
            <w:r>
              <w:rPr>
                <w:color w:val="000000"/>
                <w:sz w:val="20"/>
                <w:szCs w:val="20"/>
              </w:rPr>
              <w:t>10.47 – 13.80</w:t>
            </w:r>
          </w:p>
        </w:tc>
      </w:tr>
      <w:tr w:rsidR="00B704C9" w14:paraId="7FD48830" w14:textId="77777777">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7BB82219" w14:textId="77777777" w:rsidR="00B704C9" w:rsidRDefault="00304A10">
            <w:r>
              <w:rPr>
                <w:color w:val="000000"/>
                <w:sz w:val="20"/>
                <w:szCs w:val="20"/>
              </w:rPr>
              <w:t>Middle (IIB)</w:t>
            </w:r>
          </w:p>
        </w:tc>
        <w:tc>
          <w:tcPr>
            <w:tcW w:w="7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62010042"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5B73C276" w14:textId="77777777" w:rsidR="00B704C9" w:rsidRDefault="00304A10">
            <w:pPr>
              <w:jc w:val="center"/>
            </w:pPr>
            <w:r>
              <w:rPr>
                <w:color w:val="000000"/>
                <w:sz w:val="20"/>
                <w:szCs w:val="20"/>
              </w:rPr>
              <w:t>12.33 ± 0.75</w:t>
            </w:r>
          </w:p>
        </w:tc>
        <w:tc>
          <w:tcPr>
            <w:tcW w:w="22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02F80495" w14:textId="77777777" w:rsidR="00B704C9" w:rsidRDefault="00304A10">
            <w:pPr>
              <w:jc w:val="center"/>
            </w:pPr>
            <w:r>
              <w:rPr>
                <w:color w:val="000000"/>
                <w:sz w:val="20"/>
                <w:szCs w:val="20"/>
              </w:rPr>
              <w:t>11.42 – 13.80</w:t>
            </w:r>
          </w:p>
        </w:tc>
      </w:tr>
      <w:tr w:rsidR="00B704C9" w14:paraId="191E9E3D"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779A542" w14:textId="77777777" w:rsidR="00B704C9" w:rsidRDefault="00304A10">
            <w:r>
              <w:rPr>
                <w:color w:val="000000"/>
                <w:sz w:val="20"/>
                <w:szCs w:val="20"/>
              </w:rPr>
              <w:t>Apical (IIC)</w:t>
            </w:r>
          </w:p>
        </w:tc>
        <w:tc>
          <w:tcPr>
            <w:tcW w:w="7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0C59D49" w14:textId="77777777" w:rsidR="00B704C9" w:rsidRDefault="00304A10">
            <w:pPr>
              <w:jc w:val="center"/>
            </w:pPr>
            <w:r>
              <w:rPr>
                <w:color w:val="000000"/>
                <w:sz w:val="20"/>
                <w:szCs w:val="20"/>
              </w:rPr>
              <w:t>11</w:t>
            </w:r>
          </w:p>
        </w:tc>
        <w:tc>
          <w:tcPr>
            <w:tcW w:w="34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82FB7DD" w14:textId="77777777" w:rsidR="00B704C9" w:rsidRDefault="00304A10">
            <w:pPr>
              <w:jc w:val="center"/>
            </w:pPr>
            <w:r>
              <w:rPr>
                <w:color w:val="000000"/>
                <w:sz w:val="20"/>
                <w:szCs w:val="20"/>
              </w:rPr>
              <w:t>10.99 ± 0.69</w:t>
            </w:r>
          </w:p>
        </w:tc>
        <w:tc>
          <w:tcPr>
            <w:tcW w:w="22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9AD518E" w14:textId="77777777" w:rsidR="00B704C9" w:rsidRDefault="00304A10">
            <w:pPr>
              <w:jc w:val="center"/>
            </w:pPr>
            <w:r>
              <w:rPr>
                <w:color w:val="000000"/>
                <w:sz w:val="20"/>
                <w:szCs w:val="20"/>
              </w:rPr>
              <w:t>10.00 – 11.90</w:t>
            </w:r>
          </w:p>
        </w:tc>
      </w:tr>
    </w:tbl>
    <w:p w14:paraId="46A941FB" w14:textId="77777777" w:rsidR="00B704C9" w:rsidRDefault="00304A10">
      <w:pPr>
        <w:spacing w:before="60" w:after="180"/>
      </w:pPr>
      <w:r>
        <w:rPr>
          <w:i/>
          <w:iCs/>
          <w:sz w:val="19"/>
          <w:szCs w:val="19"/>
        </w:rPr>
        <w:t>SD = standard deviation. Subgroup labels: IA/IB/IC = Group I coronal/middle/apical; IIA/IIB/IIC = Group II coronal/middle/apical.</w:t>
      </w:r>
    </w:p>
    <w:p w14:paraId="66552062" w14:textId="77777777" w:rsidR="00B704C9" w:rsidRDefault="00304A10">
      <w:pPr>
        <w:spacing w:before="220" w:after="100"/>
      </w:pPr>
      <w:r>
        <w:rPr>
          <w:b/>
          <w:bCs/>
          <w:i/>
          <w:iCs/>
        </w:rPr>
        <w:t>4.2 Independent Samples t-Test: Intergroup Comparison</w:t>
      </w:r>
    </w:p>
    <w:p w14:paraId="6AC84683" w14:textId="77777777" w:rsidR="00B704C9" w:rsidRDefault="00304A10">
      <w:pPr>
        <w:spacing w:before="80" w:after="80" w:line="360" w:lineRule="auto"/>
        <w:ind w:firstLine="720"/>
        <w:jc w:val="both"/>
      </w:pPr>
      <w:r>
        <w:t>Table 2 presents intergroup comparisons at each root third. Group II (PEEK) demonstrated significantly higher push-out bond strength than Group I (FRC) at all three levels. At the coronal third, the mean difference was 4.12 MPa (t = −6.968; df = 20; p &lt; 0.001). At the middle third, the mean difference was 4.80 MPa (t = −13.382; df = 20; p &lt; 0.001). At the apical third, the mean difference was 4.63 MPa (t = −14.536; df = 20; p &lt; 0.001). The magnitude of the t-statistic increased progressively from coronal to apical, reflecting the greater consistency of Group II's advantage at deeper root levels where Group I recorded its lowest values.</w:t>
      </w:r>
    </w:p>
    <w:p w14:paraId="2045F38C" w14:textId="77777777" w:rsidR="00B704C9" w:rsidRDefault="00B704C9"/>
    <w:p w14:paraId="369D0153" w14:textId="77777777" w:rsidR="00B704C9" w:rsidRDefault="00304A10">
      <w:pPr>
        <w:spacing w:before="180" w:after="60"/>
      </w:pPr>
      <w:r>
        <w:rPr>
          <w:b/>
          <w:bCs/>
          <w:sz w:val="22"/>
          <w:szCs w:val="22"/>
        </w:rPr>
        <w:t>Table 2. Independent Samples t-Test: Group I vs Group II Pushout Bond Strength at Each Root Third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080"/>
        <w:gridCol w:w="2080"/>
        <w:gridCol w:w="1600"/>
        <w:gridCol w:w="1800"/>
      </w:tblGrid>
      <w:tr w:rsidR="00B704C9" w14:paraId="7322F65B" w14:textId="77777777">
        <w:tc>
          <w:tcPr>
            <w:tcW w:w="18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4048A139" w14:textId="77777777" w:rsidR="00B704C9" w:rsidRDefault="00304A10">
            <w:pPr>
              <w:jc w:val="center"/>
            </w:pPr>
            <w:r>
              <w:rPr>
                <w:b/>
                <w:bCs/>
                <w:color w:val="FFFFFF"/>
                <w:sz w:val="20"/>
                <w:szCs w:val="20"/>
              </w:rPr>
              <w:t>Root Section</w:t>
            </w:r>
          </w:p>
        </w:tc>
        <w:tc>
          <w:tcPr>
            <w:tcW w:w="208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D5DD9E7" w14:textId="77777777" w:rsidR="00B704C9" w:rsidRDefault="00304A10">
            <w:pPr>
              <w:jc w:val="center"/>
            </w:pPr>
            <w:r>
              <w:rPr>
                <w:b/>
                <w:bCs/>
                <w:color w:val="FFFFFF"/>
                <w:sz w:val="20"/>
                <w:szCs w:val="20"/>
              </w:rPr>
              <w:t>Group I Mean ± SD (MPa)</w:t>
            </w:r>
          </w:p>
        </w:tc>
        <w:tc>
          <w:tcPr>
            <w:tcW w:w="208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547D56B9" w14:textId="77777777" w:rsidR="00B704C9" w:rsidRDefault="00304A10">
            <w:pPr>
              <w:jc w:val="center"/>
            </w:pPr>
            <w:r>
              <w:rPr>
                <w:b/>
                <w:bCs/>
                <w:color w:val="FFFFFF"/>
                <w:sz w:val="20"/>
                <w:szCs w:val="20"/>
              </w:rPr>
              <w:t>Group II Mean ± SD (MPa)</w:t>
            </w:r>
          </w:p>
        </w:tc>
        <w:tc>
          <w:tcPr>
            <w:tcW w:w="16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6774CEF2" w14:textId="77777777" w:rsidR="00B704C9" w:rsidRDefault="00304A10">
            <w:pPr>
              <w:jc w:val="center"/>
            </w:pPr>
            <w:r>
              <w:rPr>
                <w:b/>
                <w:bCs/>
                <w:color w:val="FFFFFF"/>
                <w:sz w:val="20"/>
                <w:szCs w:val="20"/>
              </w:rPr>
              <w:t>t-value</w:t>
            </w:r>
          </w:p>
        </w:tc>
        <w:tc>
          <w:tcPr>
            <w:tcW w:w="18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07340EA8" w14:textId="77777777" w:rsidR="00B704C9" w:rsidRDefault="00304A10">
            <w:pPr>
              <w:jc w:val="center"/>
            </w:pPr>
            <w:r>
              <w:rPr>
                <w:b/>
                <w:bCs/>
                <w:color w:val="FFFFFF"/>
                <w:sz w:val="20"/>
                <w:szCs w:val="20"/>
              </w:rPr>
              <w:t>p-value</w:t>
            </w:r>
          </w:p>
        </w:tc>
      </w:tr>
      <w:tr w:rsidR="00B704C9" w14:paraId="05E73AA3" w14:textId="77777777">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F51EB29" w14:textId="77777777" w:rsidR="00B704C9" w:rsidRDefault="00304A10">
            <w:pPr>
              <w:jc w:val="center"/>
            </w:pPr>
            <w:r>
              <w:rPr>
                <w:color w:val="000000"/>
                <w:sz w:val="20"/>
                <w:szCs w:val="20"/>
              </w:rPr>
              <w:t>Coronal</w:t>
            </w:r>
          </w:p>
        </w:tc>
        <w:tc>
          <w:tcPr>
            <w:tcW w:w="2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4B73F2A" w14:textId="77777777" w:rsidR="00B704C9" w:rsidRDefault="00304A10">
            <w:pPr>
              <w:jc w:val="center"/>
            </w:pPr>
            <w:r>
              <w:rPr>
                <w:color w:val="000000"/>
                <w:sz w:val="20"/>
                <w:szCs w:val="20"/>
              </w:rPr>
              <w:t>7.74 ± 1.60</w:t>
            </w:r>
          </w:p>
        </w:tc>
        <w:tc>
          <w:tcPr>
            <w:tcW w:w="2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4FEFBBC" w14:textId="77777777" w:rsidR="00B704C9" w:rsidRDefault="00304A10">
            <w:pPr>
              <w:jc w:val="center"/>
            </w:pPr>
            <w:r>
              <w:rPr>
                <w:color w:val="000000"/>
                <w:sz w:val="20"/>
                <w:szCs w:val="20"/>
              </w:rPr>
              <w:t>11.86 ± 1.14</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50C2E17" w14:textId="77777777" w:rsidR="00B704C9" w:rsidRDefault="00304A10">
            <w:pPr>
              <w:jc w:val="center"/>
            </w:pPr>
            <w:r>
              <w:rPr>
                <w:color w:val="000000"/>
                <w:sz w:val="20"/>
                <w:szCs w:val="20"/>
              </w:rPr>
              <w:t>−6.968</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F511D8C" w14:textId="77777777" w:rsidR="00B704C9" w:rsidRDefault="00304A10">
            <w:pPr>
              <w:jc w:val="center"/>
            </w:pPr>
            <w:r>
              <w:rPr>
                <w:b/>
                <w:bCs/>
                <w:color w:val="000000"/>
                <w:sz w:val="20"/>
                <w:szCs w:val="20"/>
              </w:rPr>
              <w:t>&lt; 0.001***</w:t>
            </w:r>
          </w:p>
        </w:tc>
      </w:tr>
      <w:tr w:rsidR="00B704C9" w14:paraId="0B9C5672" w14:textId="77777777">
        <w:tc>
          <w:tcPr>
            <w:tcW w:w="1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2C12A3A" w14:textId="77777777" w:rsidR="00B704C9" w:rsidRDefault="00304A10">
            <w:pPr>
              <w:jc w:val="center"/>
            </w:pPr>
            <w:r>
              <w:rPr>
                <w:color w:val="000000"/>
                <w:sz w:val="20"/>
                <w:szCs w:val="20"/>
              </w:rPr>
              <w:t>Middle</w:t>
            </w:r>
          </w:p>
        </w:tc>
        <w:tc>
          <w:tcPr>
            <w:tcW w:w="20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77DB097" w14:textId="77777777" w:rsidR="00B704C9" w:rsidRDefault="00304A10">
            <w:pPr>
              <w:jc w:val="center"/>
            </w:pPr>
            <w:r>
              <w:rPr>
                <w:color w:val="000000"/>
                <w:sz w:val="20"/>
                <w:szCs w:val="20"/>
              </w:rPr>
              <w:t>7.53 ± 0.92</w:t>
            </w:r>
          </w:p>
        </w:tc>
        <w:tc>
          <w:tcPr>
            <w:tcW w:w="208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BEC4933" w14:textId="77777777" w:rsidR="00B704C9" w:rsidRDefault="00304A10">
            <w:pPr>
              <w:jc w:val="center"/>
            </w:pPr>
            <w:r>
              <w:rPr>
                <w:color w:val="000000"/>
                <w:sz w:val="20"/>
                <w:szCs w:val="20"/>
              </w:rPr>
              <w:t>12.33 ± 0.75</w:t>
            </w:r>
          </w:p>
        </w:tc>
        <w:tc>
          <w:tcPr>
            <w:tcW w:w="16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2C11A25" w14:textId="77777777" w:rsidR="00B704C9" w:rsidRDefault="00304A10">
            <w:pPr>
              <w:jc w:val="center"/>
            </w:pPr>
            <w:r>
              <w:rPr>
                <w:color w:val="000000"/>
                <w:sz w:val="20"/>
                <w:szCs w:val="20"/>
              </w:rPr>
              <w:t>−13.382</w:t>
            </w:r>
          </w:p>
        </w:tc>
        <w:tc>
          <w:tcPr>
            <w:tcW w:w="1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0514D782" w14:textId="77777777" w:rsidR="00B704C9" w:rsidRDefault="00304A10">
            <w:pPr>
              <w:jc w:val="center"/>
            </w:pPr>
            <w:r>
              <w:rPr>
                <w:b/>
                <w:bCs/>
                <w:color w:val="000000"/>
                <w:sz w:val="20"/>
                <w:szCs w:val="20"/>
              </w:rPr>
              <w:t>&lt; 0.001***</w:t>
            </w:r>
          </w:p>
        </w:tc>
      </w:tr>
      <w:tr w:rsidR="00B704C9" w14:paraId="40441515" w14:textId="77777777">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7ACFA15" w14:textId="77777777" w:rsidR="00B704C9" w:rsidRDefault="00304A10">
            <w:pPr>
              <w:jc w:val="center"/>
            </w:pPr>
            <w:r>
              <w:rPr>
                <w:color w:val="000000"/>
                <w:sz w:val="20"/>
                <w:szCs w:val="20"/>
              </w:rPr>
              <w:t>Apical</w:t>
            </w:r>
          </w:p>
        </w:tc>
        <w:tc>
          <w:tcPr>
            <w:tcW w:w="2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202A09E" w14:textId="77777777" w:rsidR="00B704C9" w:rsidRDefault="00304A10">
            <w:pPr>
              <w:jc w:val="center"/>
            </w:pPr>
            <w:r>
              <w:rPr>
                <w:color w:val="000000"/>
                <w:sz w:val="20"/>
                <w:szCs w:val="20"/>
              </w:rPr>
              <w:t>6.36 ± 0.80</w:t>
            </w:r>
          </w:p>
        </w:tc>
        <w:tc>
          <w:tcPr>
            <w:tcW w:w="208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9D88E97" w14:textId="77777777" w:rsidR="00B704C9" w:rsidRDefault="00304A10">
            <w:pPr>
              <w:jc w:val="center"/>
            </w:pPr>
            <w:r>
              <w:rPr>
                <w:color w:val="000000"/>
                <w:sz w:val="20"/>
                <w:szCs w:val="20"/>
              </w:rPr>
              <w:t>10.99 ± 0.69</w:t>
            </w:r>
          </w:p>
        </w:tc>
        <w:tc>
          <w:tcPr>
            <w:tcW w:w="16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3E2EB61" w14:textId="77777777" w:rsidR="00B704C9" w:rsidRDefault="00304A10">
            <w:pPr>
              <w:jc w:val="center"/>
            </w:pPr>
            <w:r>
              <w:rPr>
                <w:color w:val="000000"/>
                <w:sz w:val="20"/>
                <w:szCs w:val="20"/>
              </w:rPr>
              <w:t>−14.536</w:t>
            </w:r>
          </w:p>
        </w:tc>
        <w:tc>
          <w:tcPr>
            <w:tcW w:w="18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36CCEBE" w14:textId="77777777" w:rsidR="00B704C9" w:rsidRDefault="00304A10">
            <w:pPr>
              <w:jc w:val="center"/>
            </w:pPr>
            <w:r>
              <w:rPr>
                <w:b/>
                <w:bCs/>
                <w:color w:val="000000"/>
                <w:sz w:val="20"/>
                <w:szCs w:val="20"/>
              </w:rPr>
              <w:t>&lt; 0.001***</w:t>
            </w:r>
          </w:p>
        </w:tc>
      </w:tr>
    </w:tbl>
    <w:p w14:paraId="0EE99A1A" w14:textId="77777777" w:rsidR="00B704C9" w:rsidRDefault="00304A10">
      <w:pPr>
        <w:spacing w:before="60" w:after="180"/>
      </w:pPr>
      <w:r>
        <w:rPr>
          <w:i/>
          <w:iCs/>
          <w:sz w:val="19"/>
          <w:szCs w:val="19"/>
        </w:rPr>
        <w:t>*** p &lt; 0.001. Negative t-values indicate Group II &gt; Group I. df = 20 for all comparisons. Levene's test for equality of variances was non-significant for all sections (p &gt; 0.05); equal variances assumed.</w:t>
      </w:r>
    </w:p>
    <w:p w14:paraId="32C99842" w14:textId="77777777" w:rsidR="00B704C9" w:rsidRDefault="00304A10">
      <w:pPr>
        <w:spacing w:before="220" w:after="100"/>
      </w:pPr>
      <w:r>
        <w:rPr>
          <w:b/>
          <w:bCs/>
          <w:i/>
          <w:iCs/>
        </w:rPr>
        <w:t>4.3 One-Way ANOVA: Intragroup Regional Variation</w:t>
      </w:r>
    </w:p>
    <w:p w14:paraId="7AE2FA62" w14:textId="77777777" w:rsidR="00B704C9" w:rsidRDefault="00304A10">
      <w:pPr>
        <w:spacing w:before="80" w:after="80" w:line="360" w:lineRule="auto"/>
        <w:ind w:firstLine="720"/>
        <w:jc w:val="both"/>
      </w:pPr>
      <w:r>
        <w:t xml:space="preserve">One-way ANOVA was applied separately within each group to determine whether push-out bond strength varied significantly across the three root thirds (Table 3). Within Group I (FRC </w:t>
      </w:r>
      <w:r>
        <w:lastRenderedPageBreak/>
        <w:t>posts), ANOVA revealed a statistically significant regional effect [F(2,30) = 4.497; p = 0.020], confirming that bond strength was not uniform across the coronal, middle, and apical thirds. Within Group II (PEEK posts), the regional effect was more pronounced [F(2,30) = 6.566; p = 0.004]. The overall ANOVA incorporating all six subgroups confirmed a highly significant global difference [F(5,60) = 67.582; p &lt; 0.001], attributable primarily to the large between-group effect but also to significant intragroup regional gradients.</w:t>
      </w:r>
    </w:p>
    <w:p w14:paraId="70AC7CB5" w14:textId="77777777" w:rsidR="00B704C9" w:rsidRDefault="00B704C9"/>
    <w:p w14:paraId="24391661" w14:textId="77777777" w:rsidR="00B704C9" w:rsidRDefault="00304A10">
      <w:pPr>
        <w:spacing w:before="180" w:after="60"/>
      </w:pPr>
      <w:r>
        <w:rPr>
          <w:b/>
          <w:bCs/>
          <w:sz w:val="22"/>
          <w:szCs w:val="22"/>
        </w:rPr>
        <w:t>Table 3. One-Way ANOVA: Regional Pushout Bond Strength Variation Within Groups and Overall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00"/>
        <w:gridCol w:w="1000"/>
        <w:gridCol w:w="1760"/>
        <w:gridCol w:w="1000"/>
        <w:gridCol w:w="2500"/>
      </w:tblGrid>
      <w:tr w:rsidR="00B704C9" w14:paraId="0FE8F1E5" w14:textId="77777777">
        <w:tc>
          <w:tcPr>
            <w:tcW w:w="31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D1C4CFF" w14:textId="77777777" w:rsidR="00B704C9" w:rsidRDefault="00304A10">
            <w:pPr>
              <w:jc w:val="center"/>
            </w:pPr>
            <w:r>
              <w:rPr>
                <w:b/>
                <w:bCs/>
                <w:color w:val="FFFFFF"/>
                <w:sz w:val="20"/>
                <w:szCs w:val="20"/>
              </w:rPr>
              <w:t>Group (Comparison)</w:t>
            </w:r>
          </w:p>
        </w:tc>
        <w:tc>
          <w:tcPr>
            <w:tcW w:w="10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01C2B09A" w14:textId="77777777" w:rsidR="00B704C9" w:rsidRDefault="00304A10">
            <w:pPr>
              <w:jc w:val="center"/>
            </w:pPr>
            <w:r>
              <w:rPr>
                <w:b/>
                <w:bCs/>
                <w:color w:val="FFFFFF"/>
                <w:sz w:val="20"/>
                <w:szCs w:val="20"/>
              </w:rPr>
              <w:t>df between</w:t>
            </w:r>
          </w:p>
        </w:tc>
        <w:tc>
          <w:tcPr>
            <w:tcW w:w="176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24FDAEE2" w14:textId="77777777" w:rsidR="00B704C9" w:rsidRDefault="00304A10">
            <w:pPr>
              <w:jc w:val="center"/>
            </w:pPr>
            <w:r>
              <w:rPr>
                <w:b/>
                <w:bCs/>
                <w:color w:val="FFFFFF"/>
                <w:sz w:val="20"/>
                <w:szCs w:val="20"/>
              </w:rPr>
              <w:t>F-value</w:t>
            </w:r>
          </w:p>
        </w:tc>
        <w:tc>
          <w:tcPr>
            <w:tcW w:w="10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332ACAA7" w14:textId="77777777" w:rsidR="00B704C9" w:rsidRDefault="00304A10">
            <w:pPr>
              <w:jc w:val="center"/>
            </w:pPr>
            <w:r>
              <w:rPr>
                <w:b/>
                <w:bCs/>
                <w:color w:val="FFFFFF"/>
                <w:sz w:val="20"/>
                <w:szCs w:val="20"/>
              </w:rPr>
              <w:t>df within</w:t>
            </w:r>
          </w:p>
        </w:tc>
        <w:tc>
          <w:tcPr>
            <w:tcW w:w="25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0BAD3C24" w14:textId="77777777" w:rsidR="00B704C9" w:rsidRDefault="00304A10">
            <w:pPr>
              <w:jc w:val="center"/>
            </w:pPr>
            <w:r>
              <w:rPr>
                <w:b/>
                <w:bCs/>
                <w:color w:val="FFFFFF"/>
                <w:sz w:val="20"/>
                <w:szCs w:val="20"/>
              </w:rPr>
              <w:t>p-value</w:t>
            </w:r>
          </w:p>
        </w:tc>
      </w:tr>
      <w:tr w:rsidR="00B704C9" w14:paraId="70CA658C" w14:textId="77777777">
        <w:tc>
          <w:tcPr>
            <w:tcW w:w="3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694963C" w14:textId="77777777" w:rsidR="00B704C9" w:rsidRDefault="00304A10">
            <w:r>
              <w:rPr>
                <w:color w:val="000000"/>
                <w:sz w:val="20"/>
                <w:szCs w:val="20"/>
              </w:rPr>
              <w:t>Group I – FRC Post (IA vs IB vs IC)</w:t>
            </w:r>
          </w:p>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D5476E8" w14:textId="77777777" w:rsidR="00B704C9" w:rsidRDefault="00304A10">
            <w:pPr>
              <w:jc w:val="center"/>
            </w:pPr>
            <w:r>
              <w:rPr>
                <w:color w:val="000000"/>
                <w:sz w:val="20"/>
                <w:szCs w:val="20"/>
              </w:rPr>
              <w:t>2</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C62668A" w14:textId="77777777" w:rsidR="00B704C9" w:rsidRDefault="00304A10">
            <w:pPr>
              <w:jc w:val="center"/>
            </w:pPr>
            <w:r>
              <w:rPr>
                <w:color w:val="000000"/>
                <w:sz w:val="20"/>
                <w:szCs w:val="20"/>
              </w:rPr>
              <w:t>4.497</w:t>
            </w:r>
          </w:p>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604A82F" w14:textId="77777777" w:rsidR="00B704C9" w:rsidRDefault="00304A10">
            <w:pPr>
              <w:jc w:val="center"/>
            </w:pPr>
            <w:r>
              <w:rPr>
                <w:color w:val="000000"/>
                <w:sz w:val="20"/>
                <w:szCs w:val="20"/>
              </w:rPr>
              <w:t>30</w:t>
            </w:r>
          </w:p>
        </w:tc>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BB4C3DA" w14:textId="77777777" w:rsidR="00B704C9" w:rsidRDefault="00304A10">
            <w:pPr>
              <w:jc w:val="center"/>
            </w:pPr>
            <w:r>
              <w:rPr>
                <w:b/>
                <w:bCs/>
                <w:color w:val="000000"/>
                <w:sz w:val="20"/>
                <w:szCs w:val="20"/>
              </w:rPr>
              <w:t>0.020*</w:t>
            </w:r>
          </w:p>
        </w:tc>
      </w:tr>
      <w:tr w:rsidR="00B704C9" w14:paraId="2CF6801C" w14:textId="77777777">
        <w:tc>
          <w:tcPr>
            <w:tcW w:w="31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FA6A685" w14:textId="77777777" w:rsidR="00B704C9" w:rsidRDefault="00304A10">
            <w:r>
              <w:rPr>
                <w:color w:val="000000"/>
                <w:sz w:val="20"/>
                <w:szCs w:val="20"/>
              </w:rPr>
              <w:t>Group II – PEEK Post (IIA vs IIB vs IIC)</w:t>
            </w:r>
          </w:p>
        </w:tc>
        <w:tc>
          <w:tcPr>
            <w:tcW w:w="1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574EFD21" w14:textId="77777777" w:rsidR="00B704C9" w:rsidRDefault="00304A10">
            <w:pPr>
              <w:jc w:val="center"/>
            </w:pPr>
            <w:r>
              <w:rPr>
                <w:color w:val="000000"/>
                <w:sz w:val="20"/>
                <w:szCs w:val="20"/>
              </w:rPr>
              <w:t>2</w:t>
            </w:r>
          </w:p>
        </w:tc>
        <w:tc>
          <w:tcPr>
            <w:tcW w:w="17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0C51B967" w14:textId="77777777" w:rsidR="00B704C9" w:rsidRDefault="00304A10">
            <w:pPr>
              <w:jc w:val="center"/>
            </w:pPr>
            <w:r>
              <w:rPr>
                <w:color w:val="000000"/>
                <w:sz w:val="20"/>
                <w:szCs w:val="20"/>
              </w:rPr>
              <w:t>6.566</w:t>
            </w:r>
          </w:p>
        </w:tc>
        <w:tc>
          <w:tcPr>
            <w:tcW w:w="1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364252CD" w14:textId="77777777" w:rsidR="00B704C9" w:rsidRDefault="00304A10">
            <w:pPr>
              <w:jc w:val="center"/>
            </w:pPr>
            <w:r>
              <w:rPr>
                <w:color w:val="000000"/>
                <w:sz w:val="20"/>
                <w:szCs w:val="20"/>
              </w:rPr>
              <w:t>30</w:t>
            </w:r>
          </w:p>
        </w:tc>
        <w:tc>
          <w:tcPr>
            <w:tcW w:w="25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296F46A9" w14:textId="77777777" w:rsidR="00B704C9" w:rsidRDefault="00304A10">
            <w:pPr>
              <w:jc w:val="center"/>
            </w:pPr>
            <w:r>
              <w:rPr>
                <w:b/>
                <w:bCs/>
                <w:color w:val="000000"/>
                <w:sz w:val="20"/>
                <w:szCs w:val="20"/>
              </w:rPr>
              <w:t>0.004**</w:t>
            </w:r>
          </w:p>
        </w:tc>
      </w:tr>
      <w:tr w:rsidR="00B704C9" w14:paraId="58E01910" w14:textId="77777777">
        <w:tc>
          <w:tcPr>
            <w:tcW w:w="31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79D8D4A" w14:textId="77777777" w:rsidR="00B704C9" w:rsidRDefault="00304A10">
            <w:r>
              <w:rPr>
                <w:color w:val="000000"/>
                <w:sz w:val="20"/>
                <w:szCs w:val="20"/>
              </w:rPr>
              <w:t>Overall – All 6 Subgroups</w:t>
            </w:r>
          </w:p>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241FE90" w14:textId="77777777" w:rsidR="00B704C9" w:rsidRDefault="00304A10">
            <w:pPr>
              <w:jc w:val="center"/>
            </w:pPr>
            <w:r>
              <w:rPr>
                <w:color w:val="000000"/>
                <w:sz w:val="20"/>
                <w:szCs w:val="20"/>
              </w:rPr>
              <w:t>5</w:t>
            </w:r>
          </w:p>
        </w:tc>
        <w:tc>
          <w:tcPr>
            <w:tcW w:w="17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8CFBA5E" w14:textId="77777777" w:rsidR="00B704C9" w:rsidRDefault="00304A10">
            <w:pPr>
              <w:jc w:val="center"/>
            </w:pPr>
            <w:r>
              <w:rPr>
                <w:color w:val="000000"/>
                <w:sz w:val="20"/>
                <w:szCs w:val="20"/>
              </w:rPr>
              <w:t>67.582</w:t>
            </w:r>
          </w:p>
        </w:tc>
        <w:tc>
          <w:tcPr>
            <w:tcW w:w="1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42DA31B" w14:textId="77777777" w:rsidR="00B704C9" w:rsidRDefault="00304A10">
            <w:pPr>
              <w:jc w:val="center"/>
            </w:pPr>
            <w:r>
              <w:rPr>
                <w:color w:val="000000"/>
                <w:sz w:val="20"/>
                <w:szCs w:val="20"/>
              </w:rPr>
              <w:t>60</w:t>
            </w:r>
          </w:p>
        </w:tc>
        <w:tc>
          <w:tcPr>
            <w:tcW w:w="25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5D71F7E" w14:textId="77777777" w:rsidR="00B704C9" w:rsidRDefault="00304A10">
            <w:pPr>
              <w:jc w:val="center"/>
            </w:pPr>
            <w:r>
              <w:rPr>
                <w:b/>
                <w:bCs/>
                <w:color w:val="000000"/>
                <w:sz w:val="20"/>
                <w:szCs w:val="20"/>
              </w:rPr>
              <w:t>&lt; 0.001***</w:t>
            </w:r>
          </w:p>
        </w:tc>
      </w:tr>
    </w:tbl>
    <w:p w14:paraId="282E510F" w14:textId="77777777" w:rsidR="00B704C9" w:rsidRDefault="00304A10">
      <w:pPr>
        <w:spacing w:before="60" w:after="180"/>
      </w:pPr>
      <w:r>
        <w:rPr>
          <w:i/>
          <w:iCs/>
          <w:sz w:val="19"/>
          <w:szCs w:val="19"/>
        </w:rPr>
        <w:t>* p &lt; 0.05; ** p &lt; 0.01; *** p &lt; 0.001. df = degrees of freedom.</w:t>
      </w:r>
    </w:p>
    <w:p w14:paraId="13E8628D" w14:textId="77777777" w:rsidR="00B704C9" w:rsidRDefault="00304A10">
      <w:pPr>
        <w:spacing w:before="220" w:after="100"/>
      </w:pPr>
      <w:r>
        <w:rPr>
          <w:b/>
          <w:bCs/>
          <w:i/>
          <w:iCs/>
        </w:rPr>
        <w:t>4.4 Bonferroni Post Hoc Pairwise Comparisons</w:t>
      </w:r>
    </w:p>
    <w:p w14:paraId="5519743E" w14:textId="77777777" w:rsidR="00B704C9" w:rsidRDefault="00304A10">
      <w:pPr>
        <w:spacing w:before="80" w:after="80" w:line="360" w:lineRule="auto"/>
        <w:ind w:firstLine="720"/>
        <w:jc w:val="both"/>
      </w:pPr>
      <w:r>
        <w:t>Following significant ANOVA results, Bonferroni-corrected pairwise comparisons were conducted among the three root-third subgroups within each group (Table 4). Within Group I (FRC posts), the coronal–middle comparison was non-significant after correction (mean difference = +0.21 MPa; t = 0.377; p-adj = 1.000). The coronal–apical comparison was non-significant after correction despite a moderate raw p-value (mean difference = +1.38 MPa; t = 2.557; p-raw = 0.019; p-adj = 0.056). The middle–apical comparison reached statistical significance after Bonferroni correction (mean difference = +1.17 MPa; t = 3.168; p-raw = 0.005; p-adj = 0.014), establishing that the middle third of FRC posts exhibited significantly higher push-out bond strength than the apical third.</w:t>
      </w:r>
    </w:p>
    <w:p w14:paraId="4C8D5121" w14:textId="77777777" w:rsidR="00B704C9" w:rsidRDefault="00304A10">
      <w:pPr>
        <w:spacing w:before="80" w:after="80" w:line="360" w:lineRule="auto"/>
        <w:ind w:firstLine="720"/>
        <w:jc w:val="both"/>
      </w:pPr>
      <w:r>
        <w:t xml:space="preserve">Within Group II (PEEK posts), the coronal–middle comparison was non-significant (mean difference = −0.47 MPa; t = −1.160; p-adj = 0.779), indicating that coronal and middle thirds performed similarly. The coronal–apical comparison was non-significant after correction (mean difference = +0.87 MPa; t = 2.163; p-raw = 0.043; p-adj = 0.128). The middle–apical comparison was highly significant (mean difference = +1.34 MPa; t = 4.371; p-raw = 0.0003; p-adj &lt; 0.001), </w:t>
      </w:r>
      <w:r>
        <w:lastRenderedPageBreak/>
        <w:t>confirming that the middle third of PEEK posts produced significantly higher push-out bond strength than the apical third.</w:t>
      </w:r>
    </w:p>
    <w:p w14:paraId="646E3A53" w14:textId="77777777" w:rsidR="00B704C9" w:rsidRDefault="00304A10">
      <w:pPr>
        <w:spacing w:before="80" w:after="80" w:line="360" w:lineRule="auto"/>
        <w:ind w:firstLine="720"/>
        <w:jc w:val="both"/>
      </w:pPr>
      <w:r>
        <w:t>In both groups, therefore, the only statistically significant pairwise regional contrast after Bonferroni correction was the middle-versus-apical comparison, establishing the apical third as the consistently weakest bonding zone in both post systems.</w:t>
      </w:r>
    </w:p>
    <w:p w14:paraId="73C06C19" w14:textId="77777777" w:rsidR="00B704C9" w:rsidRDefault="00B704C9"/>
    <w:p w14:paraId="37FFF524" w14:textId="77777777" w:rsidR="00B704C9" w:rsidRDefault="00304A10">
      <w:pPr>
        <w:spacing w:before="180" w:after="60"/>
      </w:pPr>
      <w:r>
        <w:rPr>
          <w:b/>
          <w:bCs/>
          <w:sz w:val="22"/>
          <w:szCs w:val="22"/>
        </w:rPr>
        <w:t>Table 4. Bonferroni Post Hoc Pairwise Comparisons of Pushout Bond Strength Within Each Group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4"/>
        <w:gridCol w:w="1116"/>
        <w:gridCol w:w="1079"/>
        <w:gridCol w:w="1071"/>
        <w:gridCol w:w="1580"/>
      </w:tblGrid>
      <w:tr w:rsidR="00B704C9" w14:paraId="34AB989E" w14:textId="77777777">
        <w:tc>
          <w:tcPr>
            <w:tcW w:w="300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716C3BDE" w14:textId="77777777" w:rsidR="00B704C9" w:rsidRDefault="00304A10">
            <w:pPr>
              <w:jc w:val="center"/>
            </w:pPr>
            <w:r>
              <w:rPr>
                <w:b/>
                <w:bCs/>
                <w:color w:val="FFFFFF"/>
                <w:sz w:val="20"/>
                <w:szCs w:val="20"/>
              </w:rPr>
              <w:t>Pairwise Comparison</w:t>
            </w:r>
          </w:p>
        </w:tc>
        <w:tc>
          <w:tcPr>
            <w:tcW w:w="156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6041B306" w14:textId="77777777" w:rsidR="00B704C9" w:rsidRDefault="00304A10">
            <w:pPr>
              <w:jc w:val="center"/>
            </w:pPr>
            <w:r>
              <w:rPr>
                <w:b/>
                <w:bCs/>
                <w:color w:val="FFFFFF"/>
                <w:sz w:val="20"/>
                <w:szCs w:val="20"/>
              </w:rPr>
              <w:t>Mean Diff. (MPa)</w:t>
            </w:r>
          </w:p>
        </w:tc>
        <w:tc>
          <w:tcPr>
            <w:tcW w:w="144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537DE54A" w14:textId="77777777" w:rsidR="00B704C9" w:rsidRDefault="00304A10">
            <w:pPr>
              <w:jc w:val="center"/>
            </w:pPr>
            <w:r>
              <w:rPr>
                <w:b/>
                <w:bCs/>
                <w:color w:val="FFFFFF"/>
                <w:sz w:val="20"/>
                <w:szCs w:val="20"/>
              </w:rPr>
              <w:t>t-value</w:t>
            </w:r>
          </w:p>
        </w:tc>
        <w:tc>
          <w:tcPr>
            <w:tcW w:w="144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1FD2283E" w14:textId="77777777" w:rsidR="00B704C9" w:rsidRDefault="00304A10">
            <w:pPr>
              <w:jc w:val="center"/>
            </w:pPr>
            <w:r>
              <w:rPr>
                <w:b/>
                <w:bCs/>
                <w:color w:val="FFFFFF"/>
                <w:sz w:val="20"/>
                <w:szCs w:val="20"/>
              </w:rPr>
              <w:t>p-raw</w:t>
            </w:r>
          </w:p>
        </w:tc>
        <w:tc>
          <w:tcPr>
            <w:tcW w:w="1920" w:type="dxa"/>
            <w:tcBorders>
              <w:top w:val="single" w:sz="4" w:space="0" w:color="999999"/>
              <w:left w:val="single" w:sz="4" w:space="0" w:color="999999"/>
              <w:bottom w:val="single" w:sz="4" w:space="0" w:color="999999"/>
              <w:right w:val="single" w:sz="4" w:space="0" w:color="999999"/>
            </w:tcBorders>
            <w:shd w:val="clear" w:color="auto" w:fill="2E74B5"/>
            <w:tcMar>
              <w:top w:w="80" w:type="dxa"/>
              <w:left w:w="140" w:type="dxa"/>
              <w:bottom w:w="80" w:type="dxa"/>
              <w:right w:w="140" w:type="dxa"/>
            </w:tcMar>
            <w:vAlign w:val="center"/>
          </w:tcPr>
          <w:p w14:paraId="5C5E9CA0" w14:textId="77777777" w:rsidR="00B704C9" w:rsidRDefault="00304A10">
            <w:pPr>
              <w:jc w:val="center"/>
            </w:pPr>
            <w:r>
              <w:rPr>
                <w:b/>
                <w:bCs/>
                <w:color w:val="FFFFFF"/>
                <w:sz w:val="20"/>
                <w:szCs w:val="20"/>
              </w:rPr>
              <w:t>p-adj (Bonferroni)</w:t>
            </w:r>
          </w:p>
        </w:tc>
      </w:tr>
      <w:tr w:rsidR="00B704C9" w14:paraId="52BC76D6" w14:textId="77777777">
        <w:trPr>
          <w:gridAfter w:val="4"/>
          <w:wAfter w:w="6360" w:type="dxa"/>
        </w:trPr>
        <w:tc>
          <w:tcPr>
            <w:tcW w:w="9360" w:type="dxa"/>
            <w:tcBorders>
              <w:top w:val="single" w:sz="4" w:space="0" w:color="999999"/>
              <w:left w:val="single" w:sz="4" w:space="0" w:color="999999"/>
              <w:bottom w:val="single" w:sz="4" w:space="0" w:color="999999"/>
              <w:right w:val="single" w:sz="4" w:space="0" w:color="999999"/>
            </w:tcBorders>
            <w:shd w:val="clear" w:color="auto" w:fill="DDEEFF"/>
            <w:tcMar>
              <w:top w:w="80" w:type="dxa"/>
              <w:left w:w="140" w:type="dxa"/>
              <w:bottom w:w="80" w:type="dxa"/>
              <w:right w:w="140" w:type="dxa"/>
            </w:tcMar>
          </w:tcPr>
          <w:p w14:paraId="360AADDB" w14:textId="77777777" w:rsidR="00B704C9" w:rsidRDefault="00304A10">
            <w:r>
              <w:rPr>
                <w:b/>
                <w:bCs/>
                <w:sz w:val="20"/>
                <w:szCs w:val="20"/>
              </w:rPr>
              <w:t>Group I – FRC Post</w:t>
            </w:r>
          </w:p>
        </w:tc>
      </w:tr>
      <w:tr w:rsidR="00B704C9" w14:paraId="7720FA3F"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327C623" w14:textId="77777777" w:rsidR="00B704C9" w:rsidRDefault="00304A10">
            <w:r>
              <w:rPr>
                <w:color w:val="000000"/>
                <w:sz w:val="20"/>
                <w:szCs w:val="20"/>
              </w:rPr>
              <w:t>Coronal (IA) vs Middle (IB)</w:t>
            </w: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7E8F0C0" w14:textId="77777777" w:rsidR="00B704C9" w:rsidRDefault="00304A10">
            <w:pPr>
              <w:jc w:val="center"/>
            </w:pPr>
            <w:r>
              <w:rPr>
                <w:color w:val="000000"/>
                <w:sz w:val="20"/>
                <w:szCs w:val="20"/>
              </w:rPr>
              <w:t>+0.21</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4E68CCE4" w14:textId="77777777" w:rsidR="00B704C9" w:rsidRDefault="00304A10">
            <w:pPr>
              <w:jc w:val="center"/>
            </w:pPr>
            <w:r>
              <w:rPr>
                <w:color w:val="000000"/>
                <w:sz w:val="20"/>
                <w:szCs w:val="20"/>
              </w:rPr>
              <w:t>0.377</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5892A2F" w14:textId="77777777" w:rsidR="00B704C9" w:rsidRDefault="00304A10">
            <w:pPr>
              <w:jc w:val="center"/>
            </w:pPr>
            <w:r>
              <w:rPr>
                <w:color w:val="000000"/>
                <w:sz w:val="20"/>
                <w:szCs w:val="20"/>
              </w:rPr>
              <w:t>0.710</w:t>
            </w:r>
          </w:p>
        </w:tc>
        <w:tc>
          <w:tcPr>
            <w:tcW w:w="19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A24215F" w14:textId="77777777" w:rsidR="00B704C9" w:rsidRDefault="00304A10">
            <w:pPr>
              <w:jc w:val="center"/>
            </w:pPr>
            <w:r>
              <w:rPr>
                <w:color w:val="000000"/>
                <w:sz w:val="20"/>
                <w:szCs w:val="20"/>
              </w:rPr>
              <w:t>1.000 (ns)</w:t>
            </w:r>
          </w:p>
        </w:tc>
      </w:tr>
      <w:tr w:rsidR="00B704C9" w14:paraId="6A026FA9" w14:textId="77777777">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72D40B1" w14:textId="77777777" w:rsidR="00B704C9" w:rsidRDefault="00304A10">
            <w:r>
              <w:rPr>
                <w:color w:val="000000"/>
                <w:sz w:val="20"/>
                <w:szCs w:val="20"/>
              </w:rPr>
              <w:t>Coronal (IA) vs Apical (IC)</w:t>
            </w:r>
          </w:p>
        </w:tc>
        <w:tc>
          <w:tcPr>
            <w:tcW w:w="15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2E179F3E" w14:textId="77777777" w:rsidR="00B704C9" w:rsidRDefault="00304A10">
            <w:pPr>
              <w:jc w:val="center"/>
            </w:pPr>
            <w:r>
              <w:rPr>
                <w:color w:val="000000"/>
                <w:sz w:val="20"/>
                <w:szCs w:val="20"/>
              </w:rPr>
              <w:t>+1.38</w:t>
            </w:r>
          </w:p>
        </w:tc>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5B44D84D" w14:textId="77777777" w:rsidR="00B704C9" w:rsidRDefault="00304A10">
            <w:pPr>
              <w:jc w:val="center"/>
            </w:pPr>
            <w:r>
              <w:rPr>
                <w:color w:val="000000"/>
                <w:sz w:val="20"/>
                <w:szCs w:val="20"/>
              </w:rPr>
              <w:t>2.557</w:t>
            </w:r>
          </w:p>
        </w:tc>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7B2AE673" w14:textId="77777777" w:rsidR="00B704C9" w:rsidRDefault="00304A10">
            <w:pPr>
              <w:jc w:val="center"/>
            </w:pPr>
            <w:r>
              <w:rPr>
                <w:color w:val="000000"/>
                <w:sz w:val="20"/>
                <w:szCs w:val="20"/>
              </w:rPr>
              <w:t>0.019</w:t>
            </w:r>
          </w:p>
        </w:tc>
        <w:tc>
          <w:tcPr>
            <w:tcW w:w="192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37D7B9DF" w14:textId="77777777" w:rsidR="00B704C9" w:rsidRDefault="00304A10">
            <w:pPr>
              <w:jc w:val="center"/>
            </w:pPr>
            <w:r>
              <w:rPr>
                <w:color w:val="000000"/>
                <w:sz w:val="20"/>
                <w:szCs w:val="20"/>
              </w:rPr>
              <w:t>0.056 (ns)</w:t>
            </w:r>
          </w:p>
        </w:tc>
      </w:tr>
      <w:tr w:rsidR="00B704C9" w14:paraId="1DE0B3A0"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A828374" w14:textId="77777777" w:rsidR="00B704C9" w:rsidRDefault="00304A10">
            <w:r>
              <w:rPr>
                <w:color w:val="000000"/>
                <w:sz w:val="20"/>
                <w:szCs w:val="20"/>
              </w:rPr>
              <w:t>Middle (IB) vs Apical (IC)</w:t>
            </w: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BF9E9E8" w14:textId="77777777" w:rsidR="00B704C9" w:rsidRDefault="00304A10">
            <w:pPr>
              <w:jc w:val="center"/>
            </w:pPr>
            <w:r>
              <w:rPr>
                <w:color w:val="000000"/>
                <w:sz w:val="20"/>
                <w:szCs w:val="20"/>
              </w:rPr>
              <w:t>+1.17</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D8F515B" w14:textId="77777777" w:rsidR="00B704C9" w:rsidRDefault="00304A10">
            <w:pPr>
              <w:jc w:val="center"/>
            </w:pPr>
            <w:r>
              <w:rPr>
                <w:color w:val="000000"/>
                <w:sz w:val="20"/>
                <w:szCs w:val="20"/>
              </w:rPr>
              <w:t>3.168</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E30F570" w14:textId="77777777" w:rsidR="00B704C9" w:rsidRDefault="00304A10">
            <w:pPr>
              <w:jc w:val="center"/>
            </w:pPr>
            <w:r>
              <w:rPr>
                <w:color w:val="000000"/>
                <w:sz w:val="20"/>
                <w:szCs w:val="20"/>
              </w:rPr>
              <w:t>0.005</w:t>
            </w:r>
          </w:p>
        </w:tc>
        <w:tc>
          <w:tcPr>
            <w:tcW w:w="19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7449A4F" w14:textId="77777777" w:rsidR="00B704C9" w:rsidRDefault="00304A10">
            <w:pPr>
              <w:jc w:val="center"/>
            </w:pPr>
            <w:r>
              <w:rPr>
                <w:b/>
                <w:bCs/>
                <w:color w:val="000000"/>
                <w:sz w:val="20"/>
                <w:szCs w:val="20"/>
              </w:rPr>
              <w:t>0.014*</w:t>
            </w:r>
          </w:p>
        </w:tc>
      </w:tr>
      <w:tr w:rsidR="00B704C9" w14:paraId="50E33C2B" w14:textId="77777777">
        <w:trPr>
          <w:gridAfter w:val="4"/>
          <w:wAfter w:w="6360" w:type="dxa"/>
        </w:trPr>
        <w:tc>
          <w:tcPr>
            <w:tcW w:w="9360" w:type="dxa"/>
            <w:tcBorders>
              <w:top w:val="single" w:sz="4" w:space="0" w:color="999999"/>
              <w:left w:val="single" w:sz="4" w:space="0" w:color="999999"/>
              <w:bottom w:val="single" w:sz="4" w:space="0" w:color="999999"/>
              <w:right w:val="single" w:sz="4" w:space="0" w:color="999999"/>
            </w:tcBorders>
            <w:shd w:val="clear" w:color="auto" w:fill="DDEEFF"/>
            <w:tcMar>
              <w:top w:w="80" w:type="dxa"/>
              <w:left w:w="140" w:type="dxa"/>
              <w:bottom w:w="80" w:type="dxa"/>
              <w:right w:w="140" w:type="dxa"/>
            </w:tcMar>
          </w:tcPr>
          <w:p w14:paraId="5057BC65" w14:textId="77777777" w:rsidR="00B704C9" w:rsidRDefault="00304A10">
            <w:r>
              <w:rPr>
                <w:b/>
                <w:bCs/>
                <w:sz w:val="20"/>
                <w:szCs w:val="20"/>
              </w:rPr>
              <w:t>Group II – CAD/CAM Milled PEEK Post</w:t>
            </w:r>
          </w:p>
        </w:tc>
      </w:tr>
      <w:tr w:rsidR="00B704C9" w14:paraId="773BDB0B"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3888106B" w14:textId="77777777" w:rsidR="00B704C9" w:rsidRDefault="00304A10">
            <w:r>
              <w:rPr>
                <w:color w:val="000000"/>
                <w:sz w:val="20"/>
                <w:szCs w:val="20"/>
              </w:rPr>
              <w:t>Coronal (IIA) vs Middle (IIB)</w:t>
            </w: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6EAA7B2" w14:textId="77777777" w:rsidR="00B704C9" w:rsidRDefault="00304A10">
            <w:pPr>
              <w:jc w:val="center"/>
            </w:pPr>
            <w:r>
              <w:rPr>
                <w:color w:val="000000"/>
                <w:sz w:val="20"/>
                <w:szCs w:val="20"/>
              </w:rPr>
              <w:t>−0.47</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033034CE" w14:textId="77777777" w:rsidR="00B704C9" w:rsidRDefault="00304A10">
            <w:pPr>
              <w:jc w:val="center"/>
            </w:pPr>
            <w:r>
              <w:rPr>
                <w:color w:val="000000"/>
                <w:sz w:val="20"/>
                <w:szCs w:val="20"/>
              </w:rPr>
              <w:t>−1.160</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B666DD8" w14:textId="77777777" w:rsidR="00B704C9" w:rsidRDefault="00304A10">
            <w:pPr>
              <w:jc w:val="center"/>
            </w:pPr>
            <w:r>
              <w:rPr>
                <w:color w:val="000000"/>
                <w:sz w:val="20"/>
                <w:szCs w:val="20"/>
              </w:rPr>
              <w:t>0.260</w:t>
            </w:r>
          </w:p>
        </w:tc>
        <w:tc>
          <w:tcPr>
            <w:tcW w:w="19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390DB5A" w14:textId="77777777" w:rsidR="00B704C9" w:rsidRDefault="00304A10">
            <w:pPr>
              <w:jc w:val="center"/>
            </w:pPr>
            <w:r>
              <w:rPr>
                <w:color w:val="000000"/>
                <w:sz w:val="20"/>
                <w:szCs w:val="20"/>
              </w:rPr>
              <w:t>0.779 (ns)</w:t>
            </w:r>
          </w:p>
        </w:tc>
      </w:tr>
      <w:tr w:rsidR="00B704C9" w14:paraId="25415BBE" w14:textId="77777777">
        <w:tc>
          <w:tcPr>
            <w:tcW w:w="30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E4F1C8C" w14:textId="77777777" w:rsidR="00B704C9" w:rsidRDefault="00304A10">
            <w:r>
              <w:rPr>
                <w:color w:val="000000"/>
                <w:sz w:val="20"/>
                <w:szCs w:val="20"/>
              </w:rPr>
              <w:t>Coronal (IIA) vs Apical (IIC)</w:t>
            </w:r>
          </w:p>
        </w:tc>
        <w:tc>
          <w:tcPr>
            <w:tcW w:w="15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C0701E6" w14:textId="77777777" w:rsidR="00B704C9" w:rsidRDefault="00304A10">
            <w:pPr>
              <w:jc w:val="center"/>
            </w:pPr>
            <w:r>
              <w:rPr>
                <w:color w:val="000000"/>
                <w:sz w:val="20"/>
                <w:szCs w:val="20"/>
              </w:rPr>
              <w:t>+0.87</w:t>
            </w:r>
          </w:p>
        </w:tc>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43E0A2A1" w14:textId="77777777" w:rsidR="00B704C9" w:rsidRDefault="00304A10">
            <w:pPr>
              <w:jc w:val="center"/>
            </w:pPr>
            <w:r>
              <w:rPr>
                <w:color w:val="000000"/>
                <w:sz w:val="20"/>
                <w:szCs w:val="20"/>
              </w:rPr>
              <w:t>2.163</w:t>
            </w:r>
          </w:p>
        </w:tc>
        <w:tc>
          <w:tcPr>
            <w:tcW w:w="144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1BCBDEAC" w14:textId="77777777" w:rsidR="00B704C9" w:rsidRDefault="00304A10">
            <w:pPr>
              <w:jc w:val="center"/>
            </w:pPr>
            <w:r>
              <w:rPr>
                <w:color w:val="000000"/>
                <w:sz w:val="20"/>
                <w:szCs w:val="20"/>
              </w:rPr>
              <w:t>0.043</w:t>
            </w:r>
          </w:p>
        </w:tc>
        <w:tc>
          <w:tcPr>
            <w:tcW w:w="192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40" w:type="dxa"/>
              <w:bottom w:w="80" w:type="dxa"/>
              <w:right w:w="140" w:type="dxa"/>
            </w:tcMar>
            <w:vAlign w:val="center"/>
          </w:tcPr>
          <w:p w14:paraId="772A1A56" w14:textId="77777777" w:rsidR="00B704C9" w:rsidRDefault="00304A10">
            <w:pPr>
              <w:jc w:val="center"/>
            </w:pPr>
            <w:r>
              <w:rPr>
                <w:color w:val="000000"/>
                <w:sz w:val="20"/>
                <w:szCs w:val="20"/>
              </w:rPr>
              <w:t>0.128 (ns)</w:t>
            </w:r>
          </w:p>
        </w:tc>
      </w:tr>
      <w:tr w:rsidR="00B704C9" w14:paraId="3A56BA27" w14:textId="77777777">
        <w:tc>
          <w:tcPr>
            <w:tcW w:w="300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57693D4C" w14:textId="77777777" w:rsidR="00B704C9" w:rsidRDefault="00304A10">
            <w:r>
              <w:rPr>
                <w:color w:val="000000"/>
                <w:sz w:val="20"/>
                <w:szCs w:val="20"/>
              </w:rPr>
              <w:t>Middle (IIB) vs Apical (IIC)</w:t>
            </w:r>
          </w:p>
        </w:tc>
        <w:tc>
          <w:tcPr>
            <w:tcW w:w="156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7B616C11" w14:textId="77777777" w:rsidR="00B704C9" w:rsidRDefault="00304A10">
            <w:pPr>
              <w:jc w:val="center"/>
            </w:pPr>
            <w:r>
              <w:rPr>
                <w:color w:val="000000"/>
                <w:sz w:val="20"/>
                <w:szCs w:val="20"/>
              </w:rPr>
              <w:t>+1.34</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637BB1BF" w14:textId="77777777" w:rsidR="00B704C9" w:rsidRDefault="00304A10">
            <w:pPr>
              <w:jc w:val="center"/>
            </w:pPr>
            <w:r>
              <w:rPr>
                <w:color w:val="000000"/>
                <w:sz w:val="20"/>
                <w:szCs w:val="20"/>
              </w:rPr>
              <w:t>4.371</w:t>
            </w:r>
          </w:p>
        </w:tc>
        <w:tc>
          <w:tcPr>
            <w:tcW w:w="144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1B5EEA0B" w14:textId="77777777" w:rsidR="00B704C9" w:rsidRDefault="00304A10">
            <w:pPr>
              <w:jc w:val="center"/>
            </w:pPr>
            <w:r>
              <w:rPr>
                <w:color w:val="000000"/>
                <w:sz w:val="20"/>
                <w:szCs w:val="20"/>
              </w:rPr>
              <w:t>0.0003</w:t>
            </w:r>
          </w:p>
        </w:tc>
        <w:tc>
          <w:tcPr>
            <w:tcW w:w="1920" w:type="dxa"/>
            <w:tcBorders>
              <w:top w:val="single" w:sz="4" w:space="0" w:color="999999"/>
              <w:left w:val="single" w:sz="4" w:space="0" w:color="999999"/>
              <w:bottom w:val="single" w:sz="4" w:space="0" w:color="999999"/>
              <w:right w:val="single" w:sz="4" w:space="0" w:color="999999"/>
            </w:tcBorders>
            <w:shd w:val="clear" w:color="auto" w:fill="FFFFFF"/>
            <w:tcMar>
              <w:top w:w="80" w:type="dxa"/>
              <w:left w:w="140" w:type="dxa"/>
              <w:bottom w:w="80" w:type="dxa"/>
              <w:right w:w="140" w:type="dxa"/>
            </w:tcMar>
            <w:vAlign w:val="center"/>
          </w:tcPr>
          <w:p w14:paraId="234572ED" w14:textId="77777777" w:rsidR="00B704C9" w:rsidRDefault="00304A10">
            <w:pPr>
              <w:jc w:val="center"/>
            </w:pPr>
            <w:r>
              <w:rPr>
                <w:b/>
                <w:bCs/>
                <w:color w:val="000000"/>
                <w:sz w:val="20"/>
                <w:szCs w:val="20"/>
              </w:rPr>
              <w:t>&lt; 0.001***</w:t>
            </w:r>
          </w:p>
        </w:tc>
      </w:tr>
    </w:tbl>
    <w:p w14:paraId="2C302BA8" w14:textId="77777777" w:rsidR="00B704C9" w:rsidRDefault="00304A10">
      <w:pPr>
        <w:spacing w:before="60" w:after="180"/>
      </w:pPr>
      <w:r>
        <w:rPr>
          <w:i/>
          <w:iCs/>
          <w:sz w:val="19"/>
          <w:szCs w:val="19"/>
        </w:rPr>
        <w:t>* p &lt; 0.05; *** p &lt; 0.001; ns = not significant after Bonferroni correction. Mean Diff = first subgroup minus second subgroup (MPa). p-adj = Bonferroni-adjusted p-value (k = 3 comparisons per group).</w:t>
      </w:r>
    </w:p>
    <w:p w14:paraId="4F079C6E" w14:textId="77777777" w:rsidR="00B704C9" w:rsidRDefault="00B704C9"/>
    <w:p w14:paraId="7208FDFA" w14:textId="77777777" w:rsidR="00B704C9" w:rsidRDefault="00304A10">
      <w:pPr>
        <w:spacing w:before="80" w:after="80" w:line="360" w:lineRule="auto"/>
        <w:ind w:firstLine="720"/>
        <w:jc w:val="both"/>
      </w:pPr>
      <w:r>
        <w:t>In summary: (i) Group II (PEEK) demonstrated significantly higher push-out bond strength than Group I (FRC) at all root thirds (p &lt; 0.001 at each level); (ii) bond strength was highest at the middle third and lowest at the apical third in both groups; (iii) the middle-to-apical contrast was the only significant intragroup pairwise difference after Bonferroni correction, within both Group I (p = 0.014) and Group II (p &lt; 0.001); and (iv) coronal-to-middle and coronal-to-apical comparisons were non-significant after correction in both groups.</w:t>
      </w:r>
    </w:p>
    <w:p w14:paraId="5E044DBD" w14:textId="77777777" w:rsidR="00B704C9" w:rsidRDefault="00304A10">
      <w:pPr>
        <w:spacing w:before="340" w:after="140"/>
      </w:pPr>
      <w:r>
        <w:rPr>
          <w:b/>
          <w:bCs/>
          <w:color w:val="1F3864"/>
          <w:sz w:val="28"/>
          <w:szCs w:val="28"/>
        </w:rPr>
        <w:t>5. DISCUSSION</w:t>
      </w:r>
    </w:p>
    <w:p w14:paraId="6627377B" w14:textId="77777777" w:rsidR="00B704C9" w:rsidRDefault="00304A10">
      <w:pPr>
        <w:spacing w:before="80" w:after="80" w:line="360" w:lineRule="auto"/>
        <w:ind w:firstLine="720"/>
        <w:jc w:val="both"/>
      </w:pPr>
      <w:r>
        <w:t xml:space="preserve">This in vitro study compared push-out bond strength of surface-treated prefabricated FRC posts versus custom CAD/CAM milled PEEK posts using a comprehensive statistical framework that included intergroup t-testing, intragroup one-way ANOVA, and Bonferroni post hoc analysis. The results demonstrated that PEEK posts achieved significantly higher push-out bond strength at </w:t>
      </w:r>
      <w:r>
        <w:lastRenderedPageBreak/>
        <w:t>all three root thirds, with the ANOVA and post hoc analyses additionally revealing a consistent and significant middle-to-apical gradient within both post systems.</w:t>
      </w:r>
    </w:p>
    <w:p w14:paraId="09885223" w14:textId="77777777" w:rsidR="00B704C9" w:rsidRDefault="00304A10">
      <w:pPr>
        <w:spacing w:before="220" w:after="100"/>
      </w:pPr>
      <w:r>
        <w:rPr>
          <w:b/>
          <w:bCs/>
          <w:i/>
          <w:iCs/>
        </w:rPr>
        <w:t>5.1 Superior Pushout Bond Strength of CAD/CAM Milled PEEK Posts</w:t>
      </w:r>
    </w:p>
    <w:p w14:paraId="4DC3C422" w14:textId="77777777" w:rsidR="00B704C9" w:rsidRDefault="00304A10">
      <w:pPr>
        <w:spacing w:before="80" w:after="80" w:line="360" w:lineRule="auto"/>
        <w:ind w:firstLine="720"/>
        <w:jc w:val="both"/>
      </w:pPr>
      <w:r>
        <w:t>The mean push-out bond strength values of Group II (11.86, 12.33, and 10.99 MPa at coronal, middle, and apical thirds respectively) significantly exceeded those of Group I (7.74, 7.53, and 6.36 MPa) at all three levels (p &lt; 0.001). The mean differences ranged from 4.12 to 4.80 MPa across root thirds, representing 53–64% higher bond strength for PEEK posts. This finding is attributable to two primary advantages of the CAD/CAM PEEK post system. First, the anatomically adapted custom post form minimizes cement film thickness by matching the individual post space geometry, maximizing post–cement–dentin contact area and reducing stress concentration within the cement layer. Second, PEEK's surface, following sandblasting, develops a high-density network of sharp-edged micro-asperities that promotes superior micromechanical interlocking with resin cement compared with the smoother, more brittle epoxy matrix surface of sandblasted FRC posts. The narrower standard deviations consistently observed in Group II across all root thirds further reflect the reproducible adaptation and bonding geometry afforded by the digital fabrication workflow.</w:t>
      </w:r>
    </w:p>
    <w:p w14:paraId="6A4827C3" w14:textId="77777777" w:rsidR="00B704C9" w:rsidRDefault="00304A10">
      <w:pPr>
        <w:spacing w:before="220" w:after="100"/>
      </w:pPr>
      <w:r>
        <w:rPr>
          <w:b/>
          <w:bCs/>
          <w:i/>
          <w:iCs/>
        </w:rPr>
        <w:t>5.2 Intragroup Regional Bond Strength Gradients: ANOVA and Post Hoc Findings</w:t>
      </w:r>
    </w:p>
    <w:p w14:paraId="6D2A54C1" w14:textId="77777777" w:rsidR="00B704C9" w:rsidRDefault="00304A10">
      <w:pPr>
        <w:spacing w:before="80" w:after="80" w:line="360" w:lineRule="auto"/>
        <w:ind w:firstLine="720"/>
        <w:jc w:val="both"/>
      </w:pPr>
      <w:r>
        <w:t>One-way ANOVA revealed significant intragroup regional variation in both Group I [F(2,30) = 4.497; p = 0.020] and Group II [F(2,30) = 6.566; p = 0.004], confirming that push-out bond strength is not uniformly distributed along the post length in either system — a finding of direct clinical relevance. Bonferroni post hoc analysis identified the middle-to-apical contrast as the only statistically significant pairwise comparison after correction in both groups (Group I: mean difference = 1.17 MPa, p = 0.014; Group II: mean difference = 1.34 MPa, p &lt; 0.001). Coronal-to-middle and coronal-to-apical comparisons were non-significant after Bonferroni correction in both groups, indicating that the dominant gradient runs specifically between the middle and apical thirds.</w:t>
      </w:r>
    </w:p>
    <w:p w14:paraId="0C02660E" w14:textId="77777777" w:rsidR="00B704C9" w:rsidRDefault="00304A10">
      <w:pPr>
        <w:spacing w:before="80" w:after="80" w:line="360" w:lineRule="auto"/>
        <w:ind w:firstLine="720"/>
        <w:jc w:val="both"/>
      </w:pPr>
      <w:r>
        <w:t xml:space="preserve">This anatomically consistent pattern is explained by progressive reduction in dentinal tubule density from the coronal to the apical third, which diminishes the surface area available for resin tag formation and hybrid layer development at the dentin–cement interface. Additionally, light penetration depth for photoinitiator activation is substantially attenuated at 9 mm from the </w:t>
      </w:r>
      <w:r>
        <w:lastRenderedPageBreak/>
        <w:t>coronal opening, causing the apical cement to rely predominantly on its chemical cure component, which typically achieves a lower degree of monomer conversion. Both mechanisms compound to weaken the apical adhesive interface. The non-significance of the coronal-to-middle difference suggests that the middle third represents an optimal retention zone — benefiting from adequate light penetration and relatively parallel canal walls that minimize cement-layer variability — while the coronal third, despite its wider canal diameter, is not significantly inferior. Clinicians should note that extending post length deeper into the apical third to gain additional retention is unlikely to yield proportional benefit and may jeopardize the apical seal.</w:t>
      </w:r>
    </w:p>
    <w:p w14:paraId="5311D6F7" w14:textId="77777777" w:rsidR="00B704C9" w:rsidRDefault="00304A10">
      <w:pPr>
        <w:spacing w:before="220" w:after="100"/>
      </w:pPr>
      <w:r>
        <w:rPr>
          <w:b/>
          <w:bCs/>
          <w:i/>
          <w:iCs/>
        </w:rPr>
        <w:t>5.3 Performance of Glass Fiber Reinforced Composite Resin Posts</w:t>
      </w:r>
    </w:p>
    <w:p w14:paraId="6E709E31" w14:textId="77777777" w:rsidR="00B704C9" w:rsidRDefault="00304A10">
      <w:pPr>
        <w:spacing w:before="80" w:after="80" w:line="360" w:lineRule="auto"/>
        <w:ind w:firstLine="720"/>
        <w:jc w:val="both"/>
      </w:pPr>
      <w:r>
        <w:t>Group I (FRC posts) produced mean values of 6.36–7.74 MPa across the three root thirds, consistent with published data for comparable cementation protocols. The relatively wide standard deviation at the coronal level (1.60 MPa versus 0.92 and 0.80 MPa at the middle and apical thirds respectively) reflects the geometric mismatch between the prefabricated circular post cross-section and the typically wider, more variable coronal canal lumen, resulting in inconsistent cement layer thickness across specimens. This fabrication-inherent variability is absent in custom-milled PEEK posts, as evidenced by the consistently tighter standard deviations in Group II.</w:t>
      </w:r>
    </w:p>
    <w:p w14:paraId="71719D2F" w14:textId="77777777" w:rsidR="00B704C9" w:rsidRDefault="00304A10">
      <w:pPr>
        <w:spacing w:before="220" w:after="100"/>
      </w:pPr>
      <w:r>
        <w:rPr>
          <w:b/>
          <w:bCs/>
          <w:i/>
          <w:iCs/>
        </w:rPr>
        <w:t>5.4 Surface Treatment and Cementation</w:t>
      </w:r>
    </w:p>
    <w:p w14:paraId="2EA7F6C2" w14:textId="77777777" w:rsidR="00B704C9" w:rsidRDefault="00304A10">
      <w:pPr>
        <w:spacing w:before="80" w:after="80" w:line="360" w:lineRule="auto"/>
        <w:ind w:firstLine="720"/>
        <w:jc w:val="both"/>
      </w:pPr>
      <w:r>
        <w:t>Identical dual surface treatment — 50 µm Al₂O₃ sandblasting followed by silane application — was applied to both post types. This protocol was chosen based on evidence identifying air abrasion as the most effective method for activating PEEK surfaces, as established by Kern and Lehmann, and as the most clinically practical surface conditioning method for FRC posts. The superior bonding outcomes in Group II following this identical protocol indicate that the combined treatment is at least as effective on PEEK as on FRC posts, and likely more so, given PEEK's ductile surface characteristics. Maxcem Elite (Kerr), a self-adhesive dual-cure resin cement, was selected to minimize technique sensitivity and ensure adequate cement polymerization throughout the post length, including the apical region where light penetration is limited.</w:t>
      </w:r>
    </w:p>
    <w:p w14:paraId="7CB22C7E" w14:textId="77777777" w:rsidR="00B704C9" w:rsidRDefault="00304A10">
      <w:pPr>
        <w:spacing w:before="220" w:after="100"/>
      </w:pPr>
      <w:r>
        <w:rPr>
          <w:b/>
          <w:bCs/>
          <w:i/>
          <w:iCs/>
        </w:rPr>
        <w:t>5.5 Limitations and Future Directions</w:t>
      </w:r>
    </w:p>
    <w:p w14:paraId="5A61CA91" w14:textId="77777777" w:rsidR="00B704C9" w:rsidRDefault="00304A10">
      <w:pPr>
        <w:spacing w:before="80" w:after="80" w:line="360" w:lineRule="auto"/>
        <w:ind w:firstLine="720"/>
        <w:jc w:val="both"/>
      </w:pPr>
      <w:r>
        <w:t xml:space="preserve">This study has several limitations. The in vitro design cannot fully replicate the thermal, mechanical, and chemical complexity of the intraoral environment; thermal cycling, fatigue </w:t>
      </w:r>
      <w:r>
        <w:lastRenderedPageBreak/>
        <w:t>loading, and salivary biodegradation were not simulated. Only a single post diameter and a single resin cement were evaluated</w:t>
      </w:r>
      <w:r w:rsidRPr="00764F51">
        <w:rPr>
          <w:highlight w:val="yellow"/>
        </w:rPr>
        <w:t>. Furthermore, only one specific self-adhesive resin cement (Maxcem Elite) and a single sandblasting protocol (50 µm Al₂O₃ at 2 bar for 10 seconds) were evaluated; results may differ with alternative cements or surface conditioning parameters.</w:t>
      </w:r>
      <w:r>
        <w:t xml:space="preserve"> The selection of self-adhesive dual-cure cement for PEEK post cementation was empirical, as no published guidelines exist for cement selection with milled PEEK posts; comparative evaluation of glass ionomer and resin-modified glass ionomer cements warrants future investigation. The effects of different radicular dentin surface conditioning protocols on milled PEEK post bonding, and the influence of post dimensions on flexural and fracture strength, represent additional parameters requiring investigation. Prospective randomized clinical trials are necessary to validate the durability and functional performance of CAD/CAM PEEK post-and-core restorations under clinical conditions.</w:t>
      </w:r>
    </w:p>
    <w:p w14:paraId="74A512FC" w14:textId="77777777" w:rsidR="00B704C9" w:rsidRDefault="00304A10">
      <w:pPr>
        <w:spacing w:before="340" w:after="140"/>
      </w:pPr>
      <w:r>
        <w:rPr>
          <w:b/>
          <w:bCs/>
          <w:color w:val="1F3864"/>
          <w:sz w:val="28"/>
          <w:szCs w:val="28"/>
        </w:rPr>
        <w:t>6. CONCLUSION</w:t>
      </w:r>
    </w:p>
    <w:p w14:paraId="1E2994C6" w14:textId="4313A4D9" w:rsidR="00B704C9" w:rsidRDefault="00304A10" w:rsidP="00D029F0">
      <w:pPr>
        <w:spacing w:before="80" w:after="80" w:line="360" w:lineRule="auto"/>
        <w:ind w:firstLine="720"/>
        <w:jc w:val="both"/>
      </w:pPr>
      <w:r>
        <w:t xml:space="preserve">Within the limitations of this in vitro study, </w:t>
      </w:r>
      <w:r w:rsidR="0061347F">
        <w:t xml:space="preserve">it is </w:t>
      </w:r>
      <w:r w:rsidR="0061347F" w:rsidRPr="0061347F">
        <w:t>observed that</w:t>
      </w:r>
      <w:r w:rsidR="0061347F">
        <w:t xml:space="preserve"> </w:t>
      </w:r>
      <w:r>
        <w:t>CAD/CAM milled PEEK posts demonstrated significantly higher push-out bond strength than prefabricated FRC posts at all three root thirds — coronal (11.86 ± 1.14 vs 7.74 ± 1.60 MPa), middle (12.33 ± 0.75 vs 7.53 ± 0.92 MPa), and apical (10.99 ± 0.69 vs 6.36 ± 0.80 MPa) — following identical dual surface treatment (p &lt; 0.001 for each comparison).</w:t>
      </w:r>
      <w:r w:rsidR="00D029F0">
        <w:t xml:space="preserve"> </w:t>
      </w:r>
      <w:r>
        <w:t>One-way ANOVA confirmed statistically significant intragroup regional variation in both Group I [</w:t>
      </w:r>
      <w:proofErr w:type="gramStart"/>
      <w:r>
        <w:t>F(</w:t>
      </w:r>
      <w:proofErr w:type="gramEnd"/>
      <w:r>
        <w:t>2,30) = 4.497; p = 0.020] and Group II [F(2,30) = 6.566; p = 0.004], demonstrating that push-out bond strength is not uniformly distributed along the post length in either system.</w:t>
      </w:r>
      <w:r w:rsidR="00D029F0">
        <w:t xml:space="preserve"> </w:t>
      </w:r>
      <w:proofErr w:type="spellStart"/>
      <w:r>
        <w:t>Bonferroni</w:t>
      </w:r>
      <w:proofErr w:type="spellEnd"/>
      <w:r>
        <w:t xml:space="preserve"> post hoc analysis identified the middle-to-apical contrast as the only statistically significant pairwise regional difference within each group (Group I: p = 0.014; Group II: p &lt; 0.001), establishing the apical third as the consistently weakest bonding zone.</w:t>
      </w:r>
      <w:r w:rsidR="00D029F0">
        <w:t xml:space="preserve"> </w:t>
      </w:r>
      <w:r>
        <w:t>Coronal and middle thirds did not differ significantly within either group after Bonferroni correction, indicating that the middle third constitutes a reliable zone of high bond strength in both post systems.</w:t>
      </w:r>
      <w:r w:rsidR="00D029F0">
        <w:t xml:space="preserve"> </w:t>
      </w:r>
      <w:r>
        <w:t>CAD/CAM milled PEEK posts exhibited more uniform bond strength distribution (consistently narrower standard deviations) compared with prefabricated FRC posts, reflecting the advantage of anatomically adapted custom post geometry.</w:t>
      </w:r>
    </w:p>
    <w:p w14:paraId="3C3D2E32" w14:textId="77777777" w:rsidR="00B704C9" w:rsidRDefault="00B704C9"/>
    <w:p w14:paraId="12220BD5" w14:textId="148FDF2D" w:rsidR="00B704C9" w:rsidRDefault="003E423E">
      <w:pPr>
        <w:spacing w:before="80" w:after="80" w:line="360" w:lineRule="auto"/>
        <w:ind w:firstLine="720"/>
        <w:jc w:val="both"/>
      </w:pPr>
      <w:r w:rsidRPr="003E423E">
        <w:lastRenderedPageBreak/>
        <w:t>Overall</w:t>
      </w:r>
      <w:r>
        <w:t xml:space="preserve">, </w:t>
      </w:r>
      <w:bookmarkStart w:id="0" w:name="_GoBack"/>
      <w:bookmarkEnd w:id="0"/>
      <w:r>
        <w:t xml:space="preserve">these </w:t>
      </w:r>
      <w:r w:rsidR="00304A10">
        <w:t>findings support CAD/CAM milled PEEK posts as a biomechanically superior and aesthetically appropriate alternative to conventional prefabricated FRC posts for restoring endodontically treated teeth. Prospective randomized clinical trials evaluating long-term retention, fracture incidence, and patient-centered outcomes are warranted to translate these in vitro findings into clinical practice guidelines.</w:t>
      </w:r>
    </w:p>
    <w:p w14:paraId="5DDF321B" w14:textId="569210B2" w:rsidR="00850C5F" w:rsidRDefault="00850C5F">
      <w:pPr>
        <w:spacing w:before="80" w:after="80" w:line="360" w:lineRule="auto"/>
        <w:ind w:firstLine="720"/>
        <w:jc w:val="both"/>
      </w:pPr>
    </w:p>
    <w:p w14:paraId="733D8D56" w14:textId="1B642417" w:rsidR="00BE1710" w:rsidRDefault="00BE1710">
      <w:pPr>
        <w:spacing w:before="80" w:after="80" w:line="360" w:lineRule="auto"/>
        <w:ind w:firstLine="720"/>
        <w:jc w:val="both"/>
      </w:pPr>
    </w:p>
    <w:p w14:paraId="1126C385" w14:textId="77777777" w:rsidR="00BE1710" w:rsidRDefault="00BE1710" w:rsidP="00BE1710">
      <w:pPr>
        <w:spacing w:before="80" w:after="80" w:line="360" w:lineRule="auto"/>
        <w:ind w:firstLine="720"/>
        <w:jc w:val="both"/>
      </w:pPr>
      <w:r>
        <w:t xml:space="preserve">Consent </w:t>
      </w:r>
    </w:p>
    <w:p w14:paraId="213337AA" w14:textId="00763DA7" w:rsidR="00BE1710" w:rsidRDefault="00BE1710" w:rsidP="00BE1710">
      <w:pPr>
        <w:spacing w:before="80" w:after="80" w:line="360" w:lineRule="auto"/>
        <w:ind w:firstLine="720"/>
        <w:jc w:val="both"/>
      </w:pPr>
      <w:r w:rsidRPr="00BE1710">
        <w:t>As per international standards or university standards, patient(s) written consent has been collected and preserved by the author(s).</w:t>
      </w:r>
    </w:p>
    <w:p w14:paraId="35B9AE81" w14:textId="77777777" w:rsidR="00D218A1" w:rsidRDefault="00D218A1" w:rsidP="00D218A1">
      <w:pPr>
        <w:spacing w:before="80" w:after="80" w:line="360" w:lineRule="auto"/>
        <w:ind w:firstLine="720"/>
        <w:jc w:val="both"/>
      </w:pPr>
      <w:r>
        <w:t>Ethical Approval:</w:t>
      </w:r>
    </w:p>
    <w:p w14:paraId="2F686109" w14:textId="77777777" w:rsidR="00D218A1" w:rsidRDefault="00D218A1" w:rsidP="00D218A1">
      <w:pPr>
        <w:spacing w:before="80" w:after="80" w:line="360" w:lineRule="auto"/>
        <w:ind w:firstLine="720"/>
        <w:jc w:val="both"/>
      </w:pPr>
    </w:p>
    <w:p w14:paraId="431B2A17" w14:textId="2E1E24BB" w:rsidR="00D218A1" w:rsidRDefault="00D218A1" w:rsidP="00D218A1">
      <w:pPr>
        <w:spacing w:before="80" w:after="80" w:line="360" w:lineRule="auto"/>
        <w:ind w:firstLine="720"/>
        <w:jc w:val="both"/>
      </w:pPr>
      <w:r>
        <w:t>As per international standards or university standards written ethical approval has been collected and preserved by the author(s).</w:t>
      </w:r>
    </w:p>
    <w:p w14:paraId="5573E430" w14:textId="77777777" w:rsidR="00D218A1" w:rsidRDefault="00D218A1" w:rsidP="00D218A1">
      <w:pPr>
        <w:spacing w:before="80" w:after="80" w:line="360" w:lineRule="auto"/>
        <w:ind w:firstLine="720"/>
        <w:jc w:val="both"/>
      </w:pPr>
    </w:p>
    <w:p w14:paraId="7EA348A5" w14:textId="77777777" w:rsidR="004C3178" w:rsidRPr="00CA3906" w:rsidRDefault="004C3178" w:rsidP="00764F51">
      <w:pPr>
        <w:spacing w:line="360" w:lineRule="auto"/>
        <w:rPr>
          <w:b/>
          <w:highlight w:val="yellow"/>
        </w:rPr>
      </w:pPr>
      <w:r>
        <w:rPr>
          <w:b/>
          <w:highlight w:val="yellow"/>
        </w:rPr>
        <w:t>Disclaimer (Artificial intelligence)</w:t>
      </w:r>
    </w:p>
    <w:p w14:paraId="5926DDA6" w14:textId="77777777" w:rsidR="004C3178" w:rsidRPr="00740879" w:rsidRDefault="004C3178" w:rsidP="00764F51">
      <w:pPr>
        <w:spacing w:line="360" w:lineRule="auto"/>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7D1F7C6" w14:textId="77777777" w:rsidR="004C3178" w:rsidRDefault="004C3178" w:rsidP="00764F51">
      <w:pPr>
        <w:spacing w:before="80" w:after="80" w:line="360" w:lineRule="auto"/>
        <w:ind w:firstLine="720"/>
        <w:jc w:val="both"/>
      </w:pPr>
    </w:p>
    <w:p w14:paraId="3F2CB1C9" w14:textId="77777777" w:rsidR="00B704C9" w:rsidRDefault="00B704C9">
      <w:pPr>
        <w:pBdr>
          <w:bottom w:val="single" w:sz="6" w:space="1" w:color="2E74B5"/>
        </w:pBdr>
      </w:pPr>
    </w:p>
    <w:p w14:paraId="30AD49D5" w14:textId="77777777" w:rsidR="00B704C9" w:rsidRDefault="00B704C9"/>
    <w:p w14:paraId="02F633BE" w14:textId="77777777" w:rsidR="00B704C9" w:rsidRPr="00764F51" w:rsidRDefault="00304A10">
      <w:pPr>
        <w:spacing w:before="340" w:after="140"/>
        <w:rPr>
          <w:sz w:val="32"/>
          <w:szCs w:val="32"/>
        </w:rPr>
      </w:pPr>
      <w:r>
        <w:rPr>
          <w:b/>
          <w:bCs/>
          <w:color w:val="1F3864"/>
          <w:sz w:val="28"/>
          <w:szCs w:val="28"/>
        </w:rPr>
        <w:t>REFERENCES</w:t>
      </w:r>
    </w:p>
    <w:p w14:paraId="3A2BBED0" w14:textId="77777777" w:rsidR="00B704C9" w:rsidRPr="00764F51" w:rsidRDefault="00304A10">
      <w:pPr>
        <w:spacing w:before="40" w:after="40" w:line="300" w:lineRule="auto"/>
        <w:ind w:left="720" w:hanging="720"/>
        <w:jc w:val="both"/>
        <w:rPr>
          <w:sz w:val="32"/>
          <w:szCs w:val="32"/>
        </w:rPr>
      </w:pPr>
      <w:r w:rsidRPr="00764F51">
        <w:t>1. Schwartz RS, Robbins JW. Post placement and restoration of endodontically treated teeth: a literature review. J Endod. 2004;30(5):289–301.</w:t>
      </w:r>
    </w:p>
    <w:p w14:paraId="3B4413A6" w14:textId="77777777" w:rsidR="00B704C9" w:rsidRPr="00764F51" w:rsidRDefault="00304A10">
      <w:pPr>
        <w:spacing w:before="40" w:after="40" w:line="300" w:lineRule="auto"/>
        <w:ind w:left="720" w:hanging="720"/>
        <w:jc w:val="both"/>
        <w:rPr>
          <w:sz w:val="32"/>
          <w:szCs w:val="32"/>
        </w:rPr>
      </w:pPr>
      <w:r w:rsidRPr="00764F51">
        <w:t>2. Goracci C, Ferrari M. Current perspectives on post systems: a literature review. Aust Dent J. 2011;56(Suppl 1):77–83.</w:t>
      </w:r>
    </w:p>
    <w:p w14:paraId="3DB288DE" w14:textId="77777777" w:rsidR="00B704C9" w:rsidRPr="00764F51" w:rsidRDefault="00304A10">
      <w:pPr>
        <w:spacing w:before="40" w:after="40" w:line="300" w:lineRule="auto"/>
        <w:ind w:left="720" w:hanging="720"/>
        <w:jc w:val="both"/>
        <w:rPr>
          <w:sz w:val="32"/>
          <w:szCs w:val="32"/>
        </w:rPr>
      </w:pPr>
      <w:r w:rsidRPr="00764F51">
        <w:t>3. Ates SM, Yesil Duymus Z. Evaluation of polyetheretherketone (PEEK) as an alternative dental post material: a review. J Adv Prosthodont. 2021;13(3):187–196.</w:t>
      </w:r>
    </w:p>
    <w:p w14:paraId="05398405" w14:textId="77777777" w:rsidR="00B704C9" w:rsidRPr="00764F51" w:rsidRDefault="00304A10">
      <w:pPr>
        <w:spacing w:before="40" w:after="40" w:line="300" w:lineRule="auto"/>
        <w:ind w:left="720" w:hanging="720"/>
        <w:jc w:val="both"/>
        <w:rPr>
          <w:sz w:val="32"/>
          <w:szCs w:val="32"/>
        </w:rPr>
      </w:pPr>
      <w:r w:rsidRPr="00764F51">
        <w:lastRenderedPageBreak/>
        <w:t>4. Soares CJ, Martins LR, Fonseca RB, Marques-Júnior I, Pereira LJ. Influence of root canal post systems on the biomechanical behavior of endodontically treated maxillary central incisors. J Prosthet Dent. 2005;94(6):516–523.</w:t>
      </w:r>
    </w:p>
    <w:p w14:paraId="0A8A5F5A" w14:textId="77777777" w:rsidR="00B704C9" w:rsidRPr="00764F51" w:rsidRDefault="00304A10">
      <w:pPr>
        <w:spacing w:before="40" w:after="40" w:line="300" w:lineRule="auto"/>
        <w:ind w:left="720" w:hanging="720"/>
        <w:jc w:val="both"/>
        <w:rPr>
          <w:sz w:val="32"/>
          <w:szCs w:val="32"/>
        </w:rPr>
      </w:pPr>
      <w:r w:rsidRPr="00764F51">
        <w:t>5. Stawarczyk B, Bäumer R, Özcan M, Roos M, Ereifej S, Schmidlin P. The effect of PEEK surface treatment on tensile bond strength to composite resins. J Prosthet Dent. 2014;112(5):1278–1283.</w:t>
      </w:r>
    </w:p>
    <w:p w14:paraId="7978C7A0" w14:textId="77777777" w:rsidR="00B704C9" w:rsidRPr="00764F51" w:rsidRDefault="00304A10">
      <w:pPr>
        <w:spacing w:before="40" w:after="40" w:line="300" w:lineRule="auto"/>
        <w:ind w:left="720" w:hanging="720"/>
        <w:jc w:val="both"/>
        <w:rPr>
          <w:sz w:val="32"/>
          <w:szCs w:val="32"/>
        </w:rPr>
      </w:pPr>
      <w:r w:rsidRPr="00764F51">
        <w:t>6. Pardo M, Canales I, Diaz A, Cardenas AM. Effect of different surface treatments on push-out bond strength of fiber-reinforced composite posts. J Clin Exp Dent. 2017;9(4):e530–e536.</w:t>
      </w:r>
    </w:p>
    <w:p w14:paraId="298F2D5A" w14:textId="77777777" w:rsidR="00B704C9" w:rsidRPr="00764F51" w:rsidRDefault="00304A10">
      <w:pPr>
        <w:spacing w:before="40" w:after="40" w:line="300" w:lineRule="auto"/>
        <w:ind w:left="720" w:hanging="720"/>
        <w:jc w:val="both"/>
        <w:rPr>
          <w:sz w:val="32"/>
          <w:szCs w:val="32"/>
        </w:rPr>
      </w:pPr>
      <w:r w:rsidRPr="00764F51">
        <w:t>7. Faria-e-Silva AL, Pedrosa-Filho CF, Menezes MS, Silveira DM, Martins LRM. Effect of time on bond strength of self-etching adhesive systems to dentin. J Appl Oral Sci. 2008;16(1):39–42.</w:t>
      </w:r>
    </w:p>
    <w:p w14:paraId="74CBA2A5" w14:textId="77777777" w:rsidR="00B704C9" w:rsidRPr="00764F51" w:rsidRDefault="00304A10">
      <w:pPr>
        <w:spacing w:before="40" w:after="40" w:line="300" w:lineRule="auto"/>
        <w:ind w:left="720" w:hanging="720"/>
        <w:jc w:val="both"/>
        <w:rPr>
          <w:sz w:val="32"/>
          <w:szCs w:val="32"/>
        </w:rPr>
      </w:pPr>
      <w:r w:rsidRPr="00764F51">
        <w:t>8. Ellakany P, Al-Harbi FA, Alshali RZ, Al-Otaibi HN, Mahross HZ. Evaluation of push-out bond strength of glass fiber posts with different surface treatments. Biomed Res Int. 2019;2019:5843207.</w:t>
      </w:r>
    </w:p>
    <w:p w14:paraId="432B82B0" w14:textId="77777777" w:rsidR="00B704C9" w:rsidRPr="00764F51" w:rsidRDefault="00304A10">
      <w:pPr>
        <w:spacing w:before="40" w:after="40" w:line="300" w:lineRule="auto"/>
        <w:ind w:left="720" w:hanging="720"/>
        <w:jc w:val="both"/>
        <w:rPr>
          <w:sz w:val="32"/>
          <w:szCs w:val="32"/>
        </w:rPr>
      </w:pPr>
      <w:r w:rsidRPr="00764F51">
        <w:t>9. Bitter K, Kielbassa AM. Post-endodontic restorations with adhesively luted fiber-reinforced composite post systems: a review. Am J Dent. 2007;20(6):353–360.</w:t>
      </w:r>
    </w:p>
    <w:p w14:paraId="77415F65" w14:textId="77777777" w:rsidR="00B704C9" w:rsidRPr="00764F51" w:rsidRDefault="00304A10">
      <w:pPr>
        <w:spacing w:before="40" w:after="40" w:line="300" w:lineRule="auto"/>
        <w:ind w:left="720" w:hanging="720"/>
        <w:jc w:val="both"/>
        <w:rPr>
          <w:sz w:val="32"/>
          <w:szCs w:val="32"/>
        </w:rPr>
      </w:pPr>
      <w:r w:rsidRPr="00764F51">
        <w:t>10. Kasim T, Cekic-Nagas I, Ergun G. Clinical performance of PEEK post and core restorations: a prospective study. J Oral Rehabil. 2020;47(4):499–508.</w:t>
      </w:r>
    </w:p>
    <w:p w14:paraId="21F58E25" w14:textId="77777777" w:rsidR="00B704C9" w:rsidRPr="00764F51" w:rsidRDefault="00304A10">
      <w:pPr>
        <w:spacing w:before="40" w:after="40" w:line="300" w:lineRule="auto"/>
        <w:ind w:left="720" w:hanging="720"/>
        <w:jc w:val="both"/>
        <w:rPr>
          <w:sz w:val="32"/>
          <w:szCs w:val="32"/>
        </w:rPr>
      </w:pPr>
      <w:r w:rsidRPr="00764F51">
        <w:t>11. Mangano C, Luongo F, Mangano A, Admakin O. Custom-made PEEK post and core fabricated using digital workflow: a case report. Int J Environ Res Public Health. 2019;16(18):3397.</w:t>
      </w:r>
    </w:p>
    <w:p w14:paraId="645ADD02" w14:textId="77777777" w:rsidR="00B704C9" w:rsidRPr="00764F51" w:rsidRDefault="00304A10">
      <w:pPr>
        <w:spacing w:before="40" w:after="40" w:line="300" w:lineRule="auto"/>
        <w:ind w:left="720" w:hanging="720"/>
        <w:jc w:val="both"/>
        <w:rPr>
          <w:sz w:val="32"/>
          <w:szCs w:val="32"/>
        </w:rPr>
      </w:pPr>
      <w:r w:rsidRPr="00764F51">
        <w:t>12. Rosentritt M, Behr M, Kolbeck C, Handel G, Schneider-Feyrer S. In vitro performance of dental polymers as post and core materials. J Biomed Mater Res B Appl Biomater. 2019;107(5):1681–1687.</w:t>
      </w:r>
    </w:p>
    <w:p w14:paraId="0CDD7F14" w14:textId="77777777" w:rsidR="00B704C9" w:rsidRPr="00764F51" w:rsidRDefault="00304A10">
      <w:pPr>
        <w:spacing w:before="40" w:after="40" w:line="300" w:lineRule="auto"/>
        <w:ind w:left="720" w:hanging="720"/>
        <w:jc w:val="both"/>
        <w:rPr>
          <w:sz w:val="32"/>
          <w:szCs w:val="32"/>
        </w:rPr>
      </w:pPr>
      <w:r w:rsidRPr="00764F51">
        <w:t>13. Khoroushi M, Mansoori M. Effect of irrigation protocol on push-out bond strength of glass fiber posts to root dentin. J Dent. 2019;89:103178.</w:t>
      </w:r>
    </w:p>
    <w:p w14:paraId="2860E494" w14:textId="77777777" w:rsidR="00B704C9" w:rsidRPr="00764F51" w:rsidRDefault="00304A10">
      <w:pPr>
        <w:spacing w:before="40" w:after="40" w:line="300" w:lineRule="auto"/>
        <w:ind w:left="720" w:hanging="720"/>
        <w:jc w:val="both"/>
        <w:rPr>
          <w:sz w:val="32"/>
          <w:szCs w:val="32"/>
        </w:rPr>
      </w:pPr>
      <w:r w:rsidRPr="00764F51">
        <w:t>14. Cagidiaco MC, Garcia-Godoy F, Vichi A, Ferrari M. Placement of fiber prefabricated or custom made posts affects the 3-year survival of endodontically treated premolars. Am J Dent. 2008;21(3):179–184.</w:t>
      </w:r>
    </w:p>
    <w:p w14:paraId="282DD217" w14:textId="77777777" w:rsidR="00B704C9" w:rsidRPr="00764F51" w:rsidRDefault="00304A10">
      <w:pPr>
        <w:spacing w:before="40" w:after="40" w:line="300" w:lineRule="auto"/>
        <w:ind w:left="720" w:hanging="720"/>
        <w:jc w:val="both"/>
        <w:rPr>
          <w:sz w:val="32"/>
          <w:szCs w:val="32"/>
        </w:rPr>
      </w:pPr>
      <w:r w:rsidRPr="00764F51">
        <w:t>15. Drummond JL. Degradation, fatigue, and failure of resin dental composite materials. J Dent Res. 2008;87(8):710–719.</w:t>
      </w:r>
    </w:p>
    <w:p w14:paraId="00E18B69" w14:textId="77777777" w:rsidR="00B704C9" w:rsidRPr="00764F51" w:rsidRDefault="00304A10">
      <w:pPr>
        <w:spacing w:before="40" w:after="40" w:line="300" w:lineRule="auto"/>
        <w:ind w:left="720" w:hanging="720"/>
        <w:jc w:val="both"/>
        <w:rPr>
          <w:sz w:val="32"/>
          <w:szCs w:val="32"/>
        </w:rPr>
      </w:pPr>
      <w:r w:rsidRPr="00764F51">
        <w:t>16. Ferrari M, Vichi A, Fadda GM, Cagidiaco MC, Tay FR, Breschi L, et al. A randomized controlled trial of endodontically treated and restored premolars. J Dent Res. 2012;91(7 Suppl):72S–78S.</w:t>
      </w:r>
    </w:p>
    <w:p w14:paraId="67ADE075" w14:textId="77777777" w:rsidR="00B704C9" w:rsidRPr="00764F51" w:rsidRDefault="00304A10">
      <w:pPr>
        <w:spacing w:before="40" w:after="40" w:line="300" w:lineRule="auto"/>
        <w:ind w:left="720" w:hanging="720"/>
        <w:jc w:val="both"/>
        <w:rPr>
          <w:sz w:val="32"/>
          <w:szCs w:val="32"/>
        </w:rPr>
      </w:pPr>
      <w:r w:rsidRPr="00764F51">
        <w:t>17. Valandro LF, Baldissara P, Galhano GA, Melo RM, Mallmann A, Bottino MA, et al. Effect of mechanical cycling on the push-out bond strength of fiber posts cemented with three luting agents in bovine teeth. Oper Dent. 2009;34(3):327–335.</w:t>
      </w:r>
    </w:p>
    <w:p w14:paraId="1488D3E1" w14:textId="77777777" w:rsidR="00B704C9" w:rsidRPr="00764F51" w:rsidRDefault="00304A10">
      <w:pPr>
        <w:spacing w:before="40" w:after="40" w:line="300" w:lineRule="auto"/>
        <w:ind w:left="720" w:hanging="720"/>
        <w:jc w:val="both"/>
        <w:rPr>
          <w:sz w:val="32"/>
          <w:szCs w:val="32"/>
        </w:rPr>
      </w:pPr>
      <w:r w:rsidRPr="00764F51">
        <w:lastRenderedPageBreak/>
        <w:t>18. Fernandes AS, Shetty S, Coutinho I. Factors determining post selection: a literature review. J Prosthet Dent. 2003;90(6):556–562.</w:t>
      </w:r>
    </w:p>
    <w:p w14:paraId="603528D7" w14:textId="77777777" w:rsidR="00B704C9" w:rsidRPr="00764F51" w:rsidRDefault="00304A10">
      <w:pPr>
        <w:spacing w:before="40" w:after="40" w:line="300" w:lineRule="auto"/>
        <w:ind w:left="720" w:hanging="720"/>
        <w:jc w:val="both"/>
        <w:rPr>
          <w:sz w:val="32"/>
          <w:szCs w:val="32"/>
        </w:rPr>
      </w:pPr>
      <w:r w:rsidRPr="00764F51">
        <w:t>19. Zicari F, Coutinho E, De Munck J, Poitevin A, Scotti R, Naert I, et al. Bonding effectiveness and sealing ability of fiber-post bonding. Dent Mater. 2008;24(7):967–977.</w:t>
      </w:r>
    </w:p>
    <w:p w14:paraId="726CB298" w14:textId="77777777" w:rsidR="00B704C9" w:rsidRPr="00764F51" w:rsidRDefault="00304A10">
      <w:pPr>
        <w:spacing w:before="40" w:after="40" w:line="300" w:lineRule="auto"/>
        <w:ind w:left="720" w:hanging="720"/>
        <w:jc w:val="both"/>
        <w:rPr>
          <w:sz w:val="32"/>
          <w:szCs w:val="32"/>
        </w:rPr>
      </w:pPr>
      <w:r w:rsidRPr="00764F51">
        <w:t>20. Goracci C, Tavares AU, Fabianelli A, Monticelli F, Raffaelli O, Cardoso PC, et al. The adhesion between fiber posts and root canal walls: comparison between microtensile and push-out bond strength measurements. Eur J Oral Sci. 2004;112(4):353–361.</w:t>
      </w:r>
    </w:p>
    <w:p w14:paraId="4F0C6009" w14:textId="77777777" w:rsidR="00B704C9" w:rsidRPr="00764F51" w:rsidRDefault="00304A10">
      <w:pPr>
        <w:spacing w:before="40" w:after="40" w:line="300" w:lineRule="auto"/>
        <w:ind w:left="720" w:hanging="720"/>
        <w:jc w:val="both"/>
        <w:rPr>
          <w:sz w:val="32"/>
          <w:szCs w:val="32"/>
        </w:rPr>
      </w:pPr>
      <w:r w:rsidRPr="00764F51">
        <w:t>21. Alqahtani F. Polyetheretherketone (PEEK) as an alternative biomaterial for conventional post and core systems: a systematic review. J Prosthet Dent. 2021;125(6):871–879.</w:t>
      </w:r>
    </w:p>
    <w:p w14:paraId="28CD2BFD" w14:textId="77777777" w:rsidR="00B704C9" w:rsidRPr="00764F51" w:rsidRDefault="00304A10">
      <w:pPr>
        <w:spacing w:before="40" w:after="40" w:line="300" w:lineRule="auto"/>
        <w:ind w:left="720" w:hanging="720"/>
        <w:jc w:val="both"/>
        <w:rPr>
          <w:sz w:val="32"/>
          <w:szCs w:val="32"/>
        </w:rPr>
      </w:pPr>
      <w:r w:rsidRPr="00764F51">
        <w:t>22. Dimitrova M, Corsalini M, Kazakova R, Barile G, Capodiferro S, Vlahova A, et al. Post and core restorations fabricated by CAD/CAM technology: a literature review. J Clin Med. 2021;10(3):424.</w:t>
      </w:r>
    </w:p>
    <w:p w14:paraId="621D3FE8" w14:textId="77777777" w:rsidR="00B704C9" w:rsidRPr="00764F51" w:rsidRDefault="00304A10">
      <w:pPr>
        <w:spacing w:before="40" w:after="40" w:line="300" w:lineRule="auto"/>
        <w:ind w:left="720" w:hanging="720"/>
        <w:jc w:val="both"/>
        <w:rPr>
          <w:sz w:val="32"/>
          <w:szCs w:val="32"/>
        </w:rPr>
      </w:pPr>
      <w:r w:rsidRPr="00764F51">
        <w:t>23. Monticelli F, Osorio R, Toledano M, Tay FR, Ferrari M, Breschi L. Improving the quality of the fiber post-resin cement interface using heat or combined heat/chloroform post surface treatments. Eur J Oral Sci. 2006;114(5):465–471.</w:t>
      </w:r>
    </w:p>
    <w:p w14:paraId="17298D90" w14:textId="77777777" w:rsidR="00B704C9" w:rsidRPr="00764F51" w:rsidRDefault="00304A10">
      <w:pPr>
        <w:spacing w:before="40" w:after="40" w:line="300" w:lineRule="auto"/>
        <w:ind w:left="720" w:hanging="720"/>
        <w:jc w:val="both"/>
        <w:rPr>
          <w:sz w:val="32"/>
          <w:szCs w:val="32"/>
        </w:rPr>
      </w:pPr>
      <w:r w:rsidRPr="00764F51">
        <w:t>24. Goracci C, Sadek FT, Fabianelli A, Tay FR, Ferrari M. Evaluation of the adhesion of fiber posts to intraradicular dentin. Oper Dent. 2005;30(5):627–635.</w:t>
      </w:r>
    </w:p>
    <w:p w14:paraId="30287E77" w14:textId="77777777" w:rsidR="00B704C9" w:rsidRPr="00764F51" w:rsidRDefault="00304A10">
      <w:pPr>
        <w:spacing w:before="40" w:after="40" w:line="300" w:lineRule="auto"/>
        <w:ind w:left="720" w:hanging="720"/>
        <w:jc w:val="both"/>
        <w:rPr>
          <w:sz w:val="32"/>
          <w:szCs w:val="32"/>
        </w:rPr>
      </w:pPr>
      <w:r w:rsidRPr="00764F51">
        <w:t>25. Bitter K, Noetzel J, Stamm O, Vaudt J, Kielbassa AM. Randomized clinical trial comparing the effects of post placement on failure rate of postendodontic restorations. J Endod. 2009;35(11):1477–1482.</w:t>
      </w:r>
    </w:p>
    <w:p w14:paraId="1C887B11" w14:textId="77777777" w:rsidR="00B704C9" w:rsidRPr="00764F51" w:rsidRDefault="00304A10">
      <w:pPr>
        <w:spacing w:before="40" w:after="40" w:line="300" w:lineRule="auto"/>
        <w:ind w:left="720" w:hanging="720"/>
        <w:jc w:val="both"/>
        <w:rPr>
          <w:sz w:val="32"/>
          <w:szCs w:val="32"/>
        </w:rPr>
      </w:pPr>
      <w:r w:rsidRPr="00764F51">
        <w:t>26. Kern M, Lehmann F. Influence of surface conditioning on bonding to polyetheretherketon (PEEK) composite coping material. Dent Mater. 2012;28(12):1280–1283.</w:t>
      </w:r>
    </w:p>
    <w:p w14:paraId="3AE5FADE" w14:textId="77777777" w:rsidR="00B704C9" w:rsidRPr="00764F51" w:rsidRDefault="00304A10">
      <w:pPr>
        <w:spacing w:before="40" w:after="40" w:line="300" w:lineRule="auto"/>
        <w:ind w:left="720" w:hanging="720"/>
        <w:jc w:val="both"/>
        <w:rPr>
          <w:sz w:val="32"/>
          <w:szCs w:val="32"/>
        </w:rPr>
      </w:pPr>
      <w:r w:rsidRPr="00764F51">
        <w:t>27. Rosen E, Tsesis I, Tamse A, Bjørndal L, Katz A, Hülsmann M. Sample size determination in dental research. J Endod. 2010;36(3):404–408.</w:t>
      </w:r>
    </w:p>
    <w:p w14:paraId="23D5D943" w14:textId="77777777" w:rsidR="00B704C9" w:rsidRPr="00764F51" w:rsidRDefault="00304A10">
      <w:pPr>
        <w:spacing w:before="40" w:after="40" w:line="300" w:lineRule="auto"/>
        <w:ind w:left="720" w:hanging="720"/>
        <w:jc w:val="both"/>
        <w:rPr>
          <w:sz w:val="32"/>
          <w:szCs w:val="32"/>
        </w:rPr>
      </w:pPr>
      <w:r w:rsidRPr="00764F51">
        <w:t>28. Bitter K, Hambarayan A, Neumann K, Blunck U, Sterzenbach G. Various irrigation protocols for final rinse to improve bond strengths of fiber posts inside the root canal. Eur J Oral Sci. 2013;121(4):349–354.</w:t>
      </w:r>
    </w:p>
    <w:p w14:paraId="5DFCA52C" w14:textId="77777777" w:rsidR="00B704C9" w:rsidRPr="00764F51" w:rsidRDefault="00304A10">
      <w:pPr>
        <w:spacing w:before="40" w:after="40" w:line="300" w:lineRule="auto"/>
        <w:ind w:left="720" w:hanging="720"/>
        <w:jc w:val="both"/>
        <w:rPr>
          <w:sz w:val="32"/>
          <w:szCs w:val="32"/>
        </w:rPr>
      </w:pPr>
      <w:r w:rsidRPr="00764F51">
        <w:t>29. Paul SJ, Scharer P. Effect of provisional cementation on the bond strength of various adhesive bonding systems on dentine. J Oral Rehabil. 1997;24(1):8–14.</w:t>
      </w:r>
    </w:p>
    <w:p w14:paraId="40596DEA" w14:textId="77777777" w:rsidR="00B704C9" w:rsidRPr="00764F51" w:rsidRDefault="00304A10">
      <w:pPr>
        <w:spacing w:before="40" w:after="40" w:line="300" w:lineRule="auto"/>
        <w:ind w:left="720" w:hanging="720"/>
        <w:jc w:val="both"/>
        <w:rPr>
          <w:sz w:val="32"/>
          <w:szCs w:val="32"/>
        </w:rPr>
      </w:pPr>
      <w:r w:rsidRPr="00764F51">
        <w:t>30. Qualtrough AJ, Mannocci F. Tooth-colored post systems: a review. Oper Dent. 2011;36(3):341–346.</w:t>
      </w:r>
    </w:p>
    <w:p w14:paraId="7F50413A" w14:textId="77777777" w:rsidR="00764F51" w:rsidRPr="00764F51" w:rsidRDefault="00304A10">
      <w:pPr>
        <w:spacing w:before="40" w:after="40" w:line="300" w:lineRule="auto"/>
        <w:ind w:left="720" w:hanging="720"/>
        <w:jc w:val="both"/>
      </w:pPr>
      <w:r w:rsidRPr="00764F51">
        <w:t xml:space="preserve">31. Abramovitz I, Tagger M, Tamse A, Metzger Z. The effect of interfacial dentin and the role of the smear layer in post cementation. Refuat Hapeh Vehashinayim. 2001;18(4):35–40. </w:t>
      </w:r>
    </w:p>
    <w:p w14:paraId="531657F5" w14:textId="1B394672" w:rsidR="00764F51" w:rsidRPr="00764F51" w:rsidRDefault="00304A10">
      <w:pPr>
        <w:spacing w:before="40" w:after="40" w:line="300" w:lineRule="auto"/>
        <w:ind w:left="720" w:hanging="720"/>
        <w:jc w:val="both"/>
        <w:rPr>
          <w:highlight w:val="yellow"/>
        </w:rPr>
      </w:pPr>
      <w:r w:rsidRPr="00764F51">
        <w:rPr>
          <w:highlight w:val="yellow"/>
        </w:rPr>
        <w:t xml:space="preserve">32. Pjetursson BE, Valente NA, Strasding M, Zwahlen M, Liu S, Sailer I. A systematic review of the survival and complication rates of zirconia-ceramic and metal-ceramic fixed dental </w:t>
      </w:r>
      <w:r w:rsidRPr="00764F51">
        <w:rPr>
          <w:highlight w:val="yellow"/>
        </w:rPr>
        <w:lastRenderedPageBreak/>
        <w:t xml:space="preserve">prostheses with focus on surface treatment and bonding. Clin Oral Implants Res. 2022;33(Suppl 23):38–60. </w:t>
      </w:r>
    </w:p>
    <w:p w14:paraId="5E670ECD" w14:textId="77777777" w:rsidR="00764F51" w:rsidRPr="00764F51" w:rsidRDefault="00304A10">
      <w:pPr>
        <w:spacing w:before="40" w:after="40" w:line="300" w:lineRule="auto"/>
        <w:ind w:left="720" w:hanging="720"/>
        <w:jc w:val="both"/>
        <w:rPr>
          <w:highlight w:val="yellow"/>
        </w:rPr>
      </w:pPr>
      <w:r w:rsidRPr="00764F51">
        <w:rPr>
          <w:highlight w:val="yellow"/>
        </w:rPr>
        <w:t>33. Elsayed A, Younes F, Lehmann F, Kern M. Tensile bond strength of CAD/CAM-fabricated PEEK and zirconia crowns using self-adhesive and conventional adhesive resin cements. J Adhes Dent. 2022;24(1):51–58.</w:t>
      </w:r>
    </w:p>
    <w:p w14:paraId="41DA772F" w14:textId="44E348A7" w:rsidR="00B704C9" w:rsidRPr="00764F51" w:rsidRDefault="00304A10">
      <w:pPr>
        <w:spacing w:before="40" w:after="40" w:line="300" w:lineRule="auto"/>
        <w:ind w:left="720" w:hanging="720"/>
        <w:jc w:val="both"/>
        <w:rPr>
          <w:sz w:val="32"/>
          <w:szCs w:val="32"/>
        </w:rPr>
      </w:pPr>
      <w:r w:rsidRPr="00764F51">
        <w:rPr>
          <w:highlight w:val="yellow"/>
        </w:rPr>
        <w:t xml:space="preserve"> 34. Huang Z, Chen C, Zhao X, Li Y, Lin H. Push-out bond strength of custom CAD/CAM PEEK posts cemented with different self-adhesive resin cements: effects of surface treatment and cementation protocol. J Prosthodont Res. 2024;68(2):213–221.</w:t>
      </w:r>
    </w:p>
    <w:sectPr w:rsidR="00B704C9" w:rsidRPr="00764F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D111" w14:textId="77777777" w:rsidR="00472DFC" w:rsidRDefault="00472DFC">
      <w:r>
        <w:separator/>
      </w:r>
    </w:p>
  </w:endnote>
  <w:endnote w:type="continuationSeparator" w:id="0">
    <w:p w14:paraId="6B524988" w14:textId="77777777" w:rsidR="00472DFC" w:rsidRDefault="0047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0C668" w14:textId="77777777" w:rsidR="00617FDC" w:rsidRDefault="00617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6106" w14:textId="249AEA7F" w:rsidR="00B704C9" w:rsidRDefault="00304A10">
    <w:pPr>
      <w:pBdr>
        <w:top w:val="single" w:sz="6" w:space="1" w:color="2E74B5"/>
      </w:pBd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3E423E">
      <w:rPr>
        <w:noProof/>
        <w:color w:val="666666"/>
        <w:sz w:val="18"/>
        <w:szCs w:val="18"/>
      </w:rPr>
      <w:t>13</w:t>
    </w:r>
    <w:r>
      <w:rPr>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1576" w14:textId="77777777" w:rsidR="00617FDC" w:rsidRDefault="00617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297BE" w14:textId="77777777" w:rsidR="00472DFC" w:rsidRDefault="00472DFC">
      <w:r>
        <w:separator/>
      </w:r>
    </w:p>
  </w:footnote>
  <w:footnote w:type="continuationSeparator" w:id="0">
    <w:p w14:paraId="6D1D1837" w14:textId="77777777" w:rsidR="00472DFC" w:rsidRDefault="0047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3A9AA" w14:textId="1CEDCB36" w:rsidR="00617FDC" w:rsidRDefault="003E423E">
    <w:pPr>
      <w:pStyle w:val="Header"/>
    </w:pPr>
    <w:r>
      <w:rPr>
        <w:noProof/>
      </w:rPr>
      <w:pict w14:anchorId="3A2AF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01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9FDE7" w14:textId="4DB8DF89" w:rsidR="00617FDC" w:rsidRDefault="003E423E">
    <w:pPr>
      <w:pStyle w:val="Header"/>
    </w:pPr>
    <w:r>
      <w:rPr>
        <w:noProof/>
      </w:rPr>
      <w:pict w14:anchorId="25B93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01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BA13" w14:textId="30312C13" w:rsidR="00617FDC" w:rsidRDefault="003E423E">
    <w:pPr>
      <w:pStyle w:val="Header"/>
    </w:pPr>
    <w:r>
      <w:rPr>
        <w:noProof/>
      </w:rPr>
      <w:pict w14:anchorId="3F3A07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201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07ED5"/>
    <w:multiLevelType w:val="hybridMultilevel"/>
    <w:tmpl w:val="FA2C30F8"/>
    <w:lvl w:ilvl="0" w:tplc="F522AB6E">
      <w:start w:val="1"/>
      <w:numFmt w:val="bullet"/>
      <w:lvlText w:val="●"/>
      <w:lvlJc w:val="left"/>
      <w:pPr>
        <w:ind w:left="720" w:hanging="360"/>
      </w:pPr>
    </w:lvl>
    <w:lvl w:ilvl="1" w:tplc="470AC8F6">
      <w:start w:val="1"/>
      <w:numFmt w:val="bullet"/>
      <w:lvlText w:val="○"/>
      <w:lvlJc w:val="left"/>
      <w:pPr>
        <w:ind w:left="1440" w:hanging="360"/>
      </w:pPr>
    </w:lvl>
    <w:lvl w:ilvl="2" w:tplc="4066DF6E">
      <w:start w:val="1"/>
      <w:numFmt w:val="bullet"/>
      <w:lvlText w:val="■"/>
      <w:lvlJc w:val="left"/>
      <w:pPr>
        <w:ind w:left="2160" w:hanging="360"/>
      </w:pPr>
    </w:lvl>
    <w:lvl w:ilvl="3" w:tplc="412EF148">
      <w:start w:val="1"/>
      <w:numFmt w:val="bullet"/>
      <w:lvlText w:val="●"/>
      <w:lvlJc w:val="left"/>
      <w:pPr>
        <w:ind w:left="2880" w:hanging="360"/>
      </w:pPr>
    </w:lvl>
    <w:lvl w:ilvl="4" w:tplc="E13421F2">
      <w:start w:val="1"/>
      <w:numFmt w:val="bullet"/>
      <w:lvlText w:val="○"/>
      <w:lvlJc w:val="left"/>
      <w:pPr>
        <w:ind w:left="3600" w:hanging="360"/>
      </w:pPr>
    </w:lvl>
    <w:lvl w:ilvl="5" w:tplc="84124AC0">
      <w:start w:val="1"/>
      <w:numFmt w:val="bullet"/>
      <w:lvlText w:val="■"/>
      <w:lvlJc w:val="left"/>
      <w:pPr>
        <w:ind w:left="4320" w:hanging="360"/>
      </w:pPr>
    </w:lvl>
    <w:lvl w:ilvl="6" w:tplc="2A648E5C">
      <w:start w:val="1"/>
      <w:numFmt w:val="bullet"/>
      <w:lvlText w:val="●"/>
      <w:lvlJc w:val="left"/>
      <w:pPr>
        <w:ind w:left="5040" w:hanging="360"/>
      </w:pPr>
    </w:lvl>
    <w:lvl w:ilvl="7" w:tplc="F1D63B16">
      <w:start w:val="1"/>
      <w:numFmt w:val="bullet"/>
      <w:lvlText w:val="●"/>
      <w:lvlJc w:val="left"/>
      <w:pPr>
        <w:ind w:left="5760" w:hanging="360"/>
      </w:pPr>
    </w:lvl>
    <w:lvl w:ilvl="8" w:tplc="13C8578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yMLQwMDYztLSwtDBU0lEKTi0uzszPAykwrAUAHKYT0SwAAAA="/>
  </w:docVars>
  <w:rsids>
    <w:rsidRoot w:val="00B704C9"/>
    <w:rsid w:val="0003520C"/>
    <w:rsid w:val="001060AE"/>
    <w:rsid w:val="00304A10"/>
    <w:rsid w:val="003D611E"/>
    <w:rsid w:val="003E423E"/>
    <w:rsid w:val="0041447E"/>
    <w:rsid w:val="00442397"/>
    <w:rsid w:val="00472DFC"/>
    <w:rsid w:val="004C3178"/>
    <w:rsid w:val="005E4620"/>
    <w:rsid w:val="0061347F"/>
    <w:rsid w:val="00617FDC"/>
    <w:rsid w:val="00764F51"/>
    <w:rsid w:val="00811C99"/>
    <w:rsid w:val="00850C5F"/>
    <w:rsid w:val="00AB7C01"/>
    <w:rsid w:val="00B704C9"/>
    <w:rsid w:val="00B8266B"/>
    <w:rsid w:val="00BE1710"/>
    <w:rsid w:val="00C64B59"/>
    <w:rsid w:val="00C978C1"/>
    <w:rsid w:val="00D029F0"/>
    <w:rsid w:val="00D218A1"/>
    <w:rsid w:val="00D8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88E39C"/>
  <w15:docId w15:val="{BB8A736B-83C6-4D97-A5CE-0B96ADCE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spacing w:before="340" w:after="140"/>
      <w:outlineLvl w:val="0"/>
    </w:pPr>
    <w:rPr>
      <w:b/>
      <w:bCs/>
      <w:color w:val="1F3864"/>
      <w:sz w:val="28"/>
      <w:szCs w:val="28"/>
    </w:rPr>
  </w:style>
  <w:style w:type="paragraph" w:styleId="Heading2">
    <w:name w:val="heading 2"/>
    <w:uiPriority w:val="9"/>
    <w:semiHidden/>
    <w:unhideWhenUsed/>
    <w:qFormat/>
    <w:pPr>
      <w:spacing w:before="220" w:after="100"/>
      <w:outlineLvl w:val="1"/>
    </w:pPr>
    <w:rPr>
      <w:b/>
      <w:bCs/>
      <w:i/>
      <w:i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11C99"/>
    <w:pPr>
      <w:tabs>
        <w:tab w:val="center" w:pos="4513"/>
        <w:tab w:val="right" w:pos="9026"/>
      </w:tabs>
    </w:pPr>
  </w:style>
  <w:style w:type="character" w:customStyle="1" w:styleId="HeaderChar">
    <w:name w:val="Header Char"/>
    <w:basedOn w:val="DefaultParagraphFont"/>
    <w:link w:val="Header"/>
    <w:uiPriority w:val="99"/>
    <w:rsid w:val="00811C99"/>
  </w:style>
  <w:style w:type="paragraph" w:styleId="Footer">
    <w:name w:val="footer"/>
    <w:basedOn w:val="Normal"/>
    <w:link w:val="FooterChar"/>
    <w:uiPriority w:val="99"/>
    <w:unhideWhenUsed/>
    <w:rsid w:val="00811C99"/>
    <w:pPr>
      <w:tabs>
        <w:tab w:val="center" w:pos="4513"/>
        <w:tab w:val="right" w:pos="9026"/>
      </w:tabs>
    </w:pPr>
  </w:style>
  <w:style w:type="character" w:customStyle="1" w:styleId="FooterChar">
    <w:name w:val="Footer Char"/>
    <w:basedOn w:val="DefaultParagraphFont"/>
    <w:link w:val="Footer"/>
    <w:uiPriority w:val="99"/>
    <w:rsid w:val="00811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353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5369</Words>
  <Characters>30605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CPU 1023</cp:lastModifiedBy>
  <cp:revision>16</cp:revision>
  <dcterms:created xsi:type="dcterms:W3CDTF">2026-04-21T04:41:00Z</dcterms:created>
  <dcterms:modified xsi:type="dcterms:W3CDTF">2026-05-02T13:28:00Z</dcterms:modified>
</cp:coreProperties>
</file>