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BAC" w:rsidRPr="009F565B" w:rsidRDefault="00CF2BAC" w:rsidP="005C77ED">
      <w:pPr>
        <w:spacing w:before="100" w:beforeAutospacing="1" w:after="100" w:afterAutospacing="1" w:line="240" w:lineRule="auto"/>
        <w:jc w:val="both"/>
        <w:outlineLvl w:val="1"/>
        <w:rPr>
          <w:rFonts w:ascii="Times New Roman" w:eastAsia="Times New Roman" w:hAnsi="Times New Roman" w:cs="Times New Roman"/>
          <w:b/>
          <w:bCs/>
          <w:sz w:val="32"/>
          <w:szCs w:val="36"/>
          <w:lang w:val="en-US"/>
        </w:rPr>
      </w:pPr>
      <w:r w:rsidRPr="009F565B">
        <w:rPr>
          <w:rFonts w:ascii="Times New Roman" w:eastAsia="Times New Roman" w:hAnsi="Times New Roman" w:cs="Times New Roman"/>
          <w:b/>
          <w:bCs/>
          <w:sz w:val="32"/>
          <w:szCs w:val="36"/>
          <w:lang w:val="en-US"/>
        </w:rPr>
        <w:t>Effectiveness and Safety of Single Antiplatelet Therapy Versus Dual Antiplatelet Therapy in Patients with Acute Coronary Syndrome Following Percutaneous Coronary Intervention: A Narrative Review</w:t>
      </w:r>
      <w:bookmarkStart w:id="0" w:name="_GoBack"/>
      <w:bookmarkEnd w:id="0"/>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Abstract</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Antiplatelet therapy forms the cornerstone of pharmacological management following percutaneous coronary intervention (PCI) in patients with acute coronary syndrome (ACS). For decades, dual antiplatelet therapy (DAPT) — conventionally comprising aspirin combined with a P2Y12 receptor inhibitor — has represented the standard of care, underpinned by robust evidence demonstrating reductions in major adverse cardiovascular events. However, sustained dual antiplatelet therapy inevitably increases the risk of clinically significant bleeding, which is itself associated with elevated mortality, prolonged </w:t>
      </w:r>
      <w:proofErr w:type="spellStart"/>
      <w:r w:rsidRPr="00CF2BAC">
        <w:rPr>
          <w:rFonts w:ascii="Times New Roman" w:eastAsia="Times New Roman" w:hAnsi="Times New Roman" w:cs="Times New Roman"/>
          <w:sz w:val="24"/>
          <w:szCs w:val="24"/>
          <w:lang w:val="en-US"/>
        </w:rPr>
        <w:t>hospitalisation</w:t>
      </w:r>
      <w:proofErr w:type="spellEnd"/>
      <w:r w:rsidRPr="00CF2BAC">
        <w:rPr>
          <w:rFonts w:ascii="Times New Roman" w:eastAsia="Times New Roman" w:hAnsi="Times New Roman" w:cs="Times New Roman"/>
          <w:sz w:val="24"/>
          <w:szCs w:val="24"/>
          <w:lang w:val="en-US"/>
        </w:rPr>
        <w:t xml:space="preserve">, and impaired quality of life. This tension has </w:t>
      </w:r>
      <w:proofErr w:type="spellStart"/>
      <w:r w:rsidRPr="00CF2BAC">
        <w:rPr>
          <w:rFonts w:ascii="Times New Roman" w:eastAsia="Times New Roman" w:hAnsi="Times New Roman" w:cs="Times New Roman"/>
          <w:sz w:val="24"/>
          <w:szCs w:val="24"/>
          <w:lang w:val="en-US"/>
        </w:rPr>
        <w:t>catalysed</w:t>
      </w:r>
      <w:proofErr w:type="spellEnd"/>
      <w:r w:rsidRPr="00CF2BAC">
        <w:rPr>
          <w:rFonts w:ascii="Times New Roman" w:eastAsia="Times New Roman" w:hAnsi="Times New Roman" w:cs="Times New Roman"/>
          <w:sz w:val="24"/>
          <w:szCs w:val="24"/>
          <w:lang w:val="en-US"/>
        </w:rPr>
        <w:t xml:space="preserve"> growing interest in strategies that involve earlier transition to single antiplatelet therapy (SAPT), thereby reducing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exposure without substantially compromising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protection. This narrative review evaluates the comparative effectiveness and safety of SAPT versus DAPT in ACS patients following PCI, drawing on evidence from major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controlled trials, meta-analyses, and contemporary clinical guidelines. The review examines the pathophysiological rationale for antiplatelet therapy, the pharmacology of relevant agents, the role of risk stratification tools, and the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and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outcomes associated with abbreviated or single-agent approaches. Evidence from pivotal trials — including TWILIGHT, SMART-CHOICE, STOPDAPT-2, TICO, MASTER DAPT, and HOST-EXAM — is </w:t>
      </w:r>
      <w:proofErr w:type="spellStart"/>
      <w:r w:rsidRPr="00CF2BAC">
        <w:rPr>
          <w:rFonts w:ascii="Times New Roman" w:eastAsia="Times New Roman" w:hAnsi="Times New Roman" w:cs="Times New Roman"/>
          <w:sz w:val="24"/>
          <w:szCs w:val="24"/>
          <w:lang w:val="en-US"/>
        </w:rPr>
        <w:t>synthesised</w:t>
      </w:r>
      <w:proofErr w:type="spellEnd"/>
      <w:r w:rsidRPr="00CF2BAC">
        <w:rPr>
          <w:rFonts w:ascii="Times New Roman" w:eastAsia="Times New Roman" w:hAnsi="Times New Roman" w:cs="Times New Roman"/>
          <w:sz w:val="24"/>
          <w:szCs w:val="24"/>
          <w:lang w:val="en-US"/>
        </w:rPr>
        <w:t xml:space="preserve"> alongside guideline recommendations from the European Society of Cardiology and the American College of Cardiology/American Heart Association. The available data indicate that, in carefully selected patients — particularly those at elevated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risk — transition to SAPT after one to three months of DAPT can achieve a </w:t>
      </w:r>
      <w:proofErr w:type="spellStart"/>
      <w:r w:rsidRPr="00CF2BAC">
        <w:rPr>
          <w:rFonts w:ascii="Times New Roman" w:eastAsia="Times New Roman" w:hAnsi="Times New Roman" w:cs="Times New Roman"/>
          <w:sz w:val="24"/>
          <w:szCs w:val="24"/>
          <w:lang w:val="en-US"/>
        </w:rPr>
        <w:t>favourable</w:t>
      </w:r>
      <w:proofErr w:type="spellEnd"/>
      <w:r w:rsidRPr="00CF2BAC">
        <w:rPr>
          <w:rFonts w:ascii="Times New Roman" w:eastAsia="Times New Roman" w:hAnsi="Times New Roman" w:cs="Times New Roman"/>
          <w:sz w:val="24"/>
          <w:szCs w:val="24"/>
          <w:lang w:val="en-US"/>
        </w:rPr>
        <w:t xml:space="preserve"> balance between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efficacy and bleeding safety. Individual patient characteristics, stent type, clinical presentation, and comorbidities must nonetheless continue to inform clinical decision-making in this nuanced domain.</w:t>
      </w:r>
      <w:r w:rsidR="009040FB">
        <w:rPr>
          <w:rFonts w:ascii="Times New Roman" w:eastAsia="Times New Roman" w:hAnsi="Times New Roman" w:cs="Times New Roman"/>
          <w:sz w:val="24"/>
          <w:szCs w:val="24"/>
          <w:lang w:val="en-US"/>
        </w:rPr>
        <w:t xml:space="preserve"> </w:t>
      </w:r>
      <w:r w:rsidR="009040FB" w:rsidRPr="009600AC">
        <w:rPr>
          <w:rFonts w:ascii="Times New Roman" w:eastAsia="Times New Roman" w:hAnsi="Times New Roman" w:cs="Times New Roman"/>
          <w:sz w:val="24"/>
          <w:szCs w:val="24"/>
          <w:highlight w:val="yellow"/>
          <w:lang w:val="en-US"/>
        </w:rPr>
        <w:t>This finding, robust across multiple independent RCTs and confirmed in individual patient data meta-analytic syntheses, represents one of the more substantive advances in post-PCI pharmacotherapy over the past decade.</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b/>
          <w:bCs/>
          <w:sz w:val="24"/>
          <w:szCs w:val="24"/>
          <w:lang w:val="en-US"/>
        </w:rPr>
        <w:t>Keywords:</w:t>
      </w:r>
      <w:r w:rsidRPr="00CF2BAC">
        <w:rPr>
          <w:rFonts w:ascii="Times New Roman" w:eastAsia="Times New Roman" w:hAnsi="Times New Roman" w:cs="Times New Roman"/>
          <w:sz w:val="24"/>
          <w:szCs w:val="24"/>
          <w:lang w:val="en-US"/>
        </w:rPr>
        <w:t xml:space="preserve"> </w:t>
      </w:r>
      <w:r w:rsidR="006E4F67">
        <w:rPr>
          <w:rFonts w:ascii="Times New Roman" w:eastAsia="Times New Roman" w:hAnsi="Times New Roman" w:cs="Times New Roman"/>
          <w:sz w:val="24"/>
          <w:szCs w:val="24"/>
          <w:lang w:val="en-US"/>
        </w:rPr>
        <w:t>D</w:t>
      </w:r>
      <w:r w:rsidRPr="00CF2BAC">
        <w:rPr>
          <w:rFonts w:ascii="Times New Roman" w:eastAsia="Times New Roman" w:hAnsi="Times New Roman" w:cs="Times New Roman"/>
          <w:sz w:val="24"/>
          <w:szCs w:val="24"/>
          <w:lang w:val="en-US"/>
        </w:rPr>
        <w:t xml:space="preserve">ual antiplatelet therapy; single antiplatelet therapy; percutaneous coronary intervention; acute coronary syndrome; P2Y12 inhibitor; ticagrelor; aspirin; bleeding risk;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events; de-escalation</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1. Introduction</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1.1 Background and Clinical Context</w:t>
      </w:r>
    </w:p>
    <w:p w:rsidR="00CF2BAC" w:rsidRPr="00CF2BAC" w:rsidRDefault="009F565B"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9600AC">
        <w:rPr>
          <w:rFonts w:ascii="Cambria" w:hAnsi="Cambria"/>
          <w:color w:val="1B1B1B"/>
          <w:szCs w:val="28"/>
          <w:highlight w:val="yellow"/>
          <w:shd w:val="clear" w:color="auto" w:fill="FFFFFF"/>
        </w:rPr>
        <w:t xml:space="preserve">Cardiovascular disease, predominantly acute coronary syndrome (ACS), is the leading cause of death for both men and women. For decades, this has been a global healthcare challenge. The </w:t>
      </w:r>
      <w:r w:rsidRPr="009600AC">
        <w:rPr>
          <w:rFonts w:ascii="Cambria" w:hAnsi="Cambria"/>
          <w:color w:val="1B1B1B"/>
          <w:szCs w:val="28"/>
          <w:highlight w:val="yellow"/>
          <w:shd w:val="clear" w:color="auto" w:fill="FFFFFF"/>
        </w:rPr>
        <w:lastRenderedPageBreak/>
        <w:t>main reason for thrombus formation in the coronary arteries is platelet accumulation as part of an inflammatory reaction. The efforts to combat this process of platelet aggregation have led researchers to discover antiplatelet drugs, which have been a keystone in treating cardiovascular diseases related to arterial thrombus formation. Antiplatelet drugs inhibit various platelet responses and help mitigate atherothrombosis, thereby playing a major role in both primary and secondary prevention of ACS</w:t>
      </w:r>
      <w:r>
        <w:rPr>
          <w:rFonts w:ascii="Cambria" w:hAnsi="Cambria"/>
          <w:color w:val="1B1B1B"/>
          <w:szCs w:val="28"/>
          <w:highlight w:val="yellow"/>
          <w:shd w:val="clear" w:color="auto" w:fill="FFFFFF"/>
        </w:rPr>
        <w:t xml:space="preserve"> (</w:t>
      </w:r>
      <w:proofErr w:type="spellStart"/>
      <w:r w:rsidRPr="009600AC">
        <w:rPr>
          <w:rFonts w:ascii="Consolas" w:eastAsia="Times New Roman" w:hAnsi="Consolas" w:cs="Times New Roman"/>
          <w:color w:val="1B1B1B"/>
          <w:szCs w:val="24"/>
          <w:highlight w:val="yellow"/>
          <w:lang w:val="en-US"/>
        </w:rPr>
        <w:t>Winson</w:t>
      </w:r>
      <w:proofErr w:type="spellEnd"/>
      <w:r w:rsidRPr="009600AC">
        <w:rPr>
          <w:rFonts w:ascii="Consolas" w:eastAsia="Times New Roman" w:hAnsi="Consolas" w:cs="Times New Roman"/>
          <w:color w:val="1B1B1B"/>
          <w:szCs w:val="24"/>
          <w:highlight w:val="yellow"/>
          <w:lang w:val="en-US"/>
        </w:rPr>
        <w:t xml:space="preserve"> et al., 2023</w:t>
      </w:r>
      <w:r w:rsidR="00540265">
        <w:rPr>
          <w:rFonts w:ascii="Consolas" w:eastAsia="Times New Roman" w:hAnsi="Consolas" w:cs="Times New Roman"/>
          <w:color w:val="1B1B1B"/>
          <w:szCs w:val="24"/>
          <w:highlight w:val="yellow"/>
          <w:lang w:val="en-US"/>
        </w:rPr>
        <w:t xml:space="preserve">; </w:t>
      </w:r>
      <w:r w:rsidR="00540265" w:rsidRPr="00234BCF">
        <w:rPr>
          <w:rFonts w:ascii="Arial" w:hAnsi="Arial" w:cs="Arial"/>
          <w:color w:val="222222"/>
          <w:sz w:val="20"/>
          <w:szCs w:val="20"/>
          <w:highlight w:val="yellow"/>
          <w:shd w:val="clear" w:color="auto" w:fill="FFFFFF"/>
        </w:rPr>
        <w:t>Kim</w:t>
      </w:r>
      <w:r w:rsidR="00540265">
        <w:rPr>
          <w:rFonts w:ascii="Arial" w:hAnsi="Arial" w:cs="Arial"/>
          <w:color w:val="222222"/>
          <w:sz w:val="20"/>
          <w:szCs w:val="20"/>
          <w:highlight w:val="yellow"/>
          <w:shd w:val="clear" w:color="auto" w:fill="FFFFFF"/>
        </w:rPr>
        <w:t xml:space="preserve"> et al., 2025</w:t>
      </w:r>
      <w:r>
        <w:rPr>
          <w:rFonts w:ascii="Cambria" w:hAnsi="Cambria"/>
          <w:color w:val="1B1B1B"/>
          <w:szCs w:val="28"/>
          <w:highlight w:val="yellow"/>
          <w:shd w:val="clear" w:color="auto" w:fill="FFFFFF"/>
        </w:rPr>
        <w:t>)</w:t>
      </w:r>
      <w:r w:rsidRPr="009600AC">
        <w:rPr>
          <w:rFonts w:ascii="Cambria" w:hAnsi="Cambria"/>
          <w:color w:val="1B1B1B"/>
          <w:szCs w:val="28"/>
          <w:highlight w:val="yellow"/>
          <w:shd w:val="clear" w:color="auto" w:fill="FFFFFF"/>
        </w:rPr>
        <w:t>.</w:t>
      </w:r>
      <w:r w:rsidRPr="009600AC">
        <w:rPr>
          <w:rFonts w:ascii="Times New Roman" w:eastAsia="Times New Roman" w:hAnsi="Times New Roman" w:cs="Times New Roman"/>
          <w:sz w:val="20"/>
          <w:szCs w:val="24"/>
          <w:lang w:val="en-US"/>
        </w:rPr>
        <w:t xml:space="preserve"> </w:t>
      </w:r>
      <w:r w:rsidRPr="009600AC">
        <w:rPr>
          <w:rFonts w:ascii="Times New Roman" w:eastAsia="Times New Roman" w:hAnsi="Times New Roman" w:cs="Times New Roman"/>
          <w:sz w:val="24"/>
          <w:szCs w:val="24"/>
          <w:highlight w:val="yellow"/>
          <w:lang w:val="en-US"/>
        </w:rPr>
        <w:t>ACS</w:t>
      </w:r>
      <w:r w:rsidR="00CF2BAC" w:rsidRPr="00CF2BAC">
        <w:rPr>
          <w:rFonts w:ascii="Times New Roman" w:eastAsia="Times New Roman" w:hAnsi="Times New Roman" w:cs="Times New Roman"/>
          <w:sz w:val="24"/>
          <w:szCs w:val="24"/>
          <w:lang w:val="en-US"/>
        </w:rPr>
        <w:t xml:space="preserve"> encompasses a spectrum of life-threatening cardiac conditions — including unstable angina, non-ST-segment elevation myocardial infarction (NSTEMI), and ST-segment elevation myocardial infarction (STEMI) — that collectively represent a leading cause of morbidity and mortality in both developed and developing countries. Percutaneous coronary intervention has become the preferred </w:t>
      </w:r>
      <w:proofErr w:type="spellStart"/>
      <w:r w:rsidR="00CF2BAC" w:rsidRPr="00CF2BAC">
        <w:rPr>
          <w:rFonts w:ascii="Times New Roman" w:eastAsia="Times New Roman" w:hAnsi="Times New Roman" w:cs="Times New Roman"/>
          <w:sz w:val="24"/>
          <w:szCs w:val="24"/>
          <w:lang w:val="en-US"/>
        </w:rPr>
        <w:t>revascularisation</w:t>
      </w:r>
      <w:proofErr w:type="spellEnd"/>
      <w:r w:rsidR="00CF2BAC" w:rsidRPr="00CF2BAC">
        <w:rPr>
          <w:rFonts w:ascii="Times New Roman" w:eastAsia="Times New Roman" w:hAnsi="Times New Roman" w:cs="Times New Roman"/>
          <w:sz w:val="24"/>
          <w:szCs w:val="24"/>
          <w:lang w:val="en-US"/>
        </w:rPr>
        <w:t xml:space="preserve"> strategy for most patients with ACS, offering rapid restoration of coronary blood flow with acceptable procedural risk. The deployment of coronary stents, however, introduces a foreign surface that potently activates the coagulation cascade and platelet aggregation, rendering patients vulnerable to stent thrombosis in the period following the procedure (</w:t>
      </w:r>
      <w:proofErr w:type="spellStart"/>
      <w:r w:rsidR="00CF2BAC" w:rsidRPr="00CF2BAC">
        <w:rPr>
          <w:rFonts w:ascii="Times New Roman" w:eastAsia="Times New Roman" w:hAnsi="Times New Roman" w:cs="Times New Roman"/>
          <w:sz w:val="24"/>
          <w:szCs w:val="24"/>
          <w:lang w:val="en-US"/>
        </w:rPr>
        <w:t>Furie</w:t>
      </w:r>
      <w:proofErr w:type="spellEnd"/>
      <w:r w:rsidR="00CF2BAC" w:rsidRPr="00CF2BAC">
        <w:rPr>
          <w:rFonts w:ascii="Times New Roman" w:eastAsia="Times New Roman" w:hAnsi="Times New Roman" w:cs="Times New Roman"/>
          <w:sz w:val="24"/>
          <w:szCs w:val="24"/>
          <w:lang w:val="en-US"/>
        </w:rPr>
        <w:t xml:space="preserve"> &amp; </w:t>
      </w:r>
      <w:proofErr w:type="spellStart"/>
      <w:r w:rsidR="00CF2BAC" w:rsidRPr="00CF2BAC">
        <w:rPr>
          <w:rFonts w:ascii="Times New Roman" w:eastAsia="Times New Roman" w:hAnsi="Times New Roman" w:cs="Times New Roman"/>
          <w:sz w:val="24"/>
          <w:szCs w:val="24"/>
          <w:lang w:val="en-US"/>
        </w:rPr>
        <w:t>Furie</w:t>
      </w:r>
      <w:proofErr w:type="spellEnd"/>
      <w:r w:rsidR="00CF2BAC" w:rsidRPr="00CF2BAC">
        <w:rPr>
          <w:rFonts w:ascii="Times New Roman" w:eastAsia="Times New Roman" w:hAnsi="Times New Roman" w:cs="Times New Roman"/>
          <w:sz w:val="24"/>
          <w:szCs w:val="24"/>
          <w:lang w:val="en-US"/>
        </w:rPr>
        <w:t xml:space="preserve">, 2008). This risk is highest in the immediate post-procedural days and declines progressively thereafter as the stent struts become </w:t>
      </w:r>
      <w:proofErr w:type="spellStart"/>
      <w:r w:rsidR="00CF2BAC" w:rsidRPr="00CF2BAC">
        <w:rPr>
          <w:rFonts w:ascii="Times New Roman" w:eastAsia="Times New Roman" w:hAnsi="Times New Roman" w:cs="Times New Roman"/>
          <w:sz w:val="24"/>
          <w:szCs w:val="24"/>
          <w:lang w:val="en-US"/>
        </w:rPr>
        <w:t>endothelialised</w:t>
      </w:r>
      <w:proofErr w:type="spellEnd"/>
      <w:r w:rsidR="00CF2BAC" w:rsidRPr="00CF2BAC">
        <w:rPr>
          <w:rFonts w:ascii="Times New Roman" w:eastAsia="Times New Roman" w:hAnsi="Times New Roman" w:cs="Times New Roman"/>
          <w:sz w:val="24"/>
          <w:szCs w:val="24"/>
          <w:lang w:val="en-US"/>
        </w:rPr>
        <w:t xml:space="preserve">. The prevention of thrombotic complications while simultaneously </w:t>
      </w:r>
      <w:proofErr w:type="spellStart"/>
      <w:r w:rsidR="00CF2BAC" w:rsidRPr="00CF2BAC">
        <w:rPr>
          <w:rFonts w:ascii="Times New Roman" w:eastAsia="Times New Roman" w:hAnsi="Times New Roman" w:cs="Times New Roman"/>
          <w:sz w:val="24"/>
          <w:szCs w:val="24"/>
          <w:lang w:val="en-US"/>
        </w:rPr>
        <w:t>minimising</w:t>
      </w:r>
      <w:proofErr w:type="spellEnd"/>
      <w:r w:rsidR="00CF2BAC" w:rsidRPr="00CF2BAC">
        <w:rPr>
          <w:rFonts w:ascii="Times New Roman" w:eastAsia="Times New Roman" w:hAnsi="Times New Roman" w:cs="Times New Roman"/>
          <w:sz w:val="24"/>
          <w:szCs w:val="24"/>
          <w:lang w:val="en-US"/>
        </w:rPr>
        <w:t xml:space="preserve"> </w:t>
      </w:r>
      <w:proofErr w:type="spellStart"/>
      <w:r w:rsidR="00CF2BAC" w:rsidRPr="00CF2BAC">
        <w:rPr>
          <w:rFonts w:ascii="Times New Roman" w:eastAsia="Times New Roman" w:hAnsi="Times New Roman" w:cs="Times New Roman"/>
          <w:sz w:val="24"/>
          <w:szCs w:val="24"/>
          <w:lang w:val="en-US"/>
        </w:rPr>
        <w:t>haemorrhagic</w:t>
      </w:r>
      <w:proofErr w:type="spellEnd"/>
      <w:r w:rsidR="00CF2BAC" w:rsidRPr="00CF2BAC">
        <w:rPr>
          <w:rFonts w:ascii="Times New Roman" w:eastAsia="Times New Roman" w:hAnsi="Times New Roman" w:cs="Times New Roman"/>
          <w:sz w:val="24"/>
          <w:szCs w:val="24"/>
          <w:lang w:val="en-US"/>
        </w:rPr>
        <w:t xml:space="preserve"> exposure has consequently become one of the defining challenges of contemporary cardiovascular pharmacotherapy, and it is within this context that the relative merits of single versus dual antiplatelet therapy have assumed such clinical prominence.</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1.2 Evolution of Antiplatelet Therapy in ACS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dual antiplatelet therapy paradigm — combining aspirin with a P2Y12 receptor inhibitor — was established as standard post-PCI care following the landmark CURE trial (Yusuf et al., 2001), which demonstrated that clopidogrel in addition to aspirin significantly reduced the composite of cardiovascular death, myocardial infarction (MI), and stroke in patients with ACS. Subsequent pivotal trials further refined the choice of P2Y12 inhibitor. The TRITON-TIMI 38 trial showed that prasugrel was superior to clopidogrel for reducing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events in ACS patients undergoing PCI, though at the cost of significantly more major bleeding (</w:t>
      </w:r>
      <w:proofErr w:type="spellStart"/>
      <w:r w:rsidRPr="00CF2BAC">
        <w:rPr>
          <w:rFonts w:ascii="Times New Roman" w:eastAsia="Times New Roman" w:hAnsi="Times New Roman" w:cs="Times New Roman"/>
          <w:sz w:val="24"/>
          <w:szCs w:val="24"/>
          <w:lang w:val="en-US"/>
        </w:rPr>
        <w:t>Wiviott</w:t>
      </w:r>
      <w:proofErr w:type="spellEnd"/>
      <w:r w:rsidRPr="00CF2BAC">
        <w:rPr>
          <w:rFonts w:ascii="Times New Roman" w:eastAsia="Times New Roman" w:hAnsi="Times New Roman" w:cs="Times New Roman"/>
          <w:sz w:val="24"/>
          <w:szCs w:val="24"/>
          <w:lang w:val="en-US"/>
        </w:rPr>
        <w:t xml:space="preserve"> et al., 2007). Ticagrelor, evaluated in the PLATO trial, demonstrated both superior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efficacy and a reduction in cardiovascular mortality compared with clopidogrel across the ACS spectrum (</w:t>
      </w:r>
      <w:proofErr w:type="spellStart"/>
      <w:r w:rsidRPr="00CF2BAC">
        <w:rPr>
          <w:rFonts w:ascii="Times New Roman" w:eastAsia="Times New Roman" w:hAnsi="Times New Roman" w:cs="Times New Roman"/>
          <w:sz w:val="24"/>
          <w:szCs w:val="24"/>
          <w:lang w:val="en-US"/>
        </w:rPr>
        <w:t>Wallentin</w:t>
      </w:r>
      <w:proofErr w:type="spellEnd"/>
      <w:r w:rsidRPr="00CF2BAC">
        <w:rPr>
          <w:rFonts w:ascii="Times New Roman" w:eastAsia="Times New Roman" w:hAnsi="Times New Roman" w:cs="Times New Roman"/>
          <w:sz w:val="24"/>
          <w:szCs w:val="24"/>
          <w:lang w:val="en-US"/>
        </w:rPr>
        <w:t xml:space="preserve"> et al., 2009). These findings prompted guideline recommendations preferring the newer, more potent P2Y12 inhibitors over clopidogrel in ACS patients eligible for PCI.</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Alongside advances in pharmacotherapy, the introduction of second-generation drug-eluting stents (DES) substantially improved stent biocompatibility and reduced the risk of very late stent thrombosis relative to first-generation devices (Ibanez et al., 2018). This evolution prompted a reassessment of DAPT duration requirements, and large-scale trials confirmed that prolonged dual therapy does not uniformly confer clinical benefit across all patient profiles (Mauri et al., 2014). As bleeding complications came to be </w:t>
      </w:r>
      <w:proofErr w:type="spellStart"/>
      <w:r w:rsidRPr="00CF2BAC">
        <w:rPr>
          <w:rFonts w:ascii="Times New Roman" w:eastAsia="Times New Roman" w:hAnsi="Times New Roman" w:cs="Times New Roman"/>
          <w:sz w:val="24"/>
          <w:szCs w:val="24"/>
          <w:lang w:val="en-US"/>
        </w:rPr>
        <w:t>recognised</w:t>
      </w:r>
      <w:proofErr w:type="spellEnd"/>
      <w:r w:rsidRPr="00CF2BAC">
        <w:rPr>
          <w:rFonts w:ascii="Times New Roman" w:eastAsia="Times New Roman" w:hAnsi="Times New Roman" w:cs="Times New Roman"/>
          <w:sz w:val="24"/>
          <w:szCs w:val="24"/>
          <w:lang w:val="en-US"/>
        </w:rPr>
        <w:t xml:space="preserve"> as independent determinants of adverse prognosis following PCI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et al., 2018), clinicians increasingly sought to </w:t>
      </w:r>
      <w:proofErr w:type="spellStart"/>
      <w:r w:rsidRPr="00CF2BAC">
        <w:rPr>
          <w:rFonts w:ascii="Times New Roman" w:eastAsia="Times New Roman" w:hAnsi="Times New Roman" w:cs="Times New Roman"/>
          <w:sz w:val="24"/>
          <w:szCs w:val="24"/>
          <w:lang w:val="en-US"/>
        </w:rPr>
        <w:t>individualise</w:t>
      </w:r>
      <w:proofErr w:type="spellEnd"/>
      <w:r w:rsidRPr="00CF2BAC">
        <w:rPr>
          <w:rFonts w:ascii="Times New Roman" w:eastAsia="Times New Roman" w:hAnsi="Times New Roman" w:cs="Times New Roman"/>
          <w:sz w:val="24"/>
          <w:szCs w:val="24"/>
          <w:lang w:val="en-US"/>
        </w:rPr>
        <w:t xml:space="preserve"> antiplatelet management. This effort prompted the development of validated risk stratification instruments — including the DAPT score (Yeh et al., 2016), the PRECISE-DAPT score (Costa et al., 2017), and the Academic Research Consortium for High Bleeding Risk (ARC-HBR) criteria (Urban et al., 2019) — and generated a substantial body of evidence evaluating the safety and efficacy of abbreviated DAPT followed by SAPT.</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lastRenderedPageBreak/>
        <w:t>1.3 Scope and Objectives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This narrative review aims to provide a comprehensive and critical synthesis of the current evidence comparing SAPT and DAPT in adult patients with ACS who have undergone PCI. The specific objectives are: first, to outline the pathophysiological rationale underpinning antiplatelet therapy following PCI; second, to describe the pharmacological characteristics of aspirin and P2Y12 inhibitors used in SAPT and DAPT; third, to critically evaluate evidence from major clinical trials examining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and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outcomes with SAPT versus DAPT strategies; fourth, to assess the role of risk stratification tools in guiding de-escalation decisions; fifth, to examine the evidence in special populations including elderly patients, those requiring oral anticoagulation, and high-bleeding-risk cohorts; and sixth, to discuss emerging strategies and identify current knowledge gaps relevant to future clinical and research priorities.</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2. Methods for Literature Selection</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To identify relevant literature for this narrative review, a structured search of multiple electronic databases was conducted, covering publications from January 2006 to March 2024. The principal databases searched were PubMed/MEDLINE, Scopus, Web of Science, Google Scholar, and the Cochrane Central Register of Controlled Trials (CENTRAL). Given the cardiovascular and pharmacotherapeutic scope of the topic, supplementary field-specific databases were also consulted: the European Society of Cardiology (ESC) Clinical Practice Guidelines repository, the American College of Cardiology (ACC) Clinical Documents library, ClinicalTrials.gov (for trial registration details and result summaries), and the TIMI Study Group publications archive.</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Search strings were constructed using combinations of Medical Subject Headings (</w:t>
      </w:r>
      <w:proofErr w:type="spellStart"/>
      <w:r w:rsidRPr="00CF2BAC">
        <w:rPr>
          <w:rFonts w:ascii="Times New Roman" w:eastAsia="Times New Roman" w:hAnsi="Times New Roman" w:cs="Times New Roman"/>
          <w:sz w:val="24"/>
          <w:szCs w:val="24"/>
          <w:lang w:val="en-US"/>
        </w:rPr>
        <w:t>MeSH</w:t>
      </w:r>
      <w:proofErr w:type="spellEnd"/>
      <w:r w:rsidRPr="00CF2BAC">
        <w:rPr>
          <w:rFonts w:ascii="Times New Roman" w:eastAsia="Times New Roman" w:hAnsi="Times New Roman" w:cs="Times New Roman"/>
          <w:sz w:val="24"/>
          <w:szCs w:val="24"/>
          <w:lang w:val="en-US"/>
        </w:rPr>
        <w:t>) terms and free-text keywords, including: "acute coronary syndrome AND antiplatelet therapy," "percutaneous coronary intervention AND dual antiplatelet therapy," "DAPT de-escalation," "ticagrelor monotherapy AND PCI," "single antiplatelet therapy AND stent," "P2Y12 inhibitor monotherapy," "aspirin monotherapy after PCI," "bleeding risk AND DAPT duration," and "high bleeding risk AND coronary stent." Boolean operators (AND, OR) were applied to combine and refine searches. Date filters restricted the primary evidence base to publications from 2006 onwards. Foundational studies published before this period — notably the CURE trial (Yusuf et al., 2001) — were retained as supplementary historical references given their seminal importance to the field.</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Studies were eligible for inclusion if they were published in peer-reviewed, English-language journals; involved adult patients (aged ≥18 years) with a confirmed ACS diagnosis who had undergone PCI; and reported clinically relevant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outcomes (death, MI, stent thrombosis, or stroke) and/or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outcomes as defined by validated bleeding classifications.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controlled trials (RCTs), prospective and retrospective cohort studies, systematic reviews, meta-analyses, and guideline documents were all considered. Studies were excluded if they were conference abstracts without full-text publication, grey literature, book chapters, patents, or trade press articles. Studies restricted to stable coronary artery disease without an ACS component, or those reporting exclusively on antiplatelet therapy in peripheral or cerebrovascular disease, were also excluded. No upper limit was </w:t>
      </w:r>
      <w:r w:rsidRPr="00CF2BAC">
        <w:rPr>
          <w:rFonts w:ascii="Times New Roman" w:eastAsia="Times New Roman" w:hAnsi="Times New Roman" w:cs="Times New Roman"/>
          <w:sz w:val="24"/>
          <w:szCs w:val="24"/>
          <w:lang w:val="en-US"/>
        </w:rPr>
        <w:lastRenderedPageBreak/>
        <w:t>placed on total references, and classic older journal articles were included as supplementary references where their methodological or historical significance warranted it.</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Titles and abstracts were screened for relevance following database searches; full texts were retrieved for those meeting preliminary criteria. Duplicate records identified across databases were removed manually. Where multiple publications described the same trial, the primary results paper was selected as the principal citation, supplemented by key secondary or subgroup analyses where these added substantive clinical information. The final reference corpus was enriched through forward and backward citation chasing from key included articles, capturing influential publications not identified through initial database searches.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A narrative rather than systematic review approach was adopted for several methodologically grounded reasons. The breadth of the clinical question — spanning diverse patient populations, varying DAPT durations, different P2Y12 inhibitors, heterogeneous outcome definitions, and evolving stent technology — introduces substantial clinical and statistical heterogeneity that limits the validity of a single pooled treatment effect estimate. The overarching aim is to integrate mechanistic, pharmacological, clinical trial, risk stratification, and guideline-level evidence into a coherent interpretive narrative that supports clinical reasoning. As </w:t>
      </w:r>
      <w:proofErr w:type="spellStart"/>
      <w:r w:rsidRPr="00CF2BAC">
        <w:rPr>
          <w:rFonts w:ascii="Times New Roman" w:eastAsia="Times New Roman" w:hAnsi="Times New Roman" w:cs="Times New Roman"/>
          <w:sz w:val="24"/>
          <w:szCs w:val="24"/>
          <w:lang w:val="en-US"/>
        </w:rPr>
        <w:t>Baethge</w:t>
      </w:r>
      <w:proofErr w:type="spellEnd"/>
      <w:r w:rsidRPr="00CF2BAC">
        <w:rPr>
          <w:rFonts w:ascii="Times New Roman" w:eastAsia="Times New Roman" w:hAnsi="Times New Roman" w:cs="Times New Roman"/>
          <w:sz w:val="24"/>
          <w:szCs w:val="24"/>
          <w:lang w:val="en-US"/>
        </w:rPr>
        <w:t xml:space="preserve"> et al. (2019) have noted, narrative reviews are well suited to </w:t>
      </w:r>
      <w:proofErr w:type="spellStart"/>
      <w:r w:rsidRPr="00CF2BAC">
        <w:rPr>
          <w:rFonts w:ascii="Times New Roman" w:eastAsia="Times New Roman" w:hAnsi="Times New Roman" w:cs="Times New Roman"/>
          <w:sz w:val="24"/>
          <w:szCs w:val="24"/>
          <w:lang w:val="en-US"/>
        </w:rPr>
        <w:t>synthesising</w:t>
      </w:r>
      <w:proofErr w:type="spellEnd"/>
      <w:r w:rsidRPr="00CF2BAC">
        <w:rPr>
          <w:rFonts w:ascii="Times New Roman" w:eastAsia="Times New Roman" w:hAnsi="Times New Roman" w:cs="Times New Roman"/>
          <w:sz w:val="24"/>
          <w:szCs w:val="24"/>
          <w:lang w:val="en-US"/>
        </w:rPr>
        <w:t xml:space="preserve"> evidence across multiple dimensions of a complex clinical question when the primary objective is </w:t>
      </w:r>
      <w:proofErr w:type="spellStart"/>
      <w:r w:rsidRPr="00CF2BAC">
        <w:rPr>
          <w:rFonts w:ascii="Times New Roman" w:eastAsia="Times New Roman" w:hAnsi="Times New Roman" w:cs="Times New Roman"/>
          <w:sz w:val="24"/>
          <w:szCs w:val="24"/>
          <w:lang w:val="en-US"/>
        </w:rPr>
        <w:t>contextualised</w:t>
      </w:r>
      <w:proofErr w:type="spellEnd"/>
      <w:r w:rsidRPr="00CF2BAC">
        <w:rPr>
          <w:rFonts w:ascii="Times New Roman" w:eastAsia="Times New Roman" w:hAnsi="Times New Roman" w:cs="Times New Roman"/>
          <w:sz w:val="24"/>
          <w:szCs w:val="24"/>
          <w:lang w:val="en-US"/>
        </w:rPr>
        <w:t xml:space="preserve"> understanding rather than a quantitative pooled estimate. This approach allows for more nuanced discussion of subgroup effects, special populations, and emerging strategies that resist reduction to a single aggregate metric.</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3. Pathophysiology of Acute Coronary Syndrome and the Role of Platelets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pathophysiological substrate of ACS in the majority of cases is the rupture or erosion of a vulnerable coronary atherosclerotic plaque, exposing subendothelial collagen, von Willebrand factor, and tissue factor to circulating blood. Platelet adhesion is the first response to this disruption: glycoprotein </w:t>
      </w:r>
      <w:proofErr w:type="spellStart"/>
      <w:r w:rsidRPr="00CF2BAC">
        <w:rPr>
          <w:rFonts w:ascii="Times New Roman" w:eastAsia="Times New Roman" w:hAnsi="Times New Roman" w:cs="Times New Roman"/>
          <w:sz w:val="24"/>
          <w:szCs w:val="24"/>
          <w:lang w:val="en-US"/>
        </w:rPr>
        <w:t>Ib</w:t>
      </w:r>
      <w:proofErr w:type="spellEnd"/>
      <w:r w:rsidRPr="00CF2BAC">
        <w:rPr>
          <w:rFonts w:ascii="Times New Roman" w:eastAsia="Times New Roman" w:hAnsi="Times New Roman" w:cs="Times New Roman"/>
          <w:sz w:val="24"/>
          <w:szCs w:val="24"/>
          <w:lang w:val="en-US"/>
        </w:rPr>
        <w:t xml:space="preserve">-IX-V receptors on the platelet surface bind </w:t>
      </w:r>
      <w:proofErr w:type="spellStart"/>
      <w:r w:rsidRPr="00CF2BAC">
        <w:rPr>
          <w:rFonts w:ascii="Times New Roman" w:eastAsia="Times New Roman" w:hAnsi="Times New Roman" w:cs="Times New Roman"/>
          <w:sz w:val="24"/>
          <w:szCs w:val="24"/>
          <w:lang w:val="en-US"/>
        </w:rPr>
        <w:t>immobilised</w:t>
      </w:r>
      <w:proofErr w:type="spellEnd"/>
      <w:r w:rsidRPr="00CF2BAC">
        <w:rPr>
          <w:rFonts w:ascii="Times New Roman" w:eastAsia="Times New Roman" w:hAnsi="Times New Roman" w:cs="Times New Roman"/>
          <w:sz w:val="24"/>
          <w:szCs w:val="24"/>
          <w:lang w:val="en-US"/>
        </w:rPr>
        <w:t xml:space="preserve"> von Willebrand factor, whilst glycoprotein VI directly </w:t>
      </w:r>
      <w:proofErr w:type="spellStart"/>
      <w:r w:rsidRPr="00CF2BAC">
        <w:rPr>
          <w:rFonts w:ascii="Times New Roman" w:eastAsia="Times New Roman" w:hAnsi="Times New Roman" w:cs="Times New Roman"/>
          <w:sz w:val="24"/>
          <w:szCs w:val="24"/>
          <w:lang w:val="en-US"/>
        </w:rPr>
        <w:t>recognises</w:t>
      </w:r>
      <w:proofErr w:type="spellEnd"/>
      <w:r w:rsidRPr="00CF2BAC">
        <w:rPr>
          <w:rFonts w:ascii="Times New Roman" w:eastAsia="Times New Roman" w:hAnsi="Times New Roman" w:cs="Times New Roman"/>
          <w:sz w:val="24"/>
          <w:szCs w:val="24"/>
          <w:lang w:val="en-US"/>
        </w:rPr>
        <w:t xml:space="preserve"> exposed collagen, enabling firm platelet adhesion to the damaged vessel wall (</w:t>
      </w:r>
      <w:proofErr w:type="spellStart"/>
      <w:r w:rsidRPr="00CF2BAC">
        <w:rPr>
          <w:rFonts w:ascii="Times New Roman" w:eastAsia="Times New Roman" w:hAnsi="Times New Roman" w:cs="Times New Roman"/>
          <w:sz w:val="24"/>
          <w:szCs w:val="24"/>
          <w:lang w:val="en-US"/>
        </w:rPr>
        <w:t>Furie</w:t>
      </w:r>
      <w:proofErr w:type="spellEnd"/>
      <w:r w:rsidRPr="00CF2BAC">
        <w:rPr>
          <w:rFonts w:ascii="Times New Roman" w:eastAsia="Times New Roman" w:hAnsi="Times New Roman" w:cs="Times New Roman"/>
          <w:sz w:val="24"/>
          <w:szCs w:val="24"/>
          <w:lang w:val="en-US"/>
        </w:rPr>
        <w:t xml:space="preserve"> &amp; </w:t>
      </w:r>
      <w:proofErr w:type="spellStart"/>
      <w:r w:rsidRPr="00CF2BAC">
        <w:rPr>
          <w:rFonts w:ascii="Times New Roman" w:eastAsia="Times New Roman" w:hAnsi="Times New Roman" w:cs="Times New Roman"/>
          <w:sz w:val="24"/>
          <w:szCs w:val="24"/>
          <w:lang w:val="en-US"/>
        </w:rPr>
        <w:t>Furie</w:t>
      </w:r>
      <w:proofErr w:type="spellEnd"/>
      <w:r w:rsidRPr="00CF2BAC">
        <w:rPr>
          <w:rFonts w:ascii="Times New Roman" w:eastAsia="Times New Roman" w:hAnsi="Times New Roman" w:cs="Times New Roman"/>
          <w:sz w:val="24"/>
          <w:szCs w:val="24"/>
          <w:lang w:val="en-US"/>
        </w:rPr>
        <w:t xml:space="preserve">, 2008). This initial adhesion event activates intracellular </w:t>
      </w:r>
      <w:proofErr w:type="spellStart"/>
      <w:r w:rsidRPr="00CF2BAC">
        <w:rPr>
          <w:rFonts w:ascii="Times New Roman" w:eastAsia="Times New Roman" w:hAnsi="Times New Roman" w:cs="Times New Roman"/>
          <w:sz w:val="24"/>
          <w:szCs w:val="24"/>
          <w:lang w:val="en-US"/>
        </w:rPr>
        <w:t>signalling</w:t>
      </w:r>
      <w:proofErr w:type="spellEnd"/>
      <w:r w:rsidRPr="00CF2BAC">
        <w:rPr>
          <w:rFonts w:ascii="Times New Roman" w:eastAsia="Times New Roman" w:hAnsi="Times New Roman" w:cs="Times New Roman"/>
          <w:sz w:val="24"/>
          <w:szCs w:val="24"/>
          <w:lang w:val="en-US"/>
        </w:rPr>
        <w:t xml:space="preserve"> pathways that promote platelet shape change, granule secretion, and the release of potent secondary activators. Adenosine diphosphate (ADP), liberated from dense granules and damaged erythrocytes, binds to the P2Y12 receptor on adjacent platelets, driving a powerful amplification loop of further activation and aggregation. Thromboxane A₂, </w:t>
      </w:r>
      <w:proofErr w:type="spellStart"/>
      <w:r w:rsidRPr="00CF2BAC">
        <w:rPr>
          <w:rFonts w:ascii="Times New Roman" w:eastAsia="Times New Roman" w:hAnsi="Times New Roman" w:cs="Times New Roman"/>
          <w:sz w:val="24"/>
          <w:szCs w:val="24"/>
          <w:lang w:val="en-US"/>
        </w:rPr>
        <w:t>synthesised</w:t>
      </w:r>
      <w:proofErr w:type="spellEnd"/>
      <w:r w:rsidRPr="00CF2BAC">
        <w:rPr>
          <w:rFonts w:ascii="Times New Roman" w:eastAsia="Times New Roman" w:hAnsi="Times New Roman" w:cs="Times New Roman"/>
          <w:sz w:val="24"/>
          <w:szCs w:val="24"/>
          <w:lang w:val="en-US"/>
        </w:rPr>
        <w:t xml:space="preserve"> via the cyclo-oxygenase-1 (COX-1) pathway, acts through its own receptor to consolidate platelet activation and vasoconstriction. The coagulation cascade, simultaneously triggered through the tissue factor/factor </w:t>
      </w:r>
      <w:proofErr w:type="spellStart"/>
      <w:r w:rsidRPr="00CF2BAC">
        <w:rPr>
          <w:rFonts w:ascii="Times New Roman" w:eastAsia="Times New Roman" w:hAnsi="Times New Roman" w:cs="Times New Roman"/>
          <w:sz w:val="24"/>
          <w:szCs w:val="24"/>
          <w:lang w:val="en-US"/>
        </w:rPr>
        <w:t>VIIa</w:t>
      </w:r>
      <w:proofErr w:type="spellEnd"/>
      <w:r w:rsidRPr="00CF2BAC">
        <w:rPr>
          <w:rFonts w:ascii="Times New Roman" w:eastAsia="Times New Roman" w:hAnsi="Times New Roman" w:cs="Times New Roman"/>
          <w:sz w:val="24"/>
          <w:szCs w:val="24"/>
          <w:lang w:val="en-US"/>
        </w:rPr>
        <w:t xml:space="preserve"> pathway, generates thrombin — a potent platelet activator and the principal stimulus for fibrin </w:t>
      </w:r>
      <w:proofErr w:type="spellStart"/>
      <w:r w:rsidRPr="00CF2BAC">
        <w:rPr>
          <w:rFonts w:ascii="Times New Roman" w:eastAsia="Times New Roman" w:hAnsi="Times New Roman" w:cs="Times New Roman"/>
          <w:sz w:val="24"/>
          <w:szCs w:val="24"/>
          <w:lang w:val="en-US"/>
        </w:rPr>
        <w:t>polymerisation</w:t>
      </w:r>
      <w:proofErr w:type="spellEnd"/>
      <w:r w:rsidRPr="00CF2BAC">
        <w:rPr>
          <w:rFonts w:ascii="Times New Roman" w:eastAsia="Times New Roman" w:hAnsi="Times New Roman" w:cs="Times New Roman"/>
          <w:sz w:val="24"/>
          <w:szCs w:val="24"/>
          <w:lang w:val="en-US"/>
        </w:rPr>
        <w:t xml:space="preserve"> — yielding the mixed platelet-fibrin thrombus that underlies the obstructive coronary lesion clinically manifest as ACS (</w:t>
      </w:r>
      <w:proofErr w:type="spellStart"/>
      <w:r w:rsidRPr="00CF2BAC">
        <w:rPr>
          <w:rFonts w:ascii="Times New Roman" w:eastAsia="Times New Roman" w:hAnsi="Times New Roman" w:cs="Times New Roman"/>
          <w:sz w:val="24"/>
          <w:szCs w:val="24"/>
          <w:lang w:val="en-US"/>
        </w:rPr>
        <w:t>Furie</w:t>
      </w:r>
      <w:proofErr w:type="spellEnd"/>
      <w:r w:rsidRPr="00CF2BAC">
        <w:rPr>
          <w:rFonts w:ascii="Times New Roman" w:eastAsia="Times New Roman" w:hAnsi="Times New Roman" w:cs="Times New Roman"/>
          <w:sz w:val="24"/>
          <w:szCs w:val="24"/>
          <w:lang w:val="en-US"/>
        </w:rPr>
        <w:t xml:space="preserve"> &amp; </w:t>
      </w:r>
      <w:proofErr w:type="spellStart"/>
      <w:r w:rsidRPr="00CF2BAC">
        <w:rPr>
          <w:rFonts w:ascii="Times New Roman" w:eastAsia="Times New Roman" w:hAnsi="Times New Roman" w:cs="Times New Roman"/>
          <w:sz w:val="24"/>
          <w:szCs w:val="24"/>
          <w:lang w:val="en-US"/>
        </w:rPr>
        <w:t>Furie</w:t>
      </w:r>
      <w:proofErr w:type="spellEnd"/>
      <w:r w:rsidRPr="00CF2BAC">
        <w:rPr>
          <w:rFonts w:ascii="Times New Roman" w:eastAsia="Times New Roman" w:hAnsi="Times New Roman" w:cs="Times New Roman"/>
          <w:sz w:val="24"/>
          <w:szCs w:val="24"/>
          <w:lang w:val="en-US"/>
        </w:rPr>
        <w:t>, 2008).</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Percutaneous coronary intervention, while highly effective in restoring vessel patency, inevitably disrupts the coronary wall and introduces a metallic stent scaffold that further stimulates platelet adhesion and aggregation during the initial healing period. The thrombogenic risk is highest in the early post-implantation days and weeks, before re-</w:t>
      </w:r>
      <w:proofErr w:type="spellStart"/>
      <w:r w:rsidRPr="00CF2BAC">
        <w:rPr>
          <w:rFonts w:ascii="Times New Roman" w:eastAsia="Times New Roman" w:hAnsi="Times New Roman" w:cs="Times New Roman"/>
          <w:sz w:val="24"/>
          <w:szCs w:val="24"/>
          <w:lang w:val="en-US"/>
        </w:rPr>
        <w:t>endothelialisation</w:t>
      </w:r>
      <w:proofErr w:type="spellEnd"/>
      <w:r w:rsidRPr="00CF2BAC">
        <w:rPr>
          <w:rFonts w:ascii="Times New Roman" w:eastAsia="Times New Roman" w:hAnsi="Times New Roman" w:cs="Times New Roman"/>
          <w:sz w:val="24"/>
          <w:szCs w:val="24"/>
          <w:lang w:val="en-US"/>
        </w:rPr>
        <w:t xml:space="preserve"> of stent struts is complete (Ibanez et al., 2018). This mechanistic context </w:t>
      </w:r>
      <w:r w:rsidRPr="00CF2BAC">
        <w:rPr>
          <w:rFonts w:ascii="Times New Roman" w:eastAsia="Times New Roman" w:hAnsi="Times New Roman" w:cs="Times New Roman"/>
          <w:sz w:val="24"/>
          <w:szCs w:val="24"/>
          <w:lang w:val="en-US"/>
        </w:rPr>
        <w:lastRenderedPageBreak/>
        <w:t xml:space="preserve">provides the fundamental rationale for DAPT following PCI: aspirin-mediated inhibition of COX-1 and P2Y12 inhibitor-mediated blockade of ADP-driven amplification address complementary pathways in the platelet activation cascade, and their combined use provides substantially greater protection against stent thrombosis than either agent alone (Yusuf et al., 2001; </w:t>
      </w:r>
      <w:proofErr w:type="spellStart"/>
      <w:r w:rsidRPr="00CF2BAC">
        <w:rPr>
          <w:rFonts w:ascii="Times New Roman" w:eastAsia="Times New Roman" w:hAnsi="Times New Roman" w:cs="Times New Roman"/>
          <w:sz w:val="24"/>
          <w:szCs w:val="24"/>
          <w:lang w:val="en-US"/>
        </w:rPr>
        <w:t>Wiviott</w:t>
      </w:r>
      <w:proofErr w:type="spellEnd"/>
      <w:r w:rsidRPr="00CF2BAC">
        <w:rPr>
          <w:rFonts w:ascii="Times New Roman" w:eastAsia="Times New Roman" w:hAnsi="Times New Roman" w:cs="Times New Roman"/>
          <w:sz w:val="24"/>
          <w:szCs w:val="24"/>
          <w:lang w:val="en-US"/>
        </w:rPr>
        <w:t xml:space="preserve"> et al., 2007; </w:t>
      </w:r>
      <w:proofErr w:type="spellStart"/>
      <w:r w:rsidRPr="00CF2BAC">
        <w:rPr>
          <w:rFonts w:ascii="Times New Roman" w:eastAsia="Times New Roman" w:hAnsi="Times New Roman" w:cs="Times New Roman"/>
          <w:sz w:val="24"/>
          <w:szCs w:val="24"/>
          <w:lang w:val="en-US"/>
        </w:rPr>
        <w:t>Wallentin</w:t>
      </w:r>
      <w:proofErr w:type="spellEnd"/>
      <w:r w:rsidRPr="00CF2BAC">
        <w:rPr>
          <w:rFonts w:ascii="Times New Roman" w:eastAsia="Times New Roman" w:hAnsi="Times New Roman" w:cs="Times New Roman"/>
          <w:sz w:val="24"/>
          <w:szCs w:val="24"/>
          <w:lang w:val="en-US"/>
        </w:rPr>
        <w:t xml:space="preserve"> et al., 2009).</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Crucially, the intensity of thrombogenic risk following PCI is not static. As </w:t>
      </w:r>
      <w:proofErr w:type="spellStart"/>
      <w:r w:rsidRPr="00CF2BAC">
        <w:rPr>
          <w:rFonts w:ascii="Times New Roman" w:eastAsia="Times New Roman" w:hAnsi="Times New Roman" w:cs="Times New Roman"/>
          <w:sz w:val="24"/>
          <w:szCs w:val="24"/>
          <w:lang w:val="en-US"/>
        </w:rPr>
        <w:t>endothelialisation</w:t>
      </w:r>
      <w:proofErr w:type="spellEnd"/>
      <w:r w:rsidRPr="00CF2BAC">
        <w:rPr>
          <w:rFonts w:ascii="Times New Roman" w:eastAsia="Times New Roman" w:hAnsi="Times New Roman" w:cs="Times New Roman"/>
          <w:sz w:val="24"/>
          <w:szCs w:val="24"/>
          <w:lang w:val="en-US"/>
        </w:rPr>
        <w:t xml:space="preserve"> progresses, stent-specific thrombosis risk declines, and the dominant mechanism of late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events gradually shifts from acute stent thrombosis towards progressive atherosclerosis and plaque events remote from the stent itself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et al., 2018). This temporal evolution of risk has important implications for antiplatelet strategy: the biological justification for potent dual inhibition is strongest in the immediate post-procedural period and weakens progressively over time, whereas the cumulative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burden of two antiplatelet agents increases with duration of therapy. It is this dynamic risk-benefit interplay that underpins the clinical rationale for de-escalation strategies, including early transition to SAPT.</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4. Pharmacology of Antiplatelet Agents Used in Post-PCI Management</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4.1 Aspirin</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Aspirin exerts its antiplatelet effect through the irreversible acetylation of cyclo-oxygenase-1 in platelets, permanently suppressing the conversion of arachidonic acid to thromboxane A₂. Because mature platelets lack a nucleus and cannot </w:t>
      </w:r>
      <w:proofErr w:type="spellStart"/>
      <w:r w:rsidRPr="00CF2BAC">
        <w:rPr>
          <w:rFonts w:ascii="Times New Roman" w:eastAsia="Times New Roman" w:hAnsi="Times New Roman" w:cs="Times New Roman"/>
          <w:sz w:val="24"/>
          <w:szCs w:val="24"/>
          <w:lang w:val="en-US"/>
        </w:rPr>
        <w:t>synthesise</w:t>
      </w:r>
      <w:proofErr w:type="spellEnd"/>
      <w:r w:rsidRPr="00CF2BAC">
        <w:rPr>
          <w:rFonts w:ascii="Times New Roman" w:eastAsia="Times New Roman" w:hAnsi="Times New Roman" w:cs="Times New Roman"/>
          <w:sz w:val="24"/>
          <w:szCs w:val="24"/>
          <w:lang w:val="en-US"/>
        </w:rPr>
        <w:t xml:space="preserve"> new COX-1 protein, the inhibitory effect of a single dose of aspirin persists for the entire lifespan of the platelet — approximately seven to ten days (Levine et al., 2016). At low doses (typically 75–100 mg daily), aspirin achieves near-complete COX-1 inhibition with relatively modest effects on prostacyclin synthesis in vascular endothelial cells, partially preserving the vasodilatory and antithrombotic properties of endothelium-derived prostacyclin. Aspirin has been the foundation of antiplatelet therapy in cardiovascular disease for several decades and has a well-established record of reducing atherothrombotic events in patients undergoing PCI (Yusuf et al., 2001).</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4.2 P2Y12 Receptor Inhibitors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P2Y12 receptor, a G-protein-coupled receptor located on the platelet surface, mediates the critical amplification of platelet aggregation in response to ADP. Three P2Y12 inhibitors are currently used in clinical practice following ACS-PCI: clopidogrel, prasugrel, and ticagrelor.</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Clopidogrel is a thienopyridine prodrug requiring hepatic biotransformation — principally via CYP2C19 — to its active thiol metabolite, which then irreversibly alkylates the P2Y12 receptor. This metabolic dependency introduces clinically meaningful variability in platelet inhibition: patients carrying loss-of-function CYP2C19 alleles achieve substantially attenuated platelet inhibition and face elevated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risk on standard clopidogrel dosing (Mehta et al., 2018). Prasugrel, also a thienopyridine prodrug, undergoes more efficient and predictable hepatic activation, providing faster onset, more consistent, and more potent P2Y12 inhibition than clopidogrel. In the TRITON-TIMI 38 trial, prasugrel reduced the </w:t>
      </w:r>
      <w:r w:rsidRPr="00CF2BAC">
        <w:rPr>
          <w:rFonts w:ascii="Times New Roman" w:eastAsia="Times New Roman" w:hAnsi="Times New Roman" w:cs="Times New Roman"/>
          <w:sz w:val="24"/>
          <w:szCs w:val="24"/>
          <w:lang w:val="en-US"/>
        </w:rPr>
        <w:lastRenderedPageBreak/>
        <w:t>composite of cardiovascular death, MI, and stroke by 19% relative to clopidogrel in ACS patients undergoing PCI, but was associated with a 32% increase in TIMI major bleeding unrelated to coronary artery bypass grafting (</w:t>
      </w:r>
      <w:proofErr w:type="spellStart"/>
      <w:r w:rsidRPr="00CF2BAC">
        <w:rPr>
          <w:rFonts w:ascii="Times New Roman" w:eastAsia="Times New Roman" w:hAnsi="Times New Roman" w:cs="Times New Roman"/>
          <w:sz w:val="24"/>
          <w:szCs w:val="24"/>
          <w:lang w:val="en-US"/>
        </w:rPr>
        <w:t>Wiviott</w:t>
      </w:r>
      <w:proofErr w:type="spellEnd"/>
      <w:r w:rsidRPr="00CF2BAC">
        <w:rPr>
          <w:rFonts w:ascii="Times New Roman" w:eastAsia="Times New Roman" w:hAnsi="Times New Roman" w:cs="Times New Roman"/>
          <w:sz w:val="24"/>
          <w:szCs w:val="24"/>
          <w:lang w:val="en-US"/>
        </w:rPr>
        <w:t xml:space="preserve"> et al., 2007). Ticagrelor, a direct-acting, reversible P2Y12 antagonist of the </w:t>
      </w:r>
      <w:proofErr w:type="spellStart"/>
      <w:r w:rsidRPr="00CF2BAC">
        <w:rPr>
          <w:rFonts w:ascii="Times New Roman" w:eastAsia="Times New Roman" w:hAnsi="Times New Roman" w:cs="Times New Roman"/>
          <w:sz w:val="24"/>
          <w:szCs w:val="24"/>
          <w:lang w:val="en-US"/>
        </w:rPr>
        <w:t>cyclopentyl</w:t>
      </w:r>
      <w:proofErr w:type="spellEnd"/>
      <w:r w:rsidRPr="00CF2BAC">
        <w:rPr>
          <w:rFonts w:ascii="Times New Roman" w:eastAsia="Times New Roman" w:hAnsi="Times New Roman" w:cs="Times New Roman"/>
          <w:sz w:val="24"/>
          <w:szCs w:val="24"/>
          <w:lang w:val="en-US"/>
        </w:rPr>
        <w:t>-triazolo-pyrimidine class, does not require metabolic activation and achieves faster, more predictable, and more potent platelet inhibition than clopidogrel. Its reversibility results in more rapid platelet function recovery after discontinuation compared with irreversible thienopyridines — a pharmacokinetic property with relevant surgical implications (</w:t>
      </w:r>
      <w:proofErr w:type="spellStart"/>
      <w:r w:rsidRPr="00CF2BAC">
        <w:rPr>
          <w:rFonts w:ascii="Times New Roman" w:eastAsia="Times New Roman" w:hAnsi="Times New Roman" w:cs="Times New Roman"/>
          <w:sz w:val="24"/>
          <w:szCs w:val="24"/>
          <w:lang w:val="en-US"/>
        </w:rPr>
        <w:t>Gurbel</w:t>
      </w:r>
      <w:proofErr w:type="spellEnd"/>
      <w:r w:rsidRPr="00CF2BAC">
        <w:rPr>
          <w:rFonts w:ascii="Times New Roman" w:eastAsia="Times New Roman" w:hAnsi="Times New Roman" w:cs="Times New Roman"/>
          <w:sz w:val="24"/>
          <w:szCs w:val="24"/>
          <w:lang w:val="en-US"/>
        </w:rPr>
        <w:t xml:space="preserve"> et al., 2009). In the PLATO trial, ticagrelor reduced the primary composite endpoint of cardiovascular death, MI, or stroke by 16% compared with clopidogrel in ACS patients managed with or without PCI, and uniquely demonstrated a significant reduction in cardiovascular and all-cause mortality (</w:t>
      </w:r>
      <w:proofErr w:type="spellStart"/>
      <w:r w:rsidRPr="00CF2BAC">
        <w:rPr>
          <w:rFonts w:ascii="Times New Roman" w:eastAsia="Times New Roman" w:hAnsi="Times New Roman" w:cs="Times New Roman"/>
          <w:sz w:val="24"/>
          <w:szCs w:val="24"/>
          <w:lang w:val="en-US"/>
        </w:rPr>
        <w:t>Wallentin</w:t>
      </w:r>
      <w:proofErr w:type="spellEnd"/>
      <w:r w:rsidRPr="00CF2BAC">
        <w:rPr>
          <w:rFonts w:ascii="Times New Roman" w:eastAsia="Times New Roman" w:hAnsi="Times New Roman" w:cs="Times New Roman"/>
          <w:sz w:val="24"/>
          <w:szCs w:val="24"/>
          <w:lang w:val="en-US"/>
        </w:rPr>
        <w:t xml:space="preserve"> et al., 2009).</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4.3 Clinical Implications of Pharmacological Differences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pharmacological characteristics of P2Y12 inhibitors carry direct and important clinical consequences. The superior potency of ticagrelor and prasugrel translates into greater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protection compared with clopidogrel, but is accompanied by a higher bleeding burden, particularly with prasugrel in patients aged over 75 years, those with low body weight, or those with a history of stroke or transient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attack (</w:t>
      </w:r>
      <w:proofErr w:type="spellStart"/>
      <w:r w:rsidRPr="00CF2BAC">
        <w:rPr>
          <w:rFonts w:ascii="Times New Roman" w:eastAsia="Times New Roman" w:hAnsi="Times New Roman" w:cs="Times New Roman"/>
          <w:sz w:val="24"/>
          <w:szCs w:val="24"/>
          <w:lang w:val="en-US"/>
        </w:rPr>
        <w:t>Wiviott</w:t>
      </w:r>
      <w:proofErr w:type="spellEnd"/>
      <w:r w:rsidRPr="00CF2BAC">
        <w:rPr>
          <w:rFonts w:ascii="Times New Roman" w:eastAsia="Times New Roman" w:hAnsi="Times New Roman" w:cs="Times New Roman"/>
          <w:sz w:val="24"/>
          <w:szCs w:val="24"/>
          <w:lang w:val="en-US"/>
        </w:rPr>
        <w:t xml:space="preserve"> et al., 2007). Clopidogrel's greater pharmacodynamic variability, whilst limiting its efficacy in high-risk ACS populations, may render it a more acceptable option when de-escalating therapy in patients at elevated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risk who nevertheless require continued P2Y12 inhibition. The pharmacokinetic reversibility of ticagrelor, meanwhile, makes it an attractive candidate for SAPT strategies, since platelet function recovers more predictably following discontinuation and the drug can be transitioned from the DAPT phase to monotherapy without complete withdrawal of P2Y12 inhibition (</w:t>
      </w:r>
      <w:proofErr w:type="spellStart"/>
      <w:r w:rsidRPr="00CF2BAC">
        <w:rPr>
          <w:rFonts w:ascii="Times New Roman" w:eastAsia="Times New Roman" w:hAnsi="Times New Roman" w:cs="Times New Roman"/>
          <w:sz w:val="24"/>
          <w:szCs w:val="24"/>
          <w:lang w:val="en-US"/>
        </w:rPr>
        <w:t>Gurbel</w:t>
      </w:r>
      <w:proofErr w:type="spellEnd"/>
      <w:r w:rsidRPr="00CF2BAC">
        <w:rPr>
          <w:rFonts w:ascii="Times New Roman" w:eastAsia="Times New Roman" w:hAnsi="Times New Roman" w:cs="Times New Roman"/>
          <w:sz w:val="24"/>
          <w:szCs w:val="24"/>
          <w:lang w:val="en-US"/>
        </w:rPr>
        <w:t xml:space="preserve"> et al., 2009). These pharmacological distinctions directly inform the de-escalation strategies evaluated in subsequent sections of this review.</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5. Dual Antiplatelet Therapy: Evidence Base and Guideline Recommendations</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5.1 Landmark Trials Establishing the DAPT Standard</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clinical foundation for DAPT in ACS was laid by the CURE trial, in which clopidogrel added to aspirin reduced the composite of cardiovascular death, MI, or stroke by 20% over a mean nine-month follow-up in patients with NSTE-ACS, albeit with a 38% relative increase in major bleeding (Yusuf et al., 2001). The TRITON-TIMI 38 and PLATO trials subsequently demonstrated that replacing clopidogrel with prasugrel or ticagrelor, respectively, further reduced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events in ACS patients treated with PCI (</w:t>
      </w:r>
      <w:proofErr w:type="spellStart"/>
      <w:r w:rsidRPr="00CF2BAC">
        <w:rPr>
          <w:rFonts w:ascii="Times New Roman" w:eastAsia="Times New Roman" w:hAnsi="Times New Roman" w:cs="Times New Roman"/>
          <w:sz w:val="24"/>
          <w:szCs w:val="24"/>
          <w:lang w:val="en-US"/>
        </w:rPr>
        <w:t>Wiviott</w:t>
      </w:r>
      <w:proofErr w:type="spellEnd"/>
      <w:r w:rsidRPr="00CF2BAC">
        <w:rPr>
          <w:rFonts w:ascii="Times New Roman" w:eastAsia="Times New Roman" w:hAnsi="Times New Roman" w:cs="Times New Roman"/>
          <w:sz w:val="24"/>
          <w:szCs w:val="24"/>
          <w:lang w:val="en-US"/>
        </w:rPr>
        <w:t xml:space="preserve"> et al., 2007; </w:t>
      </w:r>
      <w:proofErr w:type="spellStart"/>
      <w:r w:rsidRPr="00CF2BAC">
        <w:rPr>
          <w:rFonts w:ascii="Times New Roman" w:eastAsia="Times New Roman" w:hAnsi="Times New Roman" w:cs="Times New Roman"/>
          <w:sz w:val="24"/>
          <w:szCs w:val="24"/>
          <w:lang w:val="en-US"/>
        </w:rPr>
        <w:t>Wallentin</w:t>
      </w:r>
      <w:proofErr w:type="spellEnd"/>
      <w:r w:rsidRPr="00CF2BAC">
        <w:rPr>
          <w:rFonts w:ascii="Times New Roman" w:eastAsia="Times New Roman" w:hAnsi="Times New Roman" w:cs="Times New Roman"/>
          <w:sz w:val="24"/>
          <w:szCs w:val="24"/>
          <w:lang w:val="en-US"/>
        </w:rPr>
        <w:t xml:space="preserve"> et al., 2009), shifting guideline recommendations towards preferential use of these more potent agents in eligible patients. The durable superiority of ticagrelor and prasugrel over clopidogrel in the ACS-PCI setting has been consistently confirmed in subsequent reviews and syntheses of the evidence (Capodanno et al., 2020).</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question of optimal DAPT duration was addressed in several important trials. The DAPT trial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patients who had tolerated 12 months of DAPT after DES implantation — a minority of whom had ACS at presentation — to continued DAPT or placebo for an </w:t>
      </w:r>
      <w:r w:rsidRPr="00CF2BAC">
        <w:rPr>
          <w:rFonts w:ascii="Times New Roman" w:eastAsia="Times New Roman" w:hAnsi="Times New Roman" w:cs="Times New Roman"/>
          <w:sz w:val="24"/>
          <w:szCs w:val="24"/>
          <w:lang w:val="en-US"/>
        </w:rPr>
        <w:lastRenderedPageBreak/>
        <w:t>additional 18 months, and found that prolonged DAPT significantly reduced stent thrombosis and major adverse cardiovascular events but substantially increased major bleeding, including a statistically significant increase in non-cardiovascular mortality (Mauri et al., 2014). These nuanced findings underscored that extended DAPT is not a uniformly beneficial strategy and that patient selection is paramount.</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5.2 Contemporary Guideline Recommendations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2023 ESC guidelines on the management of ACS recommend, for most patients with ACS undergoing PCI, 12 months of DAPT using ticagrelor or prasugrel combined with low-dose aspirin as the default strategy, with recognition that this duration may be shortened or extended according to individual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and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risk profiles (Byrne et al., 2023). For patients at high bleeding risk — as defined by ARC-HBR criteria — a reduced DAPT duration of one to three months followed by P2Y12 inhibitor monotherapy is explicitly endorsed, a recommendation supported by Class I evidence in contemporary guidelines (Byrne et al., 2023). Earlier ACC/AHA-endorsed guidance similarly </w:t>
      </w:r>
      <w:proofErr w:type="spellStart"/>
      <w:r w:rsidRPr="00CF2BAC">
        <w:rPr>
          <w:rFonts w:ascii="Times New Roman" w:eastAsia="Times New Roman" w:hAnsi="Times New Roman" w:cs="Times New Roman"/>
          <w:sz w:val="24"/>
          <w:szCs w:val="24"/>
          <w:lang w:val="en-US"/>
        </w:rPr>
        <w:t>recognised</w:t>
      </w:r>
      <w:proofErr w:type="spellEnd"/>
      <w:r w:rsidRPr="00CF2BAC">
        <w:rPr>
          <w:rFonts w:ascii="Times New Roman" w:eastAsia="Times New Roman" w:hAnsi="Times New Roman" w:cs="Times New Roman"/>
          <w:sz w:val="24"/>
          <w:szCs w:val="24"/>
          <w:lang w:val="en-US"/>
        </w:rPr>
        <w:t xml:space="preserve"> the appropriateness of shorter DAPT durations in selected high-bleeding-risk patients and recommended </w:t>
      </w:r>
      <w:proofErr w:type="spellStart"/>
      <w:r w:rsidRPr="00CF2BAC">
        <w:rPr>
          <w:rFonts w:ascii="Times New Roman" w:eastAsia="Times New Roman" w:hAnsi="Times New Roman" w:cs="Times New Roman"/>
          <w:sz w:val="24"/>
          <w:szCs w:val="24"/>
          <w:lang w:val="en-US"/>
        </w:rPr>
        <w:t>individualised</w:t>
      </w:r>
      <w:proofErr w:type="spellEnd"/>
      <w:r w:rsidRPr="00CF2BAC">
        <w:rPr>
          <w:rFonts w:ascii="Times New Roman" w:eastAsia="Times New Roman" w:hAnsi="Times New Roman" w:cs="Times New Roman"/>
          <w:sz w:val="24"/>
          <w:szCs w:val="24"/>
          <w:lang w:val="en-US"/>
        </w:rPr>
        <w:t xml:space="preserve"> risk assessment to determine optimal treatment duration (Levine et al., 2016). This convergence of major guideline recommendations reflects the evolution of evidence in support of </w:t>
      </w:r>
      <w:proofErr w:type="spellStart"/>
      <w:r w:rsidRPr="00CF2BAC">
        <w:rPr>
          <w:rFonts w:ascii="Times New Roman" w:eastAsia="Times New Roman" w:hAnsi="Times New Roman" w:cs="Times New Roman"/>
          <w:sz w:val="24"/>
          <w:szCs w:val="24"/>
          <w:lang w:val="en-US"/>
        </w:rPr>
        <w:t>individualised</w:t>
      </w:r>
      <w:proofErr w:type="spellEnd"/>
      <w:r w:rsidRPr="00CF2BAC">
        <w:rPr>
          <w:rFonts w:ascii="Times New Roman" w:eastAsia="Times New Roman" w:hAnsi="Times New Roman" w:cs="Times New Roman"/>
          <w:sz w:val="24"/>
          <w:szCs w:val="24"/>
          <w:lang w:val="en-US"/>
        </w:rPr>
        <w:t xml:space="preserve"> antiplatelet strategies, as outlined in subsequent sections.</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6. Transition to Single Antiplatelet Therapy: Rationale and Strategies</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 xml:space="preserve">6.1 The </w:t>
      </w:r>
      <w:proofErr w:type="spellStart"/>
      <w:r w:rsidRPr="00CF2BAC">
        <w:rPr>
          <w:rFonts w:ascii="Times New Roman" w:eastAsia="Times New Roman" w:hAnsi="Times New Roman" w:cs="Times New Roman"/>
          <w:b/>
          <w:bCs/>
          <w:sz w:val="24"/>
          <w:szCs w:val="24"/>
          <w:lang w:val="en-US"/>
        </w:rPr>
        <w:t>Ischaemia</w:t>
      </w:r>
      <w:proofErr w:type="spellEnd"/>
      <w:r w:rsidRPr="00CF2BAC">
        <w:rPr>
          <w:rFonts w:ascii="Times New Roman" w:eastAsia="Times New Roman" w:hAnsi="Times New Roman" w:cs="Times New Roman"/>
          <w:b/>
          <w:bCs/>
          <w:sz w:val="24"/>
          <w:szCs w:val="24"/>
          <w:lang w:val="en-US"/>
        </w:rPr>
        <w:t>-Bleeding Trade-off</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central tension in post-PCI antiplatelet therapy is that the agents providing the most potent protection against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events also confer the greatest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risk. Bleeding following PCI is not a benign endpoint: major </w:t>
      </w:r>
      <w:proofErr w:type="spellStart"/>
      <w:r w:rsidRPr="00CF2BAC">
        <w:rPr>
          <w:rFonts w:ascii="Times New Roman" w:eastAsia="Times New Roman" w:hAnsi="Times New Roman" w:cs="Times New Roman"/>
          <w:sz w:val="24"/>
          <w:szCs w:val="24"/>
          <w:lang w:val="en-US"/>
        </w:rPr>
        <w:t>haemorrhage</w:t>
      </w:r>
      <w:proofErr w:type="spellEnd"/>
      <w:r w:rsidRPr="00CF2BAC">
        <w:rPr>
          <w:rFonts w:ascii="Times New Roman" w:eastAsia="Times New Roman" w:hAnsi="Times New Roman" w:cs="Times New Roman"/>
          <w:sz w:val="24"/>
          <w:szCs w:val="24"/>
          <w:lang w:val="en-US"/>
        </w:rPr>
        <w:t xml:space="preserve"> is independently associated with subsequent MI, stent thrombosis, and mortality, in part because it frequently necessitates premature antiplatelet discontinuation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et al., 2018). In the PLATO trial, patients who experienced major bleeding events during ticagrelor therapy had substantially higher subsequent mortality, suggesting that bleeding and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complications are dynamically interrelated rather than simply competing risks (</w:t>
      </w:r>
      <w:proofErr w:type="spellStart"/>
      <w:r w:rsidRPr="00CF2BAC">
        <w:rPr>
          <w:rFonts w:ascii="Times New Roman" w:eastAsia="Times New Roman" w:hAnsi="Times New Roman" w:cs="Times New Roman"/>
          <w:sz w:val="24"/>
          <w:szCs w:val="24"/>
          <w:lang w:val="en-US"/>
        </w:rPr>
        <w:t>Wallentin</w:t>
      </w:r>
      <w:proofErr w:type="spellEnd"/>
      <w:r w:rsidRPr="00CF2BAC">
        <w:rPr>
          <w:rFonts w:ascii="Times New Roman" w:eastAsia="Times New Roman" w:hAnsi="Times New Roman" w:cs="Times New Roman"/>
          <w:sz w:val="24"/>
          <w:szCs w:val="24"/>
          <w:lang w:val="en-US"/>
        </w:rPr>
        <w:t xml:space="preserve"> et al., 2009). This recognition has stimulated investigation of strategies that confine the period of dual inhibition to the highest-risk phase following PCI — typically the first one to three months — before transitioning to monotherapy with a single potent agent.</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6.2 De-escalation Strategies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De-escalation of antiplatelet therapy following ACS-PCI broadly encompasses two approaches: first, reducing the potency of the P2Y12 inhibitor whilst maintaining dual therapy (for instance, switching from ticagrelor to clopidogrel); and second, discontinuing one component of dual therapy, typically aspirin, to leave the patient on P2Y12 inhibitor monotherapy. This review focuses primarily on the latter strategy — the transition to SAPT — which is the subject of the most contemporary trial evidence. The TROPICAL-ACS trial, which evaluated pharmacodynamically guided de-escalation from prasugrel to clopidogrel using platelet function testing, demonstrated that guided de-escalation was non-inferior to </w:t>
      </w:r>
      <w:r w:rsidRPr="00CF2BAC">
        <w:rPr>
          <w:rFonts w:ascii="Times New Roman" w:eastAsia="Times New Roman" w:hAnsi="Times New Roman" w:cs="Times New Roman"/>
          <w:sz w:val="24"/>
          <w:szCs w:val="24"/>
          <w:lang w:val="en-US"/>
        </w:rPr>
        <w:lastRenderedPageBreak/>
        <w:t>continued prasugrel in terms of the primary net clinical endpoint and was associated with reduced bleeding (</w:t>
      </w:r>
      <w:proofErr w:type="spellStart"/>
      <w:r w:rsidRPr="00CF2BAC">
        <w:rPr>
          <w:rFonts w:ascii="Times New Roman" w:eastAsia="Times New Roman" w:hAnsi="Times New Roman" w:cs="Times New Roman"/>
          <w:sz w:val="24"/>
          <w:szCs w:val="24"/>
          <w:lang w:val="en-US"/>
        </w:rPr>
        <w:t>Sibbing</w:t>
      </w:r>
      <w:proofErr w:type="spellEnd"/>
      <w:r w:rsidRPr="00CF2BAC">
        <w:rPr>
          <w:rFonts w:ascii="Times New Roman" w:eastAsia="Times New Roman" w:hAnsi="Times New Roman" w:cs="Times New Roman"/>
          <w:sz w:val="24"/>
          <w:szCs w:val="24"/>
          <w:lang w:val="en-US"/>
        </w:rPr>
        <w:t xml:space="preserve"> et al., 2017). This trial established an important precedent for the feasibility and safety of de-escalation strategies in ACS patients after PCI, informing subsequent SAPT trials.</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7. Evidence from Major Trials Evaluating Single Antiplatelet Therapy Following PCI</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7.1 The TWILIGHT Trial</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TWILIGHT trial represents the most influential and methodologically rigorous evaluation of ticagrelor monotherapy following a brief period of DAPT in patients at high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or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risk. In this </w:t>
      </w:r>
      <w:proofErr w:type="spellStart"/>
      <w:r w:rsidRPr="00CF2BAC">
        <w:rPr>
          <w:rFonts w:ascii="Times New Roman" w:eastAsia="Times New Roman" w:hAnsi="Times New Roman" w:cs="Times New Roman"/>
          <w:sz w:val="24"/>
          <w:szCs w:val="24"/>
          <w:lang w:val="en-US"/>
        </w:rPr>
        <w:t>multicentre</w:t>
      </w:r>
      <w:proofErr w:type="spellEnd"/>
      <w:r w:rsidRPr="00CF2BAC">
        <w:rPr>
          <w:rFonts w:ascii="Times New Roman" w:eastAsia="Times New Roman" w:hAnsi="Times New Roman" w:cs="Times New Roman"/>
          <w:sz w:val="24"/>
          <w:szCs w:val="24"/>
          <w:lang w:val="en-US"/>
        </w:rPr>
        <w:t xml:space="preserve">, double-blind, placebo-controlled RCT, 7,119 patients who had tolerated three months of DAPT with ticagrelor and aspirin after PCI were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to continue DAPT or receive ticagrelor plus placebo (ticagrelor monotherapy) for a further 12 months. The primary outcome — BARC type 2, 3, or 5 bleeding — was significantly lower with ticagrelor monotherapy: 4.0% versus 7.1%, representing a 44% relative risk reduction (hazard ratio [HR] 0.56; 95% CI: 0.45–0.68; p&lt;0.001). Crucially, the rates of death, MI, or stroke — the primary efficacy composite — were statistically similar between groups (3.9% versus 3.9%), confirming that the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benefit was achieved without a meaningful increase in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risk (Baber et al., 2019). A pre-specified subgroup analysis restricted to the ACS cohort (approximately 57% of the trial population) found consistent results: ticagrelor monotherapy reduced bleeding without significant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excess in this higher-risk group (Mehta et al., 2020). TWILIGHT demonstrated for the first time, in a powered and adequately blinded trial, that aspirin withdrawal after three months of DAPT — with continuation of ticagrelor monotherapy — was both safe and superior in terms of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outcomes in patients considered at elevated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or bleeding risk following PCI.</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7.2 The SMART-CHOICE Trial</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SMART-CHOICE trial enrolled 2,993 patients undergoing PCI (approximately 40% with ACS) across South Korean </w:t>
      </w:r>
      <w:proofErr w:type="spellStart"/>
      <w:r w:rsidRPr="00CF2BAC">
        <w:rPr>
          <w:rFonts w:ascii="Times New Roman" w:eastAsia="Times New Roman" w:hAnsi="Times New Roman" w:cs="Times New Roman"/>
          <w:sz w:val="24"/>
          <w:szCs w:val="24"/>
          <w:lang w:val="en-US"/>
        </w:rPr>
        <w:t>centres</w:t>
      </w:r>
      <w:proofErr w:type="spellEnd"/>
      <w:r w:rsidRPr="00CF2BAC">
        <w:rPr>
          <w:rFonts w:ascii="Times New Roman" w:eastAsia="Times New Roman" w:hAnsi="Times New Roman" w:cs="Times New Roman"/>
          <w:sz w:val="24"/>
          <w:szCs w:val="24"/>
          <w:lang w:val="en-US"/>
        </w:rPr>
        <w:t xml:space="preserve"> and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them to three months of DAPT followed by P2Y12 inhibitor monotherapy (predominantly clopidogrel) or to 12 months of DAPT, with a primary outcome of major adverse cardiac and cerebrovascular events (MACCE) at 12 months. MACCE rates were 2.9% with P2Y12 monotherapy versus 2.5% with continued DAPT (non-inferiority met: risk difference 0.37; 95% CI: −0.60 to 1.34; p=0.004 for non-inferiority), and clinically significant bleeding was significantly reduced in the monotherapy group (2.0% versus 3.4%; HR 0.58; p=0.007) (Hahn et al., 2019). The predominantly East Asian patient population and the use of clopidogrel rather than ticagrelor in most monotherapy recipients are contextual factors that limit direct </w:t>
      </w:r>
      <w:proofErr w:type="spellStart"/>
      <w:r w:rsidRPr="00CF2BAC">
        <w:rPr>
          <w:rFonts w:ascii="Times New Roman" w:eastAsia="Times New Roman" w:hAnsi="Times New Roman" w:cs="Times New Roman"/>
          <w:sz w:val="24"/>
          <w:szCs w:val="24"/>
          <w:lang w:val="en-US"/>
        </w:rPr>
        <w:t>generalisation</w:t>
      </w:r>
      <w:proofErr w:type="spellEnd"/>
      <w:r w:rsidRPr="00CF2BAC">
        <w:rPr>
          <w:rFonts w:ascii="Times New Roman" w:eastAsia="Times New Roman" w:hAnsi="Times New Roman" w:cs="Times New Roman"/>
          <w:sz w:val="24"/>
          <w:szCs w:val="24"/>
          <w:lang w:val="en-US"/>
        </w:rPr>
        <w:t xml:space="preserve"> to Western ACS cohorts with higher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risk profiles.</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7.3 The STOPDAPT-2 and STOPDAPT-2 ACS Trials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STOPDAPT-2 trial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3,045 Japanese PCI patients (approximately 38% with ACS) to one month of DAPT followed by clopidogrel monotherapy versus 12 months of DAPT. At 12 months, the primary composite net clinical endpoint (cardiovascular death, MI, </w:t>
      </w:r>
      <w:r w:rsidRPr="00CF2BAC">
        <w:rPr>
          <w:rFonts w:ascii="Times New Roman" w:eastAsia="Times New Roman" w:hAnsi="Times New Roman" w:cs="Times New Roman"/>
          <w:sz w:val="24"/>
          <w:szCs w:val="24"/>
          <w:lang w:val="en-US"/>
        </w:rPr>
        <w:lastRenderedPageBreak/>
        <w:t xml:space="preserve">definite stent thrombosis, stroke, or TIMI major/minor bleeding) occurred in 2.36% of the monotherapy group versus 3.70% of the DAPT group, satisfying both non-inferiority and superiority criteria (Watanabe et al., 2019). The </w:t>
      </w:r>
      <w:proofErr w:type="spellStart"/>
      <w:r w:rsidRPr="00CF2BAC">
        <w:rPr>
          <w:rFonts w:ascii="Times New Roman" w:eastAsia="Times New Roman" w:hAnsi="Times New Roman" w:cs="Times New Roman"/>
          <w:sz w:val="24"/>
          <w:szCs w:val="24"/>
          <w:lang w:val="en-US"/>
        </w:rPr>
        <w:t>favourable</w:t>
      </w:r>
      <w:proofErr w:type="spellEnd"/>
      <w:r w:rsidRPr="00CF2BAC">
        <w:rPr>
          <w:rFonts w:ascii="Times New Roman" w:eastAsia="Times New Roman" w:hAnsi="Times New Roman" w:cs="Times New Roman"/>
          <w:sz w:val="24"/>
          <w:szCs w:val="24"/>
          <w:lang w:val="en-US"/>
        </w:rPr>
        <w:t xml:space="preserve"> outcome was driven primarily by substantially reduced bleeding; cardiovascular events were numerically, though not significantly, more frequent in the monotherapy group.</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Motivated by these findings but acknowledging concern about the compressed one-month DAPT duration in ACS patients, the investigators subsequently conducted STOPDAPT-2 ACS, which restricted enrolment to ACS patients and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them to one month of DAPT followed by clopidogrel monotherapy versus 12 months of DAPT. Contrary to the parent trial, STOPDAPT-2 ACS did not meet non-inferiority criteria for the composite net clinical outcome (Watanabe et al., 2022). The excess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event rate in the early monotherapy arm raised concerns about the adequacy of a one-month DAPT window specifically in ACS patients, highlighting the clinical importance of distinguishing between stable and unstable presentations when determining the minimum DAPT duration before transition to monotherapy.</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7.4 The TICO Trial</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TICO trial, conducted in South Korea,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3,056 ACS patients undergoing PCI with drug-eluting stents to three months of ticagrelor-based DAPT followed by ticagrelor monotherapy versus 12 months of ticagrelor-based DAPT. The primary composite net clinical endpoint — a combination of major bleeding and MACCE — occurred in 3.9% of the early-monotherapy group versus 5.9% of the 12-month DAPT group (HR 0.66; 95% CI: 0.48–0.92; p=0.01), driven largely by a reduction in major bleeding. MACCE rates were numerically similar between groups (2.3% versus 3.4%; HR 0.69; 95% CI: 0.45–1.06; p=0.09), indicating a bleeding benefit without a statistically significant increase in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events, though confidence intervals were wide (Kim et al., 2020). TICO is particularly important because it restricted enrolment exclusively to ACS patients, making its findings directly applicable to the population under consideration in this review.</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7.5 The MASTER DAPT Trial</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MASTER DAPT trial specifically targeted patients meeting ARC-HBR criteria — those at the highest a priori risk of bleeding — following implantation of an ultrathin-strut biodegradable-polymer drug-eluting stent. A total of 4,579 patients were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at one month post-PCI, to abbreviated DAPT (immediate transition to SAPT) or continued DAPT for at least two additional months. The abbreviated DAPT strategy was non-inferior to continued DAPT for the primary net clinical endpoint of all-cause death, MI, stroke, or major bleeding (7.5% versus 7.7%; HR 0.97; 95% CI: 0.78–1.20), and was associated with significantly fewer major or clinically relevant non-major bleeding events (6.5% versus 9.4%; HR 0.68; 95% CI: 0.55–0.84)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et al., 2021). Critically, these findings were consistent across pre-specified subgroups, including patients with ACS, who comprised approximately 48% of the trial population. MASTER DAPT provided perhaps the strongest trial evidence to date for abbreviated DAPT and transition to SAPT in high-bleeding-risk patients, given the precise targeting of this high-risk population and the use of contemporary stent technology.</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7.6 The HOST-EXAM Trial</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lastRenderedPageBreak/>
        <w:t xml:space="preserve">The HOST-EXAM trial addressed a distinct but related question: in patients who had completed 6 to 18 months of DAPT without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or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events following PCI, which single antiplatelet agent — clopidogrel or aspirin — provides superior outcomes when SAPT is maintained thereafter? Among 5,438 Korean PCI patients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to clopidogrel or aspirin monotherapy following the DAPT period, clopidogrel was associated with a significantly lower rate of the primary composite of all-cause death, non-fatal MI, stroke, readmission due to ACS, or TIMI major bleeding (5.7% versus 7.7%; HR 0.73; 95% CI: 0.59–0.90; p=0.003) over a median follow-up of 24 months (Koo et al., 2021). Bleeding events were also significantly lower with clopidogrel. HOST-EXAM introduced a qualitatively new dimension to the SAPT debate: not only whether to transition to monotherapy, but which agent should be preferred once DAPT is discontinued. The findings suggest that, when SAPT is chosen after an adequate period of DAPT, clopidogrel monotherapy may offer more </w:t>
      </w:r>
      <w:proofErr w:type="spellStart"/>
      <w:r w:rsidRPr="00CF2BAC">
        <w:rPr>
          <w:rFonts w:ascii="Times New Roman" w:eastAsia="Times New Roman" w:hAnsi="Times New Roman" w:cs="Times New Roman"/>
          <w:sz w:val="24"/>
          <w:szCs w:val="24"/>
          <w:lang w:val="en-US"/>
        </w:rPr>
        <w:t>favourable</w:t>
      </w:r>
      <w:proofErr w:type="spellEnd"/>
      <w:r w:rsidRPr="00CF2BAC">
        <w:rPr>
          <w:rFonts w:ascii="Times New Roman" w:eastAsia="Times New Roman" w:hAnsi="Times New Roman" w:cs="Times New Roman"/>
          <w:sz w:val="24"/>
          <w:szCs w:val="24"/>
          <w:lang w:val="en-US"/>
        </w:rPr>
        <w:t xml:space="preserve"> net clinical outcomes than aspirin alone, though the trial population was predominantly stable post-PCI patients and the </w:t>
      </w:r>
      <w:proofErr w:type="spellStart"/>
      <w:r w:rsidRPr="00CF2BAC">
        <w:rPr>
          <w:rFonts w:ascii="Times New Roman" w:eastAsia="Times New Roman" w:hAnsi="Times New Roman" w:cs="Times New Roman"/>
          <w:sz w:val="24"/>
          <w:szCs w:val="24"/>
          <w:lang w:val="en-US"/>
        </w:rPr>
        <w:t>generalisability</w:t>
      </w:r>
      <w:proofErr w:type="spellEnd"/>
      <w:r w:rsidRPr="00CF2BAC">
        <w:rPr>
          <w:rFonts w:ascii="Times New Roman" w:eastAsia="Times New Roman" w:hAnsi="Times New Roman" w:cs="Times New Roman"/>
          <w:sz w:val="24"/>
          <w:szCs w:val="24"/>
          <w:lang w:val="en-US"/>
        </w:rPr>
        <w:t xml:space="preserve"> to the acute ACS setting warrants careful consideration (Koo et al., 2021).</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7.7 Review Evidence and Meta-analyses Integrating Trial Data</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Several publications have </w:t>
      </w:r>
      <w:proofErr w:type="spellStart"/>
      <w:r w:rsidRPr="00CF2BAC">
        <w:rPr>
          <w:rFonts w:ascii="Times New Roman" w:eastAsia="Times New Roman" w:hAnsi="Times New Roman" w:cs="Times New Roman"/>
          <w:sz w:val="24"/>
          <w:szCs w:val="24"/>
          <w:lang w:val="en-US"/>
        </w:rPr>
        <w:t>synthesised</w:t>
      </w:r>
      <w:proofErr w:type="spellEnd"/>
      <w:r w:rsidRPr="00CF2BAC">
        <w:rPr>
          <w:rFonts w:ascii="Times New Roman" w:eastAsia="Times New Roman" w:hAnsi="Times New Roman" w:cs="Times New Roman"/>
          <w:sz w:val="24"/>
          <w:szCs w:val="24"/>
          <w:lang w:val="en-US"/>
        </w:rPr>
        <w:t xml:space="preserve"> the growing body of trial data on de-escalation from DAPT to SAPT. Capodanno et al. (2020) provided a comprehensive critical synthesis of aspirin-free strategies in cardiovascular disease, reviewing evidence from multiple trials comparing antiplatelet regimens following DES implantation and concluding that P2Y12 inhibitor monotherapy following brief DAPT was associated with significantly fewer bleeding events and no statistically significant increase in MI, stent thrombosis, or stroke relative to 12-month standard DAPT. An individual patient data meta-analysis by </w:t>
      </w:r>
      <w:proofErr w:type="spellStart"/>
      <w:r w:rsidRPr="00CF2BAC">
        <w:rPr>
          <w:rFonts w:ascii="Times New Roman" w:eastAsia="Times New Roman" w:hAnsi="Times New Roman" w:cs="Times New Roman"/>
          <w:sz w:val="24"/>
          <w:szCs w:val="24"/>
          <w:lang w:val="en-US"/>
        </w:rPr>
        <w:t>Gragnano</w:t>
      </w:r>
      <w:proofErr w:type="spellEnd"/>
      <w:r w:rsidRPr="00CF2BAC">
        <w:rPr>
          <w:rFonts w:ascii="Times New Roman" w:eastAsia="Times New Roman" w:hAnsi="Times New Roman" w:cs="Times New Roman"/>
          <w:sz w:val="24"/>
          <w:szCs w:val="24"/>
          <w:lang w:val="en-US"/>
        </w:rPr>
        <w:t xml:space="preserve"> et al. (2022), restricted to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trials of P2Y12 inhibitor monotherapy following one to three months of DAPT, found a consistent reduction in clinically relevant bleeding (HR 0.57; 95% CI: 0.48–0.68) without significant excess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risk, lending methodological </w:t>
      </w:r>
      <w:proofErr w:type="spellStart"/>
      <w:r w:rsidRPr="00CF2BAC">
        <w:rPr>
          <w:rFonts w:ascii="Times New Roman" w:eastAsia="Times New Roman" w:hAnsi="Times New Roman" w:cs="Times New Roman"/>
          <w:sz w:val="24"/>
          <w:szCs w:val="24"/>
          <w:lang w:val="en-US"/>
        </w:rPr>
        <w:t>rigour</w:t>
      </w:r>
      <w:proofErr w:type="spellEnd"/>
      <w:r w:rsidRPr="00CF2BAC">
        <w:rPr>
          <w:rFonts w:ascii="Times New Roman" w:eastAsia="Times New Roman" w:hAnsi="Times New Roman" w:cs="Times New Roman"/>
          <w:sz w:val="24"/>
          <w:szCs w:val="24"/>
          <w:lang w:val="en-US"/>
        </w:rPr>
        <w:t xml:space="preserve"> to the synthesis of the available evidence. These findings broadly corroborate the individual trial results and support the de-escalation approach in appropriately selected patients.</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8. Risk Stratification: Identifying Candidates for De-escalation</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8.1 The DAPT Score</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DAPT score was derived from the DAPT trial cohort to predict which patients benefit from prolonged versus shortened DAPT duration. Variables incorporated include age, smoking, prior MI or PCI, diabetes, congestive heart failure, left ventricular ejection fraction, saphenous vein graft PCI, stent diameter, and use of paclitaxel-eluting stents. Patients with a DAPT score of two or above derive net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benefit from extended DAPT, whereas those with scores below two face excess bleeding without proportionate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gain (Yeh et al., 2016). The DAPT score, whilst validated in the trial derivation cohort, has limitations in the contemporary DES era, partly because it was derived before widespread adoption of ultrathin-strut stents and before the routine availability of more potent P2Y12 inhibitors.</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8.2 The PRECISE-DAPT Score</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lastRenderedPageBreak/>
        <w:t xml:space="preserve">The PRECISE-DAPT score, derived from a pooled dataset of six RCTs, incorporates five variables: age, creatinine clearance, </w:t>
      </w:r>
      <w:proofErr w:type="spellStart"/>
      <w:r w:rsidRPr="00CF2BAC">
        <w:rPr>
          <w:rFonts w:ascii="Times New Roman" w:eastAsia="Times New Roman" w:hAnsi="Times New Roman" w:cs="Times New Roman"/>
          <w:sz w:val="24"/>
          <w:szCs w:val="24"/>
          <w:lang w:val="en-US"/>
        </w:rPr>
        <w:t>haemoglobin</w:t>
      </w:r>
      <w:proofErr w:type="spellEnd"/>
      <w:r w:rsidRPr="00CF2BAC">
        <w:rPr>
          <w:rFonts w:ascii="Times New Roman" w:eastAsia="Times New Roman" w:hAnsi="Times New Roman" w:cs="Times New Roman"/>
          <w:sz w:val="24"/>
          <w:szCs w:val="24"/>
          <w:lang w:val="en-US"/>
        </w:rPr>
        <w:t xml:space="preserve">, white blood cell count, and prior spontaneous bleeding. Scores of 25 or above identify patients at sufficiently elevated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risk that shortened DAPT (three to six months) is associated with net clinical benefit, whilst scores below 25 support the standard 12-month duration (Costa et al., 2017). The score was prospectively validated in the GLOBAL LEADERS trial population, with consistent results. Its incorporation of renal function — a key determinant of bleeding propensity — makes it particularly relevant in the growing population of patients with chronic kidney disease undergoing PCI (Costa et al., 2017).</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8.3 ARC-HBR Criteria</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Academic Research Consortium for High Bleeding Risk (ARC-HBR) consensus document, published in 2019, defined a </w:t>
      </w:r>
      <w:proofErr w:type="spellStart"/>
      <w:r w:rsidRPr="00CF2BAC">
        <w:rPr>
          <w:rFonts w:ascii="Times New Roman" w:eastAsia="Times New Roman" w:hAnsi="Times New Roman" w:cs="Times New Roman"/>
          <w:sz w:val="24"/>
          <w:szCs w:val="24"/>
          <w:lang w:val="en-US"/>
        </w:rPr>
        <w:t>standardised</w:t>
      </w:r>
      <w:proofErr w:type="spellEnd"/>
      <w:r w:rsidRPr="00CF2BAC">
        <w:rPr>
          <w:rFonts w:ascii="Times New Roman" w:eastAsia="Times New Roman" w:hAnsi="Times New Roman" w:cs="Times New Roman"/>
          <w:sz w:val="24"/>
          <w:szCs w:val="24"/>
          <w:lang w:val="en-US"/>
        </w:rPr>
        <w:t xml:space="preserve"> set of clinical criteria for identifying patients at sufficiently elevated bleeding risk to justify modification of antiplatelet duration or intensity (Urban et al., 2019). Major criteria — each independently meeting the threshold of approximately 4% BARC type 3–5 bleeding at one year or 1% risk of intracranial </w:t>
      </w:r>
      <w:proofErr w:type="spellStart"/>
      <w:r w:rsidRPr="00CF2BAC">
        <w:rPr>
          <w:rFonts w:ascii="Times New Roman" w:eastAsia="Times New Roman" w:hAnsi="Times New Roman" w:cs="Times New Roman"/>
          <w:sz w:val="24"/>
          <w:szCs w:val="24"/>
          <w:lang w:val="en-US"/>
        </w:rPr>
        <w:t>haemorrhage</w:t>
      </w:r>
      <w:proofErr w:type="spellEnd"/>
      <w:r w:rsidRPr="00CF2BAC">
        <w:rPr>
          <w:rFonts w:ascii="Times New Roman" w:eastAsia="Times New Roman" w:hAnsi="Times New Roman" w:cs="Times New Roman"/>
          <w:sz w:val="24"/>
          <w:szCs w:val="24"/>
          <w:lang w:val="en-US"/>
        </w:rPr>
        <w:t xml:space="preserve"> — include oral anticoagulant therapy, severe chronic kidney disease (estimated glomerular filtration rate &lt;30 mL/min/1.73m²), thrombocytopenia, prior spontaneous intracranial </w:t>
      </w:r>
      <w:proofErr w:type="spellStart"/>
      <w:r w:rsidRPr="00CF2BAC">
        <w:rPr>
          <w:rFonts w:ascii="Times New Roman" w:eastAsia="Times New Roman" w:hAnsi="Times New Roman" w:cs="Times New Roman"/>
          <w:sz w:val="24"/>
          <w:szCs w:val="24"/>
          <w:lang w:val="en-US"/>
        </w:rPr>
        <w:t>haemorrhage</w:t>
      </w:r>
      <w:proofErr w:type="spellEnd"/>
      <w:r w:rsidRPr="00CF2BAC">
        <w:rPr>
          <w:rFonts w:ascii="Times New Roman" w:eastAsia="Times New Roman" w:hAnsi="Times New Roman" w:cs="Times New Roman"/>
          <w:sz w:val="24"/>
          <w:szCs w:val="24"/>
          <w:lang w:val="en-US"/>
        </w:rPr>
        <w:t xml:space="preserve"> at any time, recent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stroke within the past six months, active cancer, and major surgery or trauma within 30 days. Minor criteria include moderate chronic kidney disease (eGFR 30–59 mL/min/1.73m²), moderate </w:t>
      </w:r>
      <w:proofErr w:type="spellStart"/>
      <w:r w:rsidRPr="00CF2BAC">
        <w:rPr>
          <w:rFonts w:ascii="Times New Roman" w:eastAsia="Times New Roman" w:hAnsi="Times New Roman" w:cs="Times New Roman"/>
          <w:sz w:val="24"/>
          <w:szCs w:val="24"/>
          <w:lang w:val="en-US"/>
        </w:rPr>
        <w:t>anaemia</w:t>
      </w:r>
      <w:proofErr w:type="spellEnd"/>
      <w:r w:rsidRPr="00CF2BAC">
        <w:rPr>
          <w:rFonts w:ascii="Times New Roman" w:eastAsia="Times New Roman" w:hAnsi="Times New Roman" w:cs="Times New Roman"/>
          <w:sz w:val="24"/>
          <w:szCs w:val="24"/>
          <w:lang w:val="en-US"/>
        </w:rPr>
        <w:t xml:space="preserve">, and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stroke occurring more than six months previously. ARC-HBR criteria have been prospectively validated in several large DES registries and were specifically used as the enrolment criterion in the MASTER DAPT trial, providing a direct link between risk stratification and evidence-based de-escalation practice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et al., 2021). The broad adoption of ARC-HBR criteria across guideline documents reflects their practical utility as a bedside clinical tool, though ongoing refinement based on emerging evidence is anticipated.</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8.4 Platelet Function Testing and Genotyping</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Beyond clinical scoring systems, pharmacodynamic monitoring using platelet function testing — including the </w:t>
      </w:r>
      <w:proofErr w:type="spellStart"/>
      <w:r w:rsidRPr="00CF2BAC">
        <w:rPr>
          <w:rFonts w:ascii="Times New Roman" w:eastAsia="Times New Roman" w:hAnsi="Times New Roman" w:cs="Times New Roman"/>
          <w:sz w:val="24"/>
          <w:szCs w:val="24"/>
          <w:lang w:val="en-US"/>
        </w:rPr>
        <w:t>VerifyNow</w:t>
      </w:r>
      <w:proofErr w:type="spellEnd"/>
      <w:r w:rsidRPr="00CF2BAC">
        <w:rPr>
          <w:rFonts w:ascii="Times New Roman" w:eastAsia="Times New Roman" w:hAnsi="Times New Roman" w:cs="Times New Roman"/>
          <w:sz w:val="24"/>
          <w:szCs w:val="24"/>
          <w:lang w:val="en-US"/>
        </w:rPr>
        <w:t xml:space="preserve"> assay, Multiplate </w:t>
      </w:r>
      <w:proofErr w:type="spellStart"/>
      <w:r w:rsidRPr="00CF2BAC">
        <w:rPr>
          <w:rFonts w:ascii="Times New Roman" w:eastAsia="Times New Roman" w:hAnsi="Times New Roman" w:cs="Times New Roman"/>
          <w:sz w:val="24"/>
          <w:szCs w:val="24"/>
          <w:lang w:val="en-US"/>
        </w:rPr>
        <w:t>analyser</w:t>
      </w:r>
      <w:proofErr w:type="spellEnd"/>
      <w:r w:rsidRPr="00CF2BAC">
        <w:rPr>
          <w:rFonts w:ascii="Times New Roman" w:eastAsia="Times New Roman" w:hAnsi="Times New Roman" w:cs="Times New Roman"/>
          <w:sz w:val="24"/>
          <w:szCs w:val="24"/>
          <w:lang w:val="en-US"/>
        </w:rPr>
        <w:t xml:space="preserve">, and light transmission aggregometry — and genotyping for CYP2C19 loss-of-function alleles have been proposed as means of </w:t>
      </w:r>
      <w:proofErr w:type="spellStart"/>
      <w:r w:rsidRPr="00CF2BAC">
        <w:rPr>
          <w:rFonts w:ascii="Times New Roman" w:eastAsia="Times New Roman" w:hAnsi="Times New Roman" w:cs="Times New Roman"/>
          <w:sz w:val="24"/>
          <w:szCs w:val="24"/>
          <w:lang w:val="en-US"/>
        </w:rPr>
        <w:t>personalising</w:t>
      </w:r>
      <w:proofErr w:type="spellEnd"/>
      <w:r w:rsidRPr="00CF2BAC">
        <w:rPr>
          <w:rFonts w:ascii="Times New Roman" w:eastAsia="Times New Roman" w:hAnsi="Times New Roman" w:cs="Times New Roman"/>
          <w:sz w:val="24"/>
          <w:szCs w:val="24"/>
          <w:lang w:val="en-US"/>
        </w:rPr>
        <w:t xml:space="preserve"> DAPT intensity in ACS patients. The TROPICAL-ACS trial demonstrated that pharmacodynamically guided de-escalation from prasugrel to clopidogrel, directed by Multiplate platelet function testing, was non-inferior to sustained prasugrel without increasing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risk, providing a biological basis for pharmacology-guided de-escalation (</w:t>
      </w:r>
      <w:proofErr w:type="spellStart"/>
      <w:r w:rsidRPr="00CF2BAC">
        <w:rPr>
          <w:rFonts w:ascii="Times New Roman" w:eastAsia="Times New Roman" w:hAnsi="Times New Roman" w:cs="Times New Roman"/>
          <w:sz w:val="24"/>
          <w:szCs w:val="24"/>
          <w:lang w:val="en-US"/>
        </w:rPr>
        <w:t>Sibbing</w:t>
      </w:r>
      <w:proofErr w:type="spellEnd"/>
      <w:r w:rsidRPr="00CF2BAC">
        <w:rPr>
          <w:rFonts w:ascii="Times New Roman" w:eastAsia="Times New Roman" w:hAnsi="Times New Roman" w:cs="Times New Roman"/>
          <w:sz w:val="24"/>
          <w:szCs w:val="24"/>
          <w:lang w:val="en-US"/>
        </w:rPr>
        <w:t xml:space="preserve"> et al., 2017). The POPULAR Genetics trial further showed that genotype-guided assignment to clopidogrel or ticagrelor in ACS patients resulted in non-inferior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outcomes and reduced bleeding compared with universal ticagrelor use (</w:t>
      </w:r>
      <w:proofErr w:type="spellStart"/>
      <w:r w:rsidRPr="00CF2BAC">
        <w:rPr>
          <w:rFonts w:ascii="Times New Roman" w:eastAsia="Times New Roman" w:hAnsi="Times New Roman" w:cs="Times New Roman"/>
          <w:sz w:val="24"/>
          <w:szCs w:val="24"/>
          <w:lang w:val="en-US"/>
        </w:rPr>
        <w:t>Claassens</w:t>
      </w:r>
      <w:proofErr w:type="spellEnd"/>
      <w:r w:rsidRPr="00CF2BAC">
        <w:rPr>
          <w:rFonts w:ascii="Times New Roman" w:eastAsia="Times New Roman" w:hAnsi="Times New Roman" w:cs="Times New Roman"/>
          <w:sz w:val="24"/>
          <w:szCs w:val="24"/>
          <w:lang w:val="en-US"/>
        </w:rPr>
        <w:t xml:space="preserve"> et al., 2019). These findings support the clinical application of point-of-care genotyping or platelet function testing to refine de-escalation decisions, particularly in patients where the </w:t>
      </w:r>
      <w:proofErr w:type="spellStart"/>
      <w:r w:rsidRPr="00CF2BAC">
        <w:rPr>
          <w:rFonts w:ascii="Times New Roman" w:eastAsia="Times New Roman" w:hAnsi="Times New Roman" w:cs="Times New Roman"/>
          <w:sz w:val="24"/>
          <w:szCs w:val="24"/>
          <w:lang w:val="en-US"/>
        </w:rPr>
        <w:t>ischaemia</w:t>
      </w:r>
      <w:proofErr w:type="spellEnd"/>
      <w:r w:rsidRPr="00CF2BAC">
        <w:rPr>
          <w:rFonts w:ascii="Times New Roman" w:eastAsia="Times New Roman" w:hAnsi="Times New Roman" w:cs="Times New Roman"/>
          <w:sz w:val="24"/>
          <w:szCs w:val="24"/>
          <w:lang w:val="en-US"/>
        </w:rPr>
        <w:t>-bleeding balance is genuinely uncertain.</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9. Special Populations</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9.1 Elderly Patients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lastRenderedPageBreak/>
        <w:t xml:space="preserve">Older patients — generally defined in the antiplatelet literature as those aged 75 years and above — present a particularly challenging combination of elevated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risk, driven by more complex and extensive coronary artery disease, and elevated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risk, attributable to age-related reductions in renal function, polypharmacy, and frailty-associated bleeding propensity. The use of prasugrel is generally not recommended in patients aged 75 years and above, based on TRITON-TIMI 38 findings, which demonstrated significant excess net harm in this subgroup owing to substantially increased bleeding without proportionate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benefit (</w:t>
      </w:r>
      <w:proofErr w:type="spellStart"/>
      <w:r w:rsidRPr="00CF2BAC">
        <w:rPr>
          <w:rFonts w:ascii="Times New Roman" w:eastAsia="Times New Roman" w:hAnsi="Times New Roman" w:cs="Times New Roman"/>
          <w:sz w:val="24"/>
          <w:szCs w:val="24"/>
          <w:lang w:val="en-US"/>
        </w:rPr>
        <w:t>Wiviott</w:t>
      </w:r>
      <w:proofErr w:type="spellEnd"/>
      <w:r w:rsidRPr="00CF2BAC">
        <w:rPr>
          <w:rFonts w:ascii="Times New Roman" w:eastAsia="Times New Roman" w:hAnsi="Times New Roman" w:cs="Times New Roman"/>
          <w:sz w:val="24"/>
          <w:szCs w:val="24"/>
          <w:lang w:val="en-US"/>
        </w:rPr>
        <w:t xml:space="preserve"> et al., 2007). Several analyses of elderly cohorts have suggested that abbreviated DAPT followed by SAPT provides a more </w:t>
      </w:r>
      <w:proofErr w:type="spellStart"/>
      <w:r w:rsidRPr="00CF2BAC">
        <w:rPr>
          <w:rFonts w:ascii="Times New Roman" w:eastAsia="Times New Roman" w:hAnsi="Times New Roman" w:cs="Times New Roman"/>
          <w:sz w:val="24"/>
          <w:szCs w:val="24"/>
          <w:lang w:val="en-US"/>
        </w:rPr>
        <w:t>favourable</w:t>
      </w:r>
      <w:proofErr w:type="spellEnd"/>
      <w:r w:rsidRPr="00CF2BAC">
        <w:rPr>
          <w:rFonts w:ascii="Times New Roman" w:eastAsia="Times New Roman" w:hAnsi="Times New Roman" w:cs="Times New Roman"/>
          <w:sz w:val="24"/>
          <w:szCs w:val="24"/>
          <w:lang w:val="en-US"/>
        </w:rPr>
        <w:t xml:space="preserve"> risk-benefit profile than extended dual therapy in this population. The </w:t>
      </w:r>
      <w:proofErr w:type="spellStart"/>
      <w:r w:rsidRPr="00CF2BAC">
        <w:rPr>
          <w:rFonts w:ascii="Times New Roman" w:eastAsia="Times New Roman" w:hAnsi="Times New Roman" w:cs="Times New Roman"/>
          <w:sz w:val="24"/>
          <w:szCs w:val="24"/>
          <w:lang w:val="en-US"/>
        </w:rPr>
        <w:t>POPular</w:t>
      </w:r>
      <w:proofErr w:type="spellEnd"/>
      <w:r w:rsidRPr="00CF2BAC">
        <w:rPr>
          <w:rFonts w:ascii="Times New Roman" w:eastAsia="Times New Roman" w:hAnsi="Times New Roman" w:cs="Times New Roman"/>
          <w:sz w:val="24"/>
          <w:szCs w:val="24"/>
          <w:lang w:val="en-US"/>
        </w:rPr>
        <w:t xml:space="preserve"> AGE trial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patients aged 70 years and above with NSTE-ACS to clopidogrel or ticagrelor, each combined with aspirin, finding that clopidogrel was associated with fewer bleeding events and comparable net clinical outcomes, suggesting that even within the choice of P2Y12 agent, the balance of benefit shifts with age (Gimbel et al., 2020). Given the increasing representation of elderly patients in contemporary ACS-PCI cohorts — a consequence of both population ageing and expanded procedural access — this subgroup deserves particular attention in de-escalation decision-making.</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9.2 Patients Requiring Oral Anticoagulation</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Approximately 5–10% of patients undergoing PCI carry a concurrent indication for oral anticoagulation — most commonly atrial fibrillation requiring stroke prevention (Lopes et al., 2019). Triple therapy, comprising aspirin, a P2Y12 inhibitor, and an oral anticoagulant, was historically standard in this population but carries a very high risk of major </w:t>
      </w:r>
      <w:proofErr w:type="spellStart"/>
      <w:r w:rsidRPr="00CF2BAC">
        <w:rPr>
          <w:rFonts w:ascii="Times New Roman" w:eastAsia="Times New Roman" w:hAnsi="Times New Roman" w:cs="Times New Roman"/>
          <w:sz w:val="24"/>
          <w:szCs w:val="24"/>
          <w:lang w:val="en-US"/>
        </w:rPr>
        <w:t>haemorrhage</w:t>
      </w:r>
      <w:proofErr w:type="spellEnd"/>
      <w:r w:rsidRPr="00CF2BAC">
        <w:rPr>
          <w:rFonts w:ascii="Times New Roman" w:eastAsia="Times New Roman" w:hAnsi="Times New Roman" w:cs="Times New Roman"/>
          <w:sz w:val="24"/>
          <w:szCs w:val="24"/>
          <w:lang w:val="en-US"/>
        </w:rPr>
        <w:t xml:space="preserve">. The AUGUSTUS trial, a 2×2 factorial RCT of 4,614 ACS or PCI patients with atrial fibrillation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to apixaban or vitamin K antagonist, and to aspirin or placebo, demonstrated that both omission of aspirin and substitution of apixaban for vitamin K antagonism independently reduced major or clinically relevant non-major bleeding without significant excess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events (Lopes et al., 2019). These findings, complemented by the PIONEER AF-PCI and RE-DUAL PCI trials with rivaroxaban and dabigatran respectively, have led to guideline endorsement of a "dual therapy" approach — comprising a direct oral anticoagulant plus a single P2Y12 inhibitor (typically clopidogrel), with early aspirin withdrawal — as the preferred strategy in this population (Byrne et al., 2023). For such patients, transition to SAPT effectively represents a reduction from triple to dual therapy, with a further reduction to anticoagulant monotherapy considered only after the highest-risk period has elapsed.</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9.3 Patients with Diabetes Mellitus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Diabetes mellitus is associated with a prothrombotic and proatherogenic milieu </w:t>
      </w:r>
      <w:proofErr w:type="spellStart"/>
      <w:r w:rsidRPr="00CF2BAC">
        <w:rPr>
          <w:rFonts w:ascii="Times New Roman" w:eastAsia="Times New Roman" w:hAnsi="Times New Roman" w:cs="Times New Roman"/>
          <w:sz w:val="24"/>
          <w:szCs w:val="24"/>
          <w:lang w:val="en-US"/>
        </w:rPr>
        <w:t>characterised</w:t>
      </w:r>
      <w:proofErr w:type="spellEnd"/>
      <w:r w:rsidRPr="00CF2BAC">
        <w:rPr>
          <w:rFonts w:ascii="Times New Roman" w:eastAsia="Times New Roman" w:hAnsi="Times New Roman" w:cs="Times New Roman"/>
          <w:sz w:val="24"/>
          <w:szCs w:val="24"/>
          <w:lang w:val="en-US"/>
        </w:rPr>
        <w:t xml:space="preserve"> by enhanced platelet reactivity, accelerated atherosclerosis, and impaired endothelial function, collectively conferring elevated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risk following PCI (Levine et al., 2016). Evidence from multiple trials has suggested that diabetic patients may derive greater absolute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benefit from more potent and prolonged DAPT, though they also bear an increased absolute risk of major bleeding with extended therapy (Capodanno et al., 2020). Current guidelines recommend standard 12-month DAPT in most diabetic ACS patients after PCI, with the DAPT score and ARC-HBR criteria used to identify individuals in whom de-escalation is appropriate. </w:t>
      </w:r>
      <w:proofErr w:type="spellStart"/>
      <w:r w:rsidRPr="00CF2BAC">
        <w:rPr>
          <w:rFonts w:ascii="Times New Roman" w:eastAsia="Times New Roman" w:hAnsi="Times New Roman" w:cs="Times New Roman"/>
          <w:sz w:val="24"/>
          <w:szCs w:val="24"/>
          <w:lang w:val="en-US"/>
        </w:rPr>
        <w:t>Glycaemic</w:t>
      </w:r>
      <w:proofErr w:type="spellEnd"/>
      <w:r w:rsidRPr="00CF2BAC">
        <w:rPr>
          <w:rFonts w:ascii="Times New Roman" w:eastAsia="Times New Roman" w:hAnsi="Times New Roman" w:cs="Times New Roman"/>
          <w:sz w:val="24"/>
          <w:szCs w:val="24"/>
          <w:lang w:val="en-US"/>
        </w:rPr>
        <w:t xml:space="preserve"> control itself may modulate platelet function and P2Y12 inhibitor responsiveness, though the clinical relevance of this interaction remains an active area of investigation.</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lastRenderedPageBreak/>
        <w:t>9.4 Patients with Chronic Kidney Disease</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Chronic kidney disease (CKD) independently increases both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and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risk in ACS patients, and this dual elevation complicates antiplatelet decision-making. Impaired platelet function in advanced CKD — attributable in part to </w:t>
      </w:r>
      <w:proofErr w:type="spellStart"/>
      <w:r w:rsidRPr="00CF2BAC">
        <w:rPr>
          <w:rFonts w:ascii="Times New Roman" w:eastAsia="Times New Roman" w:hAnsi="Times New Roman" w:cs="Times New Roman"/>
          <w:sz w:val="24"/>
          <w:szCs w:val="24"/>
          <w:lang w:val="en-US"/>
        </w:rPr>
        <w:t>uraemia</w:t>
      </w:r>
      <w:proofErr w:type="spellEnd"/>
      <w:r w:rsidRPr="00CF2BAC">
        <w:rPr>
          <w:rFonts w:ascii="Times New Roman" w:eastAsia="Times New Roman" w:hAnsi="Times New Roman" w:cs="Times New Roman"/>
          <w:sz w:val="24"/>
          <w:szCs w:val="24"/>
          <w:lang w:val="en-US"/>
        </w:rPr>
        <w:t xml:space="preserve">-associated defects in platelet adhesion and secretion — paradoxically coexists with a heightened thrombotic risk driven by systemic inflammation, endothelial dysfunction, and the prothrombotic milieu of </w:t>
      </w:r>
      <w:proofErr w:type="spellStart"/>
      <w:r w:rsidRPr="00CF2BAC">
        <w:rPr>
          <w:rFonts w:ascii="Times New Roman" w:eastAsia="Times New Roman" w:hAnsi="Times New Roman" w:cs="Times New Roman"/>
          <w:sz w:val="24"/>
          <w:szCs w:val="24"/>
          <w:lang w:val="en-US"/>
        </w:rPr>
        <w:t>uraemia</w:t>
      </w:r>
      <w:proofErr w:type="spellEnd"/>
      <w:r w:rsidRPr="00CF2BAC">
        <w:rPr>
          <w:rFonts w:ascii="Times New Roman" w:eastAsia="Times New Roman" w:hAnsi="Times New Roman" w:cs="Times New Roman"/>
          <w:sz w:val="24"/>
          <w:szCs w:val="24"/>
          <w:lang w:val="en-US"/>
        </w:rPr>
        <w:t xml:space="preserve">. Current evidence suggests that patients with moderate-to-severe CKD (eGFR &lt;60 mL/min/1.73m²) are at significantly higher bleeding risk with standard DAPT duration, and several analyses have identified CKD as a factor </w:t>
      </w:r>
      <w:proofErr w:type="spellStart"/>
      <w:r w:rsidRPr="00CF2BAC">
        <w:rPr>
          <w:rFonts w:ascii="Times New Roman" w:eastAsia="Times New Roman" w:hAnsi="Times New Roman" w:cs="Times New Roman"/>
          <w:sz w:val="24"/>
          <w:szCs w:val="24"/>
          <w:lang w:val="en-US"/>
        </w:rPr>
        <w:t>favouring</w:t>
      </w:r>
      <w:proofErr w:type="spellEnd"/>
      <w:r w:rsidRPr="00CF2BAC">
        <w:rPr>
          <w:rFonts w:ascii="Times New Roman" w:eastAsia="Times New Roman" w:hAnsi="Times New Roman" w:cs="Times New Roman"/>
          <w:sz w:val="24"/>
          <w:szCs w:val="24"/>
          <w:lang w:val="en-US"/>
        </w:rPr>
        <w:t xml:space="preserve"> abbreviated DAPT and earlier transition to SAPT (Urban et al., 2019). The PRECISE-DAPT score's inclusion of creatinine clearance reflects the clinical importance of renal function in this decision, and the ARC-HBR major criterion of eGFR &lt;30 mL/min/1.73m² formally designates this subgroup as high bleeding risk (Costa et al., 2017; Urban et al., 2019).</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 xml:space="preserve">10. </w:t>
      </w:r>
      <w:proofErr w:type="spellStart"/>
      <w:r w:rsidRPr="00CF2BAC">
        <w:rPr>
          <w:rFonts w:ascii="Times New Roman" w:eastAsia="Times New Roman" w:hAnsi="Times New Roman" w:cs="Times New Roman"/>
          <w:b/>
          <w:bCs/>
          <w:sz w:val="27"/>
          <w:szCs w:val="27"/>
          <w:lang w:val="en-US"/>
        </w:rPr>
        <w:t>Ischaemic</w:t>
      </w:r>
      <w:proofErr w:type="spellEnd"/>
      <w:r w:rsidRPr="00CF2BAC">
        <w:rPr>
          <w:rFonts w:ascii="Times New Roman" w:eastAsia="Times New Roman" w:hAnsi="Times New Roman" w:cs="Times New Roman"/>
          <w:b/>
          <w:bCs/>
          <w:sz w:val="27"/>
          <w:szCs w:val="27"/>
          <w:lang w:val="en-US"/>
        </w:rPr>
        <w:t xml:space="preserve"> Outcomes: Risks of Early DAPT Discontinuation</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10.1 Stent Thrombosis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Stent thrombosis — the abrupt, often catastrophic thrombotic occlusion of a coronary stent — remains the principal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concern associated with premature antiplatelet discontinuation. The risk of stent thrombosis is highest in the first weeks following PCI, and it is significantly influenced by stent type, procedural factors, lesion complexity, and residual platelet reactivity. First-generation drug-eluting stents, with their polymer-related inflammatory responses and delayed </w:t>
      </w:r>
      <w:proofErr w:type="spellStart"/>
      <w:r w:rsidRPr="00CF2BAC">
        <w:rPr>
          <w:rFonts w:ascii="Times New Roman" w:eastAsia="Times New Roman" w:hAnsi="Times New Roman" w:cs="Times New Roman"/>
          <w:sz w:val="24"/>
          <w:szCs w:val="24"/>
          <w:lang w:val="en-US"/>
        </w:rPr>
        <w:t>endothelialisation</w:t>
      </w:r>
      <w:proofErr w:type="spellEnd"/>
      <w:r w:rsidRPr="00CF2BAC">
        <w:rPr>
          <w:rFonts w:ascii="Times New Roman" w:eastAsia="Times New Roman" w:hAnsi="Times New Roman" w:cs="Times New Roman"/>
          <w:sz w:val="24"/>
          <w:szCs w:val="24"/>
          <w:lang w:val="en-US"/>
        </w:rPr>
        <w:t xml:space="preserve">, carried substantially higher late stent thrombosis rates than second-generation devices (Ibanez et al., 2018). Contemporary ultrathin-strut biodegradable-polymer DES — as used in MASTER DAPT — achieves near-complete </w:t>
      </w:r>
      <w:proofErr w:type="spellStart"/>
      <w:r w:rsidRPr="00CF2BAC">
        <w:rPr>
          <w:rFonts w:ascii="Times New Roman" w:eastAsia="Times New Roman" w:hAnsi="Times New Roman" w:cs="Times New Roman"/>
          <w:sz w:val="24"/>
          <w:szCs w:val="24"/>
          <w:lang w:val="en-US"/>
        </w:rPr>
        <w:t>endothelialisation</w:t>
      </w:r>
      <w:proofErr w:type="spellEnd"/>
      <w:r w:rsidRPr="00CF2BAC">
        <w:rPr>
          <w:rFonts w:ascii="Times New Roman" w:eastAsia="Times New Roman" w:hAnsi="Times New Roman" w:cs="Times New Roman"/>
          <w:sz w:val="24"/>
          <w:szCs w:val="24"/>
          <w:lang w:val="en-US"/>
        </w:rPr>
        <w:t xml:space="preserve"> within 30 days in most patients, providing a biological basis for the safety of earlier DAPT discontinuation with modern stent platforms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et al., 2021).</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In the trials reviewed, stent thrombosis rates with abbreviated DAPT followed by P2Y12 monotherapy were uniformly low — consistently below 1% in both treatment arms — and not significantly different between de-escalation and standard DAPT strategies (Baber et al., 2019;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et al., 2021). These low absolute rates are important context: whilst relative differences in stent thrombosis risk might be clinically meaningful in theory, the absolute risk reduction achievable with continued DAPT in this low-incidence outcome may be outweighed by the absolute excess bleeding risk in appropriately selected patients.</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10.2 Myocardial Infarction and Stroke</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Beyond stent thrombosis, the risk of spontaneous MI — arising from de novo plaque events remote from the stent — and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stroke contributes meaningfully to the composite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burden in ACS survivors. Extended DAPT was associated with reductions in spontaneous MI in the DAPT trial (Mauri et al., 2014), raising concern that abbreviated DAPT might sacrifice some protection against non-stent-related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events. However, in the major SAPT trials reviewed herein, spontaneous MI and stroke rates were not significantly higher with monotherapy compared with continued DAPT (Baber et al., 2019; </w:t>
      </w:r>
      <w:r w:rsidRPr="00CF2BAC">
        <w:rPr>
          <w:rFonts w:ascii="Times New Roman" w:eastAsia="Times New Roman" w:hAnsi="Times New Roman" w:cs="Times New Roman"/>
          <w:sz w:val="24"/>
          <w:szCs w:val="24"/>
          <w:lang w:val="en-US"/>
        </w:rPr>
        <w:lastRenderedPageBreak/>
        <w:t xml:space="preserve">Kim et al., 2020;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et al., 2021), and the individual patient data meta-analytic evidence likewise does not demonstrate a statistically significant increase in these outcomes with de-escalation strategies (</w:t>
      </w:r>
      <w:proofErr w:type="spellStart"/>
      <w:r w:rsidRPr="00CF2BAC">
        <w:rPr>
          <w:rFonts w:ascii="Times New Roman" w:eastAsia="Times New Roman" w:hAnsi="Times New Roman" w:cs="Times New Roman"/>
          <w:sz w:val="24"/>
          <w:szCs w:val="24"/>
          <w:lang w:val="en-US"/>
        </w:rPr>
        <w:t>Gragnano</w:t>
      </w:r>
      <w:proofErr w:type="spellEnd"/>
      <w:r w:rsidRPr="00CF2BAC">
        <w:rPr>
          <w:rFonts w:ascii="Times New Roman" w:eastAsia="Times New Roman" w:hAnsi="Times New Roman" w:cs="Times New Roman"/>
          <w:sz w:val="24"/>
          <w:szCs w:val="24"/>
          <w:lang w:val="en-US"/>
        </w:rPr>
        <w:t xml:space="preserve"> et al., 2022). This reassurance is qualified by the need for longer-term follow-up data, since the protective effect of potent P2Y12 inhibition against remote plaque-related events may become more apparent over horizons beyond 12 months.</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 xml:space="preserve">11. </w:t>
      </w:r>
      <w:proofErr w:type="spellStart"/>
      <w:r w:rsidRPr="00CF2BAC">
        <w:rPr>
          <w:rFonts w:ascii="Times New Roman" w:eastAsia="Times New Roman" w:hAnsi="Times New Roman" w:cs="Times New Roman"/>
          <w:b/>
          <w:bCs/>
          <w:sz w:val="27"/>
          <w:szCs w:val="27"/>
          <w:lang w:val="en-US"/>
        </w:rPr>
        <w:t>Haemorrhagic</w:t>
      </w:r>
      <w:proofErr w:type="spellEnd"/>
      <w:r w:rsidRPr="00CF2BAC">
        <w:rPr>
          <w:rFonts w:ascii="Times New Roman" w:eastAsia="Times New Roman" w:hAnsi="Times New Roman" w:cs="Times New Roman"/>
          <w:b/>
          <w:bCs/>
          <w:sz w:val="27"/>
          <w:szCs w:val="27"/>
          <w:lang w:val="en-US"/>
        </w:rPr>
        <w:t xml:space="preserve"> Outcomes: The Safety Advantage of SAPT</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11.1 Classification of Bleeding Events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A major challenge in comparing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outcomes across trials is the use of heterogeneous bleeding classification systems. The most widely adopted contemporary systems in PCI trials are the BARC (Bleeding Academic Research Consortium) and TIMI (Thrombolysis in Myocardial Infarction) criteria. BARC type 1 and 2 events encompass minor and nuisance bleeding — including bruising and epistaxis — that does not require </w:t>
      </w:r>
      <w:proofErr w:type="spellStart"/>
      <w:r w:rsidRPr="00CF2BAC">
        <w:rPr>
          <w:rFonts w:ascii="Times New Roman" w:eastAsia="Times New Roman" w:hAnsi="Times New Roman" w:cs="Times New Roman"/>
          <w:sz w:val="24"/>
          <w:szCs w:val="24"/>
          <w:lang w:val="en-US"/>
        </w:rPr>
        <w:t>hospitalisation</w:t>
      </w:r>
      <w:proofErr w:type="spellEnd"/>
      <w:r w:rsidRPr="00CF2BAC">
        <w:rPr>
          <w:rFonts w:ascii="Times New Roman" w:eastAsia="Times New Roman" w:hAnsi="Times New Roman" w:cs="Times New Roman"/>
          <w:sz w:val="24"/>
          <w:szCs w:val="24"/>
          <w:lang w:val="en-US"/>
        </w:rPr>
        <w:t xml:space="preserve"> or transfusion; BARC type 3 events include serious bleeds requiring surgical intervention or transfusion, and intracranial </w:t>
      </w:r>
      <w:proofErr w:type="spellStart"/>
      <w:r w:rsidRPr="00CF2BAC">
        <w:rPr>
          <w:rFonts w:ascii="Times New Roman" w:eastAsia="Times New Roman" w:hAnsi="Times New Roman" w:cs="Times New Roman"/>
          <w:sz w:val="24"/>
          <w:szCs w:val="24"/>
          <w:lang w:val="en-US"/>
        </w:rPr>
        <w:t>haemorrhage</w:t>
      </w:r>
      <w:proofErr w:type="spellEnd"/>
      <w:r w:rsidRPr="00CF2BAC">
        <w:rPr>
          <w:rFonts w:ascii="Times New Roman" w:eastAsia="Times New Roman" w:hAnsi="Times New Roman" w:cs="Times New Roman"/>
          <w:sz w:val="24"/>
          <w:szCs w:val="24"/>
          <w:lang w:val="en-US"/>
        </w:rPr>
        <w:t>; BARC type 5 events are fatal bleeds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et al., 2018). The TWILIGHT trial's use of BARC 2–5 as its primary bleeding endpoint — a broader, more patient-centric definition than TIMI major alone — captured clinically meaningful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events often missed by more restrictive criteria and provided a more complete picture of the real-world bleeding burden associated with continued DAPT (Baber et al., 2019).</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11.2 Absolute and Relative Reductions in Bleeding with SAPT</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Across the trials reviewed, the transition from DAPT to P2Y12 inhibitor monotherapy consistently and substantially reduced clinically significant bleeding. In TWILIGHT, the absolute reduction in BARC 2–5 bleeding was 3.1 percentage points over 12 months of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treatment — a figure that translates, at a population level, to the prevention of one clinically significant bleed for every 32 patients managed with ticagrelor monotherapy instead of continued DAPT (Baber et al., 2019). In MASTER DAPT, the absolute reduction in major or clinically relevant non-major bleeding was 2.9 percentage points in </w:t>
      </w:r>
      <w:proofErr w:type="spellStart"/>
      <w:r w:rsidRPr="00CF2BAC">
        <w:rPr>
          <w:rFonts w:ascii="Times New Roman" w:eastAsia="Times New Roman" w:hAnsi="Times New Roman" w:cs="Times New Roman"/>
          <w:sz w:val="24"/>
          <w:szCs w:val="24"/>
          <w:lang w:val="en-US"/>
        </w:rPr>
        <w:t>favour</w:t>
      </w:r>
      <w:proofErr w:type="spellEnd"/>
      <w:r w:rsidRPr="00CF2BAC">
        <w:rPr>
          <w:rFonts w:ascii="Times New Roman" w:eastAsia="Times New Roman" w:hAnsi="Times New Roman" w:cs="Times New Roman"/>
          <w:sz w:val="24"/>
          <w:szCs w:val="24"/>
          <w:lang w:val="en-US"/>
        </w:rPr>
        <w:t xml:space="preserve"> of abbreviated DAPT, with a number needed to treat of approximately 34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et al., 2021). The consistency of these bleeding reductions across trials of different design, populations, follow-up durations, and stent platforms strengthens confidence that aspirin withdrawal in the context of continued P2Y12 inhibitor therapy yields a genuine and clinically meaningful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benefit.</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 xml:space="preserve">11.3 Aspirin as the Source of </w:t>
      </w:r>
      <w:proofErr w:type="spellStart"/>
      <w:r w:rsidRPr="00CF2BAC">
        <w:rPr>
          <w:rFonts w:ascii="Times New Roman" w:eastAsia="Times New Roman" w:hAnsi="Times New Roman" w:cs="Times New Roman"/>
          <w:b/>
          <w:bCs/>
          <w:sz w:val="24"/>
          <w:szCs w:val="24"/>
          <w:lang w:val="en-US"/>
        </w:rPr>
        <w:t>Haemorrhagic</w:t>
      </w:r>
      <w:proofErr w:type="spellEnd"/>
      <w:r w:rsidRPr="00CF2BAC">
        <w:rPr>
          <w:rFonts w:ascii="Times New Roman" w:eastAsia="Times New Roman" w:hAnsi="Times New Roman" w:cs="Times New Roman"/>
          <w:b/>
          <w:bCs/>
          <w:sz w:val="24"/>
          <w:szCs w:val="24"/>
          <w:lang w:val="en-US"/>
        </w:rPr>
        <w:t xml:space="preserve"> Excess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bleeding benefit of transitioning from DAPT to P2Y12 inhibitor monotherapy is biologically plausible and mechanistically attributable primarily to the withdrawal of aspirin. COX-1 inhibition by aspirin suppresses prostacyclin synthesis in gastric mucosal cells, impairing the mucosal protective prostaglandin axis and increasing the risk of gastrointestinal </w:t>
      </w:r>
      <w:proofErr w:type="spellStart"/>
      <w:r w:rsidRPr="00CF2BAC">
        <w:rPr>
          <w:rFonts w:ascii="Times New Roman" w:eastAsia="Times New Roman" w:hAnsi="Times New Roman" w:cs="Times New Roman"/>
          <w:sz w:val="24"/>
          <w:szCs w:val="24"/>
          <w:lang w:val="en-US"/>
        </w:rPr>
        <w:t>haemorrhage</w:t>
      </w:r>
      <w:proofErr w:type="spellEnd"/>
      <w:r w:rsidRPr="00CF2BAC">
        <w:rPr>
          <w:rFonts w:ascii="Times New Roman" w:eastAsia="Times New Roman" w:hAnsi="Times New Roman" w:cs="Times New Roman"/>
          <w:sz w:val="24"/>
          <w:szCs w:val="24"/>
          <w:lang w:val="en-US"/>
        </w:rPr>
        <w:t xml:space="preserve"> — the most common site of bleeding in DAPT-treated patients. Gastrointestinal bleeding events, whilst sometimes </w:t>
      </w:r>
      <w:proofErr w:type="spellStart"/>
      <w:r w:rsidRPr="00CF2BAC">
        <w:rPr>
          <w:rFonts w:ascii="Times New Roman" w:eastAsia="Times New Roman" w:hAnsi="Times New Roman" w:cs="Times New Roman"/>
          <w:sz w:val="24"/>
          <w:szCs w:val="24"/>
          <w:lang w:val="en-US"/>
        </w:rPr>
        <w:t>categorised</w:t>
      </w:r>
      <w:proofErr w:type="spellEnd"/>
      <w:r w:rsidRPr="00CF2BAC">
        <w:rPr>
          <w:rFonts w:ascii="Times New Roman" w:eastAsia="Times New Roman" w:hAnsi="Times New Roman" w:cs="Times New Roman"/>
          <w:sz w:val="24"/>
          <w:szCs w:val="24"/>
          <w:lang w:val="en-US"/>
        </w:rPr>
        <w:t xml:space="preserve"> as minor, are associated with significant morbidity, </w:t>
      </w:r>
      <w:proofErr w:type="spellStart"/>
      <w:r w:rsidRPr="00CF2BAC">
        <w:rPr>
          <w:rFonts w:ascii="Times New Roman" w:eastAsia="Times New Roman" w:hAnsi="Times New Roman" w:cs="Times New Roman"/>
          <w:sz w:val="24"/>
          <w:szCs w:val="24"/>
          <w:lang w:val="en-US"/>
        </w:rPr>
        <w:t>hospitalisation</w:t>
      </w:r>
      <w:proofErr w:type="spellEnd"/>
      <w:r w:rsidRPr="00CF2BAC">
        <w:rPr>
          <w:rFonts w:ascii="Times New Roman" w:eastAsia="Times New Roman" w:hAnsi="Times New Roman" w:cs="Times New Roman"/>
          <w:sz w:val="24"/>
          <w:szCs w:val="24"/>
          <w:lang w:val="en-US"/>
        </w:rPr>
        <w:t xml:space="preserve">, and, in the context of ACS, with interruption of antiplatelet </w:t>
      </w:r>
      <w:r w:rsidRPr="00CF2BAC">
        <w:rPr>
          <w:rFonts w:ascii="Times New Roman" w:eastAsia="Times New Roman" w:hAnsi="Times New Roman" w:cs="Times New Roman"/>
          <w:sz w:val="24"/>
          <w:szCs w:val="24"/>
          <w:lang w:val="en-US"/>
        </w:rPr>
        <w:lastRenderedPageBreak/>
        <w:t xml:space="preserve">therapy, which may itself precipitate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events (Levine et al., 2016). The finding from HOST-EXAM that clopidogrel monotherapy outperforms aspirin monotherapy in net clinical outcomes at the SAPT phase further supports the interpretation that aspirin's contribution to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risk — particularly gastrointestinal — exceeds its incremental antithrombotic benefit when a potent P2Y12 inhibitor is already in use (Koo et al., 2021).</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12. Emerging Strategies and Future Directions</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12.1 Aspirin-Free Initiation of Therapy</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A conceptually distinct strategy from DAPT de-escalation is the avoidance of aspirin even in the acute phase of ACS-PCI — a "SAPT first" approach using a potent P2Y12 inhibitor from the outset. The GLOBAL LEADERS trial evaluated an experimental strategy of one month of aspirin plus ticagrelor followed by 23 months of ticagrelor monotherapy versus a conventional control, but did not demonstrate superiority of the experimental regimen for the primary composite of all-cause death or non-fatal MI (</w:t>
      </w:r>
      <w:proofErr w:type="spellStart"/>
      <w:r w:rsidRPr="00CF2BAC">
        <w:rPr>
          <w:rFonts w:ascii="Times New Roman" w:eastAsia="Times New Roman" w:hAnsi="Times New Roman" w:cs="Times New Roman"/>
          <w:sz w:val="24"/>
          <w:szCs w:val="24"/>
          <w:lang w:val="en-US"/>
        </w:rPr>
        <w:t>Vranckx</w:t>
      </w:r>
      <w:proofErr w:type="spellEnd"/>
      <w:r w:rsidRPr="00CF2BAC">
        <w:rPr>
          <w:rFonts w:ascii="Times New Roman" w:eastAsia="Times New Roman" w:hAnsi="Times New Roman" w:cs="Times New Roman"/>
          <w:sz w:val="24"/>
          <w:szCs w:val="24"/>
          <w:lang w:val="en-US"/>
        </w:rPr>
        <w:t xml:space="preserve"> et al., 2018). Methodological limitations — including a complex design, suboptimal ticagrelor adherence, and an unusually long follow-up — have tempered interpretation of this null finding, and several dedicated trials of aspirin-free initiation in ACS are ongoing. The TWILIGHT-ACS </w:t>
      </w:r>
      <w:proofErr w:type="spellStart"/>
      <w:r w:rsidRPr="00CF2BAC">
        <w:rPr>
          <w:rFonts w:ascii="Times New Roman" w:eastAsia="Times New Roman" w:hAnsi="Times New Roman" w:cs="Times New Roman"/>
          <w:sz w:val="24"/>
          <w:szCs w:val="24"/>
          <w:lang w:val="en-US"/>
        </w:rPr>
        <w:t>substudy</w:t>
      </w:r>
      <w:proofErr w:type="spellEnd"/>
      <w:r w:rsidRPr="00CF2BAC">
        <w:rPr>
          <w:rFonts w:ascii="Times New Roman" w:eastAsia="Times New Roman" w:hAnsi="Times New Roman" w:cs="Times New Roman"/>
          <w:sz w:val="24"/>
          <w:szCs w:val="24"/>
          <w:lang w:val="en-US"/>
        </w:rPr>
        <w:t xml:space="preserve"> provided more encouraging evidence for aspirin withdrawal as early as three months post-PCI in ACS patients (Mehta et al., 2020), whilst ongoing trials are expected to clarify the safety of even shorter DAPT windows before ticagrelor monotherapy.</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12.2 Biomarker-Guided Strategies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The integration of biomarkers — including high-sensitivity C-reactive protein, high-sensitivity troponin, and natriuretic peptides — as guides to antiplatelet de-escalation duration is an emerging area of investigation. Residual inflammatory activity, as reflected by high-sensitivity C-reactive protein, has been proposed as a potential marker of prolonged thrombotic risk that might justify extended DAPT in patients otherwise considered candidates for de-escalation (Capodanno et al., 2020). Similarly, genetic testing for CYP2C19 polymorphisms — as evaluated in the POPULAR Genetics trial — may support precision-medicine approaches to P2Y12 inhibitor selection and duration in the de-escalation phase (</w:t>
      </w:r>
      <w:proofErr w:type="spellStart"/>
      <w:r w:rsidRPr="00CF2BAC">
        <w:rPr>
          <w:rFonts w:ascii="Times New Roman" w:eastAsia="Times New Roman" w:hAnsi="Times New Roman" w:cs="Times New Roman"/>
          <w:sz w:val="24"/>
          <w:szCs w:val="24"/>
          <w:lang w:val="en-US"/>
        </w:rPr>
        <w:t>Claassens</w:t>
      </w:r>
      <w:proofErr w:type="spellEnd"/>
      <w:r w:rsidRPr="00CF2BAC">
        <w:rPr>
          <w:rFonts w:ascii="Times New Roman" w:eastAsia="Times New Roman" w:hAnsi="Times New Roman" w:cs="Times New Roman"/>
          <w:sz w:val="24"/>
          <w:szCs w:val="24"/>
          <w:lang w:val="en-US"/>
        </w:rPr>
        <w:t xml:space="preserve"> et al., 2019). These biomarker and genotyping strategies remain investigational in the context of SAPT timing decisions, and their clinical validation in prospective trials is an important priority.</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t>12.3 Impact of Stent Technology</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rapid evolution of coronary stent technology continues to influence the optimal antiplatelet duration. Ultrathin-strut stents — including the </w:t>
      </w:r>
      <w:proofErr w:type="spellStart"/>
      <w:r w:rsidRPr="00CF2BAC">
        <w:rPr>
          <w:rFonts w:ascii="Times New Roman" w:eastAsia="Times New Roman" w:hAnsi="Times New Roman" w:cs="Times New Roman"/>
          <w:sz w:val="24"/>
          <w:szCs w:val="24"/>
          <w:lang w:val="en-US"/>
        </w:rPr>
        <w:t>Orsiro</w:t>
      </w:r>
      <w:proofErr w:type="spellEnd"/>
      <w:r w:rsidRPr="00CF2BAC">
        <w:rPr>
          <w:rFonts w:ascii="Times New Roman" w:eastAsia="Times New Roman" w:hAnsi="Times New Roman" w:cs="Times New Roman"/>
          <w:sz w:val="24"/>
          <w:szCs w:val="24"/>
          <w:lang w:val="en-US"/>
        </w:rPr>
        <w:t xml:space="preserve">, SYNERGY, and </w:t>
      </w:r>
      <w:proofErr w:type="spellStart"/>
      <w:r w:rsidRPr="00CF2BAC">
        <w:rPr>
          <w:rFonts w:ascii="Times New Roman" w:eastAsia="Times New Roman" w:hAnsi="Times New Roman" w:cs="Times New Roman"/>
          <w:sz w:val="24"/>
          <w:szCs w:val="24"/>
          <w:lang w:val="en-US"/>
        </w:rPr>
        <w:t>Firehawk</w:t>
      </w:r>
      <w:proofErr w:type="spellEnd"/>
      <w:r w:rsidRPr="00CF2BAC">
        <w:rPr>
          <w:rFonts w:ascii="Times New Roman" w:eastAsia="Times New Roman" w:hAnsi="Times New Roman" w:cs="Times New Roman"/>
          <w:sz w:val="24"/>
          <w:szCs w:val="24"/>
          <w:lang w:val="en-US"/>
        </w:rPr>
        <w:t xml:space="preserve"> platforms — have demonstrated faster </w:t>
      </w:r>
      <w:proofErr w:type="spellStart"/>
      <w:r w:rsidRPr="00CF2BAC">
        <w:rPr>
          <w:rFonts w:ascii="Times New Roman" w:eastAsia="Times New Roman" w:hAnsi="Times New Roman" w:cs="Times New Roman"/>
          <w:sz w:val="24"/>
          <w:szCs w:val="24"/>
          <w:lang w:val="en-US"/>
        </w:rPr>
        <w:t>endothelialisation</w:t>
      </w:r>
      <w:proofErr w:type="spellEnd"/>
      <w:r w:rsidRPr="00CF2BAC">
        <w:rPr>
          <w:rFonts w:ascii="Times New Roman" w:eastAsia="Times New Roman" w:hAnsi="Times New Roman" w:cs="Times New Roman"/>
          <w:sz w:val="24"/>
          <w:szCs w:val="24"/>
          <w:lang w:val="en-US"/>
        </w:rPr>
        <w:t xml:space="preserve"> and lower stent thrombosis rates than earlier-generation DES, potentially enabling safe DAPT shortening to as little as one month even in ACS patients (Watanabe et al., 2019;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et al., 2021). The anticipated wider adoption of resorbable scaffold technology, though not yet established as superior to second-generation DES, may further modify antiplatelet requirements in future patient cohorts. Future antiplatelet trials must explicitly incorporate stent generation as a stratification variable to allow device-specific guidance to emerge from trial evidence.</w:t>
      </w:r>
    </w:p>
    <w:p w:rsidR="00CF2BAC" w:rsidRPr="00CF2BAC" w:rsidRDefault="00CF2BAC" w:rsidP="005C77ED">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CF2BAC">
        <w:rPr>
          <w:rFonts w:ascii="Times New Roman" w:eastAsia="Times New Roman" w:hAnsi="Times New Roman" w:cs="Times New Roman"/>
          <w:b/>
          <w:bCs/>
          <w:sz w:val="24"/>
          <w:szCs w:val="24"/>
          <w:lang w:val="en-US"/>
        </w:rPr>
        <w:lastRenderedPageBreak/>
        <w:t>12.4 Patient-Reported Outcomes and Quality of Life</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Whilst clinical trials in this domain have predominantly reported hard clinical endpoints — death, MI, stroke, stent thrombosis, and major bleeding — there is growing recognition of the importance of patient-</w:t>
      </w:r>
      <w:proofErr w:type="spellStart"/>
      <w:r w:rsidRPr="00CF2BAC">
        <w:rPr>
          <w:rFonts w:ascii="Times New Roman" w:eastAsia="Times New Roman" w:hAnsi="Times New Roman" w:cs="Times New Roman"/>
          <w:sz w:val="24"/>
          <w:szCs w:val="24"/>
          <w:lang w:val="en-US"/>
        </w:rPr>
        <w:t>centred</w:t>
      </w:r>
      <w:proofErr w:type="spellEnd"/>
      <w:r w:rsidRPr="00CF2BAC">
        <w:rPr>
          <w:rFonts w:ascii="Times New Roman" w:eastAsia="Times New Roman" w:hAnsi="Times New Roman" w:cs="Times New Roman"/>
          <w:sz w:val="24"/>
          <w:szCs w:val="24"/>
          <w:lang w:val="en-US"/>
        </w:rPr>
        <w:t xml:space="preserve"> outcomes. Prolonged DAPT is associated with impaired quality of life attributable to nuisance bleeding, adherence challenges, restrictions on procedural interventions (including non-cardiac surgery and dental work), and anxiety about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events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et al., 2018). These patient-reported burdens may motivate non-adherence to antiplatelet regimens, which itself carries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risk. Future trials evaluating SAPT versus DAPT duration should systematically incorporate validated health-related quality-of-life instruments to better </w:t>
      </w:r>
      <w:proofErr w:type="spellStart"/>
      <w:r w:rsidRPr="00CF2BAC">
        <w:rPr>
          <w:rFonts w:ascii="Times New Roman" w:eastAsia="Times New Roman" w:hAnsi="Times New Roman" w:cs="Times New Roman"/>
          <w:sz w:val="24"/>
          <w:szCs w:val="24"/>
          <w:lang w:val="en-US"/>
        </w:rPr>
        <w:t>characterise</w:t>
      </w:r>
      <w:proofErr w:type="spellEnd"/>
      <w:r w:rsidRPr="00CF2BAC">
        <w:rPr>
          <w:rFonts w:ascii="Times New Roman" w:eastAsia="Times New Roman" w:hAnsi="Times New Roman" w:cs="Times New Roman"/>
          <w:sz w:val="24"/>
          <w:szCs w:val="24"/>
          <w:lang w:val="en-US"/>
        </w:rPr>
        <w:t xml:space="preserve"> the full patient experience of each strategy.</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13. Synthesis and Clinical Implications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aggregate evidence reviewed herein supports a nuanced and </w:t>
      </w:r>
      <w:proofErr w:type="spellStart"/>
      <w:r w:rsidRPr="00CF2BAC">
        <w:rPr>
          <w:rFonts w:ascii="Times New Roman" w:eastAsia="Times New Roman" w:hAnsi="Times New Roman" w:cs="Times New Roman"/>
          <w:sz w:val="24"/>
          <w:szCs w:val="24"/>
          <w:lang w:val="en-US"/>
        </w:rPr>
        <w:t>individualised</w:t>
      </w:r>
      <w:proofErr w:type="spellEnd"/>
      <w:r w:rsidRPr="00CF2BAC">
        <w:rPr>
          <w:rFonts w:ascii="Times New Roman" w:eastAsia="Times New Roman" w:hAnsi="Times New Roman" w:cs="Times New Roman"/>
          <w:sz w:val="24"/>
          <w:szCs w:val="24"/>
          <w:lang w:val="en-US"/>
        </w:rPr>
        <w:t xml:space="preserve"> approach to antiplatelet therapy following ACS-PCI, one that acknowledges the dynamic and patient-specific nature of the </w:t>
      </w:r>
      <w:proofErr w:type="spellStart"/>
      <w:r w:rsidRPr="00CF2BAC">
        <w:rPr>
          <w:rFonts w:ascii="Times New Roman" w:eastAsia="Times New Roman" w:hAnsi="Times New Roman" w:cs="Times New Roman"/>
          <w:sz w:val="24"/>
          <w:szCs w:val="24"/>
          <w:lang w:val="en-US"/>
        </w:rPr>
        <w:t>ischaemia</w:t>
      </w:r>
      <w:proofErr w:type="spellEnd"/>
      <w:r w:rsidRPr="00CF2BAC">
        <w:rPr>
          <w:rFonts w:ascii="Times New Roman" w:eastAsia="Times New Roman" w:hAnsi="Times New Roman" w:cs="Times New Roman"/>
          <w:sz w:val="24"/>
          <w:szCs w:val="24"/>
          <w:lang w:val="en-US"/>
        </w:rPr>
        <w:t xml:space="preserve">-bleeding balance over time. For most ACS patients undergoing PCI with contemporary second-generation DES, 12 months of DAPT — combining aspirin with ticagrelor or prasugrel — remains the guideline-endorsed standard, providing robust protection against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events during the period of highest risk (Byrne et al., 2023). However, this default strategy is not universally appropriate.</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For patients meeting ARC-HBR criteria, the evidence from MASTER DAPT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et al., 2021) provides a solid foundation for abbreviated DAPT — with transition to SAPT after one month — as the preferred approach, balancing the imperative to prevent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complications with the clinically significant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harm attributable to continued aspirin. For patients at high, but not extreme, bleeding risk — particularly those with complex lesion anatomy or prior MI — a three-month DAPT window followed by P2Y12 inhibitor monotherapy, as evaluated in TWILIGHT and TICO, offers a clinically rational middle ground (Baber et al., 2019; Kim et al., 2020). The consistent superiority of P2Y12 inhibitor monotherapy over aspirin monotherapy as the SAPT agent of choice — both in ticagrelor-based strategies (TWILIGHT) and in the context of the completed DAPT phase (HOST-EXAM) — challenges the historical view of aspirin as the indispensable cornerstone of long-term antiplatelet therapy post-PCI (Koo et al., 2021).</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Clinicians should </w:t>
      </w:r>
      <w:proofErr w:type="spellStart"/>
      <w:r w:rsidRPr="00CF2BAC">
        <w:rPr>
          <w:rFonts w:ascii="Times New Roman" w:eastAsia="Times New Roman" w:hAnsi="Times New Roman" w:cs="Times New Roman"/>
          <w:sz w:val="24"/>
          <w:szCs w:val="24"/>
          <w:lang w:val="en-US"/>
        </w:rPr>
        <w:t>utilise</w:t>
      </w:r>
      <w:proofErr w:type="spellEnd"/>
      <w:r w:rsidRPr="00CF2BAC">
        <w:rPr>
          <w:rFonts w:ascii="Times New Roman" w:eastAsia="Times New Roman" w:hAnsi="Times New Roman" w:cs="Times New Roman"/>
          <w:sz w:val="24"/>
          <w:szCs w:val="24"/>
          <w:lang w:val="en-US"/>
        </w:rPr>
        <w:t xml:space="preserve"> validated risk stratification tools — specifically ARC-HBR criteria, PRECISE-DAPT, and where applicable CYP2C19 genotyping — to guide </w:t>
      </w:r>
      <w:proofErr w:type="spellStart"/>
      <w:r w:rsidRPr="00CF2BAC">
        <w:rPr>
          <w:rFonts w:ascii="Times New Roman" w:eastAsia="Times New Roman" w:hAnsi="Times New Roman" w:cs="Times New Roman"/>
          <w:sz w:val="24"/>
          <w:szCs w:val="24"/>
          <w:lang w:val="en-US"/>
        </w:rPr>
        <w:t>individualised</w:t>
      </w:r>
      <w:proofErr w:type="spellEnd"/>
      <w:r w:rsidRPr="00CF2BAC">
        <w:rPr>
          <w:rFonts w:ascii="Times New Roman" w:eastAsia="Times New Roman" w:hAnsi="Times New Roman" w:cs="Times New Roman"/>
          <w:sz w:val="24"/>
          <w:szCs w:val="24"/>
          <w:lang w:val="en-US"/>
        </w:rPr>
        <w:t xml:space="preserve"> de-escalation decisions rather than applying a uniform strategy. The choice between clopidogrel and ticagrelor as the SAPT agent requires careful consideration of patient risk profile, adherence history, renal function, and tolerability. Future evidence from ongoing trials will further clarify the minimum safe DAPT duration in ACS, the role of aspirin-free initiation strategies, and the optimal SAPT agent for diverse patient subgroups.</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14. Conclusions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lastRenderedPageBreak/>
        <w:t xml:space="preserve">The management of antiplatelet therapy in patients with acute coronary syndrome following percutaneous coronary intervention has undergone a fundamental evolution, shifting from a uniform 12-month DAPT paradigm towards </w:t>
      </w:r>
      <w:proofErr w:type="spellStart"/>
      <w:r w:rsidRPr="00CF2BAC">
        <w:rPr>
          <w:rFonts w:ascii="Times New Roman" w:eastAsia="Times New Roman" w:hAnsi="Times New Roman" w:cs="Times New Roman"/>
          <w:sz w:val="24"/>
          <w:szCs w:val="24"/>
          <w:lang w:val="en-US"/>
        </w:rPr>
        <w:t>individualised</w:t>
      </w:r>
      <w:proofErr w:type="spellEnd"/>
      <w:r w:rsidRPr="00CF2BAC">
        <w:rPr>
          <w:rFonts w:ascii="Times New Roman" w:eastAsia="Times New Roman" w:hAnsi="Times New Roman" w:cs="Times New Roman"/>
          <w:sz w:val="24"/>
          <w:szCs w:val="24"/>
          <w:lang w:val="en-US"/>
        </w:rPr>
        <w:t xml:space="preserve">, risk-stratified approaches that incorporate earlier transition to single antiplatelet therapy in selected patients. The evidence </w:t>
      </w:r>
      <w:proofErr w:type="spellStart"/>
      <w:r w:rsidRPr="00CF2BAC">
        <w:rPr>
          <w:rFonts w:ascii="Times New Roman" w:eastAsia="Times New Roman" w:hAnsi="Times New Roman" w:cs="Times New Roman"/>
          <w:sz w:val="24"/>
          <w:szCs w:val="24"/>
          <w:lang w:val="en-US"/>
        </w:rPr>
        <w:t>synthesised</w:t>
      </w:r>
      <w:proofErr w:type="spellEnd"/>
      <w:r w:rsidRPr="00CF2BAC">
        <w:rPr>
          <w:rFonts w:ascii="Times New Roman" w:eastAsia="Times New Roman" w:hAnsi="Times New Roman" w:cs="Times New Roman"/>
          <w:sz w:val="24"/>
          <w:szCs w:val="24"/>
          <w:lang w:val="en-US"/>
        </w:rPr>
        <w:t xml:space="preserve"> in this review supports three overarching conclusions.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First, the transition from DAPT to P2Y12 inhibitor monotherapy after one to three months in appropriately selected ACS patients post-PCI is associated with a clinically meaningful and consistent reduction in </w:t>
      </w:r>
      <w:proofErr w:type="spellStart"/>
      <w:r w:rsidRPr="00CF2BAC">
        <w:rPr>
          <w:rFonts w:ascii="Times New Roman" w:eastAsia="Times New Roman" w:hAnsi="Times New Roman" w:cs="Times New Roman"/>
          <w:sz w:val="24"/>
          <w:szCs w:val="24"/>
          <w:lang w:val="en-US"/>
        </w:rPr>
        <w:t>haemorrhagic</w:t>
      </w:r>
      <w:proofErr w:type="spellEnd"/>
      <w:r w:rsidRPr="00CF2BAC">
        <w:rPr>
          <w:rFonts w:ascii="Times New Roman" w:eastAsia="Times New Roman" w:hAnsi="Times New Roman" w:cs="Times New Roman"/>
          <w:sz w:val="24"/>
          <w:szCs w:val="24"/>
          <w:lang w:val="en-US"/>
        </w:rPr>
        <w:t xml:space="preserve"> events, without a statistically significant increase in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outcomes including myocardial infarction, stent thrombosis, or stroke. This finding, robust across multiple independent RCTs and confirmed in individual patient data meta-analytic syntheses, represents one of the more substantive advances in post-PCI pharmacotherapy over the past decade.</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Second, aspirin withdrawal — rather than P2Y12 inhibitor withdrawal — is the appropriate de-escalation step when transitioning from DAPT to SAPT in ACS patients who have completed a sufficient period of dual therapy. Continued P2Y12 inhibitor monotherapy, particularly with ticagrelor, appears to provide superior net clinical outcomes compared with aspirin monotherapy as the single agent, challenging longstanding assumptions about the primacy of aspirin in long-term antiplatelet management.</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Third, patient selection for de-escalation must be guided by validated risk stratification tools — particularly ARC-HBR criteria and the PRECISE-DAPT score — and should account for individual clinical characteristics including age, renal function, concomitant anticoagulation, comorbidities, and stent type. A "one size fits all" approach to DAPT duration in ACS patients is no longer defensible in light of the available evidence; rather, clinical decision-making should be anchored in a systematic assessment of the dynamic and patient-specific </w:t>
      </w:r>
      <w:proofErr w:type="spellStart"/>
      <w:r w:rsidRPr="00CF2BAC">
        <w:rPr>
          <w:rFonts w:ascii="Times New Roman" w:eastAsia="Times New Roman" w:hAnsi="Times New Roman" w:cs="Times New Roman"/>
          <w:sz w:val="24"/>
          <w:szCs w:val="24"/>
          <w:lang w:val="en-US"/>
        </w:rPr>
        <w:t>ischaemia</w:t>
      </w:r>
      <w:proofErr w:type="spellEnd"/>
      <w:r w:rsidRPr="00CF2BAC">
        <w:rPr>
          <w:rFonts w:ascii="Times New Roman" w:eastAsia="Times New Roman" w:hAnsi="Times New Roman" w:cs="Times New Roman"/>
          <w:sz w:val="24"/>
          <w:szCs w:val="24"/>
          <w:lang w:val="en-US"/>
        </w:rPr>
        <w:t>-bleeding balance.</w:t>
      </w:r>
    </w:p>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15. Limitations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This review is subject to several inherent limitations that should inform its interpretation. As a narrative review, it does not employ a systematic meta-analytic methodology, and the synthesis of evidence across heterogeneous trials introduces the possibility of selective emphasis, though efforts were made to apply consistent inclusion criteria and to represent the evidence base comprehensively. The trials reviewed were conducted across diverse geographic and ethnic populations — including large East Asian cohorts in SMART-CHOICE, STOPDAPT-2, HOST-EXAM, and TICO — and findings may not be fully </w:t>
      </w:r>
      <w:proofErr w:type="spellStart"/>
      <w:r w:rsidRPr="00CF2BAC">
        <w:rPr>
          <w:rFonts w:ascii="Times New Roman" w:eastAsia="Times New Roman" w:hAnsi="Times New Roman" w:cs="Times New Roman"/>
          <w:sz w:val="24"/>
          <w:szCs w:val="24"/>
          <w:lang w:val="en-US"/>
        </w:rPr>
        <w:t>generalisable</w:t>
      </w:r>
      <w:proofErr w:type="spellEnd"/>
      <w:r w:rsidRPr="00CF2BAC">
        <w:rPr>
          <w:rFonts w:ascii="Times New Roman" w:eastAsia="Times New Roman" w:hAnsi="Times New Roman" w:cs="Times New Roman"/>
          <w:sz w:val="24"/>
          <w:szCs w:val="24"/>
          <w:lang w:val="en-US"/>
        </w:rPr>
        <w:t xml:space="preserve"> across all populations, given documented differences in platelet reactivity, genetic polymorphism frequencies (particularly CYP2C19 loss-of-function alleles), and baseline cardiovascular risk between East Asian and Western patients.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The antiplatelet landscape is rapidly evolving, and some trial findings reviewed herein may be superseded by data from ongoing trials that were not available at the time of literature search. The heterogeneity of outcome definitions, bleeding classification systems, and DAPT duration protocols across trials also complicates direct comparison, despite the use of </w:t>
      </w:r>
      <w:proofErr w:type="spellStart"/>
      <w:r w:rsidRPr="00CF2BAC">
        <w:rPr>
          <w:rFonts w:ascii="Times New Roman" w:eastAsia="Times New Roman" w:hAnsi="Times New Roman" w:cs="Times New Roman"/>
          <w:sz w:val="24"/>
          <w:szCs w:val="24"/>
          <w:lang w:val="en-US"/>
        </w:rPr>
        <w:t>standardised</w:t>
      </w:r>
      <w:proofErr w:type="spellEnd"/>
      <w:r w:rsidRPr="00CF2BAC">
        <w:rPr>
          <w:rFonts w:ascii="Times New Roman" w:eastAsia="Times New Roman" w:hAnsi="Times New Roman" w:cs="Times New Roman"/>
          <w:sz w:val="24"/>
          <w:szCs w:val="24"/>
          <w:lang w:val="en-US"/>
        </w:rPr>
        <w:t xml:space="preserve"> criteria such as BARC in more recent studies. Many trials enrolled patients with both stable coronary artery disease and ACS, and the ACS subgroup analyses — whilst </w:t>
      </w:r>
      <w:r w:rsidRPr="00CF2BAC">
        <w:rPr>
          <w:rFonts w:ascii="Times New Roman" w:eastAsia="Times New Roman" w:hAnsi="Times New Roman" w:cs="Times New Roman"/>
          <w:sz w:val="24"/>
          <w:szCs w:val="24"/>
          <w:lang w:val="en-US"/>
        </w:rPr>
        <w:lastRenderedPageBreak/>
        <w:t xml:space="preserve">generally consistent with the overall findings — are limited by smaller sample sizes and the risk of type II error in detecting differential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risks. Finally, evidence on the very long-term outcomes of de-escalation beyond 24 months remains sparse, and the sustained benefits or late </w:t>
      </w:r>
      <w:proofErr w:type="spellStart"/>
      <w:r w:rsidRPr="00CF2BAC">
        <w:rPr>
          <w:rFonts w:ascii="Times New Roman" w:eastAsia="Times New Roman" w:hAnsi="Times New Roman" w:cs="Times New Roman"/>
          <w:sz w:val="24"/>
          <w:szCs w:val="24"/>
          <w:lang w:val="en-US"/>
        </w:rPr>
        <w:t>ischaemic</w:t>
      </w:r>
      <w:proofErr w:type="spellEnd"/>
      <w:r w:rsidRPr="00CF2BAC">
        <w:rPr>
          <w:rFonts w:ascii="Times New Roman" w:eastAsia="Times New Roman" w:hAnsi="Times New Roman" w:cs="Times New Roman"/>
          <w:sz w:val="24"/>
          <w:szCs w:val="24"/>
          <w:lang w:val="en-US"/>
        </w:rPr>
        <w:t xml:space="preserve"> costs of SAPT strategies over three to five years require further investigation.</w:t>
      </w:r>
    </w:p>
    <w:p w:rsidR="008A6AF4" w:rsidRPr="008A6AF4" w:rsidRDefault="008A6AF4" w:rsidP="005C77ED">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1" w:name="_Hlk218867759"/>
      <w:r w:rsidRPr="008A6AF4">
        <w:rPr>
          <w:rFonts w:ascii="Times New Roman" w:eastAsia="Times New Roman" w:hAnsi="Times New Roman" w:cs="Times New Roman"/>
          <w:bCs/>
          <w:sz w:val="24"/>
          <w:szCs w:val="24"/>
          <w:highlight w:val="yellow"/>
          <w:lang w:eastAsia="en-IN"/>
        </w:rPr>
        <w:t>Disclaimer (Artificial intelligence)</w:t>
      </w:r>
    </w:p>
    <w:p w:rsidR="008A6AF4" w:rsidRPr="008A6AF4" w:rsidRDefault="008A6AF4" w:rsidP="005C77ED">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8A6AF4">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8A6AF4">
        <w:rPr>
          <w:rFonts w:ascii="Times New Roman" w:eastAsia="Times New Roman" w:hAnsi="Times New Roman" w:cs="Times New Roman"/>
          <w:bCs/>
          <w:sz w:val="24"/>
          <w:szCs w:val="24"/>
          <w:highlight w:val="yellow"/>
          <w:lang w:eastAsia="en-IN"/>
        </w:rPr>
        <w:t>ChatGPT</w:t>
      </w:r>
      <w:proofErr w:type="spellEnd"/>
      <w:r w:rsidRPr="008A6AF4">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8A6AF4">
        <w:rPr>
          <w:rFonts w:ascii="Times New Roman" w:eastAsia="Times New Roman" w:hAnsi="Times New Roman" w:cs="Times New Roman"/>
          <w:bCs/>
          <w:sz w:val="24"/>
          <w:szCs w:val="24"/>
          <w:lang w:eastAsia="en-IN"/>
        </w:rPr>
        <w:t xml:space="preserve"> </w:t>
      </w:r>
    </w:p>
    <w:bookmarkEnd w:id="1"/>
    <w:p w:rsidR="00CF2BAC" w:rsidRPr="00CF2BAC" w:rsidRDefault="00CF2BAC" w:rsidP="005C77ED">
      <w:pPr>
        <w:spacing w:after="0" w:line="240" w:lineRule="auto"/>
        <w:jc w:val="both"/>
        <w:rPr>
          <w:rFonts w:ascii="Times New Roman" w:eastAsia="Times New Roman" w:hAnsi="Times New Roman" w:cs="Times New Roman"/>
          <w:sz w:val="24"/>
          <w:szCs w:val="24"/>
          <w:lang w:val="en-US"/>
        </w:rPr>
      </w:pPr>
    </w:p>
    <w:p w:rsidR="00CF2BAC" w:rsidRPr="00CF2BAC" w:rsidRDefault="00CF2BAC" w:rsidP="005C77ED">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F2BAC">
        <w:rPr>
          <w:rFonts w:ascii="Times New Roman" w:eastAsia="Times New Roman" w:hAnsi="Times New Roman" w:cs="Times New Roman"/>
          <w:b/>
          <w:bCs/>
          <w:sz w:val="27"/>
          <w:szCs w:val="27"/>
          <w:lang w:val="en-US"/>
        </w:rPr>
        <w:t>References</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2BAC">
        <w:rPr>
          <w:rFonts w:ascii="Times New Roman" w:eastAsia="Times New Roman" w:hAnsi="Times New Roman" w:cs="Times New Roman"/>
          <w:sz w:val="24"/>
          <w:szCs w:val="24"/>
          <w:lang w:val="en-US"/>
        </w:rPr>
        <w:t>Baethge</w:t>
      </w:r>
      <w:proofErr w:type="spellEnd"/>
      <w:r w:rsidRPr="00CF2BAC">
        <w:rPr>
          <w:rFonts w:ascii="Times New Roman" w:eastAsia="Times New Roman" w:hAnsi="Times New Roman" w:cs="Times New Roman"/>
          <w:sz w:val="24"/>
          <w:szCs w:val="24"/>
          <w:lang w:val="en-US"/>
        </w:rPr>
        <w:t xml:space="preserve">, C., </w:t>
      </w:r>
      <w:proofErr w:type="spellStart"/>
      <w:r w:rsidRPr="00CF2BAC">
        <w:rPr>
          <w:rFonts w:ascii="Times New Roman" w:eastAsia="Times New Roman" w:hAnsi="Times New Roman" w:cs="Times New Roman"/>
          <w:sz w:val="24"/>
          <w:szCs w:val="24"/>
          <w:lang w:val="en-US"/>
        </w:rPr>
        <w:t>Goldbeck</w:t>
      </w:r>
      <w:proofErr w:type="spellEnd"/>
      <w:r w:rsidRPr="00CF2BAC">
        <w:rPr>
          <w:rFonts w:ascii="Times New Roman" w:eastAsia="Times New Roman" w:hAnsi="Times New Roman" w:cs="Times New Roman"/>
          <w:sz w:val="24"/>
          <w:szCs w:val="24"/>
          <w:lang w:val="en-US"/>
        </w:rPr>
        <w:t xml:space="preserve">-Wood, S., &amp; Mertens, S. (2019). SANRA — a scale for the quality assessment of narrative review articles. </w:t>
      </w:r>
      <w:r w:rsidRPr="00CF2BAC">
        <w:rPr>
          <w:rFonts w:ascii="Times New Roman" w:eastAsia="Times New Roman" w:hAnsi="Times New Roman" w:cs="Times New Roman"/>
          <w:i/>
          <w:iCs/>
          <w:sz w:val="24"/>
          <w:szCs w:val="24"/>
          <w:lang w:val="en-US"/>
        </w:rPr>
        <w:t>Research Integrity and Peer Review, 4</w:t>
      </w:r>
      <w:r w:rsidRPr="00CF2BAC">
        <w:rPr>
          <w:rFonts w:ascii="Times New Roman" w:eastAsia="Times New Roman" w:hAnsi="Times New Roman" w:cs="Times New Roman"/>
          <w:sz w:val="24"/>
          <w:szCs w:val="24"/>
          <w:lang w:val="en-US"/>
        </w:rPr>
        <w:t xml:space="preserve">(1), 5. </w:t>
      </w:r>
      <w:hyperlink r:id="rId7" w:history="1">
        <w:r w:rsidRPr="00CF2BAC">
          <w:rPr>
            <w:rFonts w:ascii="Times New Roman" w:eastAsia="Times New Roman" w:hAnsi="Times New Roman" w:cs="Times New Roman"/>
            <w:color w:val="0000FF"/>
            <w:sz w:val="24"/>
            <w:szCs w:val="24"/>
            <w:u w:val="single"/>
            <w:lang w:val="en-US"/>
          </w:rPr>
          <w:t>https://doi.org/10.1186/s41073-019-0064-8</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Baber, U., </w:t>
      </w:r>
      <w:proofErr w:type="spellStart"/>
      <w:r w:rsidRPr="00CF2BAC">
        <w:rPr>
          <w:rFonts w:ascii="Times New Roman" w:eastAsia="Times New Roman" w:hAnsi="Times New Roman" w:cs="Times New Roman"/>
          <w:sz w:val="24"/>
          <w:szCs w:val="24"/>
          <w:lang w:val="en-US"/>
        </w:rPr>
        <w:t>Dangas</w:t>
      </w:r>
      <w:proofErr w:type="spellEnd"/>
      <w:r w:rsidRPr="00CF2BAC">
        <w:rPr>
          <w:rFonts w:ascii="Times New Roman" w:eastAsia="Times New Roman" w:hAnsi="Times New Roman" w:cs="Times New Roman"/>
          <w:sz w:val="24"/>
          <w:szCs w:val="24"/>
          <w:lang w:val="en-US"/>
        </w:rPr>
        <w:t xml:space="preserve">, G., </w:t>
      </w:r>
      <w:proofErr w:type="spellStart"/>
      <w:r w:rsidRPr="00CF2BAC">
        <w:rPr>
          <w:rFonts w:ascii="Times New Roman" w:eastAsia="Times New Roman" w:hAnsi="Times New Roman" w:cs="Times New Roman"/>
          <w:sz w:val="24"/>
          <w:szCs w:val="24"/>
          <w:lang w:val="en-US"/>
        </w:rPr>
        <w:t>Angiolillo</w:t>
      </w:r>
      <w:proofErr w:type="spellEnd"/>
      <w:r w:rsidRPr="00CF2BAC">
        <w:rPr>
          <w:rFonts w:ascii="Times New Roman" w:eastAsia="Times New Roman" w:hAnsi="Times New Roman" w:cs="Times New Roman"/>
          <w:sz w:val="24"/>
          <w:szCs w:val="24"/>
          <w:lang w:val="en-US"/>
        </w:rPr>
        <w:t xml:space="preserve">, D. J., Cohen, D. J., Sharma, S. K., Nicolas, J., Baumbach, A., Bhatt, D. L., Farhan, S., Gibson, C. M., </w:t>
      </w:r>
      <w:proofErr w:type="spellStart"/>
      <w:r w:rsidRPr="00CF2BAC">
        <w:rPr>
          <w:rFonts w:ascii="Times New Roman" w:eastAsia="Times New Roman" w:hAnsi="Times New Roman" w:cs="Times New Roman"/>
          <w:sz w:val="24"/>
          <w:szCs w:val="24"/>
          <w:lang w:val="en-US"/>
        </w:rPr>
        <w:t>Weinlein</w:t>
      </w:r>
      <w:proofErr w:type="spellEnd"/>
      <w:r w:rsidRPr="00CF2BAC">
        <w:rPr>
          <w:rFonts w:ascii="Times New Roman" w:eastAsia="Times New Roman" w:hAnsi="Times New Roman" w:cs="Times New Roman"/>
          <w:sz w:val="24"/>
          <w:szCs w:val="24"/>
          <w:lang w:val="en-US"/>
        </w:rPr>
        <w:t xml:space="preserve">, S., Strauss, C., Sartori, S., </w:t>
      </w:r>
      <w:proofErr w:type="spellStart"/>
      <w:r w:rsidRPr="00CF2BAC">
        <w:rPr>
          <w:rFonts w:ascii="Times New Roman" w:eastAsia="Times New Roman" w:hAnsi="Times New Roman" w:cs="Times New Roman"/>
          <w:sz w:val="24"/>
          <w:szCs w:val="24"/>
          <w:lang w:val="en-US"/>
        </w:rPr>
        <w:t>Dhaduk</w:t>
      </w:r>
      <w:proofErr w:type="spellEnd"/>
      <w:r w:rsidRPr="00CF2BAC">
        <w:rPr>
          <w:rFonts w:ascii="Times New Roman" w:eastAsia="Times New Roman" w:hAnsi="Times New Roman" w:cs="Times New Roman"/>
          <w:sz w:val="24"/>
          <w:szCs w:val="24"/>
          <w:lang w:val="en-US"/>
        </w:rPr>
        <w:t xml:space="preserve">, K., </w:t>
      </w:r>
      <w:proofErr w:type="spellStart"/>
      <w:r w:rsidRPr="00CF2BAC">
        <w:rPr>
          <w:rFonts w:ascii="Times New Roman" w:eastAsia="Times New Roman" w:hAnsi="Times New Roman" w:cs="Times New Roman"/>
          <w:sz w:val="24"/>
          <w:szCs w:val="24"/>
          <w:lang w:val="en-US"/>
        </w:rPr>
        <w:t>Mehdipoor</w:t>
      </w:r>
      <w:proofErr w:type="spellEnd"/>
      <w:r w:rsidRPr="00CF2BAC">
        <w:rPr>
          <w:rFonts w:ascii="Times New Roman" w:eastAsia="Times New Roman" w:hAnsi="Times New Roman" w:cs="Times New Roman"/>
          <w:sz w:val="24"/>
          <w:szCs w:val="24"/>
          <w:lang w:val="en-US"/>
        </w:rPr>
        <w:t xml:space="preserve">, G., Sweeny, J., Krishnan, P., Barman, N., Kaul, U., … Mehran, R. (2019). Ticagrelor with or without aspirin in high-risk patients after PCI. </w:t>
      </w:r>
      <w:r w:rsidRPr="00CF2BAC">
        <w:rPr>
          <w:rFonts w:ascii="Times New Roman" w:eastAsia="Times New Roman" w:hAnsi="Times New Roman" w:cs="Times New Roman"/>
          <w:i/>
          <w:iCs/>
          <w:sz w:val="24"/>
          <w:szCs w:val="24"/>
          <w:lang w:val="en-US"/>
        </w:rPr>
        <w:t>New England Journal of Medicine, 381</w:t>
      </w:r>
      <w:r w:rsidRPr="00CF2BAC">
        <w:rPr>
          <w:rFonts w:ascii="Times New Roman" w:eastAsia="Times New Roman" w:hAnsi="Times New Roman" w:cs="Times New Roman"/>
          <w:sz w:val="24"/>
          <w:szCs w:val="24"/>
          <w:lang w:val="en-US"/>
        </w:rPr>
        <w:t xml:space="preserve">(21), 2032–2042. </w:t>
      </w:r>
      <w:hyperlink r:id="rId8" w:history="1">
        <w:r w:rsidRPr="00CF2BAC">
          <w:rPr>
            <w:rFonts w:ascii="Times New Roman" w:eastAsia="Times New Roman" w:hAnsi="Times New Roman" w:cs="Times New Roman"/>
            <w:color w:val="0000FF"/>
            <w:sz w:val="24"/>
            <w:szCs w:val="24"/>
            <w:u w:val="single"/>
            <w:lang w:val="en-US"/>
          </w:rPr>
          <w:t>https://doi.org/10.1056/NEJMoa1908419</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Byrne, R. A., Rossello, X., Coughlan, J. J., </w:t>
      </w:r>
      <w:proofErr w:type="spellStart"/>
      <w:r w:rsidRPr="00CF2BAC">
        <w:rPr>
          <w:rFonts w:ascii="Times New Roman" w:eastAsia="Times New Roman" w:hAnsi="Times New Roman" w:cs="Times New Roman"/>
          <w:sz w:val="24"/>
          <w:szCs w:val="24"/>
          <w:lang w:val="en-US"/>
        </w:rPr>
        <w:t>Barbato</w:t>
      </w:r>
      <w:proofErr w:type="spellEnd"/>
      <w:r w:rsidRPr="00CF2BAC">
        <w:rPr>
          <w:rFonts w:ascii="Times New Roman" w:eastAsia="Times New Roman" w:hAnsi="Times New Roman" w:cs="Times New Roman"/>
          <w:sz w:val="24"/>
          <w:szCs w:val="24"/>
          <w:lang w:val="en-US"/>
        </w:rPr>
        <w:t xml:space="preserve">, E., Berry, C., </w:t>
      </w:r>
      <w:proofErr w:type="spellStart"/>
      <w:r w:rsidRPr="00CF2BAC">
        <w:rPr>
          <w:rFonts w:ascii="Times New Roman" w:eastAsia="Times New Roman" w:hAnsi="Times New Roman" w:cs="Times New Roman"/>
          <w:sz w:val="24"/>
          <w:szCs w:val="24"/>
          <w:lang w:val="en-US"/>
        </w:rPr>
        <w:t>Chieffo</w:t>
      </w:r>
      <w:proofErr w:type="spellEnd"/>
      <w:r w:rsidRPr="00CF2BAC">
        <w:rPr>
          <w:rFonts w:ascii="Times New Roman" w:eastAsia="Times New Roman" w:hAnsi="Times New Roman" w:cs="Times New Roman"/>
          <w:sz w:val="24"/>
          <w:szCs w:val="24"/>
          <w:lang w:val="en-US"/>
        </w:rPr>
        <w:t xml:space="preserve">, A., </w:t>
      </w:r>
      <w:proofErr w:type="spellStart"/>
      <w:r w:rsidRPr="00CF2BAC">
        <w:rPr>
          <w:rFonts w:ascii="Times New Roman" w:eastAsia="Times New Roman" w:hAnsi="Times New Roman" w:cs="Times New Roman"/>
          <w:sz w:val="24"/>
          <w:szCs w:val="24"/>
          <w:lang w:val="en-US"/>
        </w:rPr>
        <w:t>Claeys</w:t>
      </w:r>
      <w:proofErr w:type="spellEnd"/>
      <w:r w:rsidRPr="00CF2BAC">
        <w:rPr>
          <w:rFonts w:ascii="Times New Roman" w:eastAsia="Times New Roman" w:hAnsi="Times New Roman" w:cs="Times New Roman"/>
          <w:sz w:val="24"/>
          <w:szCs w:val="24"/>
          <w:lang w:val="en-US"/>
        </w:rPr>
        <w:t xml:space="preserve">, M. J., Dan, G. A., Dweck, M. R., Galbraith, M., </w:t>
      </w:r>
      <w:proofErr w:type="spellStart"/>
      <w:r w:rsidRPr="00CF2BAC">
        <w:rPr>
          <w:rFonts w:ascii="Times New Roman" w:eastAsia="Times New Roman" w:hAnsi="Times New Roman" w:cs="Times New Roman"/>
          <w:sz w:val="24"/>
          <w:szCs w:val="24"/>
          <w:lang w:val="en-US"/>
        </w:rPr>
        <w:t>Gilard</w:t>
      </w:r>
      <w:proofErr w:type="spellEnd"/>
      <w:r w:rsidRPr="00CF2BAC">
        <w:rPr>
          <w:rFonts w:ascii="Times New Roman" w:eastAsia="Times New Roman" w:hAnsi="Times New Roman" w:cs="Times New Roman"/>
          <w:sz w:val="24"/>
          <w:szCs w:val="24"/>
          <w:lang w:val="en-US"/>
        </w:rPr>
        <w:t xml:space="preserve">, M., </w:t>
      </w:r>
      <w:proofErr w:type="spellStart"/>
      <w:r w:rsidRPr="00CF2BAC">
        <w:rPr>
          <w:rFonts w:ascii="Times New Roman" w:eastAsia="Times New Roman" w:hAnsi="Times New Roman" w:cs="Times New Roman"/>
          <w:sz w:val="24"/>
          <w:szCs w:val="24"/>
          <w:lang w:val="en-US"/>
        </w:rPr>
        <w:t>Hinterbuchner</w:t>
      </w:r>
      <w:proofErr w:type="spellEnd"/>
      <w:r w:rsidRPr="00CF2BAC">
        <w:rPr>
          <w:rFonts w:ascii="Times New Roman" w:eastAsia="Times New Roman" w:hAnsi="Times New Roman" w:cs="Times New Roman"/>
          <w:sz w:val="24"/>
          <w:szCs w:val="24"/>
          <w:lang w:val="en-US"/>
        </w:rPr>
        <w:t xml:space="preserve">, L., </w:t>
      </w:r>
      <w:proofErr w:type="spellStart"/>
      <w:r w:rsidRPr="00CF2BAC">
        <w:rPr>
          <w:rFonts w:ascii="Times New Roman" w:eastAsia="Times New Roman" w:hAnsi="Times New Roman" w:cs="Times New Roman"/>
          <w:sz w:val="24"/>
          <w:szCs w:val="24"/>
          <w:lang w:val="en-US"/>
        </w:rPr>
        <w:t>Jankowska</w:t>
      </w:r>
      <w:proofErr w:type="spellEnd"/>
      <w:r w:rsidRPr="00CF2BAC">
        <w:rPr>
          <w:rFonts w:ascii="Times New Roman" w:eastAsia="Times New Roman" w:hAnsi="Times New Roman" w:cs="Times New Roman"/>
          <w:sz w:val="24"/>
          <w:szCs w:val="24"/>
          <w:lang w:val="en-US"/>
        </w:rPr>
        <w:t xml:space="preserve">, E. A., </w:t>
      </w:r>
      <w:proofErr w:type="spellStart"/>
      <w:r w:rsidRPr="00CF2BAC">
        <w:rPr>
          <w:rFonts w:ascii="Times New Roman" w:eastAsia="Times New Roman" w:hAnsi="Times New Roman" w:cs="Times New Roman"/>
          <w:sz w:val="24"/>
          <w:szCs w:val="24"/>
          <w:lang w:val="en-US"/>
        </w:rPr>
        <w:t>Jüni</w:t>
      </w:r>
      <w:proofErr w:type="spellEnd"/>
      <w:r w:rsidRPr="00CF2BAC">
        <w:rPr>
          <w:rFonts w:ascii="Times New Roman" w:eastAsia="Times New Roman" w:hAnsi="Times New Roman" w:cs="Times New Roman"/>
          <w:sz w:val="24"/>
          <w:szCs w:val="24"/>
          <w:lang w:val="en-US"/>
        </w:rPr>
        <w:t xml:space="preserve">, P., Kimura, T., </w:t>
      </w:r>
      <w:proofErr w:type="spellStart"/>
      <w:r w:rsidRPr="00CF2BAC">
        <w:rPr>
          <w:rFonts w:ascii="Times New Roman" w:eastAsia="Times New Roman" w:hAnsi="Times New Roman" w:cs="Times New Roman"/>
          <w:sz w:val="24"/>
          <w:szCs w:val="24"/>
          <w:lang w:val="en-US"/>
        </w:rPr>
        <w:t>Kunadian</w:t>
      </w:r>
      <w:proofErr w:type="spellEnd"/>
      <w:r w:rsidRPr="00CF2BAC">
        <w:rPr>
          <w:rFonts w:ascii="Times New Roman" w:eastAsia="Times New Roman" w:hAnsi="Times New Roman" w:cs="Times New Roman"/>
          <w:sz w:val="24"/>
          <w:szCs w:val="24"/>
          <w:lang w:val="en-US"/>
        </w:rPr>
        <w:t xml:space="preserve">, V., </w:t>
      </w:r>
      <w:proofErr w:type="spellStart"/>
      <w:r w:rsidRPr="00CF2BAC">
        <w:rPr>
          <w:rFonts w:ascii="Times New Roman" w:eastAsia="Times New Roman" w:hAnsi="Times New Roman" w:cs="Times New Roman"/>
          <w:sz w:val="24"/>
          <w:szCs w:val="24"/>
          <w:lang w:val="en-US"/>
        </w:rPr>
        <w:t>Leosdottir</w:t>
      </w:r>
      <w:proofErr w:type="spellEnd"/>
      <w:r w:rsidRPr="00CF2BAC">
        <w:rPr>
          <w:rFonts w:ascii="Times New Roman" w:eastAsia="Times New Roman" w:hAnsi="Times New Roman" w:cs="Times New Roman"/>
          <w:sz w:val="24"/>
          <w:szCs w:val="24"/>
          <w:lang w:val="en-US"/>
        </w:rPr>
        <w:t xml:space="preserve">, M., </w:t>
      </w:r>
      <w:proofErr w:type="spellStart"/>
      <w:r w:rsidRPr="00CF2BAC">
        <w:rPr>
          <w:rFonts w:ascii="Times New Roman" w:eastAsia="Times New Roman" w:hAnsi="Times New Roman" w:cs="Times New Roman"/>
          <w:sz w:val="24"/>
          <w:szCs w:val="24"/>
          <w:lang w:val="en-US"/>
        </w:rPr>
        <w:t>Lorusso</w:t>
      </w:r>
      <w:proofErr w:type="spellEnd"/>
      <w:r w:rsidRPr="00CF2BAC">
        <w:rPr>
          <w:rFonts w:ascii="Times New Roman" w:eastAsia="Times New Roman" w:hAnsi="Times New Roman" w:cs="Times New Roman"/>
          <w:sz w:val="24"/>
          <w:szCs w:val="24"/>
          <w:lang w:val="en-US"/>
        </w:rPr>
        <w:t xml:space="preserve">, R., </w:t>
      </w:r>
      <w:proofErr w:type="spellStart"/>
      <w:r w:rsidRPr="00CF2BAC">
        <w:rPr>
          <w:rFonts w:ascii="Times New Roman" w:eastAsia="Times New Roman" w:hAnsi="Times New Roman" w:cs="Times New Roman"/>
          <w:sz w:val="24"/>
          <w:szCs w:val="24"/>
          <w:lang w:val="en-US"/>
        </w:rPr>
        <w:t>Pedretti</w:t>
      </w:r>
      <w:proofErr w:type="spellEnd"/>
      <w:r w:rsidRPr="00CF2BAC">
        <w:rPr>
          <w:rFonts w:ascii="Times New Roman" w:eastAsia="Times New Roman" w:hAnsi="Times New Roman" w:cs="Times New Roman"/>
          <w:sz w:val="24"/>
          <w:szCs w:val="24"/>
          <w:lang w:val="en-US"/>
        </w:rPr>
        <w:t xml:space="preserve">, R. F. E., … </w:t>
      </w:r>
      <w:proofErr w:type="spellStart"/>
      <w:r w:rsidRPr="00CF2BAC">
        <w:rPr>
          <w:rFonts w:ascii="Times New Roman" w:eastAsia="Times New Roman" w:hAnsi="Times New Roman" w:cs="Times New Roman"/>
          <w:sz w:val="24"/>
          <w:szCs w:val="24"/>
          <w:lang w:val="en-US"/>
        </w:rPr>
        <w:t>Zeymer</w:t>
      </w:r>
      <w:proofErr w:type="spellEnd"/>
      <w:r w:rsidRPr="00CF2BAC">
        <w:rPr>
          <w:rFonts w:ascii="Times New Roman" w:eastAsia="Times New Roman" w:hAnsi="Times New Roman" w:cs="Times New Roman"/>
          <w:sz w:val="24"/>
          <w:szCs w:val="24"/>
          <w:lang w:val="en-US"/>
        </w:rPr>
        <w:t xml:space="preserve">, U. (2023). 2023 ESC guidelines for the management of acute coronary syndromes. </w:t>
      </w:r>
      <w:r w:rsidRPr="00CF2BAC">
        <w:rPr>
          <w:rFonts w:ascii="Times New Roman" w:eastAsia="Times New Roman" w:hAnsi="Times New Roman" w:cs="Times New Roman"/>
          <w:i/>
          <w:iCs/>
          <w:sz w:val="24"/>
          <w:szCs w:val="24"/>
          <w:lang w:val="en-US"/>
        </w:rPr>
        <w:t>European Heart Journal, 44</w:t>
      </w:r>
      <w:r w:rsidRPr="00CF2BAC">
        <w:rPr>
          <w:rFonts w:ascii="Times New Roman" w:eastAsia="Times New Roman" w:hAnsi="Times New Roman" w:cs="Times New Roman"/>
          <w:sz w:val="24"/>
          <w:szCs w:val="24"/>
          <w:lang w:val="en-US"/>
        </w:rPr>
        <w:t xml:space="preserve">(38), 3720–3826. </w:t>
      </w:r>
      <w:hyperlink r:id="rId9" w:history="1">
        <w:r w:rsidRPr="00CF2BAC">
          <w:rPr>
            <w:rFonts w:ascii="Times New Roman" w:eastAsia="Times New Roman" w:hAnsi="Times New Roman" w:cs="Times New Roman"/>
            <w:color w:val="0000FF"/>
            <w:sz w:val="24"/>
            <w:szCs w:val="24"/>
            <w:u w:val="single"/>
            <w:lang w:val="en-US"/>
          </w:rPr>
          <w:t>https://doi.org/10.1093/eurheartj/ehad191</w:t>
        </w:r>
      </w:hyperlink>
    </w:p>
    <w:p w:rsidR="000A5838" w:rsidRPr="00CF2BAC" w:rsidRDefault="000A5838"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0A5838">
        <w:rPr>
          <w:rFonts w:ascii="Times New Roman" w:eastAsia="Times New Roman" w:hAnsi="Times New Roman" w:cs="Times New Roman"/>
          <w:sz w:val="24"/>
          <w:szCs w:val="24"/>
          <w:lang w:val="en-US"/>
        </w:rPr>
        <w:t xml:space="preserve">Capodanno, D., Mehran, R., </w:t>
      </w:r>
      <w:proofErr w:type="spellStart"/>
      <w:r w:rsidRPr="000A5838">
        <w:rPr>
          <w:rFonts w:ascii="Times New Roman" w:eastAsia="Times New Roman" w:hAnsi="Times New Roman" w:cs="Times New Roman"/>
          <w:sz w:val="24"/>
          <w:szCs w:val="24"/>
          <w:lang w:val="en-US"/>
        </w:rPr>
        <w:t>Valgimigli</w:t>
      </w:r>
      <w:proofErr w:type="spellEnd"/>
      <w:r w:rsidRPr="000A5838">
        <w:rPr>
          <w:rFonts w:ascii="Times New Roman" w:eastAsia="Times New Roman" w:hAnsi="Times New Roman" w:cs="Times New Roman"/>
          <w:sz w:val="24"/>
          <w:szCs w:val="24"/>
          <w:lang w:val="en-US"/>
        </w:rPr>
        <w:t xml:space="preserve">, M., Baber, U., </w:t>
      </w:r>
      <w:proofErr w:type="spellStart"/>
      <w:r w:rsidRPr="000A5838">
        <w:rPr>
          <w:rFonts w:ascii="Times New Roman" w:eastAsia="Times New Roman" w:hAnsi="Times New Roman" w:cs="Times New Roman"/>
          <w:sz w:val="24"/>
          <w:szCs w:val="24"/>
          <w:lang w:val="en-US"/>
        </w:rPr>
        <w:t>Windecker</w:t>
      </w:r>
      <w:proofErr w:type="spellEnd"/>
      <w:r w:rsidRPr="000A5838">
        <w:rPr>
          <w:rFonts w:ascii="Times New Roman" w:eastAsia="Times New Roman" w:hAnsi="Times New Roman" w:cs="Times New Roman"/>
          <w:sz w:val="24"/>
          <w:szCs w:val="24"/>
          <w:lang w:val="en-US"/>
        </w:rPr>
        <w:t xml:space="preserve">, S., </w:t>
      </w:r>
      <w:proofErr w:type="spellStart"/>
      <w:r w:rsidRPr="000A5838">
        <w:rPr>
          <w:rFonts w:ascii="Times New Roman" w:eastAsia="Times New Roman" w:hAnsi="Times New Roman" w:cs="Times New Roman"/>
          <w:sz w:val="24"/>
          <w:szCs w:val="24"/>
          <w:lang w:val="en-US"/>
        </w:rPr>
        <w:t>Vranckx</w:t>
      </w:r>
      <w:proofErr w:type="spellEnd"/>
      <w:r w:rsidRPr="000A5838">
        <w:rPr>
          <w:rFonts w:ascii="Times New Roman" w:eastAsia="Times New Roman" w:hAnsi="Times New Roman" w:cs="Times New Roman"/>
          <w:sz w:val="24"/>
          <w:szCs w:val="24"/>
          <w:lang w:val="en-US"/>
        </w:rPr>
        <w:t xml:space="preserve">, P., </w:t>
      </w:r>
      <w:proofErr w:type="spellStart"/>
      <w:r w:rsidRPr="000A5838">
        <w:rPr>
          <w:rFonts w:ascii="Times New Roman" w:eastAsia="Times New Roman" w:hAnsi="Times New Roman" w:cs="Times New Roman"/>
          <w:sz w:val="24"/>
          <w:szCs w:val="24"/>
          <w:lang w:val="en-US"/>
        </w:rPr>
        <w:t>Dangas</w:t>
      </w:r>
      <w:proofErr w:type="spellEnd"/>
      <w:r w:rsidRPr="000A5838">
        <w:rPr>
          <w:rFonts w:ascii="Times New Roman" w:eastAsia="Times New Roman" w:hAnsi="Times New Roman" w:cs="Times New Roman"/>
          <w:sz w:val="24"/>
          <w:szCs w:val="24"/>
          <w:lang w:val="en-US"/>
        </w:rPr>
        <w:t xml:space="preserve">, G., </w:t>
      </w:r>
      <w:proofErr w:type="spellStart"/>
      <w:r w:rsidRPr="000A5838">
        <w:rPr>
          <w:rFonts w:ascii="Times New Roman" w:eastAsia="Times New Roman" w:hAnsi="Times New Roman" w:cs="Times New Roman"/>
          <w:sz w:val="24"/>
          <w:szCs w:val="24"/>
          <w:lang w:val="en-US"/>
        </w:rPr>
        <w:t>Rollini</w:t>
      </w:r>
      <w:proofErr w:type="spellEnd"/>
      <w:r w:rsidRPr="000A5838">
        <w:rPr>
          <w:rFonts w:ascii="Times New Roman" w:eastAsia="Times New Roman" w:hAnsi="Times New Roman" w:cs="Times New Roman"/>
          <w:sz w:val="24"/>
          <w:szCs w:val="24"/>
          <w:lang w:val="en-US"/>
        </w:rPr>
        <w:t xml:space="preserve">, F., Kimura, T., Collet, J. P., Gibson, C. M., Steg, P. G., Lopes, R. D., </w:t>
      </w:r>
      <w:proofErr w:type="spellStart"/>
      <w:r w:rsidRPr="000A5838">
        <w:rPr>
          <w:rFonts w:ascii="Times New Roman" w:eastAsia="Times New Roman" w:hAnsi="Times New Roman" w:cs="Times New Roman"/>
          <w:sz w:val="24"/>
          <w:szCs w:val="24"/>
          <w:lang w:val="en-US"/>
        </w:rPr>
        <w:t>Gwon</w:t>
      </w:r>
      <w:proofErr w:type="spellEnd"/>
      <w:r w:rsidRPr="000A5838">
        <w:rPr>
          <w:rFonts w:ascii="Times New Roman" w:eastAsia="Times New Roman" w:hAnsi="Times New Roman" w:cs="Times New Roman"/>
          <w:sz w:val="24"/>
          <w:szCs w:val="24"/>
          <w:lang w:val="en-US"/>
        </w:rPr>
        <w:t xml:space="preserve">, H. C., </w:t>
      </w:r>
      <w:proofErr w:type="spellStart"/>
      <w:r w:rsidRPr="000A5838">
        <w:rPr>
          <w:rFonts w:ascii="Times New Roman" w:eastAsia="Times New Roman" w:hAnsi="Times New Roman" w:cs="Times New Roman"/>
          <w:sz w:val="24"/>
          <w:szCs w:val="24"/>
          <w:lang w:val="en-US"/>
        </w:rPr>
        <w:t>Storey</w:t>
      </w:r>
      <w:proofErr w:type="spellEnd"/>
      <w:r w:rsidRPr="000A5838">
        <w:rPr>
          <w:rFonts w:ascii="Times New Roman" w:eastAsia="Times New Roman" w:hAnsi="Times New Roman" w:cs="Times New Roman"/>
          <w:sz w:val="24"/>
          <w:szCs w:val="24"/>
          <w:lang w:val="en-US"/>
        </w:rPr>
        <w:t xml:space="preserve">, R. F., Franchi, F., Bhatt, D. L., </w:t>
      </w:r>
      <w:proofErr w:type="spellStart"/>
      <w:r w:rsidRPr="000A5838">
        <w:rPr>
          <w:rFonts w:ascii="Times New Roman" w:eastAsia="Times New Roman" w:hAnsi="Times New Roman" w:cs="Times New Roman"/>
          <w:sz w:val="24"/>
          <w:szCs w:val="24"/>
          <w:lang w:val="en-US"/>
        </w:rPr>
        <w:t>Serruys</w:t>
      </w:r>
      <w:proofErr w:type="spellEnd"/>
      <w:r w:rsidRPr="000A5838">
        <w:rPr>
          <w:rFonts w:ascii="Times New Roman" w:eastAsia="Times New Roman" w:hAnsi="Times New Roman" w:cs="Times New Roman"/>
          <w:sz w:val="24"/>
          <w:szCs w:val="24"/>
          <w:lang w:val="en-US"/>
        </w:rPr>
        <w:t xml:space="preserve">, P. W., &amp; </w:t>
      </w:r>
      <w:proofErr w:type="spellStart"/>
      <w:r w:rsidRPr="000A5838">
        <w:rPr>
          <w:rFonts w:ascii="Times New Roman" w:eastAsia="Times New Roman" w:hAnsi="Times New Roman" w:cs="Times New Roman"/>
          <w:sz w:val="24"/>
          <w:szCs w:val="24"/>
          <w:lang w:val="en-US"/>
        </w:rPr>
        <w:t>Angiolillo</w:t>
      </w:r>
      <w:proofErr w:type="spellEnd"/>
      <w:r w:rsidRPr="000A5838">
        <w:rPr>
          <w:rFonts w:ascii="Times New Roman" w:eastAsia="Times New Roman" w:hAnsi="Times New Roman" w:cs="Times New Roman"/>
          <w:sz w:val="24"/>
          <w:szCs w:val="24"/>
          <w:lang w:val="en-US"/>
        </w:rPr>
        <w:t xml:space="preserve">, D. J. (2018). Aspirin-free strategies in cardiovascular disease and cardioembolic stroke prevention. Nature reviews. Cardiology, 15(8), 480–496. </w:t>
      </w:r>
      <w:hyperlink r:id="rId10" w:history="1">
        <w:r w:rsidRPr="00AA1487">
          <w:rPr>
            <w:rStyle w:val="Hyperlink"/>
            <w:rFonts w:ascii="Times New Roman" w:eastAsia="Times New Roman" w:hAnsi="Times New Roman" w:cs="Times New Roman"/>
            <w:sz w:val="24"/>
            <w:szCs w:val="24"/>
            <w:lang w:val="en-US"/>
          </w:rPr>
          <w:t>https://doi.org/10.1038/s41569-018-0049-1</w:t>
        </w:r>
      </w:hyperlink>
      <w:r>
        <w:rPr>
          <w:rFonts w:ascii="Times New Roman" w:eastAsia="Times New Roman" w:hAnsi="Times New Roman" w:cs="Times New Roman"/>
          <w:sz w:val="24"/>
          <w:szCs w:val="24"/>
          <w:lang w:val="en-US"/>
        </w:rPr>
        <w:t xml:space="preserve"> </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2BAC">
        <w:rPr>
          <w:rFonts w:ascii="Times New Roman" w:eastAsia="Times New Roman" w:hAnsi="Times New Roman" w:cs="Times New Roman"/>
          <w:sz w:val="24"/>
          <w:szCs w:val="24"/>
          <w:lang w:val="en-US"/>
        </w:rPr>
        <w:t>Claassens</w:t>
      </w:r>
      <w:proofErr w:type="spellEnd"/>
      <w:r w:rsidRPr="00CF2BAC">
        <w:rPr>
          <w:rFonts w:ascii="Times New Roman" w:eastAsia="Times New Roman" w:hAnsi="Times New Roman" w:cs="Times New Roman"/>
          <w:sz w:val="24"/>
          <w:szCs w:val="24"/>
          <w:lang w:val="en-US"/>
        </w:rPr>
        <w:t xml:space="preserve">, D. M. F., Vos, G. J. A., </w:t>
      </w:r>
      <w:proofErr w:type="spellStart"/>
      <w:r w:rsidRPr="00CF2BAC">
        <w:rPr>
          <w:rFonts w:ascii="Times New Roman" w:eastAsia="Times New Roman" w:hAnsi="Times New Roman" w:cs="Times New Roman"/>
          <w:sz w:val="24"/>
          <w:szCs w:val="24"/>
          <w:lang w:val="en-US"/>
        </w:rPr>
        <w:t>Bergmeijer</w:t>
      </w:r>
      <w:proofErr w:type="spellEnd"/>
      <w:r w:rsidRPr="00CF2BAC">
        <w:rPr>
          <w:rFonts w:ascii="Times New Roman" w:eastAsia="Times New Roman" w:hAnsi="Times New Roman" w:cs="Times New Roman"/>
          <w:sz w:val="24"/>
          <w:szCs w:val="24"/>
          <w:lang w:val="en-US"/>
        </w:rPr>
        <w:t xml:space="preserve">, T. O., </w:t>
      </w:r>
      <w:proofErr w:type="spellStart"/>
      <w:r w:rsidRPr="00CF2BAC">
        <w:rPr>
          <w:rFonts w:ascii="Times New Roman" w:eastAsia="Times New Roman" w:hAnsi="Times New Roman" w:cs="Times New Roman"/>
          <w:sz w:val="24"/>
          <w:szCs w:val="24"/>
          <w:lang w:val="en-US"/>
        </w:rPr>
        <w:t>Hermanides</w:t>
      </w:r>
      <w:proofErr w:type="spellEnd"/>
      <w:r w:rsidRPr="00CF2BAC">
        <w:rPr>
          <w:rFonts w:ascii="Times New Roman" w:eastAsia="Times New Roman" w:hAnsi="Times New Roman" w:cs="Times New Roman"/>
          <w:sz w:val="24"/>
          <w:szCs w:val="24"/>
          <w:lang w:val="en-US"/>
        </w:rPr>
        <w:t xml:space="preserve">, R. S., van 't Hof, A. W. J., van der </w:t>
      </w:r>
      <w:proofErr w:type="spellStart"/>
      <w:r w:rsidRPr="00CF2BAC">
        <w:rPr>
          <w:rFonts w:ascii="Times New Roman" w:eastAsia="Times New Roman" w:hAnsi="Times New Roman" w:cs="Times New Roman"/>
          <w:sz w:val="24"/>
          <w:szCs w:val="24"/>
          <w:lang w:val="en-US"/>
        </w:rPr>
        <w:t>Harst</w:t>
      </w:r>
      <w:proofErr w:type="spellEnd"/>
      <w:r w:rsidRPr="00CF2BAC">
        <w:rPr>
          <w:rFonts w:ascii="Times New Roman" w:eastAsia="Times New Roman" w:hAnsi="Times New Roman" w:cs="Times New Roman"/>
          <w:sz w:val="24"/>
          <w:szCs w:val="24"/>
          <w:lang w:val="en-US"/>
        </w:rPr>
        <w:t xml:space="preserve">, P., </w:t>
      </w:r>
      <w:proofErr w:type="spellStart"/>
      <w:r w:rsidRPr="00CF2BAC">
        <w:rPr>
          <w:rFonts w:ascii="Times New Roman" w:eastAsia="Times New Roman" w:hAnsi="Times New Roman" w:cs="Times New Roman"/>
          <w:sz w:val="24"/>
          <w:szCs w:val="24"/>
          <w:lang w:val="en-US"/>
        </w:rPr>
        <w:t>Barbato</w:t>
      </w:r>
      <w:proofErr w:type="spellEnd"/>
      <w:r w:rsidRPr="00CF2BAC">
        <w:rPr>
          <w:rFonts w:ascii="Times New Roman" w:eastAsia="Times New Roman" w:hAnsi="Times New Roman" w:cs="Times New Roman"/>
          <w:sz w:val="24"/>
          <w:szCs w:val="24"/>
          <w:lang w:val="en-US"/>
        </w:rPr>
        <w:t xml:space="preserve">, E., Morisco, C., </w:t>
      </w:r>
      <w:proofErr w:type="spellStart"/>
      <w:r w:rsidRPr="00CF2BAC">
        <w:rPr>
          <w:rFonts w:ascii="Times New Roman" w:eastAsia="Times New Roman" w:hAnsi="Times New Roman" w:cs="Times New Roman"/>
          <w:sz w:val="24"/>
          <w:szCs w:val="24"/>
          <w:lang w:val="en-US"/>
        </w:rPr>
        <w:t>Tjon</w:t>
      </w:r>
      <w:proofErr w:type="spellEnd"/>
      <w:r w:rsidRPr="00CF2BAC">
        <w:rPr>
          <w:rFonts w:ascii="Times New Roman" w:eastAsia="Times New Roman" w:hAnsi="Times New Roman" w:cs="Times New Roman"/>
          <w:sz w:val="24"/>
          <w:szCs w:val="24"/>
          <w:lang w:val="en-US"/>
        </w:rPr>
        <w:t xml:space="preserve"> Joe Gin, R. M., </w:t>
      </w:r>
      <w:proofErr w:type="spellStart"/>
      <w:r w:rsidRPr="00CF2BAC">
        <w:rPr>
          <w:rFonts w:ascii="Times New Roman" w:eastAsia="Times New Roman" w:hAnsi="Times New Roman" w:cs="Times New Roman"/>
          <w:sz w:val="24"/>
          <w:szCs w:val="24"/>
          <w:lang w:val="en-US"/>
        </w:rPr>
        <w:t>Asselbergs</w:t>
      </w:r>
      <w:proofErr w:type="spellEnd"/>
      <w:r w:rsidRPr="00CF2BAC">
        <w:rPr>
          <w:rFonts w:ascii="Times New Roman" w:eastAsia="Times New Roman" w:hAnsi="Times New Roman" w:cs="Times New Roman"/>
          <w:sz w:val="24"/>
          <w:szCs w:val="24"/>
          <w:lang w:val="en-US"/>
        </w:rPr>
        <w:t xml:space="preserve">, F. W., </w:t>
      </w:r>
      <w:proofErr w:type="spellStart"/>
      <w:r w:rsidRPr="00CF2BAC">
        <w:rPr>
          <w:rFonts w:ascii="Times New Roman" w:eastAsia="Times New Roman" w:hAnsi="Times New Roman" w:cs="Times New Roman"/>
          <w:sz w:val="24"/>
          <w:szCs w:val="24"/>
          <w:lang w:val="en-US"/>
        </w:rPr>
        <w:t>Mosterd</w:t>
      </w:r>
      <w:proofErr w:type="spellEnd"/>
      <w:r w:rsidRPr="00CF2BAC">
        <w:rPr>
          <w:rFonts w:ascii="Times New Roman" w:eastAsia="Times New Roman" w:hAnsi="Times New Roman" w:cs="Times New Roman"/>
          <w:sz w:val="24"/>
          <w:szCs w:val="24"/>
          <w:lang w:val="en-US"/>
        </w:rPr>
        <w:t xml:space="preserve">, A., </w:t>
      </w:r>
      <w:proofErr w:type="spellStart"/>
      <w:r w:rsidRPr="00CF2BAC">
        <w:rPr>
          <w:rFonts w:ascii="Times New Roman" w:eastAsia="Times New Roman" w:hAnsi="Times New Roman" w:cs="Times New Roman"/>
          <w:sz w:val="24"/>
          <w:szCs w:val="24"/>
          <w:lang w:val="en-US"/>
        </w:rPr>
        <w:t>Herrman</w:t>
      </w:r>
      <w:proofErr w:type="spellEnd"/>
      <w:r w:rsidRPr="00CF2BAC">
        <w:rPr>
          <w:rFonts w:ascii="Times New Roman" w:eastAsia="Times New Roman" w:hAnsi="Times New Roman" w:cs="Times New Roman"/>
          <w:sz w:val="24"/>
          <w:szCs w:val="24"/>
          <w:lang w:val="en-US"/>
        </w:rPr>
        <w:t xml:space="preserve">, J. P. R., </w:t>
      </w:r>
      <w:proofErr w:type="spellStart"/>
      <w:r w:rsidRPr="00CF2BAC">
        <w:rPr>
          <w:rFonts w:ascii="Times New Roman" w:eastAsia="Times New Roman" w:hAnsi="Times New Roman" w:cs="Times New Roman"/>
          <w:sz w:val="24"/>
          <w:szCs w:val="24"/>
          <w:lang w:val="en-US"/>
        </w:rPr>
        <w:t>Dewilde</w:t>
      </w:r>
      <w:proofErr w:type="spellEnd"/>
      <w:r w:rsidRPr="00CF2BAC">
        <w:rPr>
          <w:rFonts w:ascii="Times New Roman" w:eastAsia="Times New Roman" w:hAnsi="Times New Roman" w:cs="Times New Roman"/>
          <w:sz w:val="24"/>
          <w:szCs w:val="24"/>
          <w:lang w:val="en-US"/>
        </w:rPr>
        <w:t xml:space="preserve">, W. J. M., </w:t>
      </w:r>
      <w:proofErr w:type="spellStart"/>
      <w:r w:rsidRPr="00CF2BAC">
        <w:rPr>
          <w:rFonts w:ascii="Times New Roman" w:eastAsia="Times New Roman" w:hAnsi="Times New Roman" w:cs="Times New Roman"/>
          <w:sz w:val="24"/>
          <w:szCs w:val="24"/>
          <w:lang w:val="en-US"/>
        </w:rPr>
        <w:t>Rikken</w:t>
      </w:r>
      <w:proofErr w:type="spellEnd"/>
      <w:r w:rsidRPr="00CF2BAC">
        <w:rPr>
          <w:rFonts w:ascii="Times New Roman" w:eastAsia="Times New Roman" w:hAnsi="Times New Roman" w:cs="Times New Roman"/>
          <w:sz w:val="24"/>
          <w:szCs w:val="24"/>
          <w:lang w:val="en-US"/>
        </w:rPr>
        <w:t xml:space="preserve">, S. A. J. G., van der </w:t>
      </w:r>
      <w:proofErr w:type="spellStart"/>
      <w:r w:rsidRPr="00CF2BAC">
        <w:rPr>
          <w:rFonts w:ascii="Times New Roman" w:eastAsia="Times New Roman" w:hAnsi="Times New Roman" w:cs="Times New Roman"/>
          <w:sz w:val="24"/>
          <w:szCs w:val="24"/>
          <w:lang w:val="en-US"/>
        </w:rPr>
        <w:t>Kley</w:t>
      </w:r>
      <w:proofErr w:type="spellEnd"/>
      <w:r w:rsidRPr="00CF2BAC">
        <w:rPr>
          <w:rFonts w:ascii="Times New Roman" w:eastAsia="Times New Roman" w:hAnsi="Times New Roman" w:cs="Times New Roman"/>
          <w:sz w:val="24"/>
          <w:szCs w:val="24"/>
          <w:lang w:val="en-US"/>
        </w:rPr>
        <w:t xml:space="preserve">, F., van Reenen, M., </w:t>
      </w:r>
      <w:proofErr w:type="spellStart"/>
      <w:r w:rsidRPr="00CF2BAC">
        <w:rPr>
          <w:rFonts w:ascii="Times New Roman" w:eastAsia="Times New Roman" w:hAnsi="Times New Roman" w:cs="Times New Roman"/>
          <w:sz w:val="24"/>
          <w:szCs w:val="24"/>
          <w:lang w:val="en-US"/>
        </w:rPr>
        <w:t>Nuijten</w:t>
      </w:r>
      <w:proofErr w:type="spellEnd"/>
      <w:r w:rsidRPr="00CF2BAC">
        <w:rPr>
          <w:rFonts w:ascii="Times New Roman" w:eastAsia="Times New Roman" w:hAnsi="Times New Roman" w:cs="Times New Roman"/>
          <w:sz w:val="24"/>
          <w:szCs w:val="24"/>
          <w:lang w:val="en-US"/>
        </w:rPr>
        <w:t xml:space="preserve">, M. A. H., Cleophas, T. J., Sindhu, D., … ten Berg, J. M. (2019). A genotype-guided strategy for oral P2Y12 inhibitors in primary PCI. </w:t>
      </w:r>
      <w:r w:rsidRPr="00CF2BAC">
        <w:rPr>
          <w:rFonts w:ascii="Times New Roman" w:eastAsia="Times New Roman" w:hAnsi="Times New Roman" w:cs="Times New Roman"/>
          <w:i/>
          <w:iCs/>
          <w:sz w:val="24"/>
          <w:szCs w:val="24"/>
          <w:lang w:val="en-US"/>
        </w:rPr>
        <w:t>New England Journal of Medicine, 381</w:t>
      </w:r>
      <w:r w:rsidRPr="00CF2BAC">
        <w:rPr>
          <w:rFonts w:ascii="Times New Roman" w:eastAsia="Times New Roman" w:hAnsi="Times New Roman" w:cs="Times New Roman"/>
          <w:sz w:val="24"/>
          <w:szCs w:val="24"/>
          <w:lang w:val="en-US"/>
        </w:rPr>
        <w:t xml:space="preserve">(17), 1621–1631. </w:t>
      </w:r>
      <w:hyperlink r:id="rId11" w:history="1">
        <w:r w:rsidRPr="00CF2BAC">
          <w:rPr>
            <w:rFonts w:ascii="Times New Roman" w:eastAsia="Times New Roman" w:hAnsi="Times New Roman" w:cs="Times New Roman"/>
            <w:color w:val="0000FF"/>
            <w:sz w:val="24"/>
            <w:szCs w:val="24"/>
            <w:u w:val="single"/>
            <w:lang w:val="en-US"/>
          </w:rPr>
          <w:t>https://doi.org/10.1056/NEJMoa1907096</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Costa, F., van </w:t>
      </w:r>
      <w:proofErr w:type="spellStart"/>
      <w:r w:rsidRPr="00CF2BAC">
        <w:rPr>
          <w:rFonts w:ascii="Times New Roman" w:eastAsia="Times New Roman" w:hAnsi="Times New Roman" w:cs="Times New Roman"/>
          <w:sz w:val="24"/>
          <w:szCs w:val="24"/>
          <w:lang w:val="en-US"/>
        </w:rPr>
        <w:t>Klaveren</w:t>
      </w:r>
      <w:proofErr w:type="spellEnd"/>
      <w:r w:rsidRPr="00CF2BAC">
        <w:rPr>
          <w:rFonts w:ascii="Times New Roman" w:eastAsia="Times New Roman" w:hAnsi="Times New Roman" w:cs="Times New Roman"/>
          <w:sz w:val="24"/>
          <w:szCs w:val="24"/>
          <w:lang w:val="en-US"/>
        </w:rPr>
        <w:t xml:space="preserve">, D., James, S., </w:t>
      </w:r>
      <w:proofErr w:type="spellStart"/>
      <w:r w:rsidRPr="00CF2BAC">
        <w:rPr>
          <w:rFonts w:ascii="Times New Roman" w:eastAsia="Times New Roman" w:hAnsi="Times New Roman" w:cs="Times New Roman"/>
          <w:sz w:val="24"/>
          <w:szCs w:val="24"/>
          <w:lang w:val="en-US"/>
        </w:rPr>
        <w:t>Heg</w:t>
      </w:r>
      <w:proofErr w:type="spellEnd"/>
      <w:r w:rsidRPr="00CF2BAC">
        <w:rPr>
          <w:rFonts w:ascii="Times New Roman" w:eastAsia="Times New Roman" w:hAnsi="Times New Roman" w:cs="Times New Roman"/>
          <w:sz w:val="24"/>
          <w:szCs w:val="24"/>
          <w:lang w:val="en-US"/>
        </w:rPr>
        <w:t xml:space="preserve">, D., </w:t>
      </w:r>
      <w:proofErr w:type="spellStart"/>
      <w:r w:rsidRPr="00CF2BAC">
        <w:rPr>
          <w:rFonts w:ascii="Times New Roman" w:eastAsia="Times New Roman" w:hAnsi="Times New Roman" w:cs="Times New Roman"/>
          <w:sz w:val="24"/>
          <w:szCs w:val="24"/>
          <w:lang w:val="en-US"/>
        </w:rPr>
        <w:t>Räber</w:t>
      </w:r>
      <w:proofErr w:type="spellEnd"/>
      <w:r w:rsidRPr="00CF2BAC">
        <w:rPr>
          <w:rFonts w:ascii="Times New Roman" w:eastAsia="Times New Roman" w:hAnsi="Times New Roman" w:cs="Times New Roman"/>
          <w:sz w:val="24"/>
          <w:szCs w:val="24"/>
          <w:lang w:val="en-US"/>
        </w:rPr>
        <w:t xml:space="preserve">, L., </w:t>
      </w:r>
      <w:proofErr w:type="spellStart"/>
      <w:r w:rsidRPr="00CF2BAC">
        <w:rPr>
          <w:rFonts w:ascii="Times New Roman" w:eastAsia="Times New Roman" w:hAnsi="Times New Roman" w:cs="Times New Roman"/>
          <w:sz w:val="24"/>
          <w:szCs w:val="24"/>
          <w:lang w:val="en-US"/>
        </w:rPr>
        <w:t>Feres</w:t>
      </w:r>
      <w:proofErr w:type="spellEnd"/>
      <w:r w:rsidRPr="00CF2BAC">
        <w:rPr>
          <w:rFonts w:ascii="Times New Roman" w:eastAsia="Times New Roman" w:hAnsi="Times New Roman" w:cs="Times New Roman"/>
          <w:sz w:val="24"/>
          <w:szCs w:val="24"/>
          <w:lang w:val="en-US"/>
        </w:rPr>
        <w:t xml:space="preserve">, F., Pilgrim, T., Hong, M. K., Kim, H. S., Colombo, A., Steg, P. G., Bhatt, D. L., Stone, G. W., </w:t>
      </w:r>
      <w:proofErr w:type="spellStart"/>
      <w:r w:rsidRPr="00CF2BAC">
        <w:rPr>
          <w:rFonts w:ascii="Times New Roman" w:eastAsia="Times New Roman" w:hAnsi="Times New Roman" w:cs="Times New Roman"/>
          <w:sz w:val="24"/>
          <w:szCs w:val="24"/>
          <w:lang w:val="en-US"/>
        </w:rPr>
        <w:t>Windecker</w:t>
      </w:r>
      <w:proofErr w:type="spellEnd"/>
      <w:r w:rsidRPr="00CF2BAC">
        <w:rPr>
          <w:rFonts w:ascii="Times New Roman" w:eastAsia="Times New Roman" w:hAnsi="Times New Roman" w:cs="Times New Roman"/>
          <w:sz w:val="24"/>
          <w:szCs w:val="24"/>
          <w:lang w:val="en-US"/>
        </w:rPr>
        <w:t xml:space="preserve">, S., </w:t>
      </w:r>
      <w:proofErr w:type="spellStart"/>
      <w:r w:rsidRPr="00CF2BAC">
        <w:rPr>
          <w:rFonts w:ascii="Times New Roman" w:eastAsia="Times New Roman" w:hAnsi="Times New Roman" w:cs="Times New Roman"/>
          <w:sz w:val="24"/>
          <w:szCs w:val="24"/>
          <w:lang w:val="en-US"/>
        </w:rPr>
        <w:t>Steyerberg</w:t>
      </w:r>
      <w:proofErr w:type="spellEnd"/>
      <w:r w:rsidRPr="00CF2BAC">
        <w:rPr>
          <w:rFonts w:ascii="Times New Roman" w:eastAsia="Times New Roman" w:hAnsi="Times New Roman" w:cs="Times New Roman"/>
          <w:sz w:val="24"/>
          <w:szCs w:val="24"/>
          <w:lang w:val="en-US"/>
        </w:rPr>
        <w:t xml:space="preserve">, E. W., &amp;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M. (2017). Derivation and validation of the predicting bleeding complications in patients undergoing stent implantation and subsequent dual </w:t>
      </w:r>
      <w:r w:rsidRPr="00CF2BAC">
        <w:rPr>
          <w:rFonts w:ascii="Times New Roman" w:eastAsia="Times New Roman" w:hAnsi="Times New Roman" w:cs="Times New Roman"/>
          <w:sz w:val="24"/>
          <w:szCs w:val="24"/>
          <w:lang w:val="en-US"/>
        </w:rPr>
        <w:lastRenderedPageBreak/>
        <w:t xml:space="preserve">antiplatelet therapy (PRECISE-DAPT) score. </w:t>
      </w:r>
      <w:r w:rsidRPr="00CF2BAC">
        <w:rPr>
          <w:rFonts w:ascii="Times New Roman" w:eastAsia="Times New Roman" w:hAnsi="Times New Roman" w:cs="Times New Roman"/>
          <w:i/>
          <w:iCs/>
          <w:sz w:val="24"/>
          <w:szCs w:val="24"/>
          <w:lang w:val="en-US"/>
        </w:rPr>
        <w:t>The Lancet, 389</w:t>
      </w:r>
      <w:r w:rsidRPr="00CF2BAC">
        <w:rPr>
          <w:rFonts w:ascii="Times New Roman" w:eastAsia="Times New Roman" w:hAnsi="Times New Roman" w:cs="Times New Roman"/>
          <w:sz w:val="24"/>
          <w:szCs w:val="24"/>
          <w:lang w:val="en-US"/>
        </w:rPr>
        <w:t xml:space="preserve">(10073), 1025–1034. </w:t>
      </w:r>
      <w:hyperlink r:id="rId12" w:history="1">
        <w:r w:rsidRPr="00CF2BAC">
          <w:rPr>
            <w:rFonts w:ascii="Times New Roman" w:eastAsia="Times New Roman" w:hAnsi="Times New Roman" w:cs="Times New Roman"/>
            <w:color w:val="0000FF"/>
            <w:sz w:val="24"/>
            <w:szCs w:val="24"/>
            <w:u w:val="single"/>
            <w:lang w:val="en-US"/>
          </w:rPr>
          <w:t>https://doi.org/10.1016/S0140-6736(17)30397-5</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2BAC">
        <w:rPr>
          <w:rFonts w:ascii="Times New Roman" w:eastAsia="Times New Roman" w:hAnsi="Times New Roman" w:cs="Times New Roman"/>
          <w:sz w:val="24"/>
          <w:szCs w:val="24"/>
          <w:lang w:val="en-US"/>
        </w:rPr>
        <w:t>Furie</w:t>
      </w:r>
      <w:proofErr w:type="spellEnd"/>
      <w:r w:rsidRPr="00CF2BAC">
        <w:rPr>
          <w:rFonts w:ascii="Times New Roman" w:eastAsia="Times New Roman" w:hAnsi="Times New Roman" w:cs="Times New Roman"/>
          <w:sz w:val="24"/>
          <w:szCs w:val="24"/>
          <w:lang w:val="en-US"/>
        </w:rPr>
        <w:t xml:space="preserve">, B., &amp; </w:t>
      </w:r>
      <w:proofErr w:type="spellStart"/>
      <w:r w:rsidRPr="00CF2BAC">
        <w:rPr>
          <w:rFonts w:ascii="Times New Roman" w:eastAsia="Times New Roman" w:hAnsi="Times New Roman" w:cs="Times New Roman"/>
          <w:sz w:val="24"/>
          <w:szCs w:val="24"/>
          <w:lang w:val="en-US"/>
        </w:rPr>
        <w:t>Furie</w:t>
      </w:r>
      <w:proofErr w:type="spellEnd"/>
      <w:r w:rsidRPr="00CF2BAC">
        <w:rPr>
          <w:rFonts w:ascii="Times New Roman" w:eastAsia="Times New Roman" w:hAnsi="Times New Roman" w:cs="Times New Roman"/>
          <w:sz w:val="24"/>
          <w:szCs w:val="24"/>
          <w:lang w:val="en-US"/>
        </w:rPr>
        <w:t xml:space="preserve">, B. C. (2008). Mechanisms of thrombus formation. </w:t>
      </w:r>
      <w:r w:rsidRPr="00CF2BAC">
        <w:rPr>
          <w:rFonts w:ascii="Times New Roman" w:eastAsia="Times New Roman" w:hAnsi="Times New Roman" w:cs="Times New Roman"/>
          <w:i/>
          <w:iCs/>
          <w:sz w:val="24"/>
          <w:szCs w:val="24"/>
          <w:lang w:val="en-US"/>
        </w:rPr>
        <w:t>New England Journal of Medicine, 359</w:t>
      </w:r>
      <w:r w:rsidRPr="00CF2BAC">
        <w:rPr>
          <w:rFonts w:ascii="Times New Roman" w:eastAsia="Times New Roman" w:hAnsi="Times New Roman" w:cs="Times New Roman"/>
          <w:sz w:val="24"/>
          <w:szCs w:val="24"/>
          <w:lang w:val="en-US"/>
        </w:rPr>
        <w:t xml:space="preserve">(9), 938–949. </w:t>
      </w:r>
      <w:hyperlink r:id="rId13" w:history="1">
        <w:r w:rsidRPr="00CF2BAC">
          <w:rPr>
            <w:rFonts w:ascii="Times New Roman" w:eastAsia="Times New Roman" w:hAnsi="Times New Roman" w:cs="Times New Roman"/>
            <w:color w:val="0000FF"/>
            <w:sz w:val="24"/>
            <w:szCs w:val="24"/>
            <w:u w:val="single"/>
            <w:lang w:val="en-US"/>
          </w:rPr>
          <w:t>https://doi.org/10.1056/NEJMra0801082</w:t>
        </w:r>
      </w:hyperlink>
    </w:p>
    <w:p w:rsid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Gimbel, M., </w:t>
      </w:r>
      <w:proofErr w:type="spellStart"/>
      <w:r w:rsidRPr="00CF2BAC">
        <w:rPr>
          <w:rFonts w:ascii="Times New Roman" w:eastAsia="Times New Roman" w:hAnsi="Times New Roman" w:cs="Times New Roman"/>
          <w:sz w:val="24"/>
          <w:szCs w:val="24"/>
          <w:lang w:val="en-US"/>
        </w:rPr>
        <w:t>Qaderdan</w:t>
      </w:r>
      <w:proofErr w:type="spellEnd"/>
      <w:r w:rsidRPr="00CF2BAC">
        <w:rPr>
          <w:rFonts w:ascii="Times New Roman" w:eastAsia="Times New Roman" w:hAnsi="Times New Roman" w:cs="Times New Roman"/>
          <w:sz w:val="24"/>
          <w:szCs w:val="24"/>
          <w:lang w:val="en-US"/>
        </w:rPr>
        <w:t xml:space="preserve">, K., Willemsen, L., </w:t>
      </w:r>
      <w:proofErr w:type="spellStart"/>
      <w:r w:rsidRPr="00CF2BAC">
        <w:rPr>
          <w:rFonts w:ascii="Times New Roman" w:eastAsia="Times New Roman" w:hAnsi="Times New Roman" w:cs="Times New Roman"/>
          <w:sz w:val="24"/>
          <w:szCs w:val="24"/>
          <w:lang w:val="en-US"/>
        </w:rPr>
        <w:t>Hermanides</w:t>
      </w:r>
      <w:proofErr w:type="spellEnd"/>
      <w:r w:rsidRPr="00CF2BAC">
        <w:rPr>
          <w:rFonts w:ascii="Times New Roman" w:eastAsia="Times New Roman" w:hAnsi="Times New Roman" w:cs="Times New Roman"/>
          <w:sz w:val="24"/>
          <w:szCs w:val="24"/>
          <w:lang w:val="en-US"/>
        </w:rPr>
        <w:t xml:space="preserve">, R., </w:t>
      </w:r>
      <w:proofErr w:type="spellStart"/>
      <w:r w:rsidRPr="00CF2BAC">
        <w:rPr>
          <w:rFonts w:ascii="Times New Roman" w:eastAsia="Times New Roman" w:hAnsi="Times New Roman" w:cs="Times New Roman"/>
          <w:sz w:val="24"/>
          <w:szCs w:val="24"/>
          <w:lang w:val="en-US"/>
        </w:rPr>
        <w:t>Bergmeijer</w:t>
      </w:r>
      <w:proofErr w:type="spellEnd"/>
      <w:r w:rsidRPr="00CF2BAC">
        <w:rPr>
          <w:rFonts w:ascii="Times New Roman" w:eastAsia="Times New Roman" w:hAnsi="Times New Roman" w:cs="Times New Roman"/>
          <w:sz w:val="24"/>
          <w:szCs w:val="24"/>
          <w:lang w:val="en-US"/>
        </w:rPr>
        <w:t xml:space="preserve">, T., de </w:t>
      </w:r>
      <w:proofErr w:type="spellStart"/>
      <w:r w:rsidRPr="00CF2BAC">
        <w:rPr>
          <w:rFonts w:ascii="Times New Roman" w:eastAsia="Times New Roman" w:hAnsi="Times New Roman" w:cs="Times New Roman"/>
          <w:sz w:val="24"/>
          <w:szCs w:val="24"/>
          <w:lang w:val="en-US"/>
        </w:rPr>
        <w:t>Vrey</w:t>
      </w:r>
      <w:proofErr w:type="spellEnd"/>
      <w:r w:rsidRPr="00CF2BAC">
        <w:rPr>
          <w:rFonts w:ascii="Times New Roman" w:eastAsia="Times New Roman" w:hAnsi="Times New Roman" w:cs="Times New Roman"/>
          <w:sz w:val="24"/>
          <w:szCs w:val="24"/>
          <w:lang w:val="en-US"/>
        </w:rPr>
        <w:t xml:space="preserve">, E., </w:t>
      </w:r>
      <w:proofErr w:type="spellStart"/>
      <w:r w:rsidRPr="00CF2BAC">
        <w:rPr>
          <w:rFonts w:ascii="Times New Roman" w:eastAsia="Times New Roman" w:hAnsi="Times New Roman" w:cs="Times New Roman"/>
          <w:sz w:val="24"/>
          <w:szCs w:val="24"/>
          <w:lang w:val="en-US"/>
        </w:rPr>
        <w:t>Heestermans</w:t>
      </w:r>
      <w:proofErr w:type="spellEnd"/>
      <w:r w:rsidRPr="00CF2BAC">
        <w:rPr>
          <w:rFonts w:ascii="Times New Roman" w:eastAsia="Times New Roman" w:hAnsi="Times New Roman" w:cs="Times New Roman"/>
          <w:sz w:val="24"/>
          <w:szCs w:val="24"/>
          <w:lang w:val="en-US"/>
        </w:rPr>
        <w:t xml:space="preserve">, T., </w:t>
      </w:r>
      <w:proofErr w:type="spellStart"/>
      <w:r w:rsidRPr="00CF2BAC">
        <w:rPr>
          <w:rFonts w:ascii="Times New Roman" w:eastAsia="Times New Roman" w:hAnsi="Times New Roman" w:cs="Times New Roman"/>
          <w:sz w:val="24"/>
          <w:szCs w:val="24"/>
          <w:lang w:val="en-US"/>
        </w:rPr>
        <w:t>Tjon</w:t>
      </w:r>
      <w:proofErr w:type="spellEnd"/>
      <w:r w:rsidRPr="00CF2BAC">
        <w:rPr>
          <w:rFonts w:ascii="Times New Roman" w:eastAsia="Times New Roman" w:hAnsi="Times New Roman" w:cs="Times New Roman"/>
          <w:sz w:val="24"/>
          <w:szCs w:val="24"/>
          <w:lang w:val="en-US"/>
        </w:rPr>
        <w:t xml:space="preserve"> Joe Gin, M., </w:t>
      </w:r>
      <w:proofErr w:type="spellStart"/>
      <w:r w:rsidRPr="00CF2BAC">
        <w:rPr>
          <w:rFonts w:ascii="Times New Roman" w:eastAsia="Times New Roman" w:hAnsi="Times New Roman" w:cs="Times New Roman"/>
          <w:sz w:val="24"/>
          <w:szCs w:val="24"/>
          <w:lang w:val="en-US"/>
        </w:rPr>
        <w:t>Waalewijn</w:t>
      </w:r>
      <w:proofErr w:type="spellEnd"/>
      <w:r w:rsidRPr="00CF2BAC">
        <w:rPr>
          <w:rFonts w:ascii="Times New Roman" w:eastAsia="Times New Roman" w:hAnsi="Times New Roman" w:cs="Times New Roman"/>
          <w:sz w:val="24"/>
          <w:szCs w:val="24"/>
          <w:lang w:val="en-US"/>
        </w:rPr>
        <w:t xml:space="preserve">, R., </w:t>
      </w:r>
      <w:proofErr w:type="spellStart"/>
      <w:r w:rsidRPr="00CF2BAC">
        <w:rPr>
          <w:rFonts w:ascii="Times New Roman" w:eastAsia="Times New Roman" w:hAnsi="Times New Roman" w:cs="Times New Roman"/>
          <w:sz w:val="24"/>
          <w:szCs w:val="24"/>
          <w:lang w:val="en-US"/>
        </w:rPr>
        <w:t>Hofma</w:t>
      </w:r>
      <w:proofErr w:type="spellEnd"/>
      <w:r w:rsidRPr="00CF2BAC">
        <w:rPr>
          <w:rFonts w:ascii="Times New Roman" w:eastAsia="Times New Roman" w:hAnsi="Times New Roman" w:cs="Times New Roman"/>
          <w:sz w:val="24"/>
          <w:szCs w:val="24"/>
          <w:lang w:val="en-US"/>
        </w:rPr>
        <w:t xml:space="preserve">, S., </w:t>
      </w:r>
      <w:proofErr w:type="spellStart"/>
      <w:r w:rsidRPr="00CF2BAC">
        <w:rPr>
          <w:rFonts w:ascii="Times New Roman" w:eastAsia="Times New Roman" w:hAnsi="Times New Roman" w:cs="Times New Roman"/>
          <w:sz w:val="24"/>
          <w:szCs w:val="24"/>
          <w:lang w:val="en-US"/>
        </w:rPr>
        <w:t>Suttorp</w:t>
      </w:r>
      <w:proofErr w:type="spellEnd"/>
      <w:r w:rsidRPr="00CF2BAC">
        <w:rPr>
          <w:rFonts w:ascii="Times New Roman" w:eastAsia="Times New Roman" w:hAnsi="Times New Roman" w:cs="Times New Roman"/>
          <w:sz w:val="24"/>
          <w:szCs w:val="24"/>
          <w:lang w:val="en-US"/>
        </w:rPr>
        <w:t xml:space="preserve">, M. J., </w:t>
      </w:r>
      <w:proofErr w:type="spellStart"/>
      <w:r w:rsidRPr="00CF2BAC">
        <w:rPr>
          <w:rFonts w:ascii="Times New Roman" w:eastAsia="Times New Roman" w:hAnsi="Times New Roman" w:cs="Times New Roman"/>
          <w:sz w:val="24"/>
          <w:szCs w:val="24"/>
          <w:lang w:val="en-US"/>
        </w:rPr>
        <w:t>Polad</w:t>
      </w:r>
      <w:proofErr w:type="spellEnd"/>
      <w:r w:rsidRPr="00CF2BAC">
        <w:rPr>
          <w:rFonts w:ascii="Times New Roman" w:eastAsia="Times New Roman" w:hAnsi="Times New Roman" w:cs="Times New Roman"/>
          <w:sz w:val="24"/>
          <w:szCs w:val="24"/>
          <w:lang w:val="en-US"/>
        </w:rPr>
        <w:t xml:space="preserve">, J., Dirksen, M., </w:t>
      </w:r>
      <w:proofErr w:type="spellStart"/>
      <w:r w:rsidRPr="00CF2BAC">
        <w:rPr>
          <w:rFonts w:ascii="Times New Roman" w:eastAsia="Times New Roman" w:hAnsi="Times New Roman" w:cs="Times New Roman"/>
          <w:sz w:val="24"/>
          <w:szCs w:val="24"/>
          <w:lang w:val="en-US"/>
        </w:rPr>
        <w:t>Breet</w:t>
      </w:r>
      <w:proofErr w:type="spellEnd"/>
      <w:r w:rsidRPr="00CF2BAC">
        <w:rPr>
          <w:rFonts w:ascii="Times New Roman" w:eastAsia="Times New Roman" w:hAnsi="Times New Roman" w:cs="Times New Roman"/>
          <w:sz w:val="24"/>
          <w:szCs w:val="24"/>
          <w:lang w:val="en-US"/>
        </w:rPr>
        <w:t xml:space="preserve">, N., ten Berg, J., &amp; </w:t>
      </w:r>
      <w:proofErr w:type="spellStart"/>
      <w:r w:rsidRPr="00CF2BAC">
        <w:rPr>
          <w:rFonts w:ascii="Times New Roman" w:eastAsia="Times New Roman" w:hAnsi="Times New Roman" w:cs="Times New Roman"/>
          <w:sz w:val="24"/>
          <w:szCs w:val="24"/>
          <w:lang w:val="en-US"/>
        </w:rPr>
        <w:t>Kelder</w:t>
      </w:r>
      <w:proofErr w:type="spellEnd"/>
      <w:r w:rsidRPr="00CF2BAC">
        <w:rPr>
          <w:rFonts w:ascii="Times New Roman" w:eastAsia="Times New Roman" w:hAnsi="Times New Roman" w:cs="Times New Roman"/>
          <w:sz w:val="24"/>
          <w:szCs w:val="24"/>
          <w:lang w:val="en-US"/>
        </w:rPr>
        <w:t>, J. (2020). Clopidogrel versus ticagrelor or prasugrel in patients aged 70 years or older with non-ST-elevation acute coronary syndrome (</w:t>
      </w:r>
      <w:proofErr w:type="spellStart"/>
      <w:r w:rsidRPr="00CF2BAC">
        <w:rPr>
          <w:rFonts w:ascii="Times New Roman" w:eastAsia="Times New Roman" w:hAnsi="Times New Roman" w:cs="Times New Roman"/>
          <w:sz w:val="24"/>
          <w:szCs w:val="24"/>
          <w:lang w:val="en-US"/>
        </w:rPr>
        <w:t>POPular</w:t>
      </w:r>
      <w:proofErr w:type="spellEnd"/>
      <w:r w:rsidRPr="00CF2BAC">
        <w:rPr>
          <w:rFonts w:ascii="Times New Roman" w:eastAsia="Times New Roman" w:hAnsi="Times New Roman" w:cs="Times New Roman"/>
          <w:sz w:val="24"/>
          <w:szCs w:val="24"/>
          <w:lang w:val="en-US"/>
        </w:rPr>
        <w:t xml:space="preserve"> AGE): The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open-label, non-inferiority trial. </w:t>
      </w:r>
      <w:r w:rsidRPr="00CF2BAC">
        <w:rPr>
          <w:rFonts w:ascii="Times New Roman" w:eastAsia="Times New Roman" w:hAnsi="Times New Roman" w:cs="Times New Roman"/>
          <w:i/>
          <w:iCs/>
          <w:sz w:val="24"/>
          <w:szCs w:val="24"/>
          <w:lang w:val="en-US"/>
        </w:rPr>
        <w:t>The Lancet, 395</w:t>
      </w:r>
      <w:r w:rsidRPr="00CF2BAC">
        <w:rPr>
          <w:rFonts w:ascii="Times New Roman" w:eastAsia="Times New Roman" w:hAnsi="Times New Roman" w:cs="Times New Roman"/>
          <w:sz w:val="24"/>
          <w:szCs w:val="24"/>
          <w:lang w:val="en-US"/>
        </w:rPr>
        <w:t xml:space="preserve">(10233), 1374–1381. </w:t>
      </w:r>
      <w:hyperlink r:id="rId14" w:history="1">
        <w:r w:rsidRPr="00CF2BAC">
          <w:rPr>
            <w:rFonts w:ascii="Times New Roman" w:eastAsia="Times New Roman" w:hAnsi="Times New Roman" w:cs="Times New Roman"/>
            <w:color w:val="0000FF"/>
            <w:sz w:val="24"/>
            <w:szCs w:val="24"/>
            <w:u w:val="single"/>
            <w:lang w:val="en-US"/>
          </w:rPr>
          <w:t>https://doi.org/10.1016/S0140-6736(20)30325-1</w:t>
        </w:r>
      </w:hyperlink>
    </w:p>
    <w:p w:rsidR="000A5838" w:rsidRPr="00CF2BAC" w:rsidRDefault="000A5838" w:rsidP="005C77E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A5838">
        <w:rPr>
          <w:rFonts w:ascii="Times New Roman" w:eastAsia="Times New Roman" w:hAnsi="Times New Roman" w:cs="Times New Roman"/>
          <w:sz w:val="24"/>
          <w:szCs w:val="24"/>
          <w:lang w:val="en-US"/>
        </w:rPr>
        <w:t>Gragnano</w:t>
      </w:r>
      <w:proofErr w:type="spellEnd"/>
      <w:r w:rsidRPr="000A5838">
        <w:rPr>
          <w:rFonts w:ascii="Times New Roman" w:eastAsia="Times New Roman" w:hAnsi="Times New Roman" w:cs="Times New Roman"/>
          <w:sz w:val="24"/>
          <w:szCs w:val="24"/>
          <w:lang w:val="en-US"/>
        </w:rPr>
        <w:t xml:space="preserve">, F., Mehran, R., </w:t>
      </w:r>
      <w:proofErr w:type="spellStart"/>
      <w:r w:rsidRPr="000A5838">
        <w:rPr>
          <w:rFonts w:ascii="Times New Roman" w:eastAsia="Times New Roman" w:hAnsi="Times New Roman" w:cs="Times New Roman"/>
          <w:sz w:val="24"/>
          <w:szCs w:val="24"/>
          <w:lang w:val="en-US"/>
        </w:rPr>
        <w:t>Branca</w:t>
      </w:r>
      <w:proofErr w:type="spellEnd"/>
      <w:r w:rsidRPr="000A5838">
        <w:rPr>
          <w:rFonts w:ascii="Times New Roman" w:eastAsia="Times New Roman" w:hAnsi="Times New Roman" w:cs="Times New Roman"/>
          <w:sz w:val="24"/>
          <w:szCs w:val="24"/>
          <w:lang w:val="en-US"/>
        </w:rPr>
        <w:t xml:space="preserve">, M., </w:t>
      </w:r>
      <w:proofErr w:type="spellStart"/>
      <w:r w:rsidRPr="000A5838">
        <w:rPr>
          <w:rFonts w:ascii="Times New Roman" w:eastAsia="Times New Roman" w:hAnsi="Times New Roman" w:cs="Times New Roman"/>
          <w:sz w:val="24"/>
          <w:szCs w:val="24"/>
          <w:lang w:val="en-US"/>
        </w:rPr>
        <w:t>Franzone</w:t>
      </w:r>
      <w:proofErr w:type="spellEnd"/>
      <w:r w:rsidRPr="000A5838">
        <w:rPr>
          <w:rFonts w:ascii="Times New Roman" w:eastAsia="Times New Roman" w:hAnsi="Times New Roman" w:cs="Times New Roman"/>
          <w:sz w:val="24"/>
          <w:szCs w:val="24"/>
          <w:lang w:val="en-US"/>
        </w:rPr>
        <w:t xml:space="preserve">, A., Baber, U., Jang, Y., Kimura, T., Hahn, J. Y., Zhao, Q., </w:t>
      </w:r>
      <w:proofErr w:type="spellStart"/>
      <w:r w:rsidRPr="000A5838">
        <w:rPr>
          <w:rFonts w:ascii="Times New Roman" w:eastAsia="Times New Roman" w:hAnsi="Times New Roman" w:cs="Times New Roman"/>
          <w:sz w:val="24"/>
          <w:szCs w:val="24"/>
          <w:lang w:val="en-US"/>
        </w:rPr>
        <w:t>Windecker</w:t>
      </w:r>
      <w:proofErr w:type="spellEnd"/>
      <w:r w:rsidRPr="000A5838">
        <w:rPr>
          <w:rFonts w:ascii="Times New Roman" w:eastAsia="Times New Roman" w:hAnsi="Times New Roman" w:cs="Times New Roman"/>
          <w:sz w:val="24"/>
          <w:szCs w:val="24"/>
          <w:lang w:val="en-US"/>
        </w:rPr>
        <w:t xml:space="preserve">, S., Gibson, C. M., Kim, B. K., Watanabe, H., Song, Y. B., Zhu, Y., </w:t>
      </w:r>
      <w:proofErr w:type="spellStart"/>
      <w:r w:rsidRPr="000A5838">
        <w:rPr>
          <w:rFonts w:ascii="Times New Roman" w:eastAsia="Times New Roman" w:hAnsi="Times New Roman" w:cs="Times New Roman"/>
          <w:sz w:val="24"/>
          <w:szCs w:val="24"/>
          <w:lang w:val="en-US"/>
        </w:rPr>
        <w:t>Vranckx</w:t>
      </w:r>
      <w:proofErr w:type="spellEnd"/>
      <w:r w:rsidRPr="000A5838">
        <w:rPr>
          <w:rFonts w:ascii="Times New Roman" w:eastAsia="Times New Roman" w:hAnsi="Times New Roman" w:cs="Times New Roman"/>
          <w:sz w:val="24"/>
          <w:szCs w:val="24"/>
          <w:lang w:val="en-US"/>
        </w:rPr>
        <w:t xml:space="preserve">, P., Mehta, S., Hong, S. J., Ando, K., </w:t>
      </w:r>
      <w:proofErr w:type="spellStart"/>
      <w:r w:rsidRPr="000A5838">
        <w:rPr>
          <w:rFonts w:ascii="Times New Roman" w:eastAsia="Times New Roman" w:hAnsi="Times New Roman" w:cs="Times New Roman"/>
          <w:sz w:val="24"/>
          <w:szCs w:val="24"/>
          <w:lang w:val="en-US"/>
        </w:rPr>
        <w:t>Gwon</w:t>
      </w:r>
      <w:proofErr w:type="spellEnd"/>
      <w:r w:rsidRPr="000A5838">
        <w:rPr>
          <w:rFonts w:ascii="Times New Roman" w:eastAsia="Times New Roman" w:hAnsi="Times New Roman" w:cs="Times New Roman"/>
          <w:sz w:val="24"/>
          <w:szCs w:val="24"/>
          <w:lang w:val="en-US"/>
        </w:rPr>
        <w:t xml:space="preserve">, H. C., … Single Versus Dual Antiplatelet Therapy (Sidney-2) Collaboration (2023). P2Y12 Inhibitor Monotherapy or Dual Antiplatelet Therapy After Complex Percutaneous Coronary Interventions. Journal of the American College of Cardiology, 81(6), 537–552. </w:t>
      </w:r>
      <w:hyperlink r:id="rId15" w:history="1">
        <w:r w:rsidRPr="00AA1487">
          <w:rPr>
            <w:rStyle w:val="Hyperlink"/>
            <w:rFonts w:ascii="Times New Roman" w:eastAsia="Times New Roman" w:hAnsi="Times New Roman" w:cs="Times New Roman"/>
            <w:sz w:val="24"/>
            <w:szCs w:val="24"/>
            <w:lang w:val="en-US"/>
          </w:rPr>
          <w:t>https://doi.org/10.1016/j.jacc.2022.11.041</w:t>
        </w:r>
      </w:hyperlink>
      <w:r>
        <w:rPr>
          <w:rFonts w:ascii="Times New Roman" w:eastAsia="Times New Roman" w:hAnsi="Times New Roman" w:cs="Times New Roman"/>
          <w:sz w:val="24"/>
          <w:szCs w:val="24"/>
          <w:lang w:val="en-US"/>
        </w:rPr>
        <w:t xml:space="preserve"> </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2BAC">
        <w:rPr>
          <w:rFonts w:ascii="Times New Roman" w:eastAsia="Times New Roman" w:hAnsi="Times New Roman" w:cs="Times New Roman"/>
          <w:sz w:val="24"/>
          <w:szCs w:val="24"/>
          <w:lang w:val="en-US"/>
        </w:rPr>
        <w:t>Gurbel</w:t>
      </w:r>
      <w:proofErr w:type="spellEnd"/>
      <w:r w:rsidRPr="00CF2BAC">
        <w:rPr>
          <w:rFonts w:ascii="Times New Roman" w:eastAsia="Times New Roman" w:hAnsi="Times New Roman" w:cs="Times New Roman"/>
          <w:sz w:val="24"/>
          <w:szCs w:val="24"/>
          <w:lang w:val="en-US"/>
        </w:rPr>
        <w:t xml:space="preserve">, P. A., </w:t>
      </w:r>
      <w:proofErr w:type="spellStart"/>
      <w:r w:rsidRPr="00CF2BAC">
        <w:rPr>
          <w:rFonts w:ascii="Times New Roman" w:eastAsia="Times New Roman" w:hAnsi="Times New Roman" w:cs="Times New Roman"/>
          <w:sz w:val="24"/>
          <w:szCs w:val="24"/>
          <w:lang w:val="en-US"/>
        </w:rPr>
        <w:t>Bliden</w:t>
      </w:r>
      <w:proofErr w:type="spellEnd"/>
      <w:r w:rsidRPr="00CF2BAC">
        <w:rPr>
          <w:rFonts w:ascii="Times New Roman" w:eastAsia="Times New Roman" w:hAnsi="Times New Roman" w:cs="Times New Roman"/>
          <w:sz w:val="24"/>
          <w:szCs w:val="24"/>
          <w:lang w:val="en-US"/>
        </w:rPr>
        <w:t xml:space="preserve">, K. P., Butler, K., </w:t>
      </w:r>
      <w:proofErr w:type="spellStart"/>
      <w:r w:rsidRPr="00CF2BAC">
        <w:rPr>
          <w:rFonts w:ascii="Times New Roman" w:eastAsia="Times New Roman" w:hAnsi="Times New Roman" w:cs="Times New Roman"/>
          <w:sz w:val="24"/>
          <w:szCs w:val="24"/>
          <w:lang w:val="en-US"/>
        </w:rPr>
        <w:t>Tantry</w:t>
      </w:r>
      <w:proofErr w:type="spellEnd"/>
      <w:r w:rsidRPr="00CF2BAC">
        <w:rPr>
          <w:rFonts w:ascii="Times New Roman" w:eastAsia="Times New Roman" w:hAnsi="Times New Roman" w:cs="Times New Roman"/>
          <w:sz w:val="24"/>
          <w:szCs w:val="24"/>
          <w:lang w:val="en-US"/>
        </w:rPr>
        <w:t xml:space="preserve">, U. S., </w:t>
      </w:r>
      <w:proofErr w:type="spellStart"/>
      <w:r w:rsidRPr="00CF2BAC">
        <w:rPr>
          <w:rFonts w:ascii="Times New Roman" w:eastAsia="Times New Roman" w:hAnsi="Times New Roman" w:cs="Times New Roman"/>
          <w:sz w:val="24"/>
          <w:szCs w:val="24"/>
          <w:lang w:val="en-US"/>
        </w:rPr>
        <w:t>Gesheff</w:t>
      </w:r>
      <w:proofErr w:type="spellEnd"/>
      <w:r w:rsidRPr="00CF2BAC">
        <w:rPr>
          <w:rFonts w:ascii="Times New Roman" w:eastAsia="Times New Roman" w:hAnsi="Times New Roman" w:cs="Times New Roman"/>
          <w:sz w:val="24"/>
          <w:szCs w:val="24"/>
          <w:lang w:val="en-US"/>
        </w:rPr>
        <w:t xml:space="preserve">, T., Wei, C., Teng, R., Antonino, M. J., Patil, S. B., </w:t>
      </w:r>
      <w:proofErr w:type="spellStart"/>
      <w:r w:rsidRPr="00CF2BAC">
        <w:rPr>
          <w:rFonts w:ascii="Times New Roman" w:eastAsia="Times New Roman" w:hAnsi="Times New Roman" w:cs="Times New Roman"/>
          <w:sz w:val="24"/>
          <w:szCs w:val="24"/>
          <w:lang w:val="en-US"/>
        </w:rPr>
        <w:t>Karunakaran</w:t>
      </w:r>
      <w:proofErr w:type="spellEnd"/>
      <w:r w:rsidRPr="00CF2BAC">
        <w:rPr>
          <w:rFonts w:ascii="Times New Roman" w:eastAsia="Times New Roman" w:hAnsi="Times New Roman" w:cs="Times New Roman"/>
          <w:sz w:val="24"/>
          <w:szCs w:val="24"/>
          <w:lang w:val="en-US"/>
        </w:rPr>
        <w:t xml:space="preserve">, A., </w:t>
      </w:r>
      <w:proofErr w:type="spellStart"/>
      <w:r w:rsidRPr="00CF2BAC">
        <w:rPr>
          <w:rFonts w:ascii="Times New Roman" w:eastAsia="Times New Roman" w:hAnsi="Times New Roman" w:cs="Times New Roman"/>
          <w:sz w:val="24"/>
          <w:szCs w:val="24"/>
          <w:lang w:val="en-US"/>
        </w:rPr>
        <w:t>Kereiakes</w:t>
      </w:r>
      <w:proofErr w:type="spellEnd"/>
      <w:r w:rsidRPr="00CF2BAC">
        <w:rPr>
          <w:rFonts w:ascii="Times New Roman" w:eastAsia="Times New Roman" w:hAnsi="Times New Roman" w:cs="Times New Roman"/>
          <w:sz w:val="24"/>
          <w:szCs w:val="24"/>
          <w:lang w:val="en-US"/>
        </w:rPr>
        <w:t xml:space="preserve">, D. J., Parris, C., Purdy, D., Wilson, V., </w:t>
      </w:r>
      <w:proofErr w:type="spellStart"/>
      <w:r w:rsidRPr="00CF2BAC">
        <w:rPr>
          <w:rFonts w:ascii="Times New Roman" w:eastAsia="Times New Roman" w:hAnsi="Times New Roman" w:cs="Times New Roman"/>
          <w:sz w:val="24"/>
          <w:szCs w:val="24"/>
          <w:lang w:val="en-US"/>
        </w:rPr>
        <w:t>Ledley</w:t>
      </w:r>
      <w:proofErr w:type="spellEnd"/>
      <w:r w:rsidRPr="00CF2BAC">
        <w:rPr>
          <w:rFonts w:ascii="Times New Roman" w:eastAsia="Times New Roman" w:hAnsi="Times New Roman" w:cs="Times New Roman"/>
          <w:sz w:val="24"/>
          <w:szCs w:val="24"/>
          <w:lang w:val="en-US"/>
        </w:rPr>
        <w:t xml:space="preserve">, G. S., &amp; </w:t>
      </w:r>
      <w:proofErr w:type="spellStart"/>
      <w:r w:rsidRPr="00CF2BAC">
        <w:rPr>
          <w:rFonts w:ascii="Times New Roman" w:eastAsia="Times New Roman" w:hAnsi="Times New Roman" w:cs="Times New Roman"/>
          <w:sz w:val="24"/>
          <w:szCs w:val="24"/>
          <w:lang w:val="en-US"/>
        </w:rPr>
        <w:t>Storey</w:t>
      </w:r>
      <w:proofErr w:type="spellEnd"/>
      <w:r w:rsidRPr="00CF2BAC">
        <w:rPr>
          <w:rFonts w:ascii="Times New Roman" w:eastAsia="Times New Roman" w:hAnsi="Times New Roman" w:cs="Times New Roman"/>
          <w:sz w:val="24"/>
          <w:szCs w:val="24"/>
          <w:lang w:val="en-US"/>
        </w:rPr>
        <w:t xml:space="preserve">, R. F. (2009). Randomized double-blind assessment of the ONSET and OFFSET of the antiplatelet effects of ticagrelor versus clopidogrel in patients with stable coronary artery disease: The ONSET/OFFSET study. </w:t>
      </w:r>
      <w:r w:rsidRPr="00CF2BAC">
        <w:rPr>
          <w:rFonts w:ascii="Times New Roman" w:eastAsia="Times New Roman" w:hAnsi="Times New Roman" w:cs="Times New Roman"/>
          <w:i/>
          <w:iCs/>
          <w:sz w:val="24"/>
          <w:szCs w:val="24"/>
          <w:lang w:val="en-US"/>
        </w:rPr>
        <w:t>Circulation, 120</w:t>
      </w:r>
      <w:r w:rsidRPr="00CF2BAC">
        <w:rPr>
          <w:rFonts w:ascii="Times New Roman" w:eastAsia="Times New Roman" w:hAnsi="Times New Roman" w:cs="Times New Roman"/>
          <w:sz w:val="24"/>
          <w:szCs w:val="24"/>
          <w:lang w:val="en-US"/>
        </w:rPr>
        <w:t xml:space="preserve">(25), 2577–2585. </w:t>
      </w:r>
      <w:hyperlink r:id="rId16" w:history="1">
        <w:r w:rsidRPr="00CF2BAC">
          <w:rPr>
            <w:rFonts w:ascii="Times New Roman" w:eastAsia="Times New Roman" w:hAnsi="Times New Roman" w:cs="Times New Roman"/>
            <w:color w:val="0000FF"/>
            <w:sz w:val="24"/>
            <w:szCs w:val="24"/>
            <w:u w:val="single"/>
            <w:lang w:val="en-US"/>
          </w:rPr>
          <w:t>https://doi.org/10.1161/CIRCULATIONAHA.109.912550</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Hahn, J. Y., Song, Y. B., Oh, J. H., Chun, W. J., Park, Y. H., Jang, W. J., </w:t>
      </w:r>
      <w:proofErr w:type="spellStart"/>
      <w:r w:rsidRPr="00CF2BAC">
        <w:rPr>
          <w:rFonts w:ascii="Times New Roman" w:eastAsia="Times New Roman" w:hAnsi="Times New Roman" w:cs="Times New Roman"/>
          <w:sz w:val="24"/>
          <w:szCs w:val="24"/>
          <w:lang w:val="en-US"/>
        </w:rPr>
        <w:t>Im</w:t>
      </w:r>
      <w:proofErr w:type="spellEnd"/>
      <w:r w:rsidRPr="00CF2BAC">
        <w:rPr>
          <w:rFonts w:ascii="Times New Roman" w:eastAsia="Times New Roman" w:hAnsi="Times New Roman" w:cs="Times New Roman"/>
          <w:sz w:val="24"/>
          <w:szCs w:val="24"/>
          <w:lang w:val="en-US"/>
        </w:rPr>
        <w:t xml:space="preserve">, E. S., </w:t>
      </w:r>
      <w:proofErr w:type="spellStart"/>
      <w:r w:rsidRPr="00CF2BAC">
        <w:rPr>
          <w:rFonts w:ascii="Times New Roman" w:eastAsia="Times New Roman" w:hAnsi="Times New Roman" w:cs="Times New Roman"/>
          <w:sz w:val="24"/>
          <w:szCs w:val="24"/>
          <w:lang w:val="en-US"/>
        </w:rPr>
        <w:t>Jeong</w:t>
      </w:r>
      <w:proofErr w:type="spellEnd"/>
      <w:r w:rsidRPr="00CF2BAC">
        <w:rPr>
          <w:rFonts w:ascii="Times New Roman" w:eastAsia="Times New Roman" w:hAnsi="Times New Roman" w:cs="Times New Roman"/>
          <w:sz w:val="24"/>
          <w:szCs w:val="24"/>
          <w:lang w:val="en-US"/>
        </w:rPr>
        <w:t xml:space="preserve">, J. O., Cho, B. R., Oh, S. K., Yun, K. H., Cho, D. K., Lee, J. Y., Koh, Y. Y., Bae, J. W., Choi, J. W., Lee, W. S., Yoon, H. J., Lee, S. U., … </w:t>
      </w:r>
      <w:proofErr w:type="spellStart"/>
      <w:r w:rsidRPr="00CF2BAC">
        <w:rPr>
          <w:rFonts w:ascii="Times New Roman" w:eastAsia="Times New Roman" w:hAnsi="Times New Roman" w:cs="Times New Roman"/>
          <w:sz w:val="24"/>
          <w:szCs w:val="24"/>
          <w:lang w:val="en-US"/>
        </w:rPr>
        <w:t>Gwon</w:t>
      </w:r>
      <w:proofErr w:type="spellEnd"/>
      <w:r w:rsidRPr="00CF2BAC">
        <w:rPr>
          <w:rFonts w:ascii="Times New Roman" w:eastAsia="Times New Roman" w:hAnsi="Times New Roman" w:cs="Times New Roman"/>
          <w:sz w:val="24"/>
          <w:szCs w:val="24"/>
          <w:lang w:val="en-US"/>
        </w:rPr>
        <w:t xml:space="preserve">, H. C. (2019). Effect of P2Y12 inhibitor monotherapy vs dual antiplatelet therapy on cardiovascular events in patients undergoing percutaneous coronary intervention: The SMART-CHOICE randomized clinical trial. </w:t>
      </w:r>
      <w:r w:rsidRPr="00CF2BAC">
        <w:rPr>
          <w:rFonts w:ascii="Times New Roman" w:eastAsia="Times New Roman" w:hAnsi="Times New Roman" w:cs="Times New Roman"/>
          <w:i/>
          <w:iCs/>
          <w:sz w:val="24"/>
          <w:szCs w:val="24"/>
          <w:lang w:val="en-US"/>
        </w:rPr>
        <w:t>JAMA, 321</w:t>
      </w:r>
      <w:r w:rsidRPr="00CF2BAC">
        <w:rPr>
          <w:rFonts w:ascii="Times New Roman" w:eastAsia="Times New Roman" w:hAnsi="Times New Roman" w:cs="Times New Roman"/>
          <w:sz w:val="24"/>
          <w:szCs w:val="24"/>
          <w:lang w:val="en-US"/>
        </w:rPr>
        <w:t xml:space="preserve">(24), 2428–2437. </w:t>
      </w:r>
      <w:hyperlink r:id="rId17" w:history="1">
        <w:r w:rsidRPr="00CF2BAC">
          <w:rPr>
            <w:rFonts w:ascii="Times New Roman" w:eastAsia="Times New Roman" w:hAnsi="Times New Roman" w:cs="Times New Roman"/>
            <w:color w:val="0000FF"/>
            <w:sz w:val="24"/>
            <w:szCs w:val="24"/>
            <w:u w:val="single"/>
            <w:lang w:val="en-US"/>
          </w:rPr>
          <w:t>https://doi.org/10.1001/jama.2019.8146</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Ibanez, B., James, S., </w:t>
      </w:r>
      <w:proofErr w:type="spellStart"/>
      <w:r w:rsidRPr="00CF2BAC">
        <w:rPr>
          <w:rFonts w:ascii="Times New Roman" w:eastAsia="Times New Roman" w:hAnsi="Times New Roman" w:cs="Times New Roman"/>
          <w:sz w:val="24"/>
          <w:szCs w:val="24"/>
          <w:lang w:val="en-US"/>
        </w:rPr>
        <w:t>Agewall</w:t>
      </w:r>
      <w:proofErr w:type="spellEnd"/>
      <w:r w:rsidRPr="00CF2BAC">
        <w:rPr>
          <w:rFonts w:ascii="Times New Roman" w:eastAsia="Times New Roman" w:hAnsi="Times New Roman" w:cs="Times New Roman"/>
          <w:sz w:val="24"/>
          <w:szCs w:val="24"/>
          <w:lang w:val="en-US"/>
        </w:rPr>
        <w:t xml:space="preserve">, S., Antunes, M. J., </w:t>
      </w:r>
      <w:proofErr w:type="spellStart"/>
      <w:r w:rsidRPr="00CF2BAC">
        <w:rPr>
          <w:rFonts w:ascii="Times New Roman" w:eastAsia="Times New Roman" w:hAnsi="Times New Roman" w:cs="Times New Roman"/>
          <w:sz w:val="24"/>
          <w:szCs w:val="24"/>
          <w:lang w:val="en-US"/>
        </w:rPr>
        <w:t>Bucciarelli-Ducci</w:t>
      </w:r>
      <w:proofErr w:type="spellEnd"/>
      <w:r w:rsidRPr="00CF2BAC">
        <w:rPr>
          <w:rFonts w:ascii="Times New Roman" w:eastAsia="Times New Roman" w:hAnsi="Times New Roman" w:cs="Times New Roman"/>
          <w:sz w:val="24"/>
          <w:szCs w:val="24"/>
          <w:lang w:val="en-US"/>
        </w:rPr>
        <w:t xml:space="preserve">, C., Bueno, H., </w:t>
      </w:r>
      <w:proofErr w:type="spellStart"/>
      <w:r w:rsidRPr="00CF2BAC">
        <w:rPr>
          <w:rFonts w:ascii="Times New Roman" w:eastAsia="Times New Roman" w:hAnsi="Times New Roman" w:cs="Times New Roman"/>
          <w:sz w:val="24"/>
          <w:szCs w:val="24"/>
          <w:lang w:val="en-US"/>
        </w:rPr>
        <w:t>Caforio</w:t>
      </w:r>
      <w:proofErr w:type="spellEnd"/>
      <w:r w:rsidRPr="00CF2BAC">
        <w:rPr>
          <w:rFonts w:ascii="Times New Roman" w:eastAsia="Times New Roman" w:hAnsi="Times New Roman" w:cs="Times New Roman"/>
          <w:sz w:val="24"/>
          <w:szCs w:val="24"/>
          <w:lang w:val="en-US"/>
        </w:rPr>
        <w:t xml:space="preserve">, A. L. P., </w:t>
      </w:r>
      <w:proofErr w:type="spellStart"/>
      <w:r w:rsidRPr="00CF2BAC">
        <w:rPr>
          <w:rFonts w:ascii="Times New Roman" w:eastAsia="Times New Roman" w:hAnsi="Times New Roman" w:cs="Times New Roman"/>
          <w:sz w:val="24"/>
          <w:szCs w:val="24"/>
          <w:lang w:val="en-US"/>
        </w:rPr>
        <w:t>Crea</w:t>
      </w:r>
      <w:proofErr w:type="spellEnd"/>
      <w:r w:rsidRPr="00CF2BAC">
        <w:rPr>
          <w:rFonts w:ascii="Times New Roman" w:eastAsia="Times New Roman" w:hAnsi="Times New Roman" w:cs="Times New Roman"/>
          <w:sz w:val="24"/>
          <w:szCs w:val="24"/>
          <w:lang w:val="en-US"/>
        </w:rPr>
        <w:t xml:space="preserve">, F., </w:t>
      </w:r>
      <w:proofErr w:type="spellStart"/>
      <w:r w:rsidRPr="00CF2BAC">
        <w:rPr>
          <w:rFonts w:ascii="Times New Roman" w:eastAsia="Times New Roman" w:hAnsi="Times New Roman" w:cs="Times New Roman"/>
          <w:sz w:val="24"/>
          <w:szCs w:val="24"/>
          <w:lang w:val="en-US"/>
        </w:rPr>
        <w:t>Goudevenos</w:t>
      </w:r>
      <w:proofErr w:type="spellEnd"/>
      <w:r w:rsidRPr="00CF2BAC">
        <w:rPr>
          <w:rFonts w:ascii="Times New Roman" w:eastAsia="Times New Roman" w:hAnsi="Times New Roman" w:cs="Times New Roman"/>
          <w:sz w:val="24"/>
          <w:szCs w:val="24"/>
          <w:lang w:val="en-US"/>
        </w:rPr>
        <w:t xml:space="preserve">, J. A., Halvorsen, S., </w:t>
      </w:r>
      <w:proofErr w:type="spellStart"/>
      <w:r w:rsidRPr="00CF2BAC">
        <w:rPr>
          <w:rFonts w:ascii="Times New Roman" w:eastAsia="Times New Roman" w:hAnsi="Times New Roman" w:cs="Times New Roman"/>
          <w:sz w:val="24"/>
          <w:szCs w:val="24"/>
          <w:lang w:val="en-US"/>
        </w:rPr>
        <w:t>Hindricks</w:t>
      </w:r>
      <w:proofErr w:type="spellEnd"/>
      <w:r w:rsidRPr="00CF2BAC">
        <w:rPr>
          <w:rFonts w:ascii="Times New Roman" w:eastAsia="Times New Roman" w:hAnsi="Times New Roman" w:cs="Times New Roman"/>
          <w:sz w:val="24"/>
          <w:szCs w:val="24"/>
          <w:lang w:val="en-US"/>
        </w:rPr>
        <w:t xml:space="preserve">, G., </w:t>
      </w:r>
      <w:proofErr w:type="spellStart"/>
      <w:r w:rsidRPr="00CF2BAC">
        <w:rPr>
          <w:rFonts w:ascii="Times New Roman" w:eastAsia="Times New Roman" w:hAnsi="Times New Roman" w:cs="Times New Roman"/>
          <w:sz w:val="24"/>
          <w:szCs w:val="24"/>
          <w:lang w:val="en-US"/>
        </w:rPr>
        <w:t>Kastrati</w:t>
      </w:r>
      <w:proofErr w:type="spellEnd"/>
      <w:r w:rsidRPr="00CF2BAC">
        <w:rPr>
          <w:rFonts w:ascii="Times New Roman" w:eastAsia="Times New Roman" w:hAnsi="Times New Roman" w:cs="Times New Roman"/>
          <w:sz w:val="24"/>
          <w:szCs w:val="24"/>
          <w:lang w:val="en-US"/>
        </w:rPr>
        <w:t xml:space="preserve">, A., </w:t>
      </w:r>
      <w:proofErr w:type="spellStart"/>
      <w:r w:rsidRPr="00CF2BAC">
        <w:rPr>
          <w:rFonts w:ascii="Times New Roman" w:eastAsia="Times New Roman" w:hAnsi="Times New Roman" w:cs="Times New Roman"/>
          <w:sz w:val="24"/>
          <w:szCs w:val="24"/>
          <w:lang w:val="en-US"/>
        </w:rPr>
        <w:t>Lenzen</w:t>
      </w:r>
      <w:proofErr w:type="spellEnd"/>
      <w:r w:rsidRPr="00CF2BAC">
        <w:rPr>
          <w:rFonts w:ascii="Times New Roman" w:eastAsia="Times New Roman" w:hAnsi="Times New Roman" w:cs="Times New Roman"/>
          <w:sz w:val="24"/>
          <w:szCs w:val="24"/>
          <w:lang w:val="en-US"/>
        </w:rPr>
        <w:t xml:space="preserve">, M. J., Prescott, E., </w:t>
      </w:r>
      <w:proofErr w:type="spellStart"/>
      <w:r w:rsidRPr="00CF2BAC">
        <w:rPr>
          <w:rFonts w:ascii="Times New Roman" w:eastAsia="Times New Roman" w:hAnsi="Times New Roman" w:cs="Times New Roman"/>
          <w:sz w:val="24"/>
          <w:szCs w:val="24"/>
          <w:lang w:val="en-US"/>
        </w:rPr>
        <w:t>Roffi</w:t>
      </w:r>
      <w:proofErr w:type="spellEnd"/>
      <w:r w:rsidRPr="00CF2BAC">
        <w:rPr>
          <w:rFonts w:ascii="Times New Roman" w:eastAsia="Times New Roman" w:hAnsi="Times New Roman" w:cs="Times New Roman"/>
          <w:sz w:val="24"/>
          <w:szCs w:val="24"/>
          <w:lang w:val="en-US"/>
        </w:rPr>
        <w:t xml:space="preserve">, M.,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M., </w:t>
      </w:r>
      <w:proofErr w:type="spellStart"/>
      <w:r w:rsidRPr="00CF2BAC">
        <w:rPr>
          <w:rFonts w:ascii="Times New Roman" w:eastAsia="Times New Roman" w:hAnsi="Times New Roman" w:cs="Times New Roman"/>
          <w:sz w:val="24"/>
          <w:szCs w:val="24"/>
          <w:lang w:val="en-US"/>
        </w:rPr>
        <w:t>Varenhorst</w:t>
      </w:r>
      <w:proofErr w:type="spellEnd"/>
      <w:r w:rsidRPr="00CF2BAC">
        <w:rPr>
          <w:rFonts w:ascii="Times New Roman" w:eastAsia="Times New Roman" w:hAnsi="Times New Roman" w:cs="Times New Roman"/>
          <w:sz w:val="24"/>
          <w:szCs w:val="24"/>
          <w:lang w:val="en-US"/>
        </w:rPr>
        <w:t xml:space="preserve">, C., </w:t>
      </w:r>
      <w:proofErr w:type="spellStart"/>
      <w:r w:rsidRPr="00CF2BAC">
        <w:rPr>
          <w:rFonts w:ascii="Times New Roman" w:eastAsia="Times New Roman" w:hAnsi="Times New Roman" w:cs="Times New Roman"/>
          <w:sz w:val="24"/>
          <w:szCs w:val="24"/>
          <w:lang w:val="en-US"/>
        </w:rPr>
        <w:t>Vranckx</w:t>
      </w:r>
      <w:proofErr w:type="spellEnd"/>
      <w:r w:rsidRPr="00CF2BAC">
        <w:rPr>
          <w:rFonts w:ascii="Times New Roman" w:eastAsia="Times New Roman" w:hAnsi="Times New Roman" w:cs="Times New Roman"/>
          <w:sz w:val="24"/>
          <w:szCs w:val="24"/>
          <w:lang w:val="en-US"/>
        </w:rPr>
        <w:t xml:space="preserve">, P., &amp; </w:t>
      </w:r>
      <w:proofErr w:type="spellStart"/>
      <w:r w:rsidRPr="00CF2BAC">
        <w:rPr>
          <w:rFonts w:ascii="Times New Roman" w:eastAsia="Times New Roman" w:hAnsi="Times New Roman" w:cs="Times New Roman"/>
          <w:sz w:val="24"/>
          <w:szCs w:val="24"/>
          <w:lang w:val="en-US"/>
        </w:rPr>
        <w:t>Widimský</w:t>
      </w:r>
      <w:proofErr w:type="spellEnd"/>
      <w:r w:rsidRPr="00CF2BAC">
        <w:rPr>
          <w:rFonts w:ascii="Times New Roman" w:eastAsia="Times New Roman" w:hAnsi="Times New Roman" w:cs="Times New Roman"/>
          <w:sz w:val="24"/>
          <w:szCs w:val="24"/>
          <w:lang w:val="en-US"/>
        </w:rPr>
        <w:t xml:space="preserve">, P. (2018). 2017 ESC guidelines for the management of acute myocardial infarction in patients presenting with ST-segment elevation. </w:t>
      </w:r>
      <w:r w:rsidRPr="00CF2BAC">
        <w:rPr>
          <w:rFonts w:ascii="Times New Roman" w:eastAsia="Times New Roman" w:hAnsi="Times New Roman" w:cs="Times New Roman"/>
          <w:i/>
          <w:iCs/>
          <w:sz w:val="24"/>
          <w:szCs w:val="24"/>
          <w:lang w:val="en-US"/>
        </w:rPr>
        <w:t>European Heart Journal, 39</w:t>
      </w:r>
      <w:r w:rsidRPr="00CF2BAC">
        <w:rPr>
          <w:rFonts w:ascii="Times New Roman" w:eastAsia="Times New Roman" w:hAnsi="Times New Roman" w:cs="Times New Roman"/>
          <w:sz w:val="24"/>
          <w:szCs w:val="24"/>
          <w:lang w:val="en-US"/>
        </w:rPr>
        <w:t xml:space="preserve">(2), 119–177. </w:t>
      </w:r>
      <w:hyperlink r:id="rId18" w:history="1">
        <w:r w:rsidRPr="00CF2BAC">
          <w:rPr>
            <w:rFonts w:ascii="Times New Roman" w:eastAsia="Times New Roman" w:hAnsi="Times New Roman" w:cs="Times New Roman"/>
            <w:color w:val="0000FF"/>
            <w:sz w:val="24"/>
            <w:szCs w:val="24"/>
            <w:u w:val="single"/>
            <w:lang w:val="en-US"/>
          </w:rPr>
          <w:t>https://doi.org/10.1093/eurheartj/ehx393</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Kim, B. K., Hong, S. J., Cho, Y. H., Yun, K. H., Kim, Y. H., Suh, Y., Cho, J. Y., Her, A. Y., Cho, S., Jeon, D. W., Shim, W. J., Bae, J. W., Han, K. R., Kwon, S. W., Lim, D. S., &amp; Hong, M. K. (2020). Effect of ticagrelor monotherapy vs ticagrelor with aspirin on major bleeding and cardiovascular events in patients with acute coronary syndrome: The TICO randomized clinical trial. </w:t>
      </w:r>
      <w:r w:rsidRPr="00CF2BAC">
        <w:rPr>
          <w:rFonts w:ascii="Times New Roman" w:eastAsia="Times New Roman" w:hAnsi="Times New Roman" w:cs="Times New Roman"/>
          <w:i/>
          <w:iCs/>
          <w:sz w:val="24"/>
          <w:szCs w:val="24"/>
          <w:lang w:val="en-US"/>
        </w:rPr>
        <w:t>JAMA, 323</w:t>
      </w:r>
      <w:r w:rsidRPr="00CF2BAC">
        <w:rPr>
          <w:rFonts w:ascii="Times New Roman" w:eastAsia="Times New Roman" w:hAnsi="Times New Roman" w:cs="Times New Roman"/>
          <w:sz w:val="24"/>
          <w:szCs w:val="24"/>
          <w:lang w:val="en-US"/>
        </w:rPr>
        <w:t xml:space="preserve">(23), 2407–2416. </w:t>
      </w:r>
      <w:hyperlink r:id="rId19" w:history="1">
        <w:r w:rsidRPr="00CF2BAC">
          <w:rPr>
            <w:rFonts w:ascii="Times New Roman" w:eastAsia="Times New Roman" w:hAnsi="Times New Roman" w:cs="Times New Roman"/>
            <w:color w:val="0000FF"/>
            <w:sz w:val="24"/>
            <w:szCs w:val="24"/>
            <w:u w:val="single"/>
            <w:lang w:val="en-US"/>
          </w:rPr>
          <w:t>https://doi.org/10.1001/jama.2020.7580</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Koo, B. K., Kang, J., Park, K. W., Rhee, T. M., Yang, H. M., Won, K. B., </w:t>
      </w:r>
      <w:proofErr w:type="spellStart"/>
      <w:r w:rsidRPr="00CF2BAC">
        <w:rPr>
          <w:rFonts w:ascii="Times New Roman" w:eastAsia="Times New Roman" w:hAnsi="Times New Roman" w:cs="Times New Roman"/>
          <w:sz w:val="24"/>
          <w:szCs w:val="24"/>
          <w:lang w:val="en-US"/>
        </w:rPr>
        <w:t>Rha</w:t>
      </w:r>
      <w:proofErr w:type="spellEnd"/>
      <w:r w:rsidRPr="00CF2BAC">
        <w:rPr>
          <w:rFonts w:ascii="Times New Roman" w:eastAsia="Times New Roman" w:hAnsi="Times New Roman" w:cs="Times New Roman"/>
          <w:sz w:val="24"/>
          <w:szCs w:val="24"/>
          <w:lang w:val="en-US"/>
        </w:rPr>
        <w:t xml:space="preserve">, S. W., Bae, J. W., Lee, N. H., </w:t>
      </w:r>
      <w:proofErr w:type="spellStart"/>
      <w:r w:rsidRPr="00CF2BAC">
        <w:rPr>
          <w:rFonts w:ascii="Times New Roman" w:eastAsia="Times New Roman" w:hAnsi="Times New Roman" w:cs="Times New Roman"/>
          <w:sz w:val="24"/>
          <w:szCs w:val="24"/>
          <w:lang w:val="en-US"/>
        </w:rPr>
        <w:t>Hur</w:t>
      </w:r>
      <w:proofErr w:type="spellEnd"/>
      <w:r w:rsidRPr="00CF2BAC">
        <w:rPr>
          <w:rFonts w:ascii="Times New Roman" w:eastAsia="Times New Roman" w:hAnsi="Times New Roman" w:cs="Times New Roman"/>
          <w:sz w:val="24"/>
          <w:szCs w:val="24"/>
          <w:lang w:val="en-US"/>
        </w:rPr>
        <w:t xml:space="preserve">, S. H., Yoon, H. J., Kim, H. J., Kim, S., Lee, S. Y., </w:t>
      </w:r>
      <w:proofErr w:type="spellStart"/>
      <w:r w:rsidRPr="00CF2BAC">
        <w:rPr>
          <w:rFonts w:ascii="Times New Roman" w:eastAsia="Times New Roman" w:hAnsi="Times New Roman" w:cs="Times New Roman"/>
          <w:sz w:val="24"/>
          <w:szCs w:val="24"/>
          <w:lang w:val="en-US"/>
        </w:rPr>
        <w:t>Ahn</w:t>
      </w:r>
      <w:proofErr w:type="spellEnd"/>
      <w:r w:rsidRPr="00CF2BAC">
        <w:rPr>
          <w:rFonts w:ascii="Times New Roman" w:eastAsia="Times New Roman" w:hAnsi="Times New Roman" w:cs="Times New Roman"/>
          <w:sz w:val="24"/>
          <w:szCs w:val="24"/>
          <w:lang w:val="en-US"/>
        </w:rPr>
        <w:t xml:space="preserve">, H. S., Chun, K. J., Lee, J. H., Her, S. H., Hwang, K. K., … Kim, H. S. (2021). Aspirin versus clopidogrel for </w:t>
      </w:r>
      <w:r w:rsidRPr="00CF2BAC">
        <w:rPr>
          <w:rFonts w:ascii="Times New Roman" w:eastAsia="Times New Roman" w:hAnsi="Times New Roman" w:cs="Times New Roman"/>
          <w:sz w:val="24"/>
          <w:szCs w:val="24"/>
          <w:lang w:val="en-US"/>
        </w:rPr>
        <w:lastRenderedPageBreak/>
        <w:t xml:space="preserve">chronic maintenance monotherapy after percutaneous coronary intervention (HOST-EXAM): An investigator-initiated, prospective,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open-label, </w:t>
      </w:r>
      <w:proofErr w:type="spellStart"/>
      <w:r w:rsidRPr="00CF2BAC">
        <w:rPr>
          <w:rFonts w:ascii="Times New Roman" w:eastAsia="Times New Roman" w:hAnsi="Times New Roman" w:cs="Times New Roman"/>
          <w:sz w:val="24"/>
          <w:szCs w:val="24"/>
          <w:lang w:val="en-US"/>
        </w:rPr>
        <w:t>multicentre</w:t>
      </w:r>
      <w:proofErr w:type="spellEnd"/>
      <w:r w:rsidRPr="00CF2BAC">
        <w:rPr>
          <w:rFonts w:ascii="Times New Roman" w:eastAsia="Times New Roman" w:hAnsi="Times New Roman" w:cs="Times New Roman"/>
          <w:sz w:val="24"/>
          <w:szCs w:val="24"/>
          <w:lang w:val="en-US"/>
        </w:rPr>
        <w:t xml:space="preserve"> trial. </w:t>
      </w:r>
      <w:r w:rsidRPr="00CF2BAC">
        <w:rPr>
          <w:rFonts w:ascii="Times New Roman" w:eastAsia="Times New Roman" w:hAnsi="Times New Roman" w:cs="Times New Roman"/>
          <w:i/>
          <w:iCs/>
          <w:sz w:val="24"/>
          <w:szCs w:val="24"/>
          <w:lang w:val="en-US"/>
        </w:rPr>
        <w:t>The Lancet, 397</w:t>
      </w:r>
      <w:r w:rsidRPr="00CF2BAC">
        <w:rPr>
          <w:rFonts w:ascii="Times New Roman" w:eastAsia="Times New Roman" w:hAnsi="Times New Roman" w:cs="Times New Roman"/>
          <w:sz w:val="24"/>
          <w:szCs w:val="24"/>
          <w:lang w:val="en-US"/>
        </w:rPr>
        <w:t xml:space="preserve">(10293), 2487–2496. </w:t>
      </w:r>
      <w:hyperlink r:id="rId20" w:history="1">
        <w:r w:rsidRPr="00CF2BAC">
          <w:rPr>
            <w:rFonts w:ascii="Times New Roman" w:eastAsia="Times New Roman" w:hAnsi="Times New Roman" w:cs="Times New Roman"/>
            <w:color w:val="0000FF"/>
            <w:sz w:val="24"/>
            <w:szCs w:val="24"/>
            <w:u w:val="single"/>
            <w:lang w:val="en-US"/>
          </w:rPr>
          <w:t>https://doi.org/10.1016/S0140-6736(21)01063-1</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Levine, G. N., Bates, E. R., </w:t>
      </w:r>
      <w:proofErr w:type="spellStart"/>
      <w:r w:rsidRPr="00CF2BAC">
        <w:rPr>
          <w:rFonts w:ascii="Times New Roman" w:eastAsia="Times New Roman" w:hAnsi="Times New Roman" w:cs="Times New Roman"/>
          <w:sz w:val="24"/>
          <w:szCs w:val="24"/>
          <w:lang w:val="en-US"/>
        </w:rPr>
        <w:t>Bittl</w:t>
      </w:r>
      <w:proofErr w:type="spellEnd"/>
      <w:r w:rsidRPr="00CF2BAC">
        <w:rPr>
          <w:rFonts w:ascii="Times New Roman" w:eastAsia="Times New Roman" w:hAnsi="Times New Roman" w:cs="Times New Roman"/>
          <w:sz w:val="24"/>
          <w:szCs w:val="24"/>
          <w:lang w:val="en-US"/>
        </w:rPr>
        <w:t xml:space="preserve">, J. A., </w:t>
      </w:r>
      <w:proofErr w:type="spellStart"/>
      <w:r w:rsidRPr="00CF2BAC">
        <w:rPr>
          <w:rFonts w:ascii="Times New Roman" w:eastAsia="Times New Roman" w:hAnsi="Times New Roman" w:cs="Times New Roman"/>
          <w:sz w:val="24"/>
          <w:szCs w:val="24"/>
          <w:lang w:val="en-US"/>
        </w:rPr>
        <w:t>Brindis</w:t>
      </w:r>
      <w:proofErr w:type="spellEnd"/>
      <w:r w:rsidRPr="00CF2BAC">
        <w:rPr>
          <w:rFonts w:ascii="Times New Roman" w:eastAsia="Times New Roman" w:hAnsi="Times New Roman" w:cs="Times New Roman"/>
          <w:sz w:val="24"/>
          <w:szCs w:val="24"/>
          <w:lang w:val="en-US"/>
        </w:rPr>
        <w:t xml:space="preserve">, R. G., </w:t>
      </w:r>
      <w:proofErr w:type="spellStart"/>
      <w:r w:rsidRPr="00CF2BAC">
        <w:rPr>
          <w:rFonts w:ascii="Times New Roman" w:eastAsia="Times New Roman" w:hAnsi="Times New Roman" w:cs="Times New Roman"/>
          <w:sz w:val="24"/>
          <w:szCs w:val="24"/>
          <w:lang w:val="en-US"/>
        </w:rPr>
        <w:t>Fihn</w:t>
      </w:r>
      <w:proofErr w:type="spellEnd"/>
      <w:r w:rsidRPr="00CF2BAC">
        <w:rPr>
          <w:rFonts w:ascii="Times New Roman" w:eastAsia="Times New Roman" w:hAnsi="Times New Roman" w:cs="Times New Roman"/>
          <w:sz w:val="24"/>
          <w:szCs w:val="24"/>
          <w:lang w:val="en-US"/>
        </w:rPr>
        <w:t xml:space="preserve">, S. D., Fleisher, L. A., Granger, C. B., Lange, R. A., Mack, M. J., Mauri, L., Mehran, R., Mukherjee, D., Newby, L. K., O'Gara, P. T., </w:t>
      </w:r>
      <w:proofErr w:type="spellStart"/>
      <w:r w:rsidRPr="00CF2BAC">
        <w:rPr>
          <w:rFonts w:ascii="Times New Roman" w:eastAsia="Times New Roman" w:hAnsi="Times New Roman" w:cs="Times New Roman"/>
          <w:sz w:val="24"/>
          <w:szCs w:val="24"/>
          <w:lang w:val="en-US"/>
        </w:rPr>
        <w:t>Sabatine</w:t>
      </w:r>
      <w:proofErr w:type="spellEnd"/>
      <w:r w:rsidRPr="00CF2BAC">
        <w:rPr>
          <w:rFonts w:ascii="Times New Roman" w:eastAsia="Times New Roman" w:hAnsi="Times New Roman" w:cs="Times New Roman"/>
          <w:sz w:val="24"/>
          <w:szCs w:val="24"/>
          <w:lang w:val="en-US"/>
        </w:rPr>
        <w:t xml:space="preserve">, M. S., Smith, P. K., &amp; Smith, S. C. (2016). 2016 ACC/AHA guideline focused update on duration of dual antiplatelet therapy in patients with coronary artery disease. </w:t>
      </w:r>
      <w:r w:rsidRPr="00CF2BAC">
        <w:rPr>
          <w:rFonts w:ascii="Times New Roman" w:eastAsia="Times New Roman" w:hAnsi="Times New Roman" w:cs="Times New Roman"/>
          <w:i/>
          <w:iCs/>
          <w:sz w:val="24"/>
          <w:szCs w:val="24"/>
          <w:lang w:val="en-US"/>
        </w:rPr>
        <w:t>Journal of the American College of Cardiology, 68</w:t>
      </w:r>
      <w:r w:rsidRPr="00CF2BAC">
        <w:rPr>
          <w:rFonts w:ascii="Times New Roman" w:eastAsia="Times New Roman" w:hAnsi="Times New Roman" w:cs="Times New Roman"/>
          <w:sz w:val="24"/>
          <w:szCs w:val="24"/>
          <w:lang w:val="en-US"/>
        </w:rPr>
        <w:t xml:space="preserve">(10), 1082–1115. </w:t>
      </w:r>
      <w:hyperlink r:id="rId21" w:history="1">
        <w:r w:rsidRPr="00CF2BAC">
          <w:rPr>
            <w:rFonts w:ascii="Times New Roman" w:eastAsia="Times New Roman" w:hAnsi="Times New Roman" w:cs="Times New Roman"/>
            <w:color w:val="0000FF"/>
            <w:sz w:val="24"/>
            <w:szCs w:val="24"/>
            <w:u w:val="single"/>
            <w:lang w:val="en-US"/>
          </w:rPr>
          <w:t>https://doi.org/10.1016/j.jacc.2016.03.513</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Lopes, R. D., Heizer, G., Aronson, R., Vora, A. N., Massaro, T., Mehran, R., Goodman, S. G., </w:t>
      </w:r>
      <w:proofErr w:type="spellStart"/>
      <w:r w:rsidRPr="00CF2BAC">
        <w:rPr>
          <w:rFonts w:ascii="Times New Roman" w:eastAsia="Times New Roman" w:hAnsi="Times New Roman" w:cs="Times New Roman"/>
          <w:sz w:val="24"/>
          <w:szCs w:val="24"/>
          <w:lang w:val="en-US"/>
        </w:rPr>
        <w:t>Windecker</w:t>
      </w:r>
      <w:proofErr w:type="spellEnd"/>
      <w:r w:rsidRPr="00CF2BAC">
        <w:rPr>
          <w:rFonts w:ascii="Times New Roman" w:eastAsia="Times New Roman" w:hAnsi="Times New Roman" w:cs="Times New Roman"/>
          <w:sz w:val="24"/>
          <w:szCs w:val="24"/>
          <w:lang w:val="en-US"/>
        </w:rPr>
        <w:t xml:space="preserve">, S., Darius, H., Li, J., </w:t>
      </w:r>
      <w:proofErr w:type="spellStart"/>
      <w:r w:rsidRPr="00CF2BAC">
        <w:rPr>
          <w:rFonts w:ascii="Times New Roman" w:eastAsia="Times New Roman" w:hAnsi="Times New Roman" w:cs="Times New Roman"/>
          <w:sz w:val="24"/>
          <w:szCs w:val="24"/>
          <w:lang w:val="en-US"/>
        </w:rPr>
        <w:t>Averkov</w:t>
      </w:r>
      <w:proofErr w:type="spellEnd"/>
      <w:r w:rsidRPr="00CF2BAC">
        <w:rPr>
          <w:rFonts w:ascii="Times New Roman" w:eastAsia="Times New Roman" w:hAnsi="Times New Roman" w:cs="Times New Roman"/>
          <w:sz w:val="24"/>
          <w:szCs w:val="24"/>
          <w:lang w:val="en-US"/>
        </w:rPr>
        <w:t xml:space="preserve">, O., </w:t>
      </w:r>
      <w:proofErr w:type="spellStart"/>
      <w:r w:rsidRPr="00CF2BAC">
        <w:rPr>
          <w:rFonts w:ascii="Times New Roman" w:eastAsia="Times New Roman" w:hAnsi="Times New Roman" w:cs="Times New Roman"/>
          <w:sz w:val="24"/>
          <w:szCs w:val="24"/>
          <w:lang w:val="en-US"/>
        </w:rPr>
        <w:t>Bahit</w:t>
      </w:r>
      <w:proofErr w:type="spellEnd"/>
      <w:r w:rsidRPr="00CF2BAC">
        <w:rPr>
          <w:rFonts w:ascii="Times New Roman" w:eastAsia="Times New Roman" w:hAnsi="Times New Roman" w:cs="Times New Roman"/>
          <w:sz w:val="24"/>
          <w:szCs w:val="24"/>
          <w:lang w:val="en-US"/>
        </w:rPr>
        <w:t xml:space="preserve">, M. C., Berwanger, O., </w:t>
      </w:r>
      <w:proofErr w:type="spellStart"/>
      <w:r w:rsidRPr="00CF2BAC">
        <w:rPr>
          <w:rFonts w:ascii="Times New Roman" w:eastAsia="Times New Roman" w:hAnsi="Times New Roman" w:cs="Times New Roman"/>
          <w:sz w:val="24"/>
          <w:szCs w:val="24"/>
          <w:lang w:val="en-US"/>
        </w:rPr>
        <w:t>Budaj</w:t>
      </w:r>
      <w:proofErr w:type="spellEnd"/>
      <w:r w:rsidRPr="00CF2BAC">
        <w:rPr>
          <w:rFonts w:ascii="Times New Roman" w:eastAsia="Times New Roman" w:hAnsi="Times New Roman" w:cs="Times New Roman"/>
          <w:sz w:val="24"/>
          <w:szCs w:val="24"/>
          <w:lang w:val="en-US"/>
        </w:rPr>
        <w:t xml:space="preserve">, A., Hijazi, Z., </w:t>
      </w:r>
      <w:proofErr w:type="spellStart"/>
      <w:r w:rsidRPr="00CF2BAC">
        <w:rPr>
          <w:rFonts w:ascii="Times New Roman" w:eastAsia="Times New Roman" w:hAnsi="Times New Roman" w:cs="Times New Roman"/>
          <w:sz w:val="24"/>
          <w:szCs w:val="24"/>
          <w:lang w:val="en-US"/>
        </w:rPr>
        <w:t>Parkhomenko</w:t>
      </w:r>
      <w:proofErr w:type="spellEnd"/>
      <w:r w:rsidRPr="00CF2BAC">
        <w:rPr>
          <w:rFonts w:ascii="Times New Roman" w:eastAsia="Times New Roman" w:hAnsi="Times New Roman" w:cs="Times New Roman"/>
          <w:sz w:val="24"/>
          <w:szCs w:val="24"/>
          <w:lang w:val="en-US"/>
        </w:rPr>
        <w:t xml:space="preserve">, A., </w:t>
      </w:r>
      <w:proofErr w:type="spellStart"/>
      <w:r w:rsidRPr="00CF2BAC">
        <w:rPr>
          <w:rFonts w:ascii="Times New Roman" w:eastAsia="Times New Roman" w:hAnsi="Times New Roman" w:cs="Times New Roman"/>
          <w:sz w:val="24"/>
          <w:szCs w:val="24"/>
          <w:lang w:val="en-US"/>
        </w:rPr>
        <w:t>Sinnaeve</w:t>
      </w:r>
      <w:proofErr w:type="spellEnd"/>
      <w:r w:rsidRPr="00CF2BAC">
        <w:rPr>
          <w:rFonts w:ascii="Times New Roman" w:eastAsia="Times New Roman" w:hAnsi="Times New Roman" w:cs="Times New Roman"/>
          <w:sz w:val="24"/>
          <w:szCs w:val="24"/>
          <w:lang w:val="en-US"/>
        </w:rPr>
        <w:t xml:space="preserve">, P., </w:t>
      </w:r>
      <w:proofErr w:type="spellStart"/>
      <w:r w:rsidRPr="00CF2BAC">
        <w:rPr>
          <w:rFonts w:ascii="Times New Roman" w:eastAsia="Times New Roman" w:hAnsi="Times New Roman" w:cs="Times New Roman"/>
          <w:sz w:val="24"/>
          <w:szCs w:val="24"/>
          <w:lang w:val="en-US"/>
        </w:rPr>
        <w:t>Storey</w:t>
      </w:r>
      <w:proofErr w:type="spellEnd"/>
      <w:r w:rsidRPr="00CF2BAC">
        <w:rPr>
          <w:rFonts w:ascii="Times New Roman" w:eastAsia="Times New Roman" w:hAnsi="Times New Roman" w:cs="Times New Roman"/>
          <w:sz w:val="24"/>
          <w:szCs w:val="24"/>
          <w:lang w:val="en-US"/>
        </w:rPr>
        <w:t xml:space="preserve">, R. F., Thiele, H., … Alexander, J. H. (2019). Antithrombotic therapy after acute coronary syndrome or PCI in atrial fibrillation. </w:t>
      </w:r>
      <w:r w:rsidRPr="00CF2BAC">
        <w:rPr>
          <w:rFonts w:ascii="Times New Roman" w:eastAsia="Times New Roman" w:hAnsi="Times New Roman" w:cs="Times New Roman"/>
          <w:i/>
          <w:iCs/>
          <w:sz w:val="24"/>
          <w:szCs w:val="24"/>
          <w:lang w:val="en-US"/>
        </w:rPr>
        <w:t>New England Journal of Medicine, 380</w:t>
      </w:r>
      <w:r w:rsidRPr="00CF2BAC">
        <w:rPr>
          <w:rFonts w:ascii="Times New Roman" w:eastAsia="Times New Roman" w:hAnsi="Times New Roman" w:cs="Times New Roman"/>
          <w:sz w:val="24"/>
          <w:szCs w:val="24"/>
          <w:lang w:val="en-US"/>
        </w:rPr>
        <w:t xml:space="preserve">(16), 1509–1524. </w:t>
      </w:r>
      <w:hyperlink r:id="rId22" w:history="1">
        <w:r w:rsidRPr="00CF2BAC">
          <w:rPr>
            <w:rFonts w:ascii="Times New Roman" w:eastAsia="Times New Roman" w:hAnsi="Times New Roman" w:cs="Times New Roman"/>
            <w:color w:val="0000FF"/>
            <w:sz w:val="24"/>
            <w:szCs w:val="24"/>
            <w:u w:val="single"/>
            <w:lang w:val="en-US"/>
          </w:rPr>
          <w:t>https://doi.org/10.1056/NEJMoa1817083</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Mauri, L., </w:t>
      </w:r>
      <w:proofErr w:type="spellStart"/>
      <w:r w:rsidRPr="00CF2BAC">
        <w:rPr>
          <w:rFonts w:ascii="Times New Roman" w:eastAsia="Times New Roman" w:hAnsi="Times New Roman" w:cs="Times New Roman"/>
          <w:sz w:val="24"/>
          <w:szCs w:val="24"/>
          <w:lang w:val="en-US"/>
        </w:rPr>
        <w:t>Kereiakes</w:t>
      </w:r>
      <w:proofErr w:type="spellEnd"/>
      <w:r w:rsidRPr="00CF2BAC">
        <w:rPr>
          <w:rFonts w:ascii="Times New Roman" w:eastAsia="Times New Roman" w:hAnsi="Times New Roman" w:cs="Times New Roman"/>
          <w:sz w:val="24"/>
          <w:szCs w:val="24"/>
          <w:lang w:val="en-US"/>
        </w:rPr>
        <w:t>, D. J., Yeh, R. W., Driscoll-</w:t>
      </w:r>
      <w:proofErr w:type="spellStart"/>
      <w:r w:rsidRPr="00CF2BAC">
        <w:rPr>
          <w:rFonts w:ascii="Times New Roman" w:eastAsia="Times New Roman" w:hAnsi="Times New Roman" w:cs="Times New Roman"/>
          <w:sz w:val="24"/>
          <w:szCs w:val="24"/>
          <w:lang w:val="en-US"/>
        </w:rPr>
        <w:t>Shempp</w:t>
      </w:r>
      <w:proofErr w:type="spellEnd"/>
      <w:r w:rsidRPr="00CF2BAC">
        <w:rPr>
          <w:rFonts w:ascii="Times New Roman" w:eastAsia="Times New Roman" w:hAnsi="Times New Roman" w:cs="Times New Roman"/>
          <w:sz w:val="24"/>
          <w:szCs w:val="24"/>
          <w:lang w:val="en-US"/>
        </w:rPr>
        <w:t xml:space="preserve">, P., </w:t>
      </w:r>
      <w:proofErr w:type="spellStart"/>
      <w:r w:rsidRPr="00CF2BAC">
        <w:rPr>
          <w:rFonts w:ascii="Times New Roman" w:eastAsia="Times New Roman" w:hAnsi="Times New Roman" w:cs="Times New Roman"/>
          <w:sz w:val="24"/>
          <w:szCs w:val="24"/>
          <w:lang w:val="en-US"/>
        </w:rPr>
        <w:t>Cutlip</w:t>
      </w:r>
      <w:proofErr w:type="spellEnd"/>
      <w:r w:rsidRPr="00CF2BAC">
        <w:rPr>
          <w:rFonts w:ascii="Times New Roman" w:eastAsia="Times New Roman" w:hAnsi="Times New Roman" w:cs="Times New Roman"/>
          <w:sz w:val="24"/>
          <w:szCs w:val="24"/>
          <w:lang w:val="en-US"/>
        </w:rPr>
        <w:t xml:space="preserve">, D. E., Steg, P. G., Normand, S. L. T., </w:t>
      </w:r>
      <w:proofErr w:type="spellStart"/>
      <w:r w:rsidRPr="00CF2BAC">
        <w:rPr>
          <w:rFonts w:ascii="Times New Roman" w:eastAsia="Times New Roman" w:hAnsi="Times New Roman" w:cs="Times New Roman"/>
          <w:sz w:val="24"/>
          <w:szCs w:val="24"/>
          <w:lang w:val="en-US"/>
        </w:rPr>
        <w:t>Braunwald</w:t>
      </w:r>
      <w:proofErr w:type="spellEnd"/>
      <w:r w:rsidRPr="00CF2BAC">
        <w:rPr>
          <w:rFonts w:ascii="Times New Roman" w:eastAsia="Times New Roman" w:hAnsi="Times New Roman" w:cs="Times New Roman"/>
          <w:sz w:val="24"/>
          <w:szCs w:val="24"/>
          <w:lang w:val="en-US"/>
        </w:rPr>
        <w:t xml:space="preserve">, E., </w:t>
      </w:r>
      <w:proofErr w:type="spellStart"/>
      <w:r w:rsidRPr="00CF2BAC">
        <w:rPr>
          <w:rFonts w:ascii="Times New Roman" w:eastAsia="Times New Roman" w:hAnsi="Times New Roman" w:cs="Times New Roman"/>
          <w:sz w:val="24"/>
          <w:szCs w:val="24"/>
          <w:lang w:val="en-US"/>
        </w:rPr>
        <w:t>Wiviott</w:t>
      </w:r>
      <w:proofErr w:type="spellEnd"/>
      <w:r w:rsidRPr="00CF2BAC">
        <w:rPr>
          <w:rFonts w:ascii="Times New Roman" w:eastAsia="Times New Roman" w:hAnsi="Times New Roman" w:cs="Times New Roman"/>
          <w:sz w:val="24"/>
          <w:szCs w:val="24"/>
          <w:lang w:val="en-US"/>
        </w:rPr>
        <w:t xml:space="preserve">, S. D., Cohen, D. J., Holmes, D. R., </w:t>
      </w:r>
      <w:proofErr w:type="spellStart"/>
      <w:r w:rsidRPr="00CF2BAC">
        <w:rPr>
          <w:rFonts w:ascii="Times New Roman" w:eastAsia="Times New Roman" w:hAnsi="Times New Roman" w:cs="Times New Roman"/>
          <w:sz w:val="24"/>
          <w:szCs w:val="24"/>
          <w:lang w:val="en-US"/>
        </w:rPr>
        <w:t>Krucoff</w:t>
      </w:r>
      <w:proofErr w:type="spellEnd"/>
      <w:r w:rsidRPr="00CF2BAC">
        <w:rPr>
          <w:rFonts w:ascii="Times New Roman" w:eastAsia="Times New Roman" w:hAnsi="Times New Roman" w:cs="Times New Roman"/>
          <w:sz w:val="24"/>
          <w:szCs w:val="24"/>
          <w:lang w:val="en-US"/>
        </w:rPr>
        <w:t xml:space="preserve">, M. W., </w:t>
      </w:r>
      <w:proofErr w:type="spellStart"/>
      <w:r w:rsidRPr="00CF2BAC">
        <w:rPr>
          <w:rFonts w:ascii="Times New Roman" w:eastAsia="Times New Roman" w:hAnsi="Times New Roman" w:cs="Times New Roman"/>
          <w:sz w:val="24"/>
          <w:szCs w:val="24"/>
          <w:lang w:val="en-US"/>
        </w:rPr>
        <w:t>Hermiller</w:t>
      </w:r>
      <w:proofErr w:type="spellEnd"/>
      <w:r w:rsidRPr="00CF2BAC">
        <w:rPr>
          <w:rFonts w:ascii="Times New Roman" w:eastAsia="Times New Roman" w:hAnsi="Times New Roman" w:cs="Times New Roman"/>
          <w:sz w:val="24"/>
          <w:szCs w:val="24"/>
          <w:lang w:val="en-US"/>
        </w:rPr>
        <w:t xml:space="preserve">, J., </w:t>
      </w:r>
      <w:proofErr w:type="spellStart"/>
      <w:r w:rsidRPr="00CF2BAC">
        <w:rPr>
          <w:rFonts w:ascii="Times New Roman" w:eastAsia="Times New Roman" w:hAnsi="Times New Roman" w:cs="Times New Roman"/>
          <w:sz w:val="24"/>
          <w:szCs w:val="24"/>
          <w:lang w:val="en-US"/>
        </w:rPr>
        <w:t>Dauerman</w:t>
      </w:r>
      <w:proofErr w:type="spellEnd"/>
      <w:r w:rsidRPr="00CF2BAC">
        <w:rPr>
          <w:rFonts w:ascii="Times New Roman" w:eastAsia="Times New Roman" w:hAnsi="Times New Roman" w:cs="Times New Roman"/>
          <w:sz w:val="24"/>
          <w:szCs w:val="24"/>
          <w:lang w:val="en-US"/>
        </w:rPr>
        <w:t xml:space="preserve">, H. L., Simon, D. I., </w:t>
      </w:r>
      <w:proofErr w:type="spellStart"/>
      <w:r w:rsidRPr="00CF2BAC">
        <w:rPr>
          <w:rFonts w:ascii="Times New Roman" w:eastAsia="Times New Roman" w:hAnsi="Times New Roman" w:cs="Times New Roman"/>
          <w:sz w:val="24"/>
          <w:szCs w:val="24"/>
          <w:lang w:val="en-US"/>
        </w:rPr>
        <w:t>Kandzari</w:t>
      </w:r>
      <w:proofErr w:type="spellEnd"/>
      <w:r w:rsidRPr="00CF2BAC">
        <w:rPr>
          <w:rFonts w:ascii="Times New Roman" w:eastAsia="Times New Roman" w:hAnsi="Times New Roman" w:cs="Times New Roman"/>
          <w:sz w:val="24"/>
          <w:szCs w:val="24"/>
          <w:lang w:val="en-US"/>
        </w:rPr>
        <w:t xml:space="preserve">, D. E., Garratt, K. N., Lee, D. P., Pow, T. K., … Massaro, J. M. (2014). Twelve or 30 months of dual antiplatelet therapy after drug-eluting stents. </w:t>
      </w:r>
      <w:r w:rsidRPr="00CF2BAC">
        <w:rPr>
          <w:rFonts w:ascii="Times New Roman" w:eastAsia="Times New Roman" w:hAnsi="Times New Roman" w:cs="Times New Roman"/>
          <w:i/>
          <w:iCs/>
          <w:sz w:val="24"/>
          <w:szCs w:val="24"/>
          <w:lang w:val="en-US"/>
        </w:rPr>
        <w:t>New England Journal of Medicine, 371</w:t>
      </w:r>
      <w:r w:rsidRPr="00CF2BAC">
        <w:rPr>
          <w:rFonts w:ascii="Times New Roman" w:eastAsia="Times New Roman" w:hAnsi="Times New Roman" w:cs="Times New Roman"/>
          <w:sz w:val="24"/>
          <w:szCs w:val="24"/>
          <w:lang w:val="en-US"/>
        </w:rPr>
        <w:t xml:space="preserve">(23), 2155–2166. </w:t>
      </w:r>
      <w:hyperlink r:id="rId23" w:history="1">
        <w:r w:rsidRPr="00CF2BAC">
          <w:rPr>
            <w:rFonts w:ascii="Times New Roman" w:eastAsia="Times New Roman" w:hAnsi="Times New Roman" w:cs="Times New Roman"/>
            <w:color w:val="0000FF"/>
            <w:sz w:val="24"/>
            <w:szCs w:val="24"/>
            <w:u w:val="single"/>
            <w:lang w:val="en-US"/>
          </w:rPr>
          <w:t>https://doi.org/10.1056/NEJMoa1409312</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Mehta, S. R., </w:t>
      </w:r>
      <w:proofErr w:type="spellStart"/>
      <w:r w:rsidRPr="00CF2BAC">
        <w:rPr>
          <w:rFonts w:ascii="Times New Roman" w:eastAsia="Times New Roman" w:hAnsi="Times New Roman" w:cs="Times New Roman"/>
          <w:sz w:val="24"/>
          <w:szCs w:val="24"/>
          <w:lang w:val="en-US"/>
        </w:rPr>
        <w:t>Bainey</w:t>
      </w:r>
      <w:proofErr w:type="spellEnd"/>
      <w:r w:rsidRPr="00CF2BAC">
        <w:rPr>
          <w:rFonts w:ascii="Times New Roman" w:eastAsia="Times New Roman" w:hAnsi="Times New Roman" w:cs="Times New Roman"/>
          <w:sz w:val="24"/>
          <w:szCs w:val="24"/>
          <w:lang w:val="en-US"/>
        </w:rPr>
        <w:t xml:space="preserve">, K. R., Cantor, W. J., </w:t>
      </w:r>
      <w:proofErr w:type="spellStart"/>
      <w:r w:rsidRPr="00CF2BAC">
        <w:rPr>
          <w:rFonts w:ascii="Times New Roman" w:eastAsia="Times New Roman" w:hAnsi="Times New Roman" w:cs="Times New Roman"/>
          <w:sz w:val="24"/>
          <w:szCs w:val="24"/>
          <w:lang w:val="en-US"/>
        </w:rPr>
        <w:t>Lordkipanidzé</w:t>
      </w:r>
      <w:proofErr w:type="spellEnd"/>
      <w:r w:rsidRPr="00CF2BAC">
        <w:rPr>
          <w:rFonts w:ascii="Times New Roman" w:eastAsia="Times New Roman" w:hAnsi="Times New Roman" w:cs="Times New Roman"/>
          <w:sz w:val="24"/>
          <w:szCs w:val="24"/>
          <w:lang w:val="en-US"/>
        </w:rPr>
        <w:t xml:space="preserve">, M., Marquis-Gravel, G., Robinson, S. D., </w:t>
      </w:r>
      <w:proofErr w:type="spellStart"/>
      <w:r w:rsidRPr="00CF2BAC">
        <w:rPr>
          <w:rFonts w:ascii="Times New Roman" w:eastAsia="Times New Roman" w:hAnsi="Times New Roman" w:cs="Times New Roman"/>
          <w:sz w:val="24"/>
          <w:szCs w:val="24"/>
          <w:lang w:val="en-US"/>
        </w:rPr>
        <w:t>Sibbald</w:t>
      </w:r>
      <w:proofErr w:type="spellEnd"/>
      <w:r w:rsidRPr="00CF2BAC">
        <w:rPr>
          <w:rFonts w:ascii="Times New Roman" w:eastAsia="Times New Roman" w:hAnsi="Times New Roman" w:cs="Times New Roman"/>
          <w:sz w:val="24"/>
          <w:szCs w:val="24"/>
          <w:lang w:val="en-US"/>
        </w:rPr>
        <w:t xml:space="preserve">, M., So, D. Y., Welsh, R. C., Goodman, S. G., &amp; Bhatt, D. L. (2018). 2018 Canadian Cardiovascular Society/Canadian Association of Interventional Cardiology focused update of the guidelines for the use of antiplatelet therapy. </w:t>
      </w:r>
      <w:r w:rsidRPr="00CF2BAC">
        <w:rPr>
          <w:rFonts w:ascii="Times New Roman" w:eastAsia="Times New Roman" w:hAnsi="Times New Roman" w:cs="Times New Roman"/>
          <w:i/>
          <w:iCs/>
          <w:sz w:val="24"/>
          <w:szCs w:val="24"/>
          <w:lang w:val="en-US"/>
        </w:rPr>
        <w:t>Canadian Journal of Cardiology, 34</w:t>
      </w:r>
      <w:r w:rsidRPr="00CF2BAC">
        <w:rPr>
          <w:rFonts w:ascii="Times New Roman" w:eastAsia="Times New Roman" w:hAnsi="Times New Roman" w:cs="Times New Roman"/>
          <w:sz w:val="24"/>
          <w:szCs w:val="24"/>
          <w:lang w:val="en-US"/>
        </w:rPr>
        <w:t xml:space="preserve">(3), 214–233. </w:t>
      </w:r>
      <w:hyperlink r:id="rId24" w:history="1">
        <w:r w:rsidRPr="00CF2BAC">
          <w:rPr>
            <w:rFonts w:ascii="Times New Roman" w:eastAsia="Times New Roman" w:hAnsi="Times New Roman" w:cs="Times New Roman"/>
            <w:color w:val="0000FF"/>
            <w:sz w:val="24"/>
            <w:szCs w:val="24"/>
            <w:u w:val="single"/>
            <w:lang w:val="en-US"/>
          </w:rPr>
          <w:t>https://doi.org/10.1016/j.cjca.2017.12.012</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Mehta, S. R., Baber, U., Sharma, S. K., </w:t>
      </w:r>
      <w:proofErr w:type="spellStart"/>
      <w:r w:rsidRPr="00CF2BAC">
        <w:rPr>
          <w:rFonts w:ascii="Times New Roman" w:eastAsia="Times New Roman" w:hAnsi="Times New Roman" w:cs="Times New Roman"/>
          <w:sz w:val="24"/>
          <w:szCs w:val="24"/>
          <w:lang w:val="en-US"/>
        </w:rPr>
        <w:t>Dangas</w:t>
      </w:r>
      <w:proofErr w:type="spellEnd"/>
      <w:r w:rsidRPr="00CF2BAC">
        <w:rPr>
          <w:rFonts w:ascii="Times New Roman" w:eastAsia="Times New Roman" w:hAnsi="Times New Roman" w:cs="Times New Roman"/>
          <w:sz w:val="24"/>
          <w:szCs w:val="24"/>
          <w:lang w:val="en-US"/>
        </w:rPr>
        <w:t xml:space="preserve">, G., </w:t>
      </w:r>
      <w:proofErr w:type="spellStart"/>
      <w:r w:rsidRPr="00CF2BAC">
        <w:rPr>
          <w:rFonts w:ascii="Times New Roman" w:eastAsia="Times New Roman" w:hAnsi="Times New Roman" w:cs="Times New Roman"/>
          <w:sz w:val="24"/>
          <w:szCs w:val="24"/>
          <w:lang w:val="en-US"/>
        </w:rPr>
        <w:t>Angiolillo</w:t>
      </w:r>
      <w:proofErr w:type="spellEnd"/>
      <w:r w:rsidRPr="00CF2BAC">
        <w:rPr>
          <w:rFonts w:ascii="Times New Roman" w:eastAsia="Times New Roman" w:hAnsi="Times New Roman" w:cs="Times New Roman"/>
          <w:sz w:val="24"/>
          <w:szCs w:val="24"/>
          <w:lang w:val="en-US"/>
        </w:rPr>
        <w:t xml:space="preserve">, D. J., Cohen, M., Lopes, R. D., Goodman, S. G., </w:t>
      </w:r>
      <w:proofErr w:type="spellStart"/>
      <w:r w:rsidRPr="00CF2BAC">
        <w:rPr>
          <w:rFonts w:ascii="Times New Roman" w:eastAsia="Times New Roman" w:hAnsi="Times New Roman" w:cs="Times New Roman"/>
          <w:sz w:val="24"/>
          <w:szCs w:val="24"/>
          <w:lang w:val="en-US"/>
        </w:rPr>
        <w:t>Staniloae</w:t>
      </w:r>
      <w:proofErr w:type="spellEnd"/>
      <w:r w:rsidRPr="00CF2BAC">
        <w:rPr>
          <w:rFonts w:ascii="Times New Roman" w:eastAsia="Times New Roman" w:hAnsi="Times New Roman" w:cs="Times New Roman"/>
          <w:sz w:val="24"/>
          <w:szCs w:val="24"/>
          <w:lang w:val="en-US"/>
        </w:rPr>
        <w:t xml:space="preserve">, C., Berland, J., Sartori, S., Zhang, Z., &amp; Bhatt, D. L. (2020). Ticagrelor monotherapy in patients with acute coronary syndrome: Insights from the TWILIGHT-ACS </w:t>
      </w:r>
      <w:proofErr w:type="spellStart"/>
      <w:r w:rsidRPr="00CF2BAC">
        <w:rPr>
          <w:rFonts w:ascii="Times New Roman" w:eastAsia="Times New Roman" w:hAnsi="Times New Roman" w:cs="Times New Roman"/>
          <w:sz w:val="24"/>
          <w:szCs w:val="24"/>
          <w:lang w:val="en-US"/>
        </w:rPr>
        <w:t>substudy</w:t>
      </w:r>
      <w:proofErr w:type="spellEnd"/>
      <w:r w:rsidRPr="00CF2BAC">
        <w:rPr>
          <w:rFonts w:ascii="Times New Roman" w:eastAsia="Times New Roman" w:hAnsi="Times New Roman" w:cs="Times New Roman"/>
          <w:sz w:val="24"/>
          <w:szCs w:val="24"/>
          <w:lang w:val="en-US"/>
        </w:rPr>
        <w:t xml:space="preserve">. </w:t>
      </w:r>
      <w:r w:rsidRPr="00CF2BAC">
        <w:rPr>
          <w:rFonts w:ascii="Times New Roman" w:eastAsia="Times New Roman" w:hAnsi="Times New Roman" w:cs="Times New Roman"/>
          <w:i/>
          <w:iCs/>
          <w:sz w:val="24"/>
          <w:szCs w:val="24"/>
          <w:lang w:val="en-US"/>
        </w:rPr>
        <w:t>European Heart Journal, 41</w:t>
      </w:r>
      <w:r w:rsidRPr="00CF2BAC">
        <w:rPr>
          <w:rFonts w:ascii="Times New Roman" w:eastAsia="Times New Roman" w:hAnsi="Times New Roman" w:cs="Times New Roman"/>
          <w:sz w:val="24"/>
          <w:szCs w:val="24"/>
          <w:lang w:val="en-US"/>
        </w:rPr>
        <w:t xml:space="preserve">(48), 4557–4565. </w:t>
      </w:r>
      <w:hyperlink r:id="rId25" w:history="1">
        <w:r w:rsidRPr="00CF2BAC">
          <w:rPr>
            <w:rFonts w:ascii="Times New Roman" w:eastAsia="Times New Roman" w:hAnsi="Times New Roman" w:cs="Times New Roman"/>
            <w:color w:val="0000FF"/>
            <w:sz w:val="24"/>
            <w:szCs w:val="24"/>
            <w:u w:val="single"/>
            <w:lang w:val="en-US"/>
          </w:rPr>
          <w:t>https://doi.org/10.1093/eurheartj/ehaa803</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2BAC">
        <w:rPr>
          <w:rFonts w:ascii="Times New Roman" w:eastAsia="Times New Roman" w:hAnsi="Times New Roman" w:cs="Times New Roman"/>
          <w:sz w:val="24"/>
          <w:szCs w:val="24"/>
          <w:lang w:val="en-US"/>
        </w:rPr>
        <w:t>Sibbing</w:t>
      </w:r>
      <w:proofErr w:type="spellEnd"/>
      <w:r w:rsidRPr="00CF2BAC">
        <w:rPr>
          <w:rFonts w:ascii="Times New Roman" w:eastAsia="Times New Roman" w:hAnsi="Times New Roman" w:cs="Times New Roman"/>
          <w:sz w:val="24"/>
          <w:szCs w:val="24"/>
          <w:lang w:val="en-US"/>
        </w:rPr>
        <w:t xml:space="preserve">, D., </w:t>
      </w:r>
      <w:proofErr w:type="spellStart"/>
      <w:r w:rsidRPr="00CF2BAC">
        <w:rPr>
          <w:rFonts w:ascii="Times New Roman" w:eastAsia="Times New Roman" w:hAnsi="Times New Roman" w:cs="Times New Roman"/>
          <w:sz w:val="24"/>
          <w:szCs w:val="24"/>
          <w:lang w:val="en-US"/>
        </w:rPr>
        <w:t>Aradi</w:t>
      </w:r>
      <w:proofErr w:type="spellEnd"/>
      <w:r w:rsidRPr="00CF2BAC">
        <w:rPr>
          <w:rFonts w:ascii="Times New Roman" w:eastAsia="Times New Roman" w:hAnsi="Times New Roman" w:cs="Times New Roman"/>
          <w:sz w:val="24"/>
          <w:szCs w:val="24"/>
          <w:lang w:val="en-US"/>
        </w:rPr>
        <w:t xml:space="preserve">, D., </w:t>
      </w:r>
      <w:proofErr w:type="spellStart"/>
      <w:r w:rsidRPr="00CF2BAC">
        <w:rPr>
          <w:rFonts w:ascii="Times New Roman" w:eastAsia="Times New Roman" w:hAnsi="Times New Roman" w:cs="Times New Roman"/>
          <w:sz w:val="24"/>
          <w:szCs w:val="24"/>
          <w:lang w:val="en-US"/>
        </w:rPr>
        <w:t>Jacobshagen</w:t>
      </w:r>
      <w:proofErr w:type="spellEnd"/>
      <w:r w:rsidRPr="00CF2BAC">
        <w:rPr>
          <w:rFonts w:ascii="Times New Roman" w:eastAsia="Times New Roman" w:hAnsi="Times New Roman" w:cs="Times New Roman"/>
          <w:sz w:val="24"/>
          <w:szCs w:val="24"/>
          <w:lang w:val="en-US"/>
        </w:rPr>
        <w:t xml:space="preserve">, C., Gross, L., </w:t>
      </w:r>
      <w:proofErr w:type="spellStart"/>
      <w:r w:rsidRPr="00CF2BAC">
        <w:rPr>
          <w:rFonts w:ascii="Times New Roman" w:eastAsia="Times New Roman" w:hAnsi="Times New Roman" w:cs="Times New Roman"/>
          <w:sz w:val="24"/>
          <w:szCs w:val="24"/>
          <w:lang w:val="en-US"/>
        </w:rPr>
        <w:t>Trenk</w:t>
      </w:r>
      <w:proofErr w:type="spellEnd"/>
      <w:r w:rsidRPr="00CF2BAC">
        <w:rPr>
          <w:rFonts w:ascii="Times New Roman" w:eastAsia="Times New Roman" w:hAnsi="Times New Roman" w:cs="Times New Roman"/>
          <w:sz w:val="24"/>
          <w:szCs w:val="24"/>
          <w:lang w:val="en-US"/>
        </w:rPr>
        <w:t xml:space="preserve">, D., Geisler, T., </w:t>
      </w:r>
      <w:proofErr w:type="spellStart"/>
      <w:r w:rsidRPr="00CF2BAC">
        <w:rPr>
          <w:rFonts w:ascii="Times New Roman" w:eastAsia="Times New Roman" w:hAnsi="Times New Roman" w:cs="Times New Roman"/>
          <w:sz w:val="24"/>
          <w:szCs w:val="24"/>
          <w:lang w:val="en-US"/>
        </w:rPr>
        <w:t>Orban</w:t>
      </w:r>
      <w:proofErr w:type="spellEnd"/>
      <w:r w:rsidRPr="00CF2BAC">
        <w:rPr>
          <w:rFonts w:ascii="Times New Roman" w:eastAsia="Times New Roman" w:hAnsi="Times New Roman" w:cs="Times New Roman"/>
          <w:sz w:val="24"/>
          <w:szCs w:val="24"/>
          <w:lang w:val="en-US"/>
        </w:rPr>
        <w:t xml:space="preserve">, M., </w:t>
      </w:r>
      <w:proofErr w:type="spellStart"/>
      <w:r w:rsidRPr="00CF2BAC">
        <w:rPr>
          <w:rFonts w:ascii="Times New Roman" w:eastAsia="Times New Roman" w:hAnsi="Times New Roman" w:cs="Times New Roman"/>
          <w:sz w:val="24"/>
          <w:szCs w:val="24"/>
          <w:lang w:val="en-US"/>
        </w:rPr>
        <w:t>Hadamitzky</w:t>
      </w:r>
      <w:proofErr w:type="spellEnd"/>
      <w:r w:rsidRPr="00CF2BAC">
        <w:rPr>
          <w:rFonts w:ascii="Times New Roman" w:eastAsia="Times New Roman" w:hAnsi="Times New Roman" w:cs="Times New Roman"/>
          <w:sz w:val="24"/>
          <w:szCs w:val="24"/>
          <w:lang w:val="en-US"/>
        </w:rPr>
        <w:t xml:space="preserve">, M., </w:t>
      </w:r>
      <w:proofErr w:type="spellStart"/>
      <w:r w:rsidRPr="00CF2BAC">
        <w:rPr>
          <w:rFonts w:ascii="Times New Roman" w:eastAsia="Times New Roman" w:hAnsi="Times New Roman" w:cs="Times New Roman"/>
          <w:sz w:val="24"/>
          <w:szCs w:val="24"/>
          <w:lang w:val="en-US"/>
        </w:rPr>
        <w:t>Merkely</w:t>
      </w:r>
      <w:proofErr w:type="spellEnd"/>
      <w:r w:rsidRPr="00CF2BAC">
        <w:rPr>
          <w:rFonts w:ascii="Times New Roman" w:eastAsia="Times New Roman" w:hAnsi="Times New Roman" w:cs="Times New Roman"/>
          <w:sz w:val="24"/>
          <w:szCs w:val="24"/>
          <w:lang w:val="en-US"/>
        </w:rPr>
        <w:t xml:space="preserve">, B., Kiss, R. G., </w:t>
      </w:r>
      <w:proofErr w:type="spellStart"/>
      <w:r w:rsidRPr="00CF2BAC">
        <w:rPr>
          <w:rFonts w:ascii="Times New Roman" w:eastAsia="Times New Roman" w:hAnsi="Times New Roman" w:cs="Times New Roman"/>
          <w:sz w:val="24"/>
          <w:szCs w:val="24"/>
          <w:lang w:val="en-US"/>
        </w:rPr>
        <w:t>Komócsi</w:t>
      </w:r>
      <w:proofErr w:type="spellEnd"/>
      <w:r w:rsidRPr="00CF2BAC">
        <w:rPr>
          <w:rFonts w:ascii="Times New Roman" w:eastAsia="Times New Roman" w:hAnsi="Times New Roman" w:cs="Times New Roman"/>
          <w:sz w:val="24"/>
          <w:szCs w:val="24"/>
          <w:lang w:val="en-US"/>
        </w:rPr>
        <w:t xml:space="preserve">, A., </w:t>
      </w:r>
      <w:proofErr w:type="spellStart"/>
      <w:r w:rsidRPr="00CF2BAC">
        <w:rPr>
          <w:rFonts w:ascii="Times New Roman" w:eastAsia="Times New Roman" w:hAnsi="Times New Roman" w:cs="Times New Roman"/>
          <w:sz w:val="24"/>
          <w:szCs w:val="24"/>
          <w:lang w:val="en-US"/>
        </w:rPr>
        <w:t>Dézsi</w:t>
      </w:r>
      <w:proofErr w:type="spellEnd"/>
      <w:r w:rsidRPr="00CF2BAC">
        <w:rPr>
          <w:rFonts w:ascii="Times New Roman" w:eastAsia="Times New Roman" w:hAnsi="Times New Roman" w:cs="Times New Roman"/>
          <w:sz w:val="24"/>
          <w:szCs w:val="24"/>
          <w:lang w:val="en-US"/>
        </w:rPr>
        <w:t xml:space="preserve">, C. A., Barthel, P., Morath, T., Huber, K., Neumann, F. J., </w:t>
      </w:r>
      <w:proofErr w:type="spellStart"/>
      <w:r w:rsidRPr="00CF2BAC">
        <w:rPr>
          <w:rFonts w:ascii="Times New Roman" w:eastAsia="Times New Roman" w:hAnsi="Times New Roman" w:cs="Times New Roman"/>
          <w:sz w:val="24"/>
          <w:szCs w:val="24"/>
          <w:lang w:val="en-US"/>
        </w:rPr>
        <w:t>Koltowski</w:t>
      </w:r>
      <w:proofErr w:type="spellEnd"/>
      <w:r w:rsidRPr="00CF2BAC">
        <w:rPr>
          <w:rFonts w:ascii="Times New Roman" w:eastAsia="Times New Roman" w:hAnsi="Times New Roman" w:cs="Times New Roman"/>
          <w:sz w:val="24"/>
          <w:szCs w:val="24"/>
          <w:lang w:val="en-US"/>
        </w:rPr>
        <w:t xml:space="preserve">, L., </w:t>
      </w:r>
      <w:proofErr w:type="spellStart"/>
      <w:r w:rsidRPr="00CF2BAC">
        <w:rPr>
          <w:rFonts w:ascii="Times New Roman" w:eastAsia="Times New Roman" w:hAnsi="Times New Roman" w:cs="Times New Roman"/>
          <w:sz w:val="24"/>
          <w:szCs w:val="24"/>
          <w:lang w:val="en-US"/>
        </w:rPr>
        <w:t>Mehilli</w:t>
      </w:r>
      <w:proofErr w:type="spellEnd"/>
      <w:r w:rsidRPr="00CF2BAC">
        <w:rPr>
          <w:rFonts w:ascii="Times New Roman" w:eastAsia="Times New Roman" w:hAnsi="Times New Roman" w:cs="Times New Roman"/>
          <w:sz w:val="24"/>
          <w:szCs w:val="24"/>
          <w:lang w:val="en-US"/>
        </w:rPr>
        <w:t xml:space="preserve">, J., </w:t>
      </w:r>
      <w:proofErr w:type="spellStart"/>
      <w:r w:rsidRPr="00CF2BAC">
        <w:rPr>
          <w:rFonts w:ascii="Times New Roman" w:eastAsia="Times New Roman" w:hAnsi="Times New Roman" w:cs="Times New Roman"/>
          <w:sz w:val="24"/>
          <w:szCs w:val="24"/>
          <w:lang w:val="en-US"/>
        </w:rPr>
        <w:t>Huczek</w:t>
      </w:r>
      <w:proofErr w:type="spellEnd"/>
      <w:r w:rsidRPr="00CF2BAC">
        <w:rPr>
          <w:rFonts w:ascii="Times New Roman" w:eastAsia="Times New Roman" w:hAnsi="Times New Roman" w:cs="Times New Roman"/>
          <w:sz w:val="24"/>
          <w:szCs w:val="24"/>
          <w:lang w:val="en-US"/>
        </w:rPr>
        <w:t xml:space="preserve">, Z., &amp; </w:t>
      </w:r>
      <w:proofErr w:type="spellStart"/>
      <w:r w:rsidRPr="00CF2BAC">
        <w:rPr>
          <w:rFonts w:ascii="Times New Roman" w:eastAsia="Times New Roman" w:hAnsi="Times New Roman" w:cs="Times New Roman"/>
          <w:sz w:val="24"/>
          <w:szCs w:val="24"/>
          <w:lang w:val="en-US"/>
        </w:rPr>
        <w:t>Massberg</w:t>
      </w:r>
      <w:proofErr w:type="spellEnd"/>
      <w:r w:rsidRPr="00CF2BAC">
        <w:rPr>
          <w:rFonts w:ascii="Times New Roman" w:eastAsia="Times New Roman" w:hAnsi="Times New Roman" w:cs="Times New Roman"/>
          <w:sz w:val="24"/>
          <w:szCs w:val="24"/>
          <w:lang w:val="en-US"/>
        </w:rPr>
        <w:t xml:space="preserve">, S. (2017). Guided de-escalation of antiplatelet treatment in patients with acute coronary syndrome undergoing percutaneous coronary intervention (TROPICAL-ACS): A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open-label, </w:t>
      </w:r>
      <w:proofErr w:type="spellStart"/>
      <w:r w:rsidRPr="00CF2BAC">
        <w:rPr>
          <w:rFonts w:ascii="Times New Roman" w:eastAsia="Times New Roman" w:hAnsi="Times New Roman" w:cs="Times New Roman"/>
          <w:sz w:val="24"/>
          <w:szCs w:val="24"/>
          <w:lang w:val="en-US"/>
        </w:rPr>
        <w:t>multicentre</w:t>
      </w:r>
      <w:proofErr w:type="spellEnd"/>
      <w:r w:rsidRPr="00CF2BAC">
        <w:rPr>
          <w:rFonts w:ascii="Times New Roman" w:eastAsia="Times New Roman" w:hAnsi="Times New Roman" w:cs="Times New Roman"/>
          <w:sz w:val="24"/>
          <w:szCs w:val="24"/>
          <w:lang w:val="en-US"/>
        </w:rPr>
        <w:t xml:space="preserve"> trial. </w:t>
      </w:r>
      <w:r w:rsidRPr="00CF2BAC">
        <w:rPr>
          <w:rFonts w:ascii="Times New Roman" w:eastAsia="Times New Roman" w:hAnsi="Times New Roman" w:cs="Times New Roman"/>
          <w:i/>
          <w:iCs/>
          <w:sz w:val="24"/>
          <w:szCs w:val="24"/>
          <w:lang w:val="en-US"/>
        </w:rPr>
        <w:t>The Lancet, 390</w:t>
      </w:r>
      <w:r w:rsidRPr="00CF2BAC">
        <w:rPr>
          <w:rFonts w:ascii="Times New Roman" w:eastAsia="Times New Roman" w:hAnsi="Times New Roman" w:cs="Times New Roman"/>
          <w:sz w:val="24"/>
          <w:szCs w:val="24"/>
          <w:lang w:val="en-US"/>
        </w:rPr>
        <w:t xml:space="preserve">(10104), 1747–1757. </w:t>
      </w:r>
      <w:hyperlink r:id="rId26" w:history="1">
        <w:r w:rsidRPr="00CF2BAC">
          <w:rPr>
            <w:rFonts w:ascii="Times New Roman" w:eastAsia="Times New Roman" w:hAnsi="Times New Roman" w:cs="Times New Roman"/>
            <w:color w:val="0000FF"/>
            <w:sz w:val="24"/>
            <w:szCs w:val="24"/>
            <w:u w:val="single"/>
            <w:lang w:val="en-US"/>
          </w:rPr>
          <w:t>https://doi.org/10.1016/S0140-6736(17)32155-4</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Urban, P., Mehran, R., </w:t>
      </w:r>
      <w:proofErr w:type="spellStart"/>
      <w:r w:rsidRPr="00CF2BAC">
        <w:rPr>
          <w:rFonts w:ascii="Times New Roman" w:eastAsia="Times New Roman" w:hAnsi="Times New Roman" w:cs="Times New Roman"/>
          <w:sz w:val="24"/>
          <w:szCs w:val="24"/>
          <w:lang w:val="en-US"/>
        </w:rPr>
        <w:t>Colleran</w:t>
      </w:r>
      <w:proofErr w:type="spellEnd"/>
      <w:r w:rsidRPr="00CF2BAC">
        <w:rPr>
          <w:rFonts w:ascii="Times New Roman" w:eastAsia="Times New Roman" w:hAnsi="Times New Roman" w:cs="Times New Roman"/>
          <w:sz w:val="24"/>
          <w:szCs w:val="24"/>
          <w:lang w:val="en-US"/>
        </w:rPr>
        <w:t xml:space="preserve">, R., </w:t>
      </w:r>
      <w:proofErr w:type="spellStart"/>
      <w:r w:rsidRPr="00CF2BAC">
        <w:rPr>
          <w:rFonts w:ascii="Times New Roman" w:eastAsia="Times New Roman" w:hAnsi="Times New Roman" w:cs="Times New Roman"/>
          <w:sz w:val="24"/>
          <w:szCs w:val="24"/>
          <w:lang w:val="en-US"/>
        </w:rPr>
        <w:t>Angiolillo</w:t>
      </w:r>
      <w:proofErr w:type="spellEnd"/>
      <w:r w:rsidRPr="00CF2BAC">
        <w:rPr>
          <w:rFonts w:ascii="Times New Roman" w:eastAsia="Times New Roman" w:hAnsi="Times New Roman" w:cs="Times New Roman"/>
          <w:sz w:val="24"/>
          <w:szCs w:val="24"/>
          <w:lang w:val="en-US"/>
        </w:rPr>
        <w:t xml:space="preserve">, D. J., Byrne, R. A., Capodanno, D., </w:t>
      </w:r>
      <w:proofErr w:type="spellStart"/>
      <w:r w:rsidRPr="00CF2BAC">
        <w:rPr>
          <w:rFonts w:ascii="Times New Roman" w:eastAsia="Times New Roman" w:hAnsi="Times New Roman" w:cs="Times New Roman"/>
          <w:sz w:val="24"/>
          <w:szCs w:val="24"/>
          <w:lang w:val="en-US"/>
        </w:rPr>
        <w:t>Cuisset</w:t>
      </w:r>
      <w:proofErr w:type="spellEnd"/>
      <w:r w:rsidRPr="00CF2BAC">
        <w:rPr>
          <w:rFonts w:ascii="Times New Roman" w:eastAsia="Times New Roman" w:hAnsi="Times New Roman" w:cs="Times New Roman"/>
          <w:sz w:val="24"/>
          <w:szCs w:val="24"/>
          <w:lang w:val="en-US"/>
        </w:rPr>
        <w:t xml:space="preserve">, T., </w:t>
      </w:r>
      <w:proofErr w:type="spellStart"/>
      <w:r w:rsidRPr="00CF2BAC">
        <w:rPr>
          <w:rFonts w:ascii="Times New Roman" w:eastAsia="Times New Roman" w:hAnsi="Times New Roman" w:cs="Times New Roman"/>
          <w:sz w:val="24"/>
          <w:szCs w:val="24"/>
          <w:lang w:val="en-US"/>
        </w:rPr>
        <w:t>Cutlip</w:t>
      </w:r>
      <w:proofErr w:type="spellEnd"/>
      <w:r w:rsidRPr="00CF2BAC">
        <w:rPr>
          <w:rFonts w:ascii="Times New Roman" w:eastAsia="Times New Roman" w:hAnsi="Times New Roman" w:cs="Times New Roman"/>
          <w:sz w:val="24"/>
          <w:szCs w:val="24"/>
          <w:lang w:val="en-US"/>
        </w:rPr>
        <w:t xml:space="preserve">, D., Eerdmans, P., </w:t>
      </w:r>
      <w:proofErr w:type="spellStart"/>
      <w:r w:rsidRPr="00CF2BAC">
        <w:rPr>
          <w:rFonts w:ascii="Times New Roman" w:eastAsia="Times New Roman" w:hAnsi="Times New Roman" w:cs="Times New Roman"/>
          <w:sz w:val="24"/>
          <w:szCs w:val="24"/>
          <w:lang w:val="en-US"/>
        </w:rPr>
        <w:t>Eikelboom</w:t>
      </w:r>
      <w:proofErr w:type="spellEnd"/>
      <w:r w:rsidRPr="00CF2BAC">
        <w:rPr>
          <w:rFonts w:ascii="Times New Roman" w:eastAsia="Times New Roman" w:hAnsi="Times New Roman" w:cs="Times New Roman"/>
          <w:sz w:val="24"/>
          <w:szCs w:val="24"/>
          <w:lang w:val="en-US"/>
        </w:rPr>
        <w:t xml:space="preserve">, J., </w:t>
      </w:r>
      <w:proofErr w:type="spellStart"/>
      <w:r w:rsidRPr="00CF2BAC">
        <w:rPr>
          <w:rFonts w:ascii="Times New Roman" w:eastAsia="Times New Roman" w:hAnsi="Times New Roman" w:cs="Times New Roman"/>
          <w:sz w:val="24"/>
          <w:szCs w:val="24"/>
          <w:lang w:val="en-US"/>
        </w:rPr>
        <w:t>Farb</w:t>
      </w:r>
      <w:proofErr w:type="spellEnd"/>
      <w:r w:rsidRPr="00CF2BAC">
        <w:rPr>
          <w:rFonts w:ascii="Times New Roman" w:eastAsia="Times New Roman" w:hAnsi="Times New Roman" w:cs="Times New Roman"/>
          <w:sz w:val="24"/>
          <w:szCs w:val="24"/>
          <w:lang w:val="en-US"/>
        </w:rPr>
        <w:t xml:space="preserve">, A., Gibson, C. M., Gregson, J., </w:t>
      </w:r>
      <w:proofErr w:type="spellStart"/>
      <w:r w:rsidRPr="00CF2BAC">
        <w:rPr>
          <w:rFonts w:ascii="Times New Roman" w:eastAsia="Times New Roman" w:hAnsi="Times New Roman" w:cs="Times New Roman"/>
          <w:sz w:val="24"/>
          <w:szCs w:val="24"/>
          <w:lang w:val="en-US"/>
        </w:rPr>
        <w:t>Haude</w:t>
      </w:r>
      <w:proofErr w:type="spellEnd"/>
      <w:r w:rsidRPr="00CF2BAC">
        <w:rPr>
          <w:rFonts w:ascii="Times New Roman" w:eastAsia="Times New Roman" w:hAnsi="Times New Roman" w:cs="Times New Roman"/>
          <w:sz w:val="24"/>
          <w:szCs w:val="24"/>
          <w:lang w:val="en-US"/>
        </w:rPr>
        <w:t xml:space="preserve">, M., James, S. K., Kim, H. S., Kimura, T., </w:t>
      </w:r>
      <w:proofErr w:type="spellStart"/>
      <w:r w:rsidRPr="00CF2BAC">
        <w:rPr>
          <w:rFonts w:ascii="Times New Roman" w:eastAsia="Times New Roman" w:hAnsi="Times New Roman" w:cs="Times New Roman"/>
          <w:sz w:val="24"/>
          <w:szCs w:val="24"/>
          <w:lang w:val="en-US"/>
        </w:rPr>
        <w:t>Konishi</w:t>
      </w:r>
      <w:proofErr w:type="spellEnd"/>
      <w:r w:rsidRPr="00CF2BAC">
        <w:rPr>
          <w:rFonts w:ascii="Times New Roman" w:eastAsia="Times New Roman" w:hAnsi="Times New Roman" w:cs="Times New Roman"/>
          <w:sz w:val="24"/>
          <w:szCs w:val="24"/>
          <w:lang w:val="en-US"/>
        </w:rPr>
        <w:t xml:space="preserve">, A., </w:t>
      </w:r>
      <w:proofErr w:type="spellStart"/>
      <w:r w:rsidRPr="00CF2BAC">
        <w:rPr>
          <w:rFonts w:ascii="Times New Roman" w:eastAsia="Times New Roman" w:hAnsi="Times New Roman" w:cs="Times New Roman"/>
          <w:sz w:val="24"/>
          <w:szCs w:val="24"/>
          <w:lang w:val="en-US"/>
        </w:rPr>
        <w:t>Laschinger</w:t>
      </w:r>
      <w:proofErr w:type="spellEnd"/>
      <w:r w:rsidRPr="00CF2BAC">
        <w:rPr>
          <w:rFonts w:ascii="Times New Roman" w:eastAsia="Times New Roman" w:hAnsi="Times New Roman" w:cs="Times New Roman"/>
          <w:sz w:val="24"/>
          <w:szCs w:val="24"/>
          <w:lang w:val="en-US"/>
        </w:rPr>
        <w:t xml:space="preserve">, J., … McFadden, E. (2019). Defining high bleeding risk in patients undergoing percutaneous coronary intervention. </w:t>
      </w:r>
      <w:r w:rsidRPr="00CF2BAC">
        <w:rPr>
          <w:rFonts w:ascii="Times New Roman" w:eastAsia="Times New Roman" w:hAnsi="Times New Roman" w:cs="Times New Roman"/>
          <w:i/>
          <w:iCs/>
          <w:sz w:val="24"/>
          <w:szCs w:val="24"/>
          <w:lang w:val="en-US"/>
        </w:rPr>
        <w:t>Circulation, 140</w:t>
      </w:r>
      <w:r w:rsidRPr="00CF2BAC">
        <w:rPr>
          <w:rFonts w:ascii="Times New Roman" w:eastAsia="Times New Roman" w:hAnsi="Times New Roman" w:cs="Times New Roman"/>
          <w:sz w:val="24"/>
          <w:szCs w:val="24"/>
          <w:lang w:val="en-US"/>
        </w:rPr>
        <w:t xml:space="preserve">(3), 240–261. </w:t>
      </w:r>
      <w:hyperlink r:id="rId27" w:history="1">
        <w:r w:rsidRPr="00CF2BAC">
          <w:rPr>
            <w:rFonts w:ascii="Times New Roman" w:eastAsia="Times New Roman" w:hAnsi="Times New Roman" w:cs="Times New Roman"/>
            <w:color w:val="0000FF"/>
            <w:sz w:val="24"/>
            <w:szCs w:val="24"/>
            <w:u w:val="single"/>
            <w:lang w:val="en-US"/>
          </w:rPr>
          <w:t>https://doi.org/10.1161/CIRCULATIONAHA.119.040167</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2BAC">
        <w:rPr>
          <w:rFonts w:ascii="Times New Roman" w:eastAsia="Times New Roman" w:hAnsi="Times New Roman" w:cs="Times New Roman"/>
          <w:sz w:val="24"/>
          <w:szCs w:val="24"/>
          <w:lang w:val="en-US"/>
        </w:rPr>
        <w:lastRenderedPageBreak/>
        <w:t>Valgimigli</w:t>
      </w:r>
      <w:proofErr w:type="spellEnd"/>
      <w:r w:rsidRPr="00CF2BAC">
        <w:rPr>
          <w:rFonts w:ascii="Times New Roman" w:eastAsia="Times New Roman" w:hAnsi="Times New Roman" w:cs="Times New Roman"/>
          <w:sz w:val="24"/>
          <w:szCs w:val="24"/>
          <w:lang w:val="en-US"/>
        </w:rPr>
        <w:t xml:space="preserve">, M., </w:t>
      </w:r>
      <w:proofErr w:type="spellStart"/>
      <w:r w:rsidRPr="00CF2BAC">
        <w:rPr>
          <w:rFonts w:ascii="Times New Roman" w:eastAsia="Times New Roman" w:hAnsi="Times New Roman" w:cs="Times New Roman"/>
          <w:sz w:val="24"/>
          <w:szCs w:val="24"/>
          <w:lang w:val="en-US"/>
        </w:rPr>
        <w:t>Frigoli</w:t>
      </w:r>
      <w:proofErr w:type="spellEnd"/>
      <w:r w:rsidRPr="00CF2BAC">
        <w:rPr>
          <w:rFonts w:ascii="Times New Roman" w:eastAsia="Times New Roman" w:hAnsi="Times New Roman" w:cs="Times New Roman"/>
          <w:sz w:val="24"/>
          <w:szCs w:val="24"/>
          <w:lang w:val="en-US"/>
        </w:rPr>
        <w:t xml:space="preserve">, E., </w:t>
      </w:r>
      <w:proofErr w:type="spellStart"/>
      <w:r w:rsidRPr="00CF2BAC">
        <w:rPr>
          <w:rFonts w:ascii="Times New Roman" w:eastAsia="Times New Roman" w:hAnsi="Times New Roman" w:cs="Times New Roman"/>
          <w:sz w:val="24"/>
          <w:szCs w:val="24"/>
          <w:lang w:val="en-US"/>
        </w:rPr>
        <w:t>Heg</w:t>
      </w:r>
      <w:proofErr w:type="spellEnd"/>
      <w:r w:rsidRPr="00CF2BAC">
        <w:rPr>
          <w:rFonts w:ascii="Times New Roman" w:eastAsia="Times New Roman" w:hAnsi="Times New Roman" w:cs="Times New Roman"/>
          <w:sz w:val="24"/>
          <w:szCs w:val="24"/>
          <w:lang w:val="en-US"/>
        </w:rPr>
        <w:t xml:space="preserve">, D., </w:t>
      </w:r>
      <w:proofErr w:type="spellStart"/>
      <w:r w:rsidRPr="00CF2BAC">
        <w:rPr>
          <w:rFonts w:ascii="Times New Roman" w:eastAsia="Times New Roman" w:hAnsi="Times New Roman" w:cs="Times New Roman"/>
          <w:sz w:val="24"/>
          <w:szCs w:val="24"/>
          <w:lang w:val="en-US"/>
        </w:rPr>
        <w:t>Tijssen</w:t>
      </w:r>
      <w:proofErr w:type="spellEnd"/>
      <w:r w:rsidRPr="00CF2BAC">
        <w:rPr>
          <w:rFonts w:ascii="Times New Roman" w:eastAsia="Times New Roman" w:hAnsi="Times New Roman" w:cs="Times New Roman"/>
          <w:sz w:val="24"/>
          <w:szCs w:val="24"/>
          <w:lang w:val="en-US"/>
        </w:rPr>
        <w:t xml:space="preserve">, J., </w:t>
      </w:r>
      <w:proofErr w:type="spellStart"/>
      <w:r w:rsidRPr="00CF2BAC">
        <w:rPr>
          <w:rFonts w:ascii="Times New Roman" w:eastAsia="Times New Roman" w:hAnsi="Times New Roman" w:cs="Times New Roman"/>
          <w:sz w:val="24"/>
          <w:szCs w:val="24"/>
          <w:lang w:val="en-US"/>
        </w:rPr>
        <w:t>Jüni</w:t>
      </w:r>
      <w:proofErr w:type="spellEnd"/>
      <w:r w:rsidRPr="00CF2BAC">
        <w:rPr>
          <w:rFonts w:ascii="Times New Roman" w:eastAsia="Times New Roman" w:hAnsi="Times New Roman" w:cs="Times New Roman"/>
          <w:sz w:val="24"/>
          <w:szCs w:val="24"/>
          <w:lang w:val="en-US"/>
        </w:rPr>
        <w:t xml:space="preserve">, P., </w:t>
      </w:r>
      <w:proofErr w:type="spellStart"/>
      <w:r w:rsidRPr="00CF2BAC">
        <w:rPr>
          <w:rFonts w:ascii="Times New Roman" w:eastAsia="Times New Roman" w:hAnsi="Times New Roman" w:cs="Times New Roman"/>
          <w:sz w:val="24"/>
          <w:szCs w:val="24"/>
          <w:lang w:val="en-US"/>
        </w:rPr>
        <w:t>Vranckx</w:t>
      </w:r>
      <w:proofErr w:type="spellEnd"/>
      <w:r w:rsidRPr="00CF2BAC">
        <w:rPr>
          <w:rFonts w:ascii="Times New Roman" w:eastAsia="Times New Roman" w:hAnsi="Times New Roman" w:cs="Times New Roman"/>
          <w:sz w:val="24"/>
          <w:szCs w:val="24"/>
          <w:lang w:val="en-US"/>
        </w:rPr>
        <w:t xml:space="preserve">, P., Ozaki, Y., </w:t>
      </w:r>
      <w:proofErr w:type="spellStart"/>
      <w:r w:rsidRPr="00CF2BAC">
        <w:rPr>
          <w:rFonts w:ascii="Times New Roman" w:eastAsia="Times New Roman" w:hAnsi="Times New Roman" w:cs="Times New Roman"/>
          <w:sz w:val="24"/>
          <w:szCs w:val="24"/>
          <w:lang w:val="en-US"/>
        </w:rPr>
        <w:t>Morice</w:t>
      </w:r>
      <w:proofErr w:type="spellEnd"/>
      <w:r w:rsidRPr="00CF2BAC">
        <w:rPr>
          <w:rFonts w:ascii="Times New Roman" w:eastAsia="Times New Roman" w:hAnsi="Times New Roman" w:cs="Times New Roman"/>
          <w:sz w:val="24"/>
          <w:szCs w:val="24"/>
          <w:lang w:val="en-US"/>
        </w:rPr>
        <w:t xml:space="preserve">, M. C., Chevalier, B., </w:t>
      </w:r>
      <w:proofErr w:type="spellStart"/>
      <w:r w:rsidRPr="00CF2BAC">
        <w:rPr>
          <w:rFonts w:ascii="Times New Roman" w:eastAsia="Times New Roman" w:hAnsi="Times New Roman" w:cs="Times New Roman"/>
          <w:sz w:val="24"/>
          <w:szCs w:val="24"/>
          <w:lang w:val="en-US"/>
        </w:rPr>
        <w:t>Onuma</w:t>
      </w:r>
      <w:proofErr w:type="spellEnd"/>
      <w:r w:rsidRPr="00CF2BAC">
        <w:rPr>
          <w:rFonts w:ascii="Times New Roman" w:eastAsia="Times New Roman" w:hAnsi="Times New Roman" w:cs="Times New Roman"/>
          <w:sz w:val="24"/>
          <w:szCs w:val="24"/>
          <w:lang w:val="en-US"/>
        </w:rPr>
        <w:t xml:space="preserve">, Y., </w:t>
      </w:r>
      <w:proofErr w:type="spellStart"/>
      <w:r w:rsidRPr="00CF2BAC">
        <w:rPr>
          <w:rFonts w:ascii="Times New Roman" w:eastAsia="Times New Roman" w:hAnsi="Times New Roman" w:cs="Times New Roman"/>
          <w:sz w:val="24"/>
          <w:szCs w:val="24"/>
          <w:lang w:val="en-US"/>
        </w:rPr>
        <w:t>Windecker</w:t>
      </w:r>
      <w:proofErr w:type="spellEnd"/>
      <w:r w:rsidRPr="00CF2BAC">
        <w:rPr>
          <w:rFonts w:ascii="Times New Roman" w:eastAsia="Times New Roman" w:hAnsi="Times New Roman" w:cs="Times New Roman"/>
          <w:sz w:val="24"/>
          <w:szCs w:val="24"/>
          <w:lang w:val="en-US"/>
        </w:rPr>
        <w:t xml:space="preserve">, S., &amp; Leonardi, S. (2021). Dual antiplatelet therapy after PCI in patients at high bleeding risk. </w:t>
      </w:r>
      <w:r w:rsidRPr="00CF2BAC">
        <w:rPr>
          <w:rFonts w:ascii="Times New Roman" w:eastAsia="Times New Roman" w:hAnsi="Times New Roman" w:cs="Times New Roman"/>
          <w:i/>
          <w:iCs/>
          <w:sz w:val="24"/>
          <w:szCs w:val="24"/>
          <w:lang w:val="en-US"/>
        </w:rPr>
        <w:t>New England Journal of Medicine, 385</w:t>
      </w:r>
      <w:r w:rsidRPr="00CF2BAC">
        <w:rPr>
          <w:rFonts w:ascii="Times New Roman" w:eastAsia="Times New Roman" w:hAnsi="Times New Roman" w:cs="Times New Roman"/>
          <w:sz w:val="24"/>
          <w:szCs w:val="24"/>
          <w:lang w:val="en-US"/>
        </w:rPr>
        <w:t xml:space="preserve">(18), 1643–1655. </w:t>
      </w:r>
      <w:hyperlink r:id="rId28" w:history="1">
        <w:r w:rsidRPr="00CF2BAC">
          <w:rPr>
            <w:rFonts w:ascii="Times New Roman" w:eastAsia="Times New Roman" w:hAnsi="Times New Roman" w:cs="Times New Roman"/>
            <w:color w:val="0000FF"/>
            <w:sz w:val="24"/>
            <w:szCs w:val="24"/>
            <w:u w:val="single"/>
            <w:lang w:val="en-US"/>
          </w:rPr>
          <w:t>https://doi.org/10.1056/NEJMoa2108749</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M., Bueno, H., Byrne, R. A., Collet, J. P., Costa, F., </w:t>
      </w:r>
      <w:proofErr w:type="spellStart"/>
      <w:r w:rsidRPr="00CF2BAC">
        <w:rPr>
          <w:rFonts w:ascii="Times New Roman" w:eastAsia="Times New Roman" w:hAnsi="Times New Roman" w:cs="Times New Roman"/>
          <w:sz w:val="24"/>
          <w:szCs w:val="24"/>
          <w:lang w:val="en-US"/>
        </w:rPr>
        <w:t>Jeppsson</w:t>
      </w:r>
      <w:proofErr w:type="spellEnd"/>
      <w:r w:rsidRPr="00CF2BAC">
        <w:rPr>
          <w:rFonts w:ascii="Times New Roman" w:eastAsia="Times New Roman" w:hAnsi="Times New Roman" w:cs="Times New Roman"/>
          <w:sz w:val="24"/>
          <w:szCs w:val="24"/>
          <w:lang w:val="en-US"/>
        </w:rPr>
        <w:t xml:space="preserve">, A., </w:t>
      </w:r>
      <w:proofErr w:type="spellStart"/>
      <w:r w:rsidRPr="00CF2BAC">
        <w:rPr>
          <w:rFonts w:ascii="Times New Roman" w:eastAsia="Times New Roman" w:hAnsi="Times New Roman" w:cs="Times New Roman"/>
          <w:sz w:val="24"/>
          <w:szCs w:val="24"/>
          <w:lang w:val="en-US"/>
        </w:rPr>
        <w:t>Jüni</w:t>
      </w:r>
      <w:proofErr w:type="spellEnd"/>
      <w:r w:rsidRPr="00CF2BAC">
        <w:rPr>
          <w:rFonts w:ascii="Times New Roman" w:eastAsia="Times New Roman" w:hAnsi="Times New Roman" w:cs="Times New Roman"/>
          <w:sz w:val="24"/>
          <w:szCs w:val="24"/>
          <w:lang w:val="en-US"/>
        </w:rPr>
        <w:t xml:space="preserve">, P., </w:t>
      </w:r>
      <w:proofErr w:type="spellStart"/>
      <w:r w:rsidRPr="00CF2BAC">
        <w:rPr>
          <w:rFonts w:ascii="Times New Roman" w:eastAsia="Times New Roman" w:hAnsi="Times New Roman" w:cs="Times New Roman"/>
          <w:sz w:val="24"/>
          <w:szCs w:val="24"/>
          <w:lang w:val="en-US"/>
        </w:rPr>
        <w:t>Kastrati</w:t>
      </w:r>
      <w:proofErr w:type="spellEnd"/>
      <w:r w:rsidRPr="00CF2BAC">
        <w:rPr>
          <w:rFonts w:ascii="Times New Roman" w:eastAsia="Times New Roman" w:hAnsi="Times New Roman" w:cs="Times New Roman"/>
          <w:sz w:val="24"/>
          <w:szCs w:val="24"/>
          <w:lang w:val="en-US"/>
        </w:rPr>
        <w:t xml:space="preserve">, A., </w:t>
      </w:r>
      <w:proofErr w:type="spellStart"/>
      <w:r w:rsidRPr="00CF2BAC">
        <w:rPr>
          <w:rFonts w:ascii="Times New Roman" w:eastAsia="Times New Roman" w:hAnsi="Times New Roman" w:cs="Times New Roman"/>
          <w:sz w:val="24"/>
          <w:szCs w:val="24"/>
          <w:lang w:val="en-US"/>
        </w:rPr>
        <w:t>Kolh</w:t>
      </w:r>
      <w:proofErr w:type="spellEnd"/>
      <w:r w:rsidRPr="00CF2BAC">
        <w:rPr>
          <w:rFonts w:ascii="Times New Roman" w:eastAsia="Times New Roman" w:hAnsi="Times New Roman" w:cs="Times New Roman"/>
          <w:sz w:val="24"/>
          <w:szCs w:val="24"/>
          <w:lang w:val="en-US"/>
        </w:rPr>
        <w:t xml:space="preserve">, P., Mauri, L., </w:t>
      </w:r>
      <w:proofErr w:type="spellStart"/>
      <w:r w:rsidRPr="00CF2BAC">
        <w:rPr>
          <w:rFonts w:ascii="Times New Roman" w:eastAsia="Times New Roman" w:hAnsi="Times New Roman" w:cs="Times New Roman"/>
          <w:sz w:val="24"/>
          <w:szCs w:val="24"/>
          <w:lang w:val="en-US"/>
        </w:rPr>
        <w:t>Mugelli</w:t>
      </w:r>
      <w:proofErr w:type="spellEnd"/>
      <w:r w:rsidRPr="00CF2BAC">
        <w:rPr>
          <w:rFonts w:ascii="Times New Roman" w:eastAsia="Times New Roman" w:hAnsi="Times New Roman" w:cs="Times New Roman"/>
          <w:sz w:val="24"/>
          <w:szCs w:val="24"/>
          <w:lang w:val="en-US"/>
        </w:rPr>
        <w:t xml:space="preserve">, A., Neumann, F. J., </w:t>
      </w:r>
      <w:proofErr w:type="spellStart"/>
      <w:r w:rsidRPr="00CF2BAC">
        <w:rPr>
          <w:rFonts w:ascii="Times New Roman" w:eastAsia="Times New Roman" w:hAnsi="Times New Roman" w:cs="Times New Roman"/>
          <w:sz w:val="24"/>
          <w:szCs w:val="24"/>
          <w:lang w:val="en-US"/>
        </w:rPr>
        <w:t>Petricevic</w:t>
      </w:r>
      <w:proofErr w:type="spellEnd"/>
      <w:r w:rsidRPr="00CF2BAC">
        <w:rPr>
          <w:rFonts w:ascii="Times New Roman" w:eastAsia="Times New Roman" w:hAnsi="Times New Roman" w:cs="Times New Roman"/>
          <w:sz w:val="24"/>
          <w:szCs w:val="24"/>
          <w:lang w:val="en-US"/>
        </w:rPr>
        <w:t xml:space="preserve">, M., </w:t>
      </w:r>
      <w:proofErr w:type="spellStart"/>
      <w:r w:rsidRPr="00CF2BAC">
        <w:rPr>
          <w:rFonts w:ascii="Times New Roman" w:eastAsia="Times New Roman" w:hAnsi="Times New Roman" w:cs="Times New Roman"/>
          <w:sz w:val="24"/>
          <w:szCs w:val="24"/>
          <w:lang w:val="en-US"/>
        </w:rPr>
        <w:t>Roffi</w:t>
      </w:r>
      <w:proofErr w:type="spellEnd"/>
      <w:r w:rsidRPr="00CF2BAC">
        <w:rPr>
          <w:rFonts w:ascii="Times New Roman" w:eastAsia="Times New Roman" w:hAnsi="Times New Roman" w:cs="Times New Roman"/>
          <w:sz w:val="24"/>
          <w:szCs w:val="24"/>
          <w:lang w:val="en-US"/>
        </w:rPr>
        <w:t xml:space="preserve">, M., Steg, P. G., </w:t>
      </w:r>
      <w:proofErr w:type="spellStart"/>
      <w:r w:rsidRPr="00CF2BAC">
        <w:rPr>
          <w:rFonts w:ascii="Times New Roman" w:eastAsia="Times New Roman" w:hAnsi="Times New Roman" w:cs="Times New Roman"/>
          <w:sz w:val="24"/>
          <w:szCs w:val="24"/>
          <w:lang w:val="en-US"/>
        </w:rPr>
        <w:t>Windecker</w:t>
      </w:r>
      <w:proofErr w:type="spellEnd"/>
      <w:r w:rsidRPr="00CF2BAC">
        <w:rPr>
          <w:rFonts w:ascii="Times New Roman" w:eastAsia="Times New Roman" w:hAnsi="Times New Roman" w:cs="Times New Roman"/>
          <w:sz w:val="24"/>
          <w:szCs w:val="24"/>
          <w:lang w:val="en-US"/>
        </w:rPr>
        <w:t xml:space="preserve">, S., Zamorano, J. L., &amp; Levine, G. N. (2018). 2017 ESC focused update on dual antiplatelet therapy in coronary artery disease. </w:t>
      </w:r>
      <w:r w:rsidRPr="00CF2BAC">
        <w:rPr>
          <w:rFonts w:ascii="Times New Roman" w:eastAsia="Times New Roman" w:hAnsi="Times New Roman" w:cs="Times New Roman"/>
          <w:i/>
          <w:iCs/>
          <w:sz w:val="24"/>
          <w:szCs w:val="24"/>
          <w:lang w:val="en-US"/>
        </w:rPr>
        <w:t>European Heart Journal, 39</w:t>
      </w:r>
      <w:r w:rsidRPr="00CF2BAC">
        <w:rPr>
          <w:rFonts w:ascii="Times New Roman" w:eastAsia="Times New Roman" w:hAnsi="Times New Roman" w:cs="Times New Roman"/>
          <w:sz w:val="24"/>
          <w:szCs w:val="24"/>
          <w:lang w:val="en-US"/>
        </w:rPr>
        <w:t xml:space="preserve">(3), 213–260. </w:t>
      </w:r>
      <w:hyperlink r:id="rId29" w:history="1">
        <w:r w:rsidRPr="00CF2BAC">
          <w:rPr>
            <w:rFonts w:ascii="Times New Roman" w:eastAsia="Times New Roman" w:hAnsi="Times New Roman" w:cs="Times New Roman"/>
            <w:color w:val="0000FF"/>
            <w:sz w:val="24"/>
            <w:szCs w:val="24"/>
            <w:u w:val="single"/>
            <w:lang w:val="en-US"/>
          </w:rPr>
          <w:t>https://doi.org/10.1093/eurheartj/ehx419</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2BAC">
        <w:rPr>
          <w:rFonts w:ascii="Times New Roman" w:eastAsia="Times New Roman" w:hAnsi="Times New Roman" w:cs="Times New Roman"/>
          <w:sz w:val="24"/>
          <w:szCs w:val="24"/>
          <w:lang w:val="en-US"/>
        </w:rPr>
        <w:t>Vranckx</w:t>
      </w:r>
      <w:proofErr w:type="spellEnd"/>
      <w:r w:rsidRPr="00CF2BAC">
        <w:rPr>
          <w:rFonts w:ascii="Times New Roman" w:eastAsia="Times New Roman" w:hAnsi="Times New Roman" w:cs="Times New Roman"/>
          <w:sz w:val="24"/>
          <w:szCs w:val="24"/>
          <w:lang w:val="en-US"/>
        </w:rPr>
        <w:t xml:space="preserve">, P., </w:t>
      </w:r>
      <w:proofErr w:type="spellStart"/>
      <w:r w:rsidRPr="00CF2BAC">
        <w:rPr>
          <w:rFonts w:ascii="Times New Roman" w:eastAsia="Times New Roman" w:hAnsi="Times New Roman" w:cs="Times New Roman"/>
          <w:sz w:val="24"/>
          <w:szCs w:val="24"/>
          <w:lang w:val="en-US"/>
        </w:rPr>
        <w:t>Valgimigli</w:t>
      </w:r>
      <w:proofErr w:type="spellEnd"/>
      <w:r w:rsidRPr="00CF2BAC">
        <w:rPr>
          <w:rFonts w:ascii="Times New Roman" w:eastAsia="Times New Roman" w:hAnsi="Times New Roman" w:cs="Times New Roman"/>
          <w:sz w:val="24"/>
          <w:szCs w:val="24"/>
          <w:lang w:val="en-US"/>
        </w:rPr>
        <w:t xml:space="preserve">, M., </w:t>
      </w:r>
      <w:proofErr w:type="spellStart"/>
      <w:r w:rsidRPr="00CF2BAC">
        <w:rPr>
          <w:rFonts w:ascii="Times New Roman" w:eastAsia="Times New Roman" w:hAnsi="Times New Roman" w:cs="Times New Roman"/>
          <w:sz w:val="24"/>
          <w:szCs w:val="24"/>
          <w:lang w:val="en-US"/>
        </w:rPr>
        <w:t>Jüni</w:t>
      </w:r>
      <w:proofErr w:type="spellEnd"/>
      <w:r w:rsidRPr="00CF2BAC">
        <w:rPr>
          <w:rFonts w:ascii="Times New Roman" w:eastAsia="Times New Roman" w:hAnsi="Times New Roman" w:cs="Times New Roman"/>
          <w:sz w:val="24"/>
          <w:szCs w:val="24"/>
          <w:lang w:val="en-US"/>
        </w:rPr>
        <w:t xml:space="preserve">, P., Hamm, C., Steg, P. G., </w:t>
      </w:r>
      <w:proofErr w:type="spellStart"/>
      <w:r w:rsidRPr="00CF2BAC">
        <w:rPr>
          <w:rFonts w:ascii="Times New Roman" w:eastAsia="Times New Roman" w:hAnsi="Times New Roman" w:cs="Times New Roman"/>
          <w:sz w:val="24"/>
          <w:szCs w:val="24"/>
          <w:lang w:val="en-US"/>
        </w:rPr>
        <w:t>Heg</w:t>
      </w:r>
      <w:proofErr w:type="spellEnd"/>
      <w:r w:rsidRPr="00CF2BAC">
        <w:rPr>
          <w:rFonts w:ascii="Times New Roman" w:eastAsia="Times New Roman" w:hAnsi="Times New Roman" w:cs="Times New Roman"/>
          <w:sz w:val="24"/>
          <w:szCs w:val="24"/>
          <w:lang w:val="en-US"/>
        </w:rPr>
        <w:t xml:space="preserve">, D., van Es, G. A., McFadden, E. P., </w:t>
      </w:r>
      <w:proofErr w:type="spellStart"/>
      <w:r w:rsidRPr="00CF2BAC">
        <w:rPr>
          <w:rFonts w:ascii="Times New Roman" w:eastAsia="Times New Roman" w:hAnsi="Times New Roman" w:cs="Times New Roman"/>
          <w:sz w:val="24"/>
          <w:szCs w:val="24"/>
          <w:lang w:val="en-US"/>
        </w:rPr>
        <w:t>Onuma</w:t>
      </w:r>
      <w:proofErr w:type="spellEnd"/>
      <w:r w:rsidRPr="00CF2BAC">
        <w:rPr>
          <w:rFonts w:ascii="Times New Roman" w:eastAsia="Times New Roman" w:hAnsi="Times New Roman" w:cs="Times New Roman"/>
          <w:sz w:val="24"/>
          <w:szCs w:val="24"/>
          <w:lang w:val="en-US"/>
        </w:rPr>
        <w:t xml:space="preserve">, Y., van </w:t>
      </w:r>
      <w:proofErr w:type="spellStart"/>
      <w:r w:rsidRPr="00CF2BAC">
        <w:rPr>
          <w:rFonts w:ascii="Times New Roman" w:eastAsia="Times New Roman" w:hAnsi="Times New Roman" w:cs="Times New Roman"/>
          <w:sz w:val="24"/>
          <w:szCs w:val="24"/>
          <w:lang w:val="en-US"/>
        </w:rPr>
        <w:t>Meijeren</w:t>
      </w:r>
      <w:proofErr w:type="spellEnd"/>
      <w:r w:rsidRPr="00CF2BAC">
        <w:rPr>
          <w:rFonts w:ascii="Times New Roman" w:eastAsia="Times New Roman" w:hAnsi="Times New Roman" w:cs="Times New Roman"/>
          <w:sz w:val="24"/>
          <w:szCs w:val="24"/>
          <w:lang w:val="en-US"/>
        </w:rPr>
        <w:t xml:space="preserve">, C., </w:t>
      </w:r>
      <w:proofErr w:type="spellStart"/>
      <w:r w:rsidRPr="00CF2BAC">
        <w:rPr>
          <w:rFonts w:ascii="Times New Roman" w:eastAsia="Times New Roman" w:hAnsi="Times New Roman" w:cs="Times New Roman"/>
          <w:sz w:val="24"/>
          <w:szCs w:val="24"/>
          <w:lang w:val="en-US"/>
        </w:rPr>
        <w:t>Chichareon</w:t>
      </w:r>
      <w:proofErr w:type="spellEnd"/>
      <w:r w:rsidRPr="00CF2BAC">
        <w:rPr>
          <w:rFonts w:ascii="Times New Roman" w:eastAsia="Times New Roman" w:hAnsi="Times New Roman" w:cs="Times New Roman"/>
          <w:sz w:val="24"/>
          <w:szCs w:val="24"/>
          <w:lang w:val="en-US"/>
        </w:rPr>
        <w:t xml:space="preserve">, P., </w:t>
      </w:r>
      <w:proofErr w:type="spellStart"/>
      <w:r w:rsidRPr="00CF2BAC">
        <w:rPr>
          <w:rFonts w:ascii="Times New Roman" w:eastAsia="Times New Roman" w:hAnsi="Times New Roman" w:cs="Times New Roman"/>
          <w:sz w:val="24"/>
          <w:szCs w:val="24"/>
          <w:lang w:val="en-US"/>
        </w:rPr>
        <w:t>Benit</w:t>
      </w:r>
      <w:proofErr w:type="spellEnd"/>
      <w:r w:rsidRPr="00CF2BAC">
        <w:rPr>
          <w:rFonts w:ascii="Times New Roman" w:eastAsia="Times New Roman" w:hAnsi="Times New Roman" w:cs="Times New Roman"/>
          <w:sz w:val="24"/>
          <w:szCs w:val="24"/>
          <w:lang w:val="en-US"/>
        </w:rPr>
        <w:t xml:space="preserve">, E., </w:t>
      </w:r>
      <w:proofErr w:type="spellStart"/>
      <w:r w:rsidRPr="00CF2BAC">
        <w:rPr>
          <w:rFonts w:ascii="Times New Roman" w:eastAsia="Times New Roman" w:hAnsi="Times New Roman" w:cs="Times New Roman"/>
          <w:sz w:val="24"/>
          <w:szCs w:val="24"/>
          <w:lang w:val="en-US"/>
        </w:rPr>
        <w:t>Möllmann</w:t>
      </w:r>
      <w:proofErr w:type="spellEnd"/>
      <w:r w:rsidRPr="00CF2BAC">
        <w:rPr>
          <w:rFonts w:ascii="Times New Roman" w:eastAsia="Times New Roman" w:hAnsi="Times New Roman" w:cs="Times New Roman"/>
          <w:sz w:val="24"/>
          <w:szCs w:val="24"/>
          <w:lang w:val="en-US"/>
        </w:rPr>
        <w:t xml:space="preserve">, H., Janssens, L., </w:t>
      </w:r>
      <w:proofErr w:type="spellStart"/>
      <w:r w:rsidRPr="00CF2BAC">
        <w:rPr>
          <w:rFonts w:ascii="Times New Roman" w:eastAsia="Times New Roman" w:hAnsi="Times New Roman" w:cs="Times New Roman"/>
          <w:sz w:val="24"/>
          <w:szCs w:val="24"/>
          <w:lang w:val="en-US"/>
        </w:rPr>
        <w:t>Ferrario</w:t>
      </w:r>
      <w:proofErr w:type="spellEnd"/>
      <w:r w:rsidRPr="00CF2BAC">
        <w:rPr>
          <w:rFonts w:ascii="Times New Roman" w:eastAsia="Times New Roman" w:hAnsi="Times New Roman" w:cs="Times New Roman"/>
          <w:sz w:val="24"/>
          <w:szCs w:val="24"/>
          <w:lang w:val="en-US"/>
        </w:rPr>
        <w:t xml:space="preserve">, M., </w:t>
      </w:r>
      <w:proofErr w:type="spellStart"/>
      <w:r w:rsidRPr="00CF2BAC">
        <w:rPr>
          <w:rFonts w:ascii="Times New Roman" w:eastAsia="Times New Roman" w:hAnsi="Times New Roman" w:cs="Times New Roman"/>
          <w:sz w:val="24"/>
          <w:szCs w:val="24"/>
          <w:lang w:val="en-US"/>
        </w:rPr>
        <w:t>Moschovitis</w:t>
      </w:r>
      <w:proofErr w:type="spellEnd"/>
      <w:r w:rsidRPr="00CF2BAC">
        <w:rPr>
          <w:rFonts w:ascii="Times New Roman" w:eastAsia="Times New Roman" w:hAnsi="Times New Roman" w:cs="Times New Roman"/>
          <w:sz w:val="24"/>
          <w:szCs w:val="24"/>
          <w:lang w:val="en-US"/>
        </w:rPr>
        <w:t xml:space="preserve">, A., </w:t>
      </w:r>
      <w:proofErr w:type="spellStart"/>
      <w:r w:rsidRPr="00CF2BAC">
        <w:rPr>
          <w:rFonts w:ascii="Times New Roman" w:eastAsia="Times New Roman" w:hAnsi="Times New Roman" w:cs="Times New Roman"/>
          <w:sz w:val="24"/>
          <w:szCs w:val="24"/>
          <w:lang w:val="en-US"/>
        </w:rPr>
        <w:t>Zurakowski</w:t>
      </w:r>
      <w:proofErr w:type="spellEnd"/>
      <w:r w:rsidRPr="00CF2BAC">
        <w:rPr>
          <w:rFonts w:ascii="Times New Roman" w:eastAsia="Times New Roman" w:hAnsi="Times New Roman" w:cs="Times New Roman"/>
          <w:sz w:val="24"/>
          <w:szCs w:val="24"/>
          <w:lang w:val="en-US"/>
        </w:rPr>
        <w:t xml:space="preserve">, A., </w:t>
      </w:r>
      <w:proofErr w:type="spellStart"/>
      <w:r w:rsidRPr="00CF2BAC">
        <w:rPr>
          <w:rFonts w:ascii="Times New Roman" w:eastAsia="Times New Roman" w:hAnsi="Times New Roman" w:cs="Times New Roman"/>
          <w:sz w:val="24"/>
          <w:szCs w:val="24"/>
          <w:lang w:val="en-US"/>
        </w:rPr>
        <w:t>Dominici</w:t>
      </w:r>
      <w:proofErr w:type="spellEnd"/>
      <w:r w:rsidRPr="00CF2BAC">
        <w:rPr>
          <w:rFonts w:ascii="Times New Roman" w:eastAsia="Times New Roman" w:hAnsi="Times New Roman" w:cs="Times New Roman"/>
          <w:sz w:val="24"/>
          <w:szCs w:val="24"/>
          <w:lang w:val="en-US"/>
        </w:rPr>
        <w:t xml:space="preserve">, M., Van </w:t>
      </w:r>
      <w:proofErr w:type="spellStart"/>
      <w:r w:rsidRPr="00CF2BAC">
        <w:rPr>
          <w:rFonts w:ascii="Times New Roman" w:eastAsia="Times New Roman" w:hAnsi="Times New Roman" w:cs="Times New Roman"/>
          <w:sz w:val="24"/>
          <w:szCs w:val="24"/>
          <w:lang w:val="en-US"/>
        </w:rPr>
        <w:t>Geuns</w:t>
      </w:r>
      <w:proofErr w:type="spellEnd"/>
      <w:r w:rsidRPr="00CF2BAC">
        <w:rPr>
          <w:rFonts w:ascii="Times New Roman" w:eastAsia="Times New Roman" w:hAnsi="Times New Roman" w:cs="Times New Roman"/>
          <w:sz w:val="24"/>
          <w:szCs w:val="24"/>
          <w:lang w:val="en-US"/>
        </w:rPr>
        <w:t xml:space="preserve">, R. J., … </w:t>
      </w:r>
      <w:proofErr w:type="spellStart"/>
      <w:r w:rsidRPr="00CF2BAC">
        <w:rPr>
          <w:rFonts w:ascii="Times New Roman" w:eastAsia="Times New Roman" w:hAnsi="Times New Roman" w:cs="Times New Roman"/>
          <w:sz w:val="24"/>
          <w:szCs w:val="24"/>
          <w:lang w:val="en-US"/>
        </w:rPr>
        <w:t>Serruys</w:t>
      </w:r>
      <w:proofErr w:type="spellEnd"/>
      <w:r w:rsidRPr="00CF2BAC">
        <w:rPr>
          <w:rFonts w:ascii="Times New Roman" w:eastAsia="Times New Roman" w:hAnsi="Times New Roman" w:cs="Times New Roman"/>
          <w:sz w:val="24"/>
          <w:szCs w:val="24"/>
          <w:lang w:val="en-US"/>
        </w:rPr>
        <w:t xml:space="preserve">, P. W. (2018). Ticagrelor plus aspirin for 1 month, followed by ticagrelor monotherapy for 23 months vs aspirin plus clopidogrel for 12 months, followed by aspirin monotherapy for 12 months after implantation of a drug-eluting coronary stent: A </w:t>
      </w:r>
      <w:proofErr w:type="spellStart"/>
      <w:r w:rsidRPr="00CF2BAC">
        <w:rPr>
          <w:rFonts w:ascii="Times New Roman" w:eastAsia="Times New Roman" w:hAnsi="Times New Roman" w:cs="Times New Roman"/>
          <w:sz w:val="24"/>
          <w:szCs w:val="24"/>
          <w:lang w:val="en-US"/>
        </w:rPr>
        <w:t>multicentre</w:t>
      </w:r>
      <w:proofErr w:type="spellEnd"/>
      <w:r w:rsidRPr="00CF2BAC">
        <w:rPr>
          <w:rFonts w:ascii="Times New Roman" w:eastAsia="Times New Roman" w:hAnsi="Times New Roman" w:cs="Times New Roman"/>
          <w:sz w:val="24"/>
          <w:szCs w:val="24"/>
          <w:lang w:val="en-US"/>
        </w:rPr>
        <w:t xml:space="preserve">, open-label, </w:t>
      </w:r>
      <w:proofErr w:type="spellStart"/>
      <w:r w:rsidRPr="00CF2BAC">
        <w:rPr>
          <w:rFonts w:ascii="Times New Roman" w:eastAsia="Times New Roman" w:hAnsi="Times New Roman" w:cs="Times New Roman"/>
          <w:sz w:val="24"/>
          <w:szCs w:val="24"/>
          <w:lang w:val="en-US"/>
        </w:rPr>
        <w:t>randomised</w:t>
      </w:r>
      <w:proofErr w:type="spellEnd"/>
      <w:r w:rsidRPr="00CF2BAC">
        <w:rPr>
          <w:rFonts w:ascii="Times New Roman" w:eastAsia="Times New Roman" w:hAnsi="Times New Roman" w:cs="Times New Roman"/>
          <w:sz w:val="24"/>
          <w:szCs w:val="24"/>
          <w:lang w:val="en-US"/>
        </w:rPr>
        <w:t xml:space="preserve"> superiority trial. </w:t>
      </w:r>
      <w:r w:rsidRPr="00CF2BAC">
        <w:rPr>
          <w:rFonts w:ascii="Times New Roman" w:eastAsia="Times New Roman" w:hAnsi="Times New Roman" w:cs="Times New Roman"/>
          <w:i/>
          <w:iCs/>
          <w:sz w:val="24"/>
          <w:szCs w:val="24"/>
          <w:lang w:val="en-US"/>
        </w:rPr>
        <w:t>The Lancet, 392</w:t>
      </w:r>
      <w:r w:rsidRPr="00CF2BAC">
        <w:rPr>
          <w:rFonts w:ascii="Times New Roman" w:eastAsia="Times New Roman" w:hAnsi="Times New Roman" w:cs="Times New Roman"/>
          <w:sz w:val="24"/>
          <w:szCs w:val="24"/>
          <w:lang w:val="en-US"/>
        </w:rPr>
        <w:t xml:space="preserve">(10151), 940–949. </w:t>
      </w:r>
      <w:hyperlink r:id="rId30" w:history="1">
        <w:r w:rsidRPr="00CF2BAC">
          <w:rPr>
            <w:rFonts w:ascii="Times New Roman" w:eastAsia="Times New Roman" w:hAnsi="Times New Roman" w:cs="Times New Roman"/>
            <w:color w:val="0000FF"/>
            <w:sz w:val="24"/>
            <w:szCs w:val="24"/>
            <w:u w:val="single"/>
            <w:lang w:val="en-US"/>
          </w:rPr>
          <w:t>https://doi.org/10.1016/S0140-6736(18)31858-0</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2BAC">
        <w:rPr>
          <w:rFonts w:ascii="Times New Roman" w:eastAsia="Times New Roman" w:hAnsi="Times New Roman" w:cs="Times New Roman"/>
          <w:sz w:val="24"/>
          <w:szCs w:val="24"/>
          <w:lang w:val="en-US"/>
        </w:rPr>
        <w:t>Wallentin</w:t>
      </w:r>
      <w:proofErr w:type="spellEnd"/>
      <w:r w:rsidRPr="00CF2BAC">
        <w:rPr>
          <w:rFonts w:ascii="Times New Roman" w:eastAsia="Times New Roman" w:hAnsi="Times New Roman" w:cs="Times New Roman"/>
          <w:sz w:val="24"/>
          <w:szCs w:val="24"/>
          <w:lang w:val="en-US"/>
        </w:rPr>
        <w:t xml:space="preserve">, L., Becker, R. C., </w:t>
      </w:r>
      <w:proofErr w:type="spellStart"/>
      <w:r w:rsidRPr="00CF2BAC">
        <w:rPr>
          <w:rFonts w:ascii="Times New Roman" w:eastAsia="Times New Roman" w:hAnsi="Times New Roman" w:cs="Times New Roman"/>
          <w:sz w:val="24"/>
          <w:szCs w:val="24"/>
          <w:lang w:val="en-US"/>
        </w:rPr>
        <w:t>Budaj</w:t>
      </w:r>
      <w:proofErr w:type="spellEnd"/>
      <w:r w:rsidRPr="00CF2BAC">
        <w:rPr>
          <w:rFonts w:ascii="Times New Roman" w:eastAsia="Times New Roman" w:hAnsi="Times New Roman" w:cs="Times New Roman"/>
          <w:sz w:val="24"/>
          <w:szCs w:val="24"/>
          <w:lang w:val="en-US"/>
        </w:rPr>
        <w:t xml:space="preserve">, A., Cannon, C. P., </w:t>
      </w:r>
      <w:proofErr w:type="spellStart"/>
      <w:r w:rsidRPr="00CF2BAC">
        <w:rPr>
          <w:rFonts w:ascii="Times New Roman" w:eastAsia="Times New Roman" w:hAnsi="Times New Roman" w:cs="Times New Roman"/>
          <w:sz w:val="24"/>
          <w:szCs w:val="24"/>
          <w:lang w:val="en-US"/>
        </w:rPr>
        <w:t>Emanuelsson</w:t>
      </w:r>
      <w:proofErr w:type="spellEnd"/>
      <w:r w:rsidRPr="00CF2BAC">
        <w:rPr>
          <w:rFonts w:ascii="Times New Roman" w:eastAsia="Times New Roman" w:hAnsi="Times New Roman" w:cs="Times New Roman"/>
          <w:sz w:val="24"/>
          <w:szCs w:val="24"/>
          <w:lang w:val="en-US"/>
        </w:rPr>
        <w:t xml:space="preserve">, H., Held, C., </w:t>
      </w:r>
      <w:proofErr w:type="spellStart"/>
      <w:r w:rsidRPr="00CF2BAC">
        <w:rPr>
          <w:rFonts w:ascii="Times New Roman" w:eastAsia="Times New Roman" w:hAnsi="Times New Roman" w:cs="Times New Roman"/>
          <w:sz w:val="24"/>
          <w:szCs w:val="24"/>
          <w:lang w:val="en-US"/>
        </w:rPr>
        <w:t>Horrow</w:t>
      </w:r>
      <w:proofErr w:type="spellEnd"/>
      <w:r w:rsidRPr="00CF2BAC">
        <w:rPr>
          <w:rFonts w:ascii="Times New Roman" w:eastAsia="Times New Roman" w:hAnsi="Times New Roman" w:cs="Times New Roman"/>
          <w:sz w:val="24"/>
          <w:szCs w:val="24"/>
          <w:lang w:val="en-US"/>
        </w:rPr>
        <w:t xml:space="preserve">, J., Husted, S., James, S., </w:t>
      </w:r>
      <w:proofErr w:type="spellStart"/>
      <w:r w:rsidRPr="00CF2BAC">
        <w:rPr>
          <w:rFonts w:ascii="Times New Roman" w:eastAsia="Times New Roman" w:hAnsi="Times New Roman" w:cs="Times New Roman"/>
          <w:sz w:val="24"/>
          <w:szCs w:val="24"/>
          <w:lang w:val="en-US"/>
        </w:rPr>
        <w:t>Katus</w:t>
      </w:r>
      <w:proofErr w:type="spellEnd"/>
      <w:r w:rsidRPr="00CF2BAC">
        <w:rPr>
          <w:rFonts w:ascii="Times New Roman" w:eastAsia="Times New Roman" w:hAnsi="Times New Roman" w:cs="Times New Roman"/>
          <w:sz w:val="24"/>
          <w:szCs w:val="24"/>
          <w:lang w:val="en-US"/>
        </w:rPr>
        <w:t xml:space="preserve">, H., Mahaffey, K. W., </w:t>
      </w:r>
      <w:proofErr w:type="spellStart"/>
      <w:r w:rsidRPr="00CF2BAC">
        <w:rPr>
          <w:rFonts w:ascii="Times New Roman" w:eastAsia="Times New Roman" w:hAnsi="Times New Roman" w:cs="Times New Roman"/>
          <w:sz w:val="24"/>
          <w:szCs w:val="24"/>
          <w:lang w:val="en-US"/>
        </w:rPr>
        <w:t>Scirica</w:t>
      </w:r>
      <w:proofErr w:type="spellEnd"/>
      <w:r w:rsidRPr="00CF2BAC">
        <w:rPr>
          <w:rFonts w:ascii="Times New Roman" w:eastAsia="Times New Roman" w:hAnsi="Times New Roman" w:cs="Times New Roman"/>
          <w:sz w:val="24"/>
          <w:szCs w:val="24"/>
          <w:lang w:val="en-US"/>
        </w:rPr>
        <w:t xml:space="preserve">, B. M., Skene, A., Steg, P. G., </w:t>
      </w:r>
      <w:proofErr w:type="spellStart"/>
      <w:r w:rsidRPr="00CF2BAC">
        <w:rPr>
          <w:rFonts w:ascii="Times New Roman" w:eastAsia="Times New Roman" w:hAnsi="Times New Roman" w:cs="Times New Roman"/>
          <w:sz w:val="24"/>
          <w:szCs w:val="24"/>
          <w:lang w:val="en-US"/>
        </w:rPr>
        <w:t>Storey</w:t>
      </w:r>
      <w:proofErr w:type="spellEnd"/>
      <w:r w:rsidRPr="00CF2BAC">
        <w:rPr>
          <w:rFonts w:ascii="Times New Roman" w:eastAsia="Times New Roman" w:hAnsi="Times New Roman" w:cs="Times New Roman"/>
          <w:sz w:val="24"/>
          <w:szCs w:val="24"/>
          <w:lang w:val="en-US"/>
        </w:rPr>
        <w:t xml:space="preserve">, R. F., Harrington, R. A., </w:t>
      </w:r>
      <w:proofErr w:type="spellStart"/>
      <w:r w:rsidRPr="00CF2BAC">
        <w:rPr>
          <w:rFonts w:ascii="Times New Roman" w:eastAsia="Times New Roman" w:hAnsi="Times New Roman" w:cs="Times New Roman"/>
          <w:sz w:val="24"/>
          <w:szCs w:val="24"/>
          <w:lang w:val="en-US"/>
        </w:rPr>
        <w:t>Freij</w:t>
      </w:r>
      <w:proofErr w:type="spellEnd"/>
      <w:r w:rsidRPr="00CF2BAC">
        <w:rPr>
          <w:rFonts w:ascii="Times New Roman" w:eastAsia="Times New Roman" w:hAnsi="Times New Roman" w:cs="Times New Roman"/>
          <w:sz w:val="24"/>
          <w:szCs w:val="24"/>
          <w:lang w:val="en-US"/>
        </w:rPr>
        <w:t xml:space="preserve">, A., &amp; </w:t>
      </w:r>
      <w:proofErr w:type="spellStart"/>
      <w:r w:rsidRPr="00CF2BAC">
        <w:rPr>
          <w:rFonts w:ascii="Times New Roman" w:eastAsia="Times New Roman" w:hAnsi="Times New Roman" w:cs="Times New Roman"/>
          <w:sz w:val="24"/>
          <w:szCs w:val="24"/>
          <w:lang w:val="en-US"/>
        </w:rPr>
        <w:t>Thorsén</w:t>
      </w:r>
      <w:proofErr w:type="spellEnd"/>
      <w:r w:rsidRPr="00CF2BAC">
        <w:rPr>
          <w:rFonts w:ascii="Times New Roman" w:eastAsia="Times New Roman" w:hAnsi="Times New Roman" w:cs="Times New Roman"/>
          <w:sz w:val="24"/>
          <w:szCs w:val="24"/>
          <w:lang w:val="en-US"/>
        </w:rPr>
        <w:t xml:space="preserve">, M. (2009). Ticagrelor versus clopidogrel in patients with acute coronary syndromes. </w:t>
      </w:r>
      <w:r w:rsidRPr="00CF2BAC">
        <w:rPr>
          <w:rFonts w:ascii="Times New Roman" w:eastAsia="Times New Roman" w:hAnsi="Times New Roman" w:cs="Times New Roman"/>
          <w:i/>
          <w:iCs/>
          <w:sz w:val="24"/>
          <w:szCs w:val="24"/>
          <w:lang w:val="en-US"/>
        </w:rPr>
        <w:t>New England Journal of Medicine, 361</w:t>
      </w:r>
      <w:r w:rsidRPr="00CF2BAC">
        <w:rPr>
          <w:rFonts w:ascii="Times New Roman" w:eastAsia="Times New Roman" w:hAnsi="Times New Roman" w:cs="Times New Roman"/>
          <w:sz w:val="24"/>
          <w:szCs w:val="24"/>
          <w:lang w:val="en-US"/>
        </w:rPr>
        <w:t xml:space="preserve">(11), 1045–1057. </w:t>
      </w:r>
      <w:hyperlink r:id="rId31" w:history="1">
        <w:r w:rsidRPr="00CF2BAC">
          <w:rPr>
            <w:rFonts w:ascii="Times New Roman" w:eastAsia="Times New Roman" w:hAnsi="Times New Roman" w:cs="Times New Roman"/>
            <w:color w:val="0000FF"/>
            <w:sz w:val="24"/>
            <w:szCs w:val="24"/>
            <w:u w:val="single"/>
            <w:lang w:val="en-US"/>
          </w:rPr>
          <w:t>https://doi.org/10.1056/NEJMoa0904327</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Watanabe, H., </w:t>
      </w:r>
      <w:proofErr w:type="spellStart"/>
      <w:r w:rsidRPr="00CF2BAC">
        <w:rPr>
          <w:rFonts w:ascii="Times New Roman" w:eastAsia="Times New Roman" w:hAnsi="Times New Roman" w:cs="Times New Roman"/>
          <w:sz w:val="24"/>
          <w:szCs w:val="24"/>
          <w:lang w:val="en-US"/>
        </w:rPr>
        <w:t>Domei</w:t>
      </w:r>
      <w:proofErr w:type="spellEnd"/>
      <w:r w:rsidRPr="00CF2BAC">
        <w:rPr>
          <w:rFonts w:ascii="Times New Roman" w:eastAsia="Times New Roman" w:hAnsi="Times New Roman" w:cs="Times New Roman"/>
          <w:sz w:val="24"/>
          <w:szCs w:val="24"/>
          <w:lang w:val="en-US"/>
        </w:rPr>
        <w:t xml:space="preserve">, T., Morimoto, T., </w:t>
      </w:r>
      <w:proofErr w:type="spellStart"/>
      <w:r w:rsidRPr="00CF2BAC">
        <w:rPr>
          <w:rFonts w:ascii="Times New Roman" w:eastAsia="Times New Roman" w:hAnsi="Times New Roman" w:cs="Times New Roman"/>
          <w:sz w:val="24"/>
          <w:szCs w:val="24"/>
          <w:lang w:val="en-US"/>
        </w:rPr>
        <w:t>Natsuaki</w:t>
      </w:r>
      <w:proofErr w:type="spellEnd"/>
      <w:r w:rsidRPr="00CF2BAC">
        <w:rPr>
          <w:rFonts w:ascii="Times New Roman" w:eastAsia="Times New Roman" w:hAnsi="Times New Roman" w:cs="Times New Roman"/>
          <w:sz w:val="24"/>
          <w:szCs w:val="24"/>
          <w:lang w:val="en-US"/>
        </w:rPr>
        <w:t xml:space="preserve">, M., </w:t>
      </w:r>
      <w:proofErr w:type="spellStart"/>
      <w:r w:rsidRPr="00CF2BAC">
        <w:rPr>
          <w:rFonts w:ascii="Times New Roman" w:eastAsia="Times New Roman" w:hAnsi="Times New Roman" w:cs="Times New Roman"/>
          <w:sz w:val="24"/>
          <w:szCs w:val="24"/>
          <w:lang w:val="en-US"/>
        </w:rPr>
        <w:t>Shiomi</w:t>
      </w:r>
      <w:proofErr w:type="spellEnd"/>
      <w:r w:rsidRPr="00CF2BAC">
        <w:rPr>
          <w:rFonts w:ascii="Times New Roman" w:eastAsia="Times New Roman" w:hAnsi="Times New Roman" w:cs="Times New Roman"/>
          <w:sz w:val="24"/>
          <w:szCs w:val="24"/>
          <w:lang w:val="en-US"/>
        </w:rPr>
        <w:t xml:space="preserve">, H., Toyota, T., </w:t>
      </w:r>
      <w:proofErr w:type="spellStart"/>
      <w:r w:rsidRPr="00CF2BAC">
        <w:rPr>
          <w:rFonts w:ascii="Times New Roman" w:eastAsia="Times New Roman" w:hAnsi="Times New Roman" w:cs="Times New Roman"/>
          <w:sz w:val="24"/>
          <w:szCs w:val="24"/>
          <w:lang w:val="en-US"/>
        </w:rPr>
        <w:t>Ohya</w:t>
      </w:r>
      <w:proofErr w:type="spellEnd"/>
      <w:r w:rsidRPr="00CF2BAC">
        <w:rPr>
          <w:rFonts w:ascii="Times New Roman" w:eastAsia="Times New Roman" w:hAnsi="Times New Roman" w:cs="Times New Roman"/>
          <w:sz w:val="24"/>
          <w:szCs w:val="24"/>
          <w:lang w:val="en-US"/>
        </w:rPr>
        <w:t xml:space="preserve">, M., </w:t>
      </w:r>
      <w:proofErr w:type="spellStart"/>
      <w:r w:rsidRPr="00CF2BAC">
        <w:rPr>
          <w:rFonts w:ascii="Times New Roman" w:eastAsia="Times New Roman" w:hAnsi="Times New Roman" w:cs="Times New Roman"/>
          <w:sz w:val="24"/>
          <w:szCs w:val="24"/>
          <w:lang w:val="en-US"/>
        </w:rPr>
        <w:t>Suwa</w:t>
      </w:r>
      <w:proofErr w:type="spellEnd"/>
      <w:r w:rsidRPr="00CF2BAC">
        <w:rPr>
          <w:rFonts w:ascii="Times New Roman" w:eastAsia="Times New Roman" w:hAnsi="Times New Roman" w:cs="Times New Roman"/>
          <w:sz w:val="24"/>
          <w:szCs w:val="24"/>
          <w:lang w:val="en-US"/>
        </w:rPr>
        <w:t xml:space="preserve">, S., Takagi, K., </w:t>
      </w:r>
      <w:proofErr w:type="spellStart"/>
      <w:r w:rsidRPr="00CF2BAC">
        <w:rPr>
          <w:rFonts w:ascii="Times New Roman" w:eastAsia="Times New Roman" w:hAnsi="Times New Roman" w:cs="Times New Roman"/>
          <w:sz w:val="24"/>
          <w:szCs w:val="24"/>
          <w:lang w:val="en-US"/>
        </w:rPr>
        <w:t>Nanasato</w:t>
      </w:r>
      <w:proofErr w:type="spellEnd"/>
      <w:r w:rsidRPr="00CF2BAC">
        <w:rPr>
          <w:rFonts w:ascii="Times New Roman" w:eastAsia="Times New Roman" w:hAnsi="Times New Roman" w:cs="Times New Roman"/>
          <w:sz w:val="24"/>
          <w:szCs w:val="24"/>
          <w:lang w:val="en-US"/>
        </w:rPr>
        <w:t xml:space="preserve">, M., </w:t>
      </w:r>
      <w:proofErr w:type="spellStart"/>
      <w:r w:rsidRPr="00CF2BAC">
        <w:rPr>
          <w:rFonts w:ascii="Times New Roman" w:eastAsia="Times New Roman" w:hAnsi="Times New Roman" w:cs="Times New Roman"/>
          <w:sz w:val="24"/>
          <w:szCs w:val="24"/>
          <w:lang w:val="en-US"/>
        </w:rPr>
        <w:t>Hata</w:t>
      </w:r>
      <w:proofErr w:type="spellEnd"/>
      <w:r w:rsidRPr="00CF2BAC">
        <w:rPr>
          <w:rFonts w:ascii="Times New Roman" w:eastAsia="Times New Roman" w:hAnsi="Times New Roman" w:cs="Times New Roman"/>
          <w:sz w:val="24"/>
          <w:szCs w:val="24"/>
          <w:lang w:val="en-US"/>
        </w:rPr>
        <w:t xml:space="preserve">, Y., Yagi, M., </w:t>
      </w:r>
      <w:proofErr w:type="spellStart"/>
      <w:r w:rsidRPr="00CF2BAC">
        <w:rPr>
          <w:rFonts w:ascii="Times New Roman" w:eastAsia="Times New Roman" w:hAnsi="Times New Roman" w:cs="Times New Roman"/>
          <w:sz w:val="24"/>
          <w:szCs w:val="24"/>
          <w:lang w:val="en-US"/>
        </w:rPr>
        <w:t>Suematsu</w:t>
      </w:r>
      <w:proofErr w:type="spellEnd"/>
      <w:r w:rsidRPr="00CF2BAC">
        <w:rPr>
          <w:rFonts w:ascii="Times New Roman" w:eastAsia="Times New Roman" w:hAnsi="Times New Roman" w:cs="Times New Roman"/>
          <w:sz w:val="24"/>
          <w:szCs w:val="24"/>
          <w:lang w:val="en-US"/>
        </w:rPr>
        <w:t xml:space="preserve">, N., </w:t>
      </w:r>
      <w:proofErr w:type="spellStart"/>
      <w:r w:rsidRPr="00CF2BAC">
        <w:rPr>
          <w:rFonts w:ascii="Times New Roman" w:eastAsia="Times New Roman" w:hAnsi="Times New Roman" w:cs="Times New Roman"/>
          <w:sz w:val="24"/>
          <w:szCs w:val="24"/>
          <w:lang w:val="en-US"/>
        </w:rPr>
        <w:t>Yokomatsu</w:t>
      </w:r>
      <w:proofErr w:type="spellEnd"/>
      <w:r w:rsidRPr="00CF2BAC">
        <w:rPr>
          <w:rFonts w:ascii="Times New Roman" w:eastAsia="Times New Roman" w:hAnsi="Times New Roman" w:cs="Times New Roman"/>
          <w:sz w:val="24"/>
          <w:szCs w:val="24"/>
          <w:lang w:val="en-US"/>
        </w:rPr>
        <w:t xml:space="preserve">, T., Ogawa, T., Okayama, H., </w:t>
      </w:r>
      <w:proofErr w:type="spellStart"/>
      <w:r w:rsidRPr="00CF2BAC">
        <w:rPr>
          <w:rFonts w:ascii="Times New Roman" w:eastAsia="Times New Roman" w:hAnsi="Times New Roman" w:cs="Times New Roman"/>
          <w:sz w:val="24"/>
          <w:szCs w:val="24"/>
          <w:lang w:val="en-US"/>
        </w:rPr>
        <w:t>Tsutsumi</w:t>
      </w:r>
      <w:proofErr w:type="spellEnd"/>
      <w:r w:rsidRPr="00CF2BAC">
        <w:rPr>
          <w:rFonts w:ascii="Times New Roman" w:eastAsia="Times New Roman" w:hAnsi="Times New Roman" w:cs="Times New Roman"/>
          <w:sz w:val="24"/>
          <w:szCs w:val="24"/>
          <w:lang w:val="en-US"/>
        </w:rPr>
        <w:t xml:space="preserve">, Y., Kato, M., Abe, M., … Kimura, T. (2019). Effect of 1-month dual antiplatelet therapy followed by clopidogrel vs 12-month dual antiplatelet therapy on cardiovascular and bleeding events in patients receiving PCI: The STOPDAPT-2 randomized clinical trial. </w:t>
      </w:r>
      <w:r w:rsidRPr="00CF2BAC">
        <w:rPr>
          <w:rFonts w:ascii="Times New Roman" w:eastAsia="Times New Roman" w:hAnsi="Times New Roman" w:cs="Times New Roman"/>
          <w:i/>
          <w:iCs/>
          <w:sz w:val="24"/>
          <w:szCs w:val="24"/>
          <w:lang w:val="en-US"/>
        </w:rPr>
        <w:t>JAMA, 321</w:t>
      </w:r>
      <w:r w:rsidRPr="00CF2BAC">
        <w:rPr>
          <w:rFonts w:ascii="Times New Roman" w:eastAsia="Times New Roman" w:hAnsi="Times New Roman" w:cs="Times New Roman"/>
          <w:sz w:val="24"/>
          <w:szCs w:val="24"/>
          <w:lang w:val="en-US"/>
        </w:rPr>
        <w:t xml:space="preserve">(24), 2414–2427. </w:t>
      </w:r>
      <w:hyperlink r:id="rId32" w:history="1">
        <w:r w:rsidRPr="00CF2BAC">
          <w:rPr>
            <w:rFonts w:ascii="Times New Roman" w:eastAsia="Times New Roman" w:hAnsi="Times New Roman" w:cs="Times New Roman"/>
            <w:color w:val="0000FF"/>
            <w:sz w:val="24"/>
            <w:szCs w:val="24"/>
            <w:u w:val="single"/>
            <w:lang w:val="en-US"/>
          </w:rPr>
          <w:t>https://doi.org/10.1001/jama.2019.8145</w:t>
        </w:r>
      </w:hyperlink>
    </w:p>
    <w:p w:rsidR="00F9617F" w:rsidRDefault="00F9617F"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F9617F">
        <w:rPr>
          <w:rFonts w:ascii="Times New Roman" w:eastAsia="Times New Roman" w:hAnsi="Times New Roman" w:cs="Times New Roman"/>
          <w:sz w:val="24"/>
          <w:szCs w:val="24"/>
          <w:lang w:val="en-US"/>
        </w:rPr>
        <w:t xml:space="preserve">Watanabe, H., Morimoto, T., </w:t>
      </w:r>
      <w:proofErr w:type="spellStart"/>
      <w:r w:rsidRPr="00F9617F">
        <w:rPr>
          <w:rFonts w:ascii="Times New Roman" w:eastAsia="Times New Roman" w:hAnsi="Times New Roman" w:cs="Times New Roman"/>
          <w:sz w:val="24"/>
          <w:szCs w:val="24"/>
          <w:lang w:val="en-US"/>
        </w:rPr>
        <w:t>Natsuaki</w:t>
      </w:r>
      <w:proofErr w:type="spellEnd"/>
      <w:r w:rsidRPr="00F9617F">
        <w:rPr>
          <w:rFonts w:ascii="Times New Roman" w:eastAsia="Times New Roman" w:hAnsi="Times New Roman" w:cs="Times New Roman"/>
          <w:sz w:val="24"/>
          <w:szCs w:val="24"/>
          <w:lang w:val="en-US"/>
        </w:rPr>
        <w:t xml:space="preserve">, M., Yamamoto, K., Obayashi, Y., </w:t>
      </w:r>
      <w:proofErr w:type="spellStart"/>
      <w:r w:rsidRPr="00F9617F">
        <w:rPr>
          <w:rFonts w:ascii="Times New Roman" w:eastAsia="Times New Roman" w:hAnsi="Times New Roman" w:cs="Times New Roman"/>
          <w:sz w:val="24"/>
          <w:szCs w:val="24"/>
          <w:lang w:val="en-US"/>
        </w:rPr>
        <w:t>Ogita</w:t>
      </w:r>
      <w:proofErr w:type="spellEnd"/>
      <w:r w:rsidRPr="00F9617F">
        <w:rPr>
          <w:rFonts w:ascii="Times New Roman" w:eastAsia="Times New Roman" w:hAnsi="Times New Roman" w:cs="Times New Roman"/>
          <w:sz w:val="24"/>
          <w:szCs w:val="24"/>
          <w:lang w:val="en-US"/>
        </w:rPr>
        <w:t xml:space="preserve">, M., </w:t>
      </w:r>
      <w:proofErr w:type="spellStart"/>
      <w:r w:rsidRPr="00F9617F">
        <w:rPr>
          <w:rFonts w:ascii="Times New Roman" w:eastAsia="Times New Roman" w:hAnsi="Times New Roman" w:cs="Times New Roman"/>
          <w:sz w:val="24"/>
          <w:szCs w:val="24"/>
          <w:lang w:val="en-US"/>
        </w:rPr>
        <w:t>Suwa</w:t>
      </w:r>
      <w:proofErr w:type="spellEnd"/>
      <w:r w:rsidRPr="00F9617F">
        <w:rPr>
          <w:rFonts w:ascii="Times New Roman" w:eastAsia="Times New Roman" w:hAnsi="Times New Roman" w:cs="Times New Roman"/>
          <w:sz w:val="24"/>
          <w:szCs w:val="24"/>
          <w:lang w:val="en-US"/>
        </w:rPr>
        <w:t xml:space="preserve">, S., </w:t>
      </w:r>
      <w:proofErr w:type="spellStart"/>
      <w:r w:rsidRPr="00F9617F">
        <w:rPr>
          <w:rFonts w:ascii="Times New Roman" w:eastAsia="Times New Roman" w:hAnsi="Times New Roman" w:cs="Times New Roman"/>
          <w:sz w:val="24"/>
          <w:szCs w:val="24"/>
          <w:lang w:val="en-US"/>
        </w:rPr>
        <w:t>Isawa</w:t>
      </w:r>
      <w:proofErr w:type="spellEnd"/>
      <w:r w:rsidRPr="00F9617F">
        <w:rPr>
          <w:rFonts w:ascii="Times New Roman" w:eastAsia="Times New Roman" w:hAnsi="Times New Roman" w:cs="Times New Roman"/>
          <w:sz w:val="24"/>
          <w:szCs w:val="24"/>
          <w:lang w:val="en-US"/>
        </w:rPr>
        <w:t xml:space="preserve">, T., </w:t>
      </w:r>
      <w:proofErr w:type="spellStart"/>
      <w:r w:rsidRPr="00F9617F">
        <w:rPr>
          <w:rFonts w:ascii="Times New Roman" w:eastAsia="Times New Roman" w:hAnsi="Times New Roman" w:cs="Times New Roman"/>
          <w:sz w:val="24"/>
          <w:szCs w:val="24"/>
          <w:lang w:val="en-US"/>
        </w:rPr>
        <w:t>Domei</w:t>
      </w:r>
      <w:proofErr w:type="spellEnd"/>
      <w:r w:rsidRPr="00F9617F">
        <w:rPr>
          <w:rFonts w:ascii="Times New Roman" w:eastAsia="Times New Roman" w:hAnsi="Times New Roman" w:cs="Times New Roman"/>
          <w:sz w:val="24"/>
          <w:szCs w:val="24"/>
          <w:lang w:val="en-US"/>
        </w:rPr>
        <w:t xml:space="preserve">, T., </w:t>
      </w:r>
      <w:proofErr w:type="spellStart"/>
      <w:r w:rsidRPr="00F9617F">
        <w:rPr>
          <w:rFonts w:ascii="Times New Roman" w:eastAsia="Times New Roman" w:hAnsi="Times New Roman" w:cs="Times New Roman"/>
          <w:sz w:val="24"/>
          <w:szCs w:val="24"/>
          <w:lang w:val="en-US"/>
        </w:rPr>
        <w:t>Yamaji</w:t>
      </w:r>
      <w:proofErr w:type="spellEnd"/>
      <w:r w:rsidRPr="00F9617F">
        <w:rPr>
          <w:rFonts w:ascii="Times New Roman" w:eastAsia="Times New Roman" w:hAnsi="Times New Roman" w:cs="Times New Roman"/>
          <w:sz w:val="24"/>
          <w:szCs w:val="24"/>
          <w:lang w:val="en-US"/>
        </w:rPr>
        <w:t xml:space="preserve">, K., </w:t>
      </w:r>
      <w:proofErr w:type="spellStart"/>
      <w:r w:rsidRPr="00F9617F">
        <w:rPr>
          <w:rFonts w:ascii="Times New Roman" w:eastAsia="Times New Roman" w:hAnsi="Times New Roman" w:cs="Times New Roman"/>
          <w:sz w:val="24"/>
          <w:szCs w:val="24"/>
          <w:lang w:val="en-US"/>
        </w:rPr>
        <w:t>Tatsushima</w:t>
      </w:r>
      <w:proofErr w:type="spellEnd"/>
      <w:r w:rsidRPr="00F9617F">
        <w:rPr>
          <w:rFonts w:ascii="Times New Roman" w:eastAsia="Times New Roman" w:hAnsi="Times New Roman" w:cs="Times New Roman"/>
          <w:sz w:val="24"/>
          <w:szCs w:val="24"/>
          <w:lang w:val="en-US"/>
        </w:rPr>
        <w:t xml:space="preserve">, S., Watanabe, H., </w:t>
      </w:r>
      <w:proofErr w:type="spellStart"/>
      <w:r w:rsidRPr="00F9617F">
        <w:rPr>
          <w:rFonts w:ascii="Times New Roman" w:eastAsia="Times New Roman" w:hAnsi="Times New Roman" w:cs="Times New Roman"/>
          <w:sz w:val="24"/>
          <w:szCs w:val="24"/>
          <w:lang w:val="en-US"/>
        </w:rPr>
        <w:t>Ohya</w:t>
      </w:r>
      <w:proofErr w:type="spellEnd"/>
      <w:r w:rsidRPr="00F9617F">
        <w:rPr>
          <w:rFonts w:ascii="Times New Roman" w:eastAsia="Times New Roman" w:hAnsi="Times New Roman" w:cs="Times New Roman"/>
          <w:sz w:val="24"/>
          <w:szCs w:val="24"/>
          <w:lang w:val="en-US"/>
        </w:rPr>
        <w:t xml:space="preserve">, M., Tokuyama, H., Tada, T., Sakamoto, H., Mori, H., Suzuki, H., </w:t>
      </w:r>
      <w:proofErr w:type="spellStart"/>
      <w:r w:rsidRPr="00F9617F">
        <w:rPr>
          <w:rFonts w:ascii="Times New Roman" w:eastAsia="Times New Roman" w:hAnsi="Times New Roman" w:cs="Times New Roman"/>
          <w:sz w:val="24"/>
          <w:szCs w:val="24"/>
          <w:lang w:val="en-US"/>
        </w:rPr>
        <w:t>Nishikura</w:t>
      </w:r>
      <w:proofErr w:type="spellEnd"/>
      <w:r w:rsidRPr="00F9617F">
        <w:rPr>
          <w:rFonts w:ascii="Times New Roman" w:eastAsia="Times New Roman" w:hAnsi="Times New Roman" w:cs="Times New Roman"/>
          <w:sz w:val="24"/>
          <w:szCs w:val="24"/>
          <w:lang w:val="en-US"/>
        </w:rPr>
        <w:t xml:space="preserve">, T., Wakabayashi, K., … STOPDAPT-2 ACS Investigators (2022). Comparison of Clopidogrel Monotherapy After 1 to 2 Months of Dual Antiplatelet Therapy With 12 Months of Dual Antiplatelet Therapy in Patients </w:t>
      </w:r>
      <w:proofErr w:type="gramStart"/>
      <w:r w:rsidRPr="00F9617F">
        <w:rPr>
          <w:rFonts w:ascii="Times New Roman" w:eastAsia="Times New Roman" w:hAnsi="Times New Roman" w:cs="Times New Roman"/>
          <w:sz w:val="24"/>
          <w:szCs w:val="24"/>
          <w:lang w:val="en-US"/>
        </w:rPr>
        <w:t>With</w:t>
      </w:r>
      <w:proofErr w:type="gramEnd"/>
      <w:r w:rsidRPr="00F9617F">
        <w:rPr>
          <w:rFonts w:ascii="Times New Roman" w:eastAsia="Times New Roman" w:hAnsi="Times New Roman" w:cs="Times New Roman"/>
          <w:sz w:val="24"/>
          <w:szCs w:val="24"/>
          <w:lang w:val="en-US"/>
        </w:rPr>
        <w:t xml:space="preserve"> Acute Coronary Syndrome: The STOPDAPT-2 ACS Randomized Clinical Trial. JAMA cardiology, 7(4), 407–417. </w:t>
      </w:r>
      <w:hyperlink r:id="rId33" w:history="1">
        <w:r w:rsidRPr="00AA1487">
          <w:rPr>
            <w:rStyle w:val="Hyperlink"/>
            <w:rFonts w:ascii="Times New Roman" w:eastAsia="Times New Roman" w:hAnsi="Times New Roman" w:cs="Times New Roman"/>
            <w:sz w:val="24"/>
            <w:szCs w:val="24"/>
            <w:lang w:val="en-US"/>
          </w:rPr>
          <w:t>https://doi.org/10.1001/jamacardio.2021.5244</w:t>
        </w:r>
      </w:hyperlink>
      <w:r>
        <w:rPr>
          <w:rFonts w:ascii="Times New Roman" w:eastAsia="Times New Roman" w:hAnsi="Times New Roman" w:cs="Times New Roman"/>
          <w:sz w:val="24"/>
          <w:szCs w:val="24"/>
          <w:lang w:val="en-US"/>
        </w:rPr>
        <w:t xml:space="preserve"> </w:t>
      </w:r>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2BAC">
        <w:rPr>
          <w:rFonts w:ascii="Times New Roman" w:eastAsia="Times New Roman" w:hAnsi="Times New Roman" w:cs="Times New Roman"/>
          <w:sz w:val="24"/>
          <w:szCs w:val="24"/>
          <w:lang w:val="en-US"/>
        </w:rPr>
        <w:t>Wiviott</w:t>
      </w:r>
      <w:proofErr w:type="spellEnd"/>
      <w:r w:rsidRPr="00CF2BAC">
        <w:rPr>
          <w:rFonts w:ascii="Times New Roman" w:eastAsia="Times New Roman" w:hAnsi="Times New Roman" w:cs="Times New Roman"/>
          <w:sz w:val="24"/>
          <w:szCs w:val="24"/>
          <w:lang w:val="en-US"/>
        </w:rPr>
        <w:t xml:space="preserve">, S. D., </w:t>
      </w:r>
      <w:proofErr w:type="spellStart"/>
      <w:r w:rsidRPr="00CF2BAC">
        <w:rPr>
          <w:rFonts w:ascii="Times New Roman" w:eastAsia="Times New Roman" w:hAnsi="Times New Roman" w:cs="Times New Roman"/>
          <w:sz w:val="24"/>
          <w:szCs w:val="24"/>
          <w:lang w:val="en-US"/>
        </w:rPr>
        <w:t>Braunwald</w:t>
      </w:r>
      <w:proofErr w:type="spellEnd"/>
      <w:r w:rsidRPr="00CF2BAC">
        <w:rPr>
          <w:rFonts w:ascii="Times New Roman" w:eastAsia="Times New Roman" w:hAnsi="Times New Roman" w:cs="Times New Roman"/>
          <w:sz w:val="24"/>
          <w:szCs w:val="24"/>
          <w:lang w:val="en-US"/>
        </w:rPr>
        <w:t xml:space="preserve">, E., McCabe, C. H., </w:t>
      </w:r>
      <w:proofErr w:type="spellStart"/>
      <w:r w:rsidRPr="00CF2BAC">
        <w:rPr>
          <w:rFonts w:ascii="Times New Roman" w:eastAsia="Times New Roman" w:hAnsi="Times New Roman" w:cs="Times New Roman"/>
          <w:sz w:val="24"/>
          <w:szCs w:val="24"/>
          <w:lang w:val="en-US"/>
        </w:rPr>
        <w:t>Montalescot</w:t>
      </w:r>
      <w:proofErr w:type="spellEnd"/>
      <w:r w:rsidRPr="00CF2BAC">
        <w:rPr>
          <w:rFonts w:ascii="Times New Roman" w:eastAsia="Times New Roman" w:hAnsi="Times New Roman" w:cs="Times New Roman"/>
          <w:sz w:val="24"/>
          <w:szCs w:val="24"/>
          <w:lang w:val="en-US"/>
        </w:rPr>
        <w:t xml:space="preserve">, G., </w:t>
      </w:r>
      <w:proofErr w:type="spellStart"/>
      <w:r w:rsidRPr="00CF2BAC">
        <w:rPr>
          <w:rFonts w:ascii="Times New Roman" w:eastAsia="Times New Roman" w:hAnsi="Times New Roman" w:cs="Times New Roman"/>
          <w:sz w:val="24"/>
          <w:szCs w:val="24"/>
          <w:lang w:val="en-US"/>
        </w:rPr>
        <w:t>Ruzyllo</w:t>
      </w:r>
      <w:proofErr w:type="spellEnd"/>
      <w:r w:rsidRPr="00CF2BAC">
        <w:rPr>
          <w:rFonts w:ascii="Times New Roman" w:eastAsia="Times New Roman" w:hAnsi="Times New Roman" w:cs="Times New Roman"/>
          <w:sz w:val="24"/>
          <w:szCs w:val="24"/>
          <w:lang w:val="en-US"/>
        </w:rPr>
        <w:t xml:space="preserve">, W., Gottlieb, S., Neumann, F. J., </w:t>
      </w:r>
      <w:proofErr w:type="spellStart"/>
      <w:r w:rsidRPr="00CF2BAC">
        <w:rPr>
          <w:rFonts w:ascii="Times New Roman" w:eastAsia="Times New Roman" w:hAnsi="Times New Roman" w:cs="Times New Roman"/>
          <w:sz w:val="24"/>
          <w:szCs w:val="24"/>
          <w:lang w:val="en-US"/>
        </w:rPr>
        <w:t>Ardissino</w:t>
      </w:r>
      <w:proofErr w:type="spellEnd"/>
      <w:r w:rsidRPr="00CF2BAC">
        <w:rPr>
          <w:rFonts w:ascii="Times New Roman" w:eastAsia="Times New Roman" w:hAnsi="Times New Roman" w:cs="Times New Roman"/>
          <w:sz w:val="24"/>
          <w:szCs w:val="24"/>
          <w:lang w:val="en-US"/>
        </w:rPr>
        <w:t xml:space="preserve">, D., De </w:t>
      </w:r>
      <w:proofErr w:type="spellStart"/>
      <w:r w:rsidRPr="00CF2BAC">
        <w:rPr>
          <w:rFonts w:ascii="Times New Roman" w:eastAsia="Times New Roman" w:hAnsi="Times New Roman" w:cs="Times New Roman"/>
          <w:sz w:val="24"/>
          <w:szCs w:val="24"/>
          <w:lang w:val="en-US"/>
        </w:rPr>
        <w:t>Servi</w:t>
      </w:r>
      <w:proofErr w:type="spellEnd"/>
      <w:r w:rsidRPr="00CF2BAC">
        <w:rPr>
          <w:rFonts w:ascii="Times New Roman" w:eastAsia="Times New Roman" w:hAnsi="Times New Roman" w:cs="Times New Roman"/>
          <w:sz w:val="24"/>
          <w:szCs w:val="24"/>
          <w:lang w:val="en-US"/>
        </w:rPr>
        <w:t xml:space="preserve">, S., Murphy, S. A., </w:t>
      </w:r>
      <w:proofErr w:type="spellStart"/>
      <w:r w:rsidRPr="00CF2BAC">
        <w:rPr>
          <w:rFonts w:ascii="Times New Roman" w:eastAsia="Times New Roman" w:hAnsi="Times New Roman" w:cs="Times New Roman"/>
          <w:sz w:val="24"/>
          <w:szCs w:val="24"/>
          <w:lang w:val="en-US"/>
        </w:rPr>
        <w:t>Riesmeyer</w:t>
      </w:r>
      <w:proofErr w:type="spellEnd"/>
      <w:r w:rsidRPr="00CF2BAC">
        <w:rPr>
          <w:rFonts w:ascii="Times New Roman" w:eastAsia="Times New Roman" w:hAnsi="Times New Roman" w:cs="Times New Roman"/>
          <w:sz w:val="24"/>
          <w:szCs w:val="24"/>
          <w:lang w:val="en-US"/>
        </w:rPr>
        <w:t xml:space="preserve">, J., </w:t>
      </w:r>
      <w:proofErr w:type="spellStart"/>
      <w:r w:rsidRPr="00CF2BAC">
        <w:rPr>
          <w:rFonts w:ascii="Times New Roman" w:eastAsia="Times New Roman" w:hAnsi="Times New Roman" w:cs="Times New Roman"/>
          <w:sz w:val="24"/>
          <w:szCs w:val="24"/>
          <w:lang w:val="en-US"/>
        </w:rPr>
        <w:t>Weerakkody</w:t>
      </w:r>
      <w:proofErr w:type="spellEnd"/>
      <w:r w:rsidRPr="00CF2BAC">
        <w:rPr>
          <w:rFonts w:ascii="Times New Roman" w:eastAsia="Times New Roman" w:hAnsi="Times New Roman" w:cs="Times New Roman"/>
          <w:sz w:val="24"/>
          <w:szCs w:val="24"/>
          <w:lang w:val="en-US"/>
        </w:rPr>
        <w:t xml:space="preserve">, G., Gibson, C. M., &amp; Antman, E. M. (2007). Prasugrel versus clopidogrel in patients with acute coronary syndromes. </w:t>
      </w:r>
      <w:r w:rsidRPr="00CF2BAC">
        <w:rPr>
          <w:rFonts w:ascii="Times New Roman" w:eastAsia="Times New Roman" w:hAnsi="Times New Roman" w:cs="Times New Roman"/>
          <w:i/>
          <w:iCs/>
          <w:sz w:val="24"/>
          <w:szCs w:val="24"/>
          <w:lang w:val="en-US"/>
        </w:rPr>
        <w:t>New England Journal of Medicine, 357</w:t>
      </w:r>
      <w:r w:rsidRPr="00CF2BAC">
        <w:rPr>
          <w:rFonts w:ascii="Times New Roman" w:eastAsia="Times New Roman" w:hAnsi="Times New Roman" w:cs="Times New Roman"/>
          <w:sz w:val="24"/>
          <w:szCs w:val="24"/>
          <w:lang w:val="en-US"/>
        </w:rPr>
        <w:t xml:space="preserve">(20), 2001–2015. </w:t>
      </w:r>
      <w:hyperlink r:id="rId34" w:history="1">
        <w:r w:rsidRPr="00CF2BAC">
          <w:rPr>
            <w:rFonts w:ascii="Times New Roman" w:eastAsia="Times New Roman" w:hAnsi="Times New Roman" w:cs="Times New Roman"/>
            <w:color w:val="0000FF"/>
            <w:sz w:val="24"/>
            <w:szCs w:val="24"/>
            <w:u w:val="single"/>
            <w:lang w:val="en-US"/>
          </w:rPr>
          <w:t>https://doi.org/10.1056/NEJMoa0706482</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Yeh, R. W., </w:t>
      </w:r>
      <w:proofErr w:type="spellStart"/>
      <w:r w:rsidRPr="00CF2BAC">
        <w:rPr>
          <w:rFonts w:ascii="Times New Roman" w:eastAsia="Times New Roman" w:hAnsi="Times New Roman" w:cs="Times New Roman"/>
          <w:sz w:val="24"/>
          <w:szCs w:val="24"/>
          <w:lang w:val="en-US"/>
        </w:rPr>
        <w:t>Secemsky</w:t>
      </w:r>
      <w:proofErr w:type="spellEnd"/>
      <w:r w:rsidRPr="00CF2BAC">
        <w:rPr>
          <w:rFonts w:ascii="Times New Roman" w:eastAsia="Times New Roman" w:hAnsi="Times New Roman" w:cs="Times New Roman"/>
          <w:sz w:val="24"/>
          <w:szCs w:val="24"/>
          <w:lang w:val="en-US"/>
        </w:rPr>
        <w:t xml:space="preserve">, E. A., </w:t>
      </w:r>
      <w:proofErr w:type="spellStart"/>
      <w:r w:rsidRPr="00CF2BAC">
        <w:rPr>
          <w:rFonts w:ascii="Times New Roman" w:eastAsia="Times New Roman" w:hAnsi="Times New Roman" w:cs="Times New Roman"/>
          <w:sz w:val="24"/>
          <w:szCs w:val="24"/>
          <w:lang w:val="en-US"/>
        </w:rPr>
        <w:t>Kereiakes</w:t>
      </w:r>
      <w:proofErr w:type="spellEnd"/>
      <w:r w:rsidRPr="00CF2BAC">
        <w:rPr>
          <w:rFonts w:ascii="Times New Roman" w:eastAsia="Times New Roman" w:hAnsi="Times New Roman" w:cs="Times New Roman"/>
          <w:sz w:val="24"/>
          <w:szCs w:val="24"/>
          <w:lang w:val="en-US"/>
        </w:rPr>
        <w:t xml:space="preserve">, D. J., Normand, S. L. T., </w:t>
      </w:r>
      <w:proofErr w:type="spellStart"/>
      <w:r w:rsidRPr="00CF2BAC">
        <w:rPr>
          <w:rFonts w:ascii="Times New Roman" w:eastAsia="Times New Roman" w:hAnsi="Times New Roman" w:cs="Times New Roman"/>
          <w:sz w:val="24"/>
          <w:szCs w:val="24"/>
          <w:lang w:val="en-US"/>
        </w:rPr>
        <w:t>Gershlick</w:t>
      </w:r>
      <w:proofErr w:type="spellEnd"/>
      <w:r w:rsidRPr="00CF2BAC">
        <w:rPr>
          <w:rFonts w:ascii="Times New Roman" w:eastAsia="Times New Roman" w:hAnsi="Times New Roman" w:cs="Times New Roman"/>
          <w:sz w:val="24"/>
          <w:szCs w:val="24"/>
          <w:lang w:val="en-US"/>
        </w:rPr>
        <w:t xml:space="preserve">, A. H., Cohen, D. J., </w:t>
      </w:r>
      <w:proofErr w:type="spellStart"/>
      <w:r w:rsidRPr="00CF2BAC">
        <w:rPr>
          <w:rFonts w:ascii="Times New Roman" w:eastAsia="Times New Roman" w:hAnsi="Times New Roman" w:cs="Times New Roman"/>
          <w:sz w:val="24"/>
          <w:szCs w:val="24"/>
          <w:lang w:val="en-US"/>
        </w:rPr>
        <w:t>Spertus</w:t>
      </w:r>
      <w:proofErr w:type="spellEnd"/>
      <w:r w:rsidRPr="00CF2BAC">
        <w:rPr>
          <w:rFonts w:ascii="Times New Roman" w:eastAsia="Times New Roman" w:hAnsi="Times New Roman" w:cs="Times New Roman"/>
          <w:sz w:val="24"/>
          <w:szCs w:val="24"/>
          <w:lang w:val="en-US"/>
        </w:rPr>
        <w:t xml:space="preserve">, J. A., Steg, P. G., </w:t>
      </w:r>
      <w:proofErr w:type="spellStart"/>
      <w:r w:rsidRPr="00CF2BAC">
        <w:rPr>
          <w:rFonts w:ascii="Times New Roman" w:eastAsia="Times New Roman" w:hAnsi="Times New Roman" w:cs="Times New Roman"/>
          <w:sz w:val="24"/>
          <w:szCs w:val="24"/>
          <w:lang w:val="en-US"/>
        </w:rPr>
        <w:t>Cutlip</w:t>
      </w:r>
      <w:proofErr w:type="spellEnd"/>
      <w:r w:rsidRPr="00CF2BAC">
        <w:rPr>
          <w:rFonts w:ascii="Times New Roman" w:eastAsia="Times New Roman" w:hAnsi="Times New Roman" w:cs="Times New Roman"/>
          <w:sz w:val="24"/>
          <w:szCs w:val="24"/>
          <w:lang w:val="en-US"/>
        </w:rPr>
        <w:t xml:space="preserve">, D. E., Rinaldi, M. J., </w:t>
      </w:r>
      <w:proofErr w:type="spellStart"/>
      <w:r w:rsidRPr="00CF2BAC">
        <w:rPr>
          <w:rFonts w:ascii="Times New Roman" w:eastAsia="Times New Roman" w:hAnsi="Times New Roman" w:cs="Times New Roman"/>
          <w:sz w:val="24"/>
          <w:szCs w:val="24"/>
          <w:lang w:val="en-US"/>
        </w:rPr>
        <w:t>Camenzind</w:t>
      </w:r>
      <w:proofErr w:type="spellEnd"/>
      <w:r w:rsidRPr="00CF2BAC">
        <w:rPr>
          <w:rFonts w:ascii="Times New Roman" w:eastAsia="Times New Roman" w:hAnsi="Times New Roman" w:cs="Times New Roman"/>
          <w:sz w:val="24"/>
          <w:szCs w:val="24"/>
          <w:lang w:val="en-US"/>
        </w:rPr>
        <w:t xml:space="preserve">, E., </w:t>
      </w:r>
      <w:proofErr w:type="spellStart"/>
      <w:r w:rsidRPr="00CF2BAC">
        <w:rPr>
          <w:rFonts w:ascii="Times New Roman" w:eastAsia="Times New Roman" w:hAnsi="Times New Roman" w:cs="Times New Roman"/>
          <w:sz w:val="24"/>
          <w:szCs w:val="24"/>
          <w:lang w:val="en-US"/>
        </w:rPr>
        <w:t>Wijns</w:t>
      </w:r>
      <w:proofErr w:type="spellEnd"/>
      <w:r w:rsidRPr="00CF2BAC">
        <w:rPr>
          <w:rFonts w:ascii="Times New Roman" w:eastAsia="Times New Roman" w:hAnsi="Times New Roman" w:cs="Times New Roman"/>
          <w:sz w:val="24"/>
          <w:szCs w:val="24"/>
          <w:lang w:val="en-US"/>
        </w:rPr>
        <w:t xml:space="preserve">, W., </w:t>
      </w:r>
      <w:proofErr w:type="spellStart"/>
      <w:r w:rsidRPr="00CF2BAC">
        <w:rPr>
          <w:rFonts w:ascii="Times New Roman" w:eastAsia="Times New Roman" w:hAnsi="Times New Roman" w:cs="Times New Roman"/>
          <w:sz w:val="24"/>
          <w:szCs w:val="24"/>
          <w:lang w:val="en-US"/>
        </w:rPr>
        <w:lastRenderedPageBreak/>
        <w:t>Apruzzese</w:t>
      </w:r>
      <w:proofErr w:type="spellEnd"/>
      <w:r w:rsidRPr="00CF2BAC">
        <w:rPr>
          <w:rFonts w:ascii="Times New Roman" w:eastAsia="Times New Roman" w:hAnsi="Times New Roman" w:cs="Times New Roman"/>
          <w:sz w:val="24"/>
          <w:szCs w:val="24"/>
          <w:lang w:val="en-US"/>
        </w:rPr>
        <w:t xml:space="preserve">, P. K., Song, Y., Massaro, J. M., &amp; Mauri, L. (2016). Development and validation of a prediction rule for benefit and harm of dual antiplatelet therapy beyond 1 year after percutaneous coronary intervention. </w:t>
      </w:r>
      <w:r w:rsidRPr="00CF2BAC">
        <w:rPr>
          <w:rFonts w:ascii="Times New Roman" w:eastAsia="Times New Roman" w:hAnsi="Times New Roman" w:cs="Times New Roman"/>
          <w:i/>
          <w:iCs/>
          <w:sz w:val="24"/>
          <w:szCs w:val="24"/>
          <w:lang w:val="en-US"/>
        </w:rPr>
        <w:t>JAMA, 315</w:t>
      </w:r>
      <w:r w:rsidRPr="00CF2BAC">
        <w:rPr>
          <w:rFonts w:ascii="Times New Roman" w:eastAsia="Times New Roman" w:hAnsi="Times New Roman" w:cs="Times New Roman"/>
          <w:sz w:val="24"/>
          <w:szCs w:val="24"/>
          <w:lang w:val="en-US"/>
        </w:rPr>
        <w:t xml:space="preserve">(16), 1735–1749. </w:t>
      </w:r>
      <w:hyperlink r:id="rId35" w:history="1">
        <w:r w:rsidRPr="00CF2BAC">
          <w:rPr>
            <w:rFonts w:ascii="Times New Roman" w:eastAsia="Times New Roman" w:hAnsi="Times New Roman" w:cs="Times New Roman"/>
            <w:color w:val="0000FF"/>
            <w:sz w:val="24"/>
            <w:szCs w:val="24"/>
            <w:u w:val="single"/>
            <w:lang w:val="en-US"/>
          </w:rPr>
          <w:t>https://doi.org/10.1001/jama.2016.3775</w:t>
        </w:r>
      </w:hyperlink>
    </w:p>
    <w:p w:rsidR="00CF2BAC" w:rsidRPr="00CF2BAC" w:rsidRDefault="00CF2BAC" w:rsidP="005C77ED">
      <w:pPr>
        <w:spacing w:before="100" w:beforeAutospacing="1" w:after="100" w:afterAutospacing="1" w:line="240" w:lineRule="auto"/>
        <w:jc w:val="both"/>
        <w:rPr>
          <w:rFonts w:ascii="Times New Roman" w:eastAsia="Times New Roman" w:hAnsi="Times New Roman" w:cs="Times New Roman"/>
          <w:sz w:val="24"/>
          <w:szCs w:val="24"/>
          <w:lang w:val="en-US"/>
        </w:rPr>
      </w:pPr>
      <w:r w:rsidRPr="00CF2BAC">
        <w:rPr>
          <w:rFonts w:ascii="Times New Roman" w:eastAsia="Times New Roman" w:hAnsi="Times New Roman" w:cs="Times New Roman"/>
          <w:sz w:val="24"/>
          <w:szCs w:val="24"/>
          <w:lang w:val="en-US"/>
        </w:rPr>
        <w:t xml:space="preserve">Yusuf, S., Zhao, F., Mehta, S. R., </w:t>
      </w:r>
      <w:proofErr w:type="spellStart"/>
      <w:r w:rsidRPr="00CF2BAC">
        <w:rPr>
          <w:rFonts w:ascii="Times New Roman" w:eastAsia="Times New Roman" w:hAnsi="Times New Roman" w:cs="Times New Roman"/>
          <w:sz w:val="24"/>
          <w:szCs w:val="24"/>
          <w:lang w:val="en-US"/>
        </w:rPr>
        <w:t>Chrolavicius</w:t>
      </w:r>
      <w:proofErr w:type="spellEnd"/>
      <w:r w:rsidRPr="00CF2BAC">
        <w:rPr>
          <w:rFonts w:ascii="Times New Roman" w:eastAsia="Times New Roman" w:hAnsi="Times New Roman" w:cs="Times New Roman"/>
          <w:sz w:val="24"/>
          <w:szCs w:val="24"/>
          <w:lang w:val="en-US"/>
        </w:rPr>
        <w:t xml:space="preserve">, S., </w:t>
      </w:r>
      <w:proofErr w:type="spellStart"/>
      <w:r w:rsidRPr="00CF2BAC">
        <w:rPr>
          <w:rFonts w:ascii="Times New Roman" w:eastAsia="Times New Roman" w:hAnsi="Times New Roman" w:cs="Times New Roman"/>
          <w:sz w:val="24"/>
          <w:szCs w:val="24"/>
          <w:lang w:val="en-US"/>
        </w:rPr>
        <w:t>Tognoni</w:t>
      </w:r>
      <w:proofErr w:type="spellEnd"/>
      <w:r w:rsidRPr="00CF2BAC">
        <w:rPr>
          <w:rFonts w:ascii="Times New Roman" w:eastAsia="Times New Roman" w:hAnsi="Times New Roman" w:cs="Times New Roman"/>
          <w:sz w:val="24"/>
          <w:szCs w:val="24"/>
          <w:lang w:val="en-US"/>
        </w:rPr>
        <w:t xml:space="preserve">, G., &amp; Fox, K. K. (2001). Effects of clopidogrel in addition to aspirin in patients with acute coronary syndromes without ST-segment elevation. </w:t>
      </w:r>
      <w:r w:rsidRPr="00CF2BAC">
        <w:rPr>
          <w:rFonts w:ascii="Times New Roman" w:eastAsia="Times New Roman" w:hAnsi="Times New Roman" w:cs="Times New Roman"/>
          <w:i/>
          <w:iCs/>
          <w:sz w:val="24"/>
          <w:szCs w:val="24"/>
          <w:lang w:val="en-US"/>
        </w:rPr>
        <w:t>New England Journal of Medicine, 345</w:t>
      </w:r>
      <w:r w:rsidRPr="00CF2BAC">
        <w:rPr>
          <w:rFonts w:ascii="Times New Roman" w:eastAsia="Times New Roman" w:hAnsi="Times New Roman" w:cs="Times New Roman"/>
          <w:sz w:val="24"/>
          <w:szCs w:val="24"/>
          <w:lang w:val="en-US"/>
        </w:rPr>
        <w:t xml:space="preserve">(7), 494–502. </w:t>
      </w:r>
      <w:hyperlink r:id="rId36" w:history="1">
        <w:r w:rsidRPr="00CF2BAC">
          <w:rPr>
            <w:rFonts w:ascii="Times New Roman" w:eastAsia="Times New Roman" w:hAnsi="Times New Roman" w:cs="Times New Roman"/>
            <w:color w:val="0000FF"/>
            <w:sz w:val="24"/>
            <w:szCs w:val="24"/>
            <w:u w:val="single"/>
            <w:lang w:val="en-US"/>
          </w:rPr>
          <w:t>https://doi.org/10.1056/NEJMoa010746</w:t>
        </w:r>
      </w:hyperlink>
    </w:p>
    <w:p w:rsidR="009F565B" w:rsidRPr="009F565B" w:rsidRDefault="009F565B" w:rsidP="009F565B">
      <w:pPr>
        <w:shd w:val="clear" w:color="auto" w:fill="FFFFFF"/>
        <w:spacing w:after="0" w:line="240" w:lineRule="auto"/>
        <w:rPr>
          <w:rFonts w:ascii="Consolas" w:eastAsia="Times New Roman" w:hAnsi="Consolas" w:cs="Times New Roman"/>
          <w:color w:val="1B1B1B"/>
          <w:sz w:val="24"/>
          <w:szCs w:val="24"/>
          <w:lang w:val="en-US"/>
        </w:rPr>
      </w:pPr>
      <w:proofErr w:type="spellStart"/>
      <w:r w:rsidRPr="009600AC">
        <w:rPr>
          <w:rFonts w:ascii="Consolas" w:eastAsia="Times New Roman" w:hAnsi="Consolas" w:cs="Times New Roman"/>
          <w:color w:val="1B1B1B"/>
          <w:sz w:val="24"/>
          <w:szCs w:val="24"/>
          <w:highlight w:val="yellow"/>
          <w:lang w:val="en-US"/>
        </w:rPr>
        <w:t>Winson</w:t>
      </w:r>
      <w:proofErr w:type="spellEnd"/>
      <w:r w:rsidRPr="009600AC">
        <w:rPr>
          <w:rFonts w:ascii="Consolas" w:eastAsia="Times New Roman" w:hAnsi="Consolas" w:cs="Times New Roman"/>
          <w:color w:val="1B1B1B"/>
          <w:sz w:val="24"/>
          <w:szCs w:val="24"/>
          <w:highlight w:val="yellow"/>
          <w:lang w:val="en-US"/>
        </w:rPr>
        <w:t xml:space="preserve"> T, </w:t>
      </w:r>
      <w:proofErr w:type="spellStart"/>
      <w:r w:rsidRPr="009600AC">
        <w:rPr>
          <w:rFonts w:ascii="Consolas" w:eastAsia="Times New Roman" w:hAnsi="Consolas" w:cs="Times New Roman"/>
          <w:color w:val="1B1B1B"/>
          <w:sz w:val="24"/>
          <w:szCs w:val="24"/>
          <w:highlight w:val="yellow"/>
          <w:lang w:val="en-US"/>
        </w:rPr>
        <w:t>Basu</w:t>
      </w:r>
      <w:proofErr w:type="spellEnd"/>
      <w:r w:rsidRPr="009600AC">
        <w:rPr>
          <w:rFonts w:ascii="Consolas" w:eastAsia="Times New Roman" w:hAnsi="Consolas" w:cs="Times New Roman"/>
          <w:color w:val="1B1B1B"/>
          <w:sz w:val="24"/>
          <w:szCs w:val="24"/>
          <w:highlight w:val="yellow"/>
          <w:lang w:val="en-US"/>
        </w:rPr>
        <w:t xml:space="preserve"> Roy P, </w:t>
      </w:r>
      <w:proofErr w:type="spellStart"/>
      <w:r w:rsidRPr="009600AC">
        <w:rPr>
          <w:rFonts w:ascii="Consolas" w:eastAsia="Times New Roman" w:hAnsi="Consolas" w:cs="Times New Roman"/>
          <w:color w:val="1B1B1B"/>
          <w:sz w:val="24"/>
          <w:szCs w:val="24"/>
          <w:highlight w:val="yellow"/>
          <w:lang w:val="en-US"/>
        </w:rPr>
        <w:t>Tejani</w:t>
      </w:r>
      <w:proofErr w:type="spellEnd"/>
      <w:r w:rsidRPr="009600AC">
        <w:rPr>
          <w:rFonts w:ascii="Consolas" w:eastAsia="Times New Roman" w:hAnsi="Consolas" w:cs="Times New Roman"/>
          <w:color w:val="1B1B1B"/>
          <w:sz w:val="24"/>
          <w:szCs w:val="24"/>
          <w:highlight w:val="yellow"/>
          <w:lang w:val="en-US"/>
        </w:rPr>
        <w:t xml:space="preserve"> VN, Dhillon SS, </w:t>
      </w:r>
      <w:proofErr w:type="spellStart"/>
      <w:r w:rsidRPr="009600AC">
        <w:rPr>
          <w:rFonts w:ascii="Consolas" w:eastAsia="Times New Roman" w:hAnsi="Consolas" w:cs="Times New Roman"/>
          <w:color w:val="1B1B1B"/>
          <w:sz w:val="24"/>
          <w:szCs w:val="24"/>
          <w:highlight w:val="yellow"/>
          <w:lang w:val="en-US"/>
        </w:rPr>
        <w:t>Damarlapally</w:t>
      </w:r>
      <w:proofErr w:type="spellEnd"/>
      <w:r w:rsidRPr="009600AC">
        <w:rPr>
          <w:rFonts w:ascii="Consolas" w:eastAsia="Times New Roman" w:hAnsi="Consolas" w:cs="Times New Roman"/>
          <w:color w:val="1B1B1B"/>
          <w:sz w:val="24"/>
          <w:szCs w:val="24"/>
          <w:highlight w:val="yellow"/>
          <w:lang w:val="en-US"/>
        </w:rPr>
        <w:t xml:space="preserve"> N, Usman NUB, </w:t>
      </w:r>
      <w:proofErr w:type="spellStart"/>
      <w:r w:rsidRPr="009600AC">
        <w:rPr>
          <w:rFonts w:ascii="Consolas" w:eastAsia="Times New Roman" w:hAnsi="Consolas" w:cs="Times New Roman"/>
          <w:color w:val="1B1B1B"/>
          <w:sz w:val="24"/>
          <w:szCs w:val="24"/>
          <w:highlight w:val="yellow"/>
          <w:lang w:val="en-US"/>
        </w:rPr>
        <w:t>Panjiyar</w:t>
      </w:r>
      <w:proofErr w:type="spellEnd"/>
      <w:r w:rsidRPr="009600AC">
        <w:rPr>
          <w:rFonts w:ascii="Consolas" w:eastAsia="Times New Roman" w:hAnsi="Consolas" w:cs="Times New Roman"/>
          <w:color w:val="1B1B1B"/>
          <w:sz w:val="24"/>
          <w:szCs w:val="24"/>
          <w:highlight w:val="yellow"/>
          <w:lang w:val="en-US"/>
        </w:rPr>
        <w:t xml:space="preserve"> BK. The Efficacy and Safety of Antiplatelet Therapy in Patients </w:t>
      </w:r>
      <w:proofErr w:type="gramStart"/>
      <w:r w:rsidRPr="009600AC">
        <w:rPr>
          <w:rFonts w:ascii="Consolas" w:eastAsia="Times New Roman" w:hAnsi="Consolas" w:cs="Times New Roman"/>
          <w:color w:val="1B1B1B"/>
          <w:sz w:val="24"/>
          <w:szCs w:val="24"/>
          <w:highlight w:val="yellow"/>
          <w:lang w:val="en-US"/>
        </w:rPr>
        <w:t>With</w:t>
      </w:r>
      <w:proofErr w:type="gramEnd"/>
      <w:r w:rsidRPr="009600AC">
        <w:rPr>
          <w:rFonts w:ascii="Consolas" w:eastAsia="Times New Roman" w:hAnsi="Consolas" w:cs="Times New Roman"/>
          <w:color w:val="1B1B1B"/>
          <w:sz w:val="24"/>
          <w:szCs w:val="24"/>
          <w:highlight w:val="yellow"/>
          <w:lang w:val="en-US"/>
        </w:rPr>
        <w:t xml:space="preserve"> Acute Coronary Syndrome: A Scoping Review. </w:t>
      </w:r>
      <w:proofErr w:type="spellStart"/>
      <w:r w:rsidRPr="009600AC">
        <w:rPr>
          <w:rFonts w:ascii="Consolas" w:eastAsia="Times New Roman" w:hAnsi="Consolas" w:cs="Times New Roman"/>
          <w:color w:val="1B1B1B"/>
          <w:sz w:val="24"/>
          <w:szCs w:val="24"/>
          <w:highlight w:val="yellow"/>
          <w:lang w:val="en-US"/>
        </w:rPr>
        <w:t>Cureus</w:t>
      </w:r>
      <w:proofErr w:type="spellEnd"/>
      <w:r w:rsidRPr="009600AC">
        <w:rPr>
          <w:rFonts w:ascii="Consolas" w:eastAsia="Times New Roman" w:hAnsi="Consolas" w:cs="Times New Roman"/>
          <w:color w:val="1B1B1B"/>
          <w:sz w:val="24"/>
          <w:szCs w:val="24"/>
          <w:highlight w:val="yellow"/>
          <w:lang w:val="en-US"/>
        </w:rPr>
        <w:t>. 2023 Nov 29;15(11</w:t>
      </w:r>
      <w:proofErr w:type="gramStart"/>
      <w:r w:rsidRPr="009600AC">
        <w:rPr>
          <w:rFonts w:ascii="Consolas" w:eastAsia="Times New Roman" w:hAnsi="Consolas" w:cs="Times New Roman"/>
          <w:color w:val="1B1B1B"/>
          <w:sz w:val="24"/>
          <w:szCs w:val="24"/>
          <w:highlight w:val="yellow"/>
          <w:lang w:val="en-US"/>
        </w:rPr>
        <w:t>):e</w:t>
      </w:r>
      <w:proofErr w:type="gramEnd"/>
      <w:r w:rsidRPr="009600AC">
        <w:rPr>
          <w:rFonts w:ascii="Consolas" w:eastAsia="Times New Roman" w:hAnsi="Consolas" w:cs="Times New Roman"/>
          <w:color w:val="1B1B1B"/>
          <w:sz w:val="24"/>
          <w:szCs w:val="24"/>
          <w:highlight w:val="yellow"/>
          <w:lang w:val="en-US"/>
        </w:rPr>
        <w:t xml:space="preserve">49631. </w:t>
      </w:r>
      <w:proofErr w:type="spellStart"/>
      <w:r w:rsidRPr="009600AC">
        <w:rPr>
          <w:rFonts w:ascii="Consolas" w:eastAsia="Times New Roman" w:hAnsi="Consolas" w:cs="Times New Roman"/>
          <w:color w:val="1B1B1B"/>
          <w:sz w:val="24"/>
          <w:szCs w:val="24"/>
          <w:highlight w:val="yellow"/>
          <w:lang w:val="en-US"/>
        </w:rPr>
        <w:t>doi</w:t>
      </w:r>
      <w:proofErr w:type="spellEnd"/>
      <w:r w:rsidRPr="009600AC">
        <w:rPr>
          <w:rFonts w:ascii="Consolas" w:eastAsia="Times New Roman" w:hAnsi="Consolas" w:cs="Times New Roman"/>
          <w:color w:val="1B1B1B"/>
          <w:sz w:val="24"/>
          <w:szCs w:val="24"/>
          <w:highlight w:val="yellow"/>
          <w:lang w:val="en-US"/>
        </w:rPr>
        <w:t>: 10.7759/cureus.49631. PMID: 38161809; PMCID: PMC10756026.</w:t>
      </w:r>
    </w:p>
    <w:p w:rsidR="009F565B" w:rsidRPr="009F565B" w:rsidRDefault="00F31C60" w:rsidP="009600AC">
      <w:pPr>
        <w:shd w:val="clear" w:color="auto" w:fill="FFFFFF"/>
        <w:spacing w:before="100" w:beforeAutospacing="1" w:after="0" w:line="240" w:lineRule="auto"/>
        <w:rPr>
          <w:rFonts w:ascii="Helvetica" w:eastAsia="Times New Roman" w:hAnsi="Helvetica" w:cs="Helvetica"/>
          <w:color w:val="1B1B1B"/>
          <w:sz w:val="24"/>
          <w:szCs w:val="24"/>
          <w:lang w:val="en-US"/>
        </w:rPr>
      </w:pPr>
      <w:r w:rsidRPr="009600AC">
        <w:rPr>
          <w:rFonts w:ascii="Arial" w:hAnsi="Arial" w:cs="Arial"/>
          <w:color w:val="222222"/>
          <w:sz w:val="20"/>
          <w:szCs w:val="20"/>
          <w:highlight w:val="yellow"/>
          <w:shd w:val="clear" w:color="auto" w:fill="FFFFFF"/>
        </w:rPr>
        <w:t xml:space="preserve">Kim, H. J., </w:t>
      </w:r>
      <w:proofErr w:type="spellStart"/>
      <w:r w:rsidRPr="009600AC">
        <w:rPr>
          <w:rFonts w:ascii="Arial" w:hAnsi="Arial" w:cs="Arial"/>
          <w:color w:val="222222"/>
          <w:sz w:val="20"/>
          <w:szCs w:val="20"/>
          <w:highlight w:val="yellow"/>
          <w:shd w:val="clear" w:color="auto" w:fill="FFFFFF"/>
        </w:rPr>
        <w:t>Seo</w:t>
      </w:r>
      <w:proofErr w:type="spellEnd"/>
      <w:r w:rsidRPr="009600AC">
        <w:rPr>
          <w:rFonts w:ascii="Arial" w:hAnsi="Arial" w:cs="Arial"/>
          <w:color w:val="222222"/>
          <w:sz w:val="20"/>
          <w:szCs w:val="20"/>
          <w:highlight w:val="yellow"/>
          <w:shd w:val="clear" w:color="auto" w:fill="FFFFFF"/>
        </w:rPr>
        <w:t xml:space="preserve">, W. K., Chung, J. W., Kim, H. K., </w:t>
      </w:r>
      <w:proofErr w:type="spellStart"/>
      <w:r w:rsidRPr="009600AC">
        <w:rPr>
          <w:rFonts w:ascii="Arial" w:hAnsi="Arial" w:cs="Arial"/>
          <w:color w:val="222222"/>
          <w:sz w:val="20"/>
          <w:szCs w:val="20"/>
          <w:highlight w:val="yellow"/>
          <w:shd w:val="clear" w:color="auto" w:fill="FFFFFF"/>
        </w:rPr>
        <w:t>Baek</w:t>
      </w:r>
      <w:proofErr w:type="spellEnd"/>
      <w:r w:rsidRPr="009600AC">
        <w:rPr>
          <w:rFonts w:ascii="Arial" w:hAnsi="Arial" w:cs="Arial"/>
          <w:color w:val="222222"/>
          <w:sz w:val="20"/>
          <w:szCs w:val="20"/>
          <w:highlight w:val="yellow"/>
          <w:shd w:val="clear" w:color="auto" w:fill="FFFFFF"/>
        </w:rPr>
        <w:t>, J. H., Kim, H. Y., ... &amp; Kwon, S. U. (2025). Exploring the efficacy and safety of dual antiplatelet therapy in patients with embolic stroke of undetermined source according to stroke risk stratification: Propensity-score matched analysis. </w:t>
      </w:r>
      <w:r w:rsidRPr="009600AC">
        <w:rPr>
          <w:rFonts w:ascii="Arial" w:hAnsi="Arial" w:cs="Arial"/>
          <w:i/>
          <w:iCs/>
          <w:color w:val="222222"/>
          <w:sz w:val="20"/>
          <w:szCs w:val="20"/>
          <w:highlight w:val="yellow"/>
          <w:shd w:val="clear" w:color="auto" w:fill="FFFFFF"/>
        </w:rPr>
        <w:t>Journal of Stroke and Cerebrovascular Diseases</w:t>
      </w:r>
      <w:r w:rsidRPr="009600AC">
        <w:rPr>
          <w:rFonts w:ascii="Arial" w:hAnsi="Arial" w:cs="Arial"/>
          <w:color w:val="222222"/>
          <w:sz w:val="20"/>
          <w:szCs w:val="20"/>
          <w:highlight w:val="yellow"/>
          <w:shd w:val="clear" w:color="auto" w:fill="FFFFFF"/>
        </w:rPr>
        <w:t>, 108438.</w:t>
      </w:r>
    </w:p>
    <w:p w:rsidR="00D75C9D" w:rsidRDefault="00D75C9D" w:rsidP="005C77ED">
      <w:pPr>
        <w:jc w:val="both"/>
      </w:pPr>
    </w:p>
    <w:sectPr w:rsidR="00D75C9D" w:rsidSect="00CB6EB6">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178" w:rsidRDefault="00C82178" w:rsidP="00320BDD">
      <w:pPr>
        <w:spacing w:after="0" w:line="240" w:lineRule="auto"/>
      </w:pPr>
      <w:r>
        <w:separator/>
      </w:r>
    </w:p>
  </w:endnote>
  <w:endnote w:type="continuationSeparator" w:id="0">
    <w:p w:rsidR="00C82178" w:rsidRDefault="00C82178" w:rsidP="0032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DD" w:rsidRDefault="00320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DD" w:rsidRDefault="00320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DD" w:rsidRDefault="00320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178" w:rsidRDefault="00C82178" w:rsidP="00320BDD">
      <w:pPr>
        <w:spacing w:after="0" w:line="240" w:lineRule="auto"/>
      </w:pPr>
      <w:r>
        <w:separator/>
      </w:r>
    </w:p>
  </w:footnote>
  <w:footnote w:type="continuationSeparator" w:id="0">
    <w:p w:rsidR="00C82178" w:rsidRDefault="00C82178" w:rsidP="00320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DD" w:rsidRDefault="00C821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DD" w:rsidRDefault="00C821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DD" w:rsidRDefault="00C821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0C6A88"/>
    <w:multiLevelType w:val="multilevel"/>
    <w:tmpl w:val="47F2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Y0NjI2sLA0sTAwMLVQ0lEKTi0uzszPAykwrAUAwf6KpywAAAA="/>
  </w:docVars>
  <w:rsids>
    <w:rsidRoot w:val="00CF2BAC"/>
    <w:rsid w:val="000A5838"/>
    <w:rsid w:val="001E4551"/>
    <w:rsid w:val="00320BDD"/>
    <w:rsid w:val="003A104D"/>
    <w:rsid w:val="00540265"/>
    <w:rsid w:val="005C77ED"/>
    <w:rsid w:val="00644893"/>
    <w:rsid w:val="006B5186"/>
    <w:rsid w:val="006E4F67"/>
    <w:rsid w:val="007D5FED"/>
    <w:rsid w:val="008A6AF4"/>
    <w:rsid w:val="009040FB"/>
    <w:rsid w:val="009600AC"/>
    <w:rsid w:val="00963F67"/>
    <w:rsid w:val="009F565B"/>
    <w:rsid w:val="00A2270F"/>
    <w:rsid w:val="00BB4C98"/>
    <w:rsid w:val="00C82178"/>
    <w:rsid w:val="00CB6EB6"/>
    <w:rsid w:val="00CF2BAC"/>
    <w:rsid w:val="00D75C9D"/>
    <w:rsid w:val="00F31C60"/>
    <w:rsid w:val="00F6047F"/>
    <w:rsid w:val="00F9617F"/>
    <w:rsid w:val="00FB6475"/>
    <w:rsid w:val="00FC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080FA9"/>
  <w15:docId w15:val="{62F2896A-89D5-493C-A2D8-30BFF2B3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character" w:styleId="Hyperlink">
    <w:name w:val="Hyperlink"/>
    <w:basedOn w:val="DefaultParagraphFont"/>
    <w:uiPriority w:val="99"/>
    <w:unhideWhenUsed/>
    <w:rsid w:val="000A5838"/>
    <w:rPr>
      <w:color w:val="0563C1" w:themeColor="hyperlink"/>
      <w:u w:val="single"/>
    </w:rPr>
  </w:style>
  <w:style w:type="paragraph" w:styleId="Header">
    <w:name w:val="header"/>
    <w:basedOn w:val="Normal"/>
    <w:link w:val="HeaderChar"/>
    <w:uiPriority w:val="99"/>
    <w:unhideWhenUsed/>
    <w:rsid w:val="00320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BDD"/>
  </w:style>
  <w:style w:type="paragraph" w:styleId="Footer">
    <w:name w:val="footer"/>
    <w:basedOn w:val="Normal"/>
    <w:link w:val="FooterChar"/>
    <w:uiPriority w:val="99"/>
    <w:unhideWhenUsed/>
    <w:rsid w:val="00320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BDD"/>
  </w:style>
  <w:style w:type="paragraph" w:styleId="BalloonText">
    <w:name w:val="Balloon Text"/>
    <w:basedOn w:val="Normal"/>
    <w:link w:val="BalloonTextChar"/>
    <w:uiPriority w:val="99"/>
    <w:semiHidden/>
    <w:unhideWhenUsed/>
    <w:rsid w:val="009F5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6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895493">
      <w:bodyDiv w:val="1"/>
      <w:marLeft w:val="0"/>
      <w:marRight w:val="0"/>
      <w:marTop w:val="0"/>
      <w:marBottom w:val="0"/>
      <w:divBdr>
        <w:top w:val="none" w:sz="0" w:space="0" w:color="auto"/>
        <w:left w:val="none" w:sz="0" w:space="0" w:color="auto"/>
        <w:bottom w:val="none" w:sz="0" w:space="0" w:color="auto"/>
        <w:right w:val="none" w:sz="0" w:space="0" w:color="auto"/>
      </w:divBdr>
      <w:divsChild>
        <w:div w:id="191786264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120338286">
      <w:bodyDiv w:val="1"/>
      <w:marLeft w:val="0"/>
      <w:marRight w:val="0"/>
      <w:marTop w:val="0"/>
      <w:marBottom w:val="0"/>
      <w:divBdr>
        <w:top w:val="none" w:sz="0" w:space="0" w:color="auto"/>
        <w:left w:val="none" w:sz="0" w:space="0" w:color="auto"/>
        <w:bottom w:val="none" w:sz="0" w:space="0" w:color="auto"/>
        <w:right w:val="none" w:sz="0" w:space="0" w:color="auto"/>
      </w:divBdr>
    </w:div>
    <w:div w:id="144765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6/NEJMra0801082" TargetMode="External"/><Relationship Id="rId18" Type="http://schemas.openxmlformats.org/officeDocument/2006/relationships/hyperlink" Target="https://doi.org/10.1093/eurheartj/ehx393" TargetMode="External"/><Relationship Id="rId26" Type="http://schemas.openxmlformats.org/officeDocument/2006/relationships/hyperlink" Target="https://doi.org/10.1016/S0140-6736(17)32155-4" TargetMode="External"/><Relationship Id="rId39" Type="http://schemas.openxmlformats.org/officeDocument/2006/relationships/footer" Target="footer1.xml"/><Relationship Id="rId21" Type="http://schemas.openxmlformats.org/officeDocument/2006/relationships/hyperlink" Target="https://doi.org/10.1016/j.jacc.2016.03.513" TargetMode="External"/><Relationship Id="rId34" Type="http://schemas.openxmlformats.org/officeDocument/2006/relationships/hyperlink" Target="https://doi.org/10.1056/NEJMoa0706482" TargetMode="External"/><Relationship Id="rId42" Type="http://schemas.openxmlformats.org/officeDocument/2006/relationships/footer" Target="footer3.xml"/><Relationship Id="rId7" Type="http://schemas.openxmlformats.org/officeDocument/2006/relationships/hyperlink" Target="https://doi.org/10.1186/s41073-019-0064-8" TargetMode="External"/><Relationship Id="rId2" Type="http://schemas.openxmlformats.org/officeDocument/2006/relationships/styles" Target="styles.xml"/><Relationship Id="rId16" Type="http://schemas.openxmlformats.org/officeDocument/2006/relationships/hyperlink" Target="https://doi.org/10.1161/CIRCULATIONAHA.109.912550" TargetMode="External"/><Relationship Id="rId20" Type="http://schemas.openxmlformats.org/officeDocument/2006/relationships/hyperlink" Target="https://doi.org/10.1016/S0140-6736(21)01063-1" TargetMode="External"/><Relationship Id="rId29" Type="http://schemas.openxmlformats.org/officeDocument/2006/relationships/hyperlink" Target="https://doi.org/10.1093/eurheartj/ehx419"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6/NEJMoa1907096" TargetMode="External"/><Relationship Id="rId24" Type="http://schemas.openxmlformats.org/officeDocument/2006/relationships/hyperlink" Target="https://doi.org/10.1016/j.cjca.2017.12.012" TargetMode="External"/><Relationship Id="rId32" Type="http://schemas.openxmlformats.org/officeDocument/2006/relationships/hyperlink" Target="https://doi.org/10.1001/jama.2019.814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jacc.2022.11.041" TargetMode="External"/><Relationship Id="rId23" Type="http://schemas.openxmlformats.org/officeDocument/2006/relationships/hyperlink" Target="https://doi.org/10.1056/NEJMoa1409312" TargetMode="External"/><Relationship Id="rId28" Type="http://schemas.openxmlformats.org/officeDocument/2006/relationships/hyperlink" Target="https://doi.org/10.1056/NEJMoa2108749" TargetMode="External"/><Relationship Id="rId36" Type="http://schemas.openxmlformats.org/officeDocument/2006/relationships/hyperlink" Target="https://doi.org/10.1056/NEJMoa010746" TargetMode="External"/><Relationship Id="rId10" Type="http://schemas.openxmlformats.org/officeDocument/2006/relationships/hyperlink" Target="https://doi.org/10.1038/s41569-018-0049-1" TargetMode="External"/><Relationship Id="rId19" Type="http://schemas.openxmlformats.org/officeDocument/2006/relationships/hyperlink" Target="https://doi.org/10.1001/jama.2020.7580" TargetMode="External"/><Relationship Id="rId31" Type="http://schemas.openxmlformats.org/officeDocument/2006/relationships/hyperlink" Target="https://doi.org/10.1056/NEJMoa090432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93/eurheartj/ehad191" TargetMode="External"/><Relationship Id="rId14" Type="http://schemas.openxmlformats.org/officeDocument/2006/relationships/hyperlink" Target="https://doi.org/10.1016/S0140-6736(20)30325-1" TargetMode="External"/><Relationship Id="rId22" Type="http://schemas.openxmlformats.org/officeDocument/2006/relationships/hyperlink" Target="https://doi.org/10.1056/NEJMoa1817083" TargetMode="External"/><Relationship Id="rId27" Type="http://schemas.openxmlformats.org/officeDocument/2006/relationships/hyperlink" Target="https://doi.org/10.1161/CIRCULATIONAHA.119.040167" TargetMode="External"/><Relationship Id="rId30" Type="http://schemas.openxmlformats.org/officeDocument/2006/relationships/hyperlink" Target="https://doi.org/10.1016/S0140-6736(18)31858-0" TargetMode="External"/><Relationship Id="rId35" Type="http://schemas.openxmlformats.org/officeDocument/2006/relationships/hyperlink" Target="https://doi.org/10.1001/jama.2016.3775" TargetMode="External"/><Relationship Id="rId43" Type="http://schemas.openxmlformats.org/officeDocument/2006/relationships/fontTable" Target="fontTable.xml"/><Relationship Id="rId8" Type="http://schemas.openxmlformats.org/officeDocument/2006/relationships/hyperlink" Target="https://doi.org/10.1056/NEJMoa1908419" TargetMode="External"/><Relationship Id="rId3" Type="http://schemas.openxmlformats.org/officeDocument/2006/relationships/settings" Target="settings.xml"/><Relationship Id="rId12" Type="http://schemas.openxmlformats.org/officeDocument/2006/relationships/hyperlink" Target="https://doi.org/10.1016/S0140-6736(17)30397-5" TargetMode="External"/><Relationship Id="rId17" Type="http://schemas.openxmlformats.org/officeDocument/2006/relationships/hyperlink" Target="https://doi.org/10.1001/jama.2019.8146" TargetMode="External"/><Relationship Id="rId25" Type="http://schemas.openxmlformats.org/officeDocument/2006/relationships/hyperlink" Target="https://doi.org/10.1093/eurheartj/ehaa803" TargetMode="External"/><Relationship Id="rId33" Type="http://schemas.openxmlformats.org/officeDocument/2006/relationships/hyperlink" Target="https://doi.org/10.1001/jamacardio.2021.5244"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22</Pages>
  <Words>11139</Words>
  <Characters>63495</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PC New 16</cp:lastModifiedBy>
  <cp:revision>14</cp:revision>
  <dcterms:created xsi:type="dcterms:W3CDTF">2026-05-09T11:37:00Z</dcterms:created>
  <dcterms:modified xsi:type="dcterms:W3CDTF">2026-05-13T08:13:00Z</dcterms:modified>
</cp:coreProperties>
</file>