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85F0F" w14:textId="77777777" w:rsidR="006C0CB7" w:rsidRDefault="006C0CB7" w:rsidP="006C0CB7">
      <w:pPr>
        <w:spacing w:after="0"/>
        <w:jc w:val="center"/>
        <w:rPr>
          <w:rStyle w:val="Strong"/>
          <w:rFonts w:ascii="Times New Roman" w:hAnsi="Times New Roman" w:cs="Times New Roman"/>
          <w:color w:val="0F1115"/>
          <w:sz w:val="20"/>
          <w:szCs w:val="20"/>
          <w:shd w:val="clear" w:color="auto" w:fill="FFFFFF"/>
        </w:rPr>
      </w:pPr>
    </w:p>
    <w:p w14:paraId="7E239BC3" w14:textId="77777777" w:rsidR="006C0CB7" w:rsidRPr="003D14E3" w:rsidRDefault="006C0CB7" w:rsidP="006C0CB7">
      <w:pPr>
        <w:spacing w:after="0"/>
        <w:rPr>
          <w:rStyle w:val="Strong"/>
          <w:rFonts w:ascii="Times New Roman" w:hAnsi="Times New Roman" w:cs="Times New Roman"/>
          <w:color w:val="0F1115"/>
          <w:sz w:val="20"/>
          <w:szCs w:val="20"/>
          <w:u w:val="single"/>
          <w:shd w:val="clear" w:color="auto" w:fill="FFFFFF"/>
        </w:rPr>
      </w:pPr>
    </w:p>
    <w:p w14:paraId="371B7576" w14:textId="77777777" w:rsidR="006C0CB7" w:rsidRPr="003D14E3" w:rsidRDefault="006C0CB7" w:rsidP="006C0CB7">
      <w:pPr>
        <w:spacing w:after="0"/>
        <w:rPr>
          <w:rStyle w:val="Strong"/>
          <w:rFonts w:ascii="Times New Roman" w:hAnsi="Times New Roman" w:cs="Times New Roman"/>
          <w:i/>
          <w:color w:val="0F1115"/>
          <w:u w:val="single"/>
          <w:shd w:val="clear" w:color="auto" w:fill="FFFFFF"/>
        </w:rPr>
      </w:pPr>
      <w:r w:rsidRPr="003D14E3">
        <w:rPr>
          <w:rStyle w:val="Strong"/>
          <w:rFonts w:ascii="Times New Roman" w:hAnsi="Times New Roman" w:cs="Times New Roman"/>
          <w:i/>
          <w:color w:val="0F1115"/>
          <w:u w:val="single"/>
          <w:shd w:val="clear" w:color="auto" w:fill="FFFFFF"/>
        </w:rPr>
        <w:t>Original Research Article</w:t>
      </w:r>
    </w:p>
    <w:p w14:paraId="3375FFD1" w14:textId="77777777" w:rsidR="006C0CB7" w:rsidRDefault="006C0CB7" w:rsidP="006C0CB7">
      <w:pPr>
        <w:spacing w:after="0"/>
        <w:jc w:val="center"/>
        <w:rPr>
          <w:rStyle w:val="Strong"/>
          <w:rFonts w:ascii="Times New Roman" w:hAnsi="Times New Roman" w:cs="Times New Roman"/>
          <w:color w:val="0F1115"/>
          <w:sz w:val="20"/>
          <w:szCs w:val="20"/>
          <w:shd w:val="clear" w:color="auto" w:fill="FFFFFF"/>
        </w:rPr>
      </w:pPr>
    </w:p>
    <w:p w14:paraId="50E3C77F" w14:textId="7767B83E" w:rsidR="006C0CB7" w:rsidRDefault="006C0CB7" w:rsidP="006C0CB7">
      <w:pPr>
        <w:spacing w:after="0"/>
        <w:jc w:val="right"/>
        <w:rPr>
          <w:rStyle w:val="Strong"/>
          <w:rFonts w:ascii="Times New Roman" w:hAnsi="Times New Roman" w:cs="Times New Roman"/>
          <w:color w:val="0F1115"/>
          <w:sz w:val="20"/>
          <w:szCs w:val="20"/>
          <w:shd w:val="clear" w:color="auto" w:fill="FFFFFF"/>
        </w:rPr>
      </w:pPr>
      <w:r w:rsidRPr="00B01E80">
        <w:rPr>
          <w:rStyle w:val="Strong"/>
          <w:rFonts w:ascii="Times New Roman" w:hAnsi="Times New Roman" w:cs="Times New Roman"/>
          <w:color w:val="0F1115"/>
          <w:sz w:val="20"/>
          <w:szCs w:val="20"/>
          <w:shd w:val="clear" w:color="auto" w:fill="FFFFFF"/>
        </w:rPr>
        <w:t xml:space="preserve">Convergence </w:t>
      </w:r>
      <w:proofErr w:type="gramStart"/>
      <w:r w:rsidRPr="00B01E80">
        <w:rPr>
          <w:rStyle w:val="Strong"/>
          <w:rFonts w:ascii="Times New Roman" w:hAnsi="Times New Roman" w:cs="Times New Roman"/>
          <w:color w:val="0F1115"/>
          <w:sz w:val="20"/>
          <w:szCs w:val="20"/>
          <w:shd w:val="clear" w:color="auto" w:fill="FFFFFF"/>
        </w:rPr>
        <w:t>of </w:t>
      </w:r>
      <w:r w:rsidR="002264A1" w:rsidRPr="00B01E80">
        <w:rPr>
          <w:rStyle w:val="Strong"/>
          <w:rFonts w:ascii="Times New Roman" w:hAnsi="Times New Roman" w:cs="Times New Roman"/>
          <w:color w:val="0F1115"/>
          <w:sz w:val="20"/>
          <w:szCs w:val="20"/>
          <w:shd w:val="clear" w:color="auto" w:fill="FFFFFF"/>
        </w:rPr>
        <w:t xml:space="preserve"> </w:t>
      </w:r>
      <w:r w:rsidRPr="00B01E80">
        <w:rPr>
          <w:rStyle w:val="Strong"/>
          <w:rFonts w:ascii="Times New Roman" w:hAnsi="Times New Roman" w:cs="Times New Roman"/>
          <w:color w:val="0F1115"/>
          <w:sz w:val="20"/>
          <w:szCs w:val="20"/>
          <w:shd w:val="clear" w:color="auto" w:fill="FFFFFF"/>
        </w:rPr>
        <w:t>Resistance</w:t>
      </w:r>
      <w:proofErr w:type="gramEnd"/>
      <w:r w:rsidRPr="00B01E80">
        <w:rPr>
          <w:rStyle w:val="Strong"/>
          <w:rFonts w:ascii="Times New Roman" w:hAnsi="Times New Roman" w:cs="Times New Roman"/>
          <w:color w:val="0F1115"/>
          <w:sz w:val="20"/>
          <w:szCs w:val="20"/>
          <w:shd w:val="clear" w:color="auto" w:fill="FFFFFF"/>
        </w:rPr>
        <w:t xml:space="preserve"> Gene Determinants in Uropathogenic </w:t>
      </w:r>
      <w:r w:rsidRPr="00B01E80">
        <w:rPr>
          <w:rStyle w:val="Emphasis"/>
          <w:rFonts w:ascii="Times New Roman" w:hAnsi="Times New Roman" w:cs="Times New Roman"/>
          <w:b/>
          <w:bCs/>
          <w:color w:val="0F1115"/>
          <w:sz w:val="20"/>
          <w:szCs w:val="20"/>
          <w:shd w:val="clear" w:color="auto" w:fill="FFFFFF"/>
        </w:rPr>
        <w:t>Pseudomonas aeruginosa</w:t>
      </w:r>
      <w:r w:rsidRPr="00B01E80">
        <w:rPr>
          <w:rStyle w:val="Strong"/>
          <w:rFonts w:ascii="Times New Roman" w:hAnsi="Times New Roman" w:cs="Times New Roman"/>
          <w:color w:val="0F1115"/>
          <w:sz w:val="20"/>
          <w:szCs w:val="20"/>
          <w:shd w:val="clear" w:color="auto" w:fill="FFFFFF"/>
        </w:rPr>
        <w:t> and </w:t>
      </w:r>
      <w:r w:rsidRPr="00B01E80">
        <w:rPr>
          <w:rStyle w:val="Emphasis"/>
          <w:rFonts w:ascii="Times New Roman" w:hAnsi="Times New Roman" w:cs="Times New Roman"/>
          <w:b/>
          <w:bCs/>
          <w:color w:val="0F1115"/>
          <w:sz w:val="20"/>
          <w:szCs w:val="20"/>
          <w:shd w:val="clear" w:color="auto" w:fill="FFFFFF"/>
        </w:rPr>
        <w:t>Acinetobacter baumannii</w:t>
      </w:r>
      <w:r w:rsidRPr="00B01E80">
        <w:rPr>
          <w:rStyle w:val="Strong"/>
          <w:rFonts w:ascii="Times New Roman" w:hAnsi="Times New Roman" w:cs="Times New Roman"/>
          <w:color w:val="0F1115"/>
          <w:sz w:val="20"/>
          <w:szCs w:val="20"/>
          <w:shd w:val="clear" w:color="auto" w:fill="FFFFFF"/>
        </w:rPr>
        <w:t> from a Nigerian Tertiary Hospital</w:t>
      </w:r>
    </w:p>
    <w:p w14:paraId="4D69336B" w14:textId="77777777" w:rsidR="006C0CB7" w:rsidRDefault="006C0CB7" w:rsidP="006C0CB7">
      <w:pPr>
        <w:spacing w:after="0"/>
        <w:jc w:val="right"/>
        <w:rPr>
          <w:rStyle w:val="Strong"/>
          <w:rFonts w:ascii="Times New Roman" w:hAnsi="Times New Roman" w:cs="Times New Roman"/>
          <w:color w:val="0F1115"/>
          <w:sz w:val="20"/>
          <w:szCs w:val="20"/>
          <w:shd w:val="clear" w:color="auto" w:fill="FFFFFF"/>
        </w:rPr>
      </w:pPr>
    </w:p>
    <w:p w14:paraId="57E6795E" w14:textId="77777777" w:rsidR="006C0CB7" w:rsidRDefault="006C0CB7" w:rsidP="006C0CB7">
      <w:pPr>
        <w:spacing w:after="0"/>
        <w:jc w:val="right"/>
        <w:rPr>
          <w:rStyle w:val="Strong"/>
          <w:rFonts w:ascii="Times New Roman" w:hAnsi="Times New Roman" w:cs="Times New Roman"/>
          <w:color w:val="0F1115"/>
          <w:sz w:val="20"/>
          <w:szCs w:val="20"/>
          <w:shd w:val="clear" w:color="auto" w:fill="FFFFFF"/>
        </w:rPr>
      </w:pPr>
    </w:p>
    <w:p w14:paraId="3FCB01C3" w14:textId="77777777" w:rsidR="006C0CB7" w:rsidRDefault="006C0CB7" w:rsidP="006C0CB7">
      <w:pPr>
        <w:shd w:val="clear" w:color="auto" w:fill="FFFFFF"/>
        <w:spacing w:after="0" w:line="240" w:lineRule="auto"/>
        <w:jc w:val="both"/>
        <w:outlineLvl w:val="1"/>
        <w:rPr>
          <w:rFonts w:ascii="Times New Roman" w:eastAsia="Times New Roman" w:hAnsi="Times New Roman" w:cs="Times New Roman"/>
          <w:b/>
          <w:bCs/>
          <w:color w:val="0F1115"/>
          <w:sz w:val="20"/>
          <w:szCs w:val="20"/>
        </w:rPr>
      </w:pPr>
    </w:p>
    <w:p w14:paraId="6A0F5DEB" w14:textId="77777777" w:rsidR="006C0CB7" w:rsidRDefault="006C0CB7" w:rsidP="006C0CB7">
      <w:pPr>
        <w:shd w:val="clear" w:color="auto" w:fill="FFFFFF"/>
        <w:spacing w:after="0" w:line="240" w:lineRule="auto"/>
        <w:jc w:val="both"/>
        <w:outlineLvl w:val="1"/>
        <w:rPr>
          <w:rFonts w:ascii="Times New Roman" w:eastAsia="Times New Roman" w:hAnsi="Times New Roman" w:cs="Times New Roman"/>
          <w:b/>
          <w:bCs/>
          <w:color w:val="0F1115"/>
          <w:sz w:val="20"/>
          <w:szCs w:val="20"/>
        </w:rPr>
      </w:pPr>
    </w:p>
    <w:p w14:paraId="6A92F688" w14:textId="77777777" w:rsidR="006C0CB7" w:rsidRDefault="006C0CB7" w:rsidP="006C0CB7">
      <w:pPr>
        <w:shd w:val="clear" w:color="auto" w:fill="FFFFFF"/>
        <w:spacing w:after="0" w:line="240" w:lineRule="auto"/>
        <w:jc w:val="both"/>
        <w:outlineLvl w:val="1"/>
        <w:rPr>
          <w:rFonts w:ascii="Times New Roman" w:eastAsia="Times New Roman" w:hAnsi="Times New Roman" w:cs="Times New Roman"/>
          <w:b/>
          <w:bCs/>
          <w:color w:val="0F1115"/>
          <w:sz w:val="20"/>
          <w:szCs w:val="20"/>
        </w:rPr>
      </w:pPr>
      <w:r w:rsidRPr="00B01E80">
        <w:rPr>
          <w:rFonts w:ascii="Times New Roman" w:eastAsia="Times New Roman" w:hAnsi="Times New Roman" w:cs="Times New Roman"/>
          <w:b/>
          <w:bCs/>
          <w:color w:val="0F1115"/>
          <w:sz w:val="20"/>
          <w:szCs w:val="20"/>
        </w:rPr>
        <w:t>Abstract</w:t>
      </w:r>
    </w:p>
    <w:p w14:paraId="2308AA68" w14:textId="77777777" w:rsidR="006C0CB7" w:rsidRPr="00B01E80" w:rsidRDefault="006C0CB7" w:rsidP="006C0CB7">
      <w:pPr>
        <w:shd w:val="clear" w:color="auto" w:fill="FFFFFF"/>
        <w:spacing w:after="0" w:line="240" w:lineRule="auto"/>
        <w:jc w:val="both"/>
        <w:outlineLvl w:val="1"/>
        <w:rPr>
          <w:rFonts w:ascii="Times New Roman" w:eastAsia="Times New Roman" w:hAnsi="Times New Roman" w:cs="Times New Roman"/>
          <w:b/>
          <w:bCs/>
          <w:color w:val="0F1115"/>
          <w:sz w:val="20"/>
          <w:szCs w:val="20"/>
        </w:rPr>
      </w:pPr>
    </w:p>
    <w:p w14:paraId="1E7E19F2" w14:textId="77777777" w:rsidR="006C0CB7" w:rsidRPr="00B01E80" w:rsidRDefault="006C0CB7" w:rsidP="006C0CB7">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Background:</w:t>
      </w:r>
      <w:r w:rsidRPr="00B01E80">
        <w:rPr>
          <w:rFonts w:ascii="Times New Roman" w:eastAsia="Times New Roman" w:hAnsi="Times New Roman" w:cs="Times New Roman"/>
          <w:color w:val="0F1115"/>
          <w:sz w:val="20"/>
          <w:szCs w:val="20"/>
        </w:rPr>
        <w:t> Urinary tract infections (UTIs) caused by multidrug-resistant </w:t>
      </w:r>
      <w:r w:rsidRPr="00B01E80">
        <w:rPr>
          <w:rFonts w:ascii="Times New Roman" w:eastAsia="Times New Roman" w:hAnsi="Times New Roman" w:cs="Times New Roman"/>
          <w:i/>
          <w:iCs/>
          <w:color w:val="0F1115"/>
          <w:sz w:val="20"/>
          <w:szCs w:val="20"/>
        </w:rPr>
        <w:t>Pseudomonas aeruginosa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Acinetobacter baumannii</w:t>
      </w:r>
      <w:r w:rsidRPr="00B01E80">
        <w:rPr>
          <w:rFonts w:ascii="Times New Roman" w:eastAsia="Times New Roman" w:hAnsi="Times New Roman" w:cs="Times New Roman"/>
          <w:color w:val="0F1115"/>
          <w:sz w:val="20"/>
          <w:szCs w:val="20"/>
        </w:rPr>
        <w:t> represent a growing therapeutic challenge in Nigerian healthcare settings. The convergence of extended-spectrum β-lactamase (ESBL) genes with tetracycline and fluoroquinolone resistance determinants complicates treatment and facilitates extensively drug-resistant phenotypes.</w:t>
      </w:r>
    </w:p>
    <w:p w14:paraId="66B61B4C" w14:textId="77777777" w:rsidR="006C0CB7" w:rsidRPr="00B01E80" w:rsidRDefault="006C0CB7" w:rsidP="006C0CB7">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Objective:</w:t>
      </w:r>
      <w:r w:rsidRPr="00B01E80">
        <w:rPr>
          <w:rFonts w:ascii="Times New Roman" w:eastAsia="Times New Roman" w:hAnsi="Times New Roman" w:cs="Times New Roman"/>
          <w:color w:val="0F1115"/>
          <w:sz w:val="20"/>
          <w:szCs w:val="20"/>
        </w:rPr>
        <w:t> This study aimed to determine the prevalence, phenotypic resistance profiles, and co-carriage of </w:t>
      </w:r>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CTX-M, </w:t>
      </w:r>
      <w:r w:rsidRPr="00B01E80">
        <w:rPr>
          <w:rFonts w:ascii="Times New Roman" w:eastAsia="Times New Roman" w:hAnsi="Times New Roman" w:cs="Times New Roman"/>
          <w:i/>
          <w:iCs/>
          <w:color w:val="0F1115"/>
          <w:sz w:val="20"/>
          <w:szCs w:val="20"/>
        </w:rPr>
        <w:t>tetA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qepA</w:t>
      </w:r>
      <w:r w:rsidRPr="00B01E80">
        <w:rPr>
          <w:rFonts w:ascii="Times New Roman" w:eastAsia="Times New Roman" w:hAnsi="Times New Roman" w:cs="Times New Roman"/>
          <w:color w:val="0F1115"/>
          <w:sz w:val="20"/>
          <w:szCs w:val="20"/>
        </w:rPr>
        <w:t> resistance genes among uropathogenic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isolated from female UTI patients in a tertiary hospital in Enugu, Nigeria.</w:t>
      </w:r>
    </w:p>
    <w:p w14:paraId="73423043" w14:textId="77777777" w:rsidR="006C0CB7" w:rsidRPr="00B01E80" w:rsidRDefault="006C0CB7" w:rsidP="006C0CB7">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Methods:</w:t>
      </w:r>
      <w:r w:rsidRPr="00B01E80">
        <w:rPr>
          <w:rFonts w:ascii="Times New Roman" w:eastAsia="Times New Roman" w:hAnsi="Times New Roman" w:cs="Times New Roman"/>
          <w:color w:val="0F1115"/>
          <w:sz w:val="20"/>
          <w:szCs w:val="20"/>
        </w:rPr>
        <w:t> A total of 250 mid-stream urine samples were collected from female patients with clinically diagnosed UTIs between February and October 2025. Bacterial identification employed standard microbiological and biochemical methods. Phenotypic ESBL production was determined by the Double Disc Synergy Test (DDST). Antibiotic susceptibility testing was performed using the Kirby-Bauer disc diffusion method and interpreted according to CLSI 2024 guidelines. Multiple Antibiotic Resistance (MAR) index was calculated. Molecular detection of </w:t>
      </w:r>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CTX-M, </w:t>
      </w:r>
      <w:r w:rsidRPr="00B01E80">
        <w:rPr>
          <w:rFonts w:ascii="Times New Roman" w:eastAsia="Times New Roman" w:hAnsi="Times New Roman" w:cs="Times New Roman"/>
          <w:i/>
          <w:iCs/>
          <w:color w:val="0F1115"/>
          <w:sz w:val="20"/>
          <w:szCs w:val="20"/>
        </w:rPr>
        <w:t>tetA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qepA</w:t>
      </w:r>
      <w:r w:rsidRPr="00B01E80">
        <w:rPr>
          <w:rFonts w:ascii="Times New Roman" w:eastAsia="Times New Roman" w:hAnsi="Times New Roman" w:cs="Times New Roman"/>
          <w:color w:val="0F1115"/>
          <w:sz w:val="20"/>
          <w:szCs w:val="20"/>
        </w:rPr>
        <w:t> genes was conducted using conventional PCR. Statistical associations between gene carriage and phenotypic resistance were analyzed using Fisher's exact test and logistic regression, with significance set at p &lt; 0.05.</w:t>
      </w:r>
    </w:p>
    <w:p w14:paraId="4D426BA2" w14:textId="77777777" w:rsidR="006C0CB7" w:rsidRPr="00B01E80" w:rsidRDefault="006C0CB7" w:rsidP="006C0CB7">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Results:</w:t>
      </w:r>
      <w:r w:rsidRPr="00B01E80">
        <w:rPr>
          <w:rFonts w:ascii="Times New Roman" w:eastAsia="Times New Roman" w:hAnsi="Times New Roman" w:cs="Times New Roman"/>
          <w:color w:val="0F1115"/>
          <w:sz w:val="20"/>
          <w:szCs w:val="20"/>
        </w:rPr>
        <w:t> Among 250 urine samples, 152 (60.8%) yielded bacterial growth, with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accounting for 98 (39.2%) and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for 54 (21.6%) isolates. Phenotypic ESBL production was confirmed in 89 (58.6%) of the 152 isolates: 56 (57.1%) of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33 (61.1%) of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Antibiotic susceptibility testing revealed alarmingly high resistance rates: 100% resistance to cefotaxime, ceftazidime, and tetracycline among ESBL-positive isolates. Resistance to ciprofloxacin was observed in 73.2% of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81.8% of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ESBL-positive isolates, while levofloxacin resistance was 100% and 63.6%, respectively. Imipenem retained efficacy, with susceptibility rates of 67.9% for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90.9% for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MAR indices exceeded 0.2 in all ESBL-positive isolates, ranging from 0.47 to 0.94. Genotypic analysis of 20 selected ESBL-positive isolates (10 each of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revealed </w:t>
      </w:r>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CTX-M in 100% (20/20), </w:t>
      </w:r>
      <w:r w:rsidRPr="00B01E80">
        <w:rPr>
          <w:rFonts w:ascii="Times New Roman" w:eastAsia="Times New Roman" w:hAnsi="Times New Roman" w:cs="Times New Roman"/>
          <w:i/>
          <w:iCs/>
          <w:color w:val="0F1115"/>
          <w:sz w:val="20"/>
          <w:szCs w:val="20"/>
        </w:rPr>
        <w:t>tetA</w:t>
      </w:r>
      <w:r w:rsidRPr="00B01E80">
        <w:rPr>
          <w:rFonts w:ascii="Times New Roman" w:eastAsia="Times New Roman" w:hAnsi="Times New Roman" w:cs="Times New Roman"/>
          <w:color w:val="0F1115"/>
          <w:sz w:val="20"/>
          <w:szCs w:val="20"/>
        </w:rPr>
        <w:t> in 100% (20/20), and </w:t>
      </w:r>
      <w:r w:rsidRPr="00B01E80">
        <w:rPr>
          <w:rFonts w:ascii="Times New Roman" w:eastAsia="Times New Roman" w:hAnsi="Times New Roman" w:cs="Times New Roman"/>
          <w:i/>
          <w:iCs/>
          <w:color w:val="0F1115"/>
          <w:sz w:val="20"/>
          <w:szCs w:val="20"/>
        </w:rPr>
        <w:t>qepA</w:t>
      </w:r>
      <w:r w:rsidRPr="00B01E80">
        <w:rPr>
          <w:rFonts w:ascii="Times New Roman" w:eastAsia="Times New Roman" w:hAnsi="Times New Roman" w:cs="Times New Roman"/>
          <w:color w:val="0F1115"/>
          <w:sz w:val="20"/>
          <w:szCs w:val="20"/>
        </w:rPr>
        <w:t> in 65% (13/20). Co-carriage of all three genes was observed in 65% (13/20) of isolates, with significant convergence in the 32-38 years age group. A strong association was found between </w:t>
      </w:r>
      <w:r w:rsidRPr="00B01E80">
        <w:rPr>
          <w:rFonts w:ascii="Times New Roman" w:eastAsia="Times New Roman" w:hAnsi="Times New Roman" w:cs="Times New Roman"/>
          <w:i/>
          <w:iCs/>
          <w:color w:val="0F1115"/>
          <w:sz w:val="20"/>
          <w:szCs w:val="20"/>
        </w:rPr>
        <w:t>tetA</w:t>
      </w:r>
      <w:r w:rsidRPr="00B01E80">
        <w:rPr>
          <w:rFonts w:ascii="Times New Roman" w:eastAsia="Times New Roman" w:hAnsi="Times New Roman" w:cs="Times New Roman"/>
          <w:color w:val="0F1115"/>
          <w:sz w:val="20"/>
          <w:szCs w:val="20"/>
        </w:rPr>
        <w:t> carriage and phenotypic tetracycline resistance (OR = 28.5, 95% CI: 4.2-192.7, p &lt; 0.001), and between </w:t>
      </w:r>
      <w:r w:rsidRPr="00B01E80">
        <w:rPr>
          <w:rFonts w:ascii="Times New Roman" w:eastAsia="Times New Roman" w:hAnsi="Times New Roman" w:cs="Times New Roman"/>
          <w:i/>
          <w:iCs/>
          <w:color w:val="0F1115"/>
          <w:sz w:val="20"/>
          <w:szCs w:val="20"/>
        </w:rPr>
        <w:t>qepA</w:t>
      </w:r>
      <w:r w:rsidRPr="00B01E80">
        <w:rPr>
          <w:rFonts w:ascii="Times New Roman" w:eastAsia="Times New Roman" w:hAnsi="Times New Roman" w:cs="Times New Roman"/>
          <w:color w:val="0F1115"/>
          <w:sz w:val="20"/>
          <w:szCs w:val="20"/>
        </w:rPr>
        <w:t> carriage and levofloxacin resistance (OR = 3.21, 95% CI: 1.08-9.54, p = 0.042). </w:t>
      </w:r>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CTX-M + </w:t>
      </w:r>
      <w:r w:rsidRPr="00B01E80">
        <w:rPr>
          <w:rFonts w:ascii="Times New Roman" w:eastAsia="Times New Roman" w:hAnsi="Times New Roman" w:cs="Times New Roman"/>
          <w:i/>
          <w:iCs/>
          <w:color w:val="0F1115"/>
          <w:sz w:val="20"/>
          <w:szCs w:val="20"/>
        </w:rPr>
        <w:t>tetA</w:t>
      </w:r>
      <w:r w:rsidRPr="00B01E80">
        <w:rPr>
          <w:rFonts w:ascii="Times New Roman" w:eastAsia="Times New Roman" w:hAnsi="Times New Roman" w:cs="Times New Roman"/>
          <w:color w:val="0F1115"/>
          <w:sz w:val="20"/>
          <w:szCs w:val="20"/>
        </w:rPr>
        <w:t> co-carriage was an independent predictor of multidrug resistance (adjusted OR = 7.82, 95% CI: 1.95-31.36, p = 0.004).</w:t>
      </w:r>
    </w:p>
    <w:p w14:paraId="0827F1E8" w14:textId="77777777" w:rsidR="006C0CB7" w:rsidRPr="00B01E80" w:rsidRDefault="006C0CB7" w:rsidP="006C0CB7">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Conclusion:</w:t>
      </w:r>
      <w:r w:rsidRPr="00B01E80">
        <w:rPr>
          <w:rFonts w:ascii="Times New Roman" w:eastAsia="Times New Roman" w:hAnsi="Times New Roman" w:cs="Times New Roman"/>
          <w:color w:val="0F1115"/>
          <w:sz w:val="20"/>
          <w:szCs w:val="20"/>
        </w:rPr>
        <w:t> This study reveals a critical convergence of </w:t>
      </w:r>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CTX-M, </w:t>
      </w:r>
      <w:r w:rsidRPr="00B01E80">
        <w:rPr>
          <w:rFonts w:ascii="Times New Roman" w:eastAsia="Times New Roman" w:hAnsi="Times New Roman" w:cs="Times New Roman"/>
          <w:i/>
          <w:iCs/>
          <w:color w:val="0F1115"/>
          <w:sz w:val="20"/>
          <w:szCs w:val="20"/>
        </w:rPr>
        <w:t>tetA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qepA</w:t>
      </w:r>
      <w:r w:rsidRPr="00B01E80">
        <w:rPr>
          <w:rFonts w:ascii="Times New Roman" w:eastAsia="Times New Roman" w:hAnsi="Times New Roman" w:cs="Times New Roman"/>
          <w:color w:val="0F1115"/>
          <w:sz w:val="20"/>
          <w:szCs w:val="20"/>
        </w:rPr>
        <w:t> resistance determinants in uropathogenic </w:t>
      </w:r>
      <w:r w:rsidRPr="00B01E80">
        <w:rPr>
          <w:rFonts w:ascii="Times New Roman" w:eastAsia="Times New Roman" w:hAnsi="Times New Roman" w:cs="Times New Roman"/>
          <w:i/>
          <w:iCs/>
          <w:color w:val="0F1115"/>
          <w:sz w:val="20"/>
          <w:szCs w:val="20"/>
        </w:rPr>
        <w:t>P. aeruginosa</w:t>
      </w:r>
      <w:r w:rsidRPr="00B01E80">
        <w:rPr>
          <w:rFonts w:ascii="Times New Roman" w:eastAsia="Times New Roman" w:hAnsi="Times New Roman" w:cs="Times New Roman"/>
          <w:color w:val="0F1115"/>
          <w:sz w:val="20"/>
          <w:szCs w:val="20"/>
        </w:rPr>
        <w:t> and </w:t>
      </w:r>
      <w:r w:rsidRPr="00B01E80">
        <w:rPr>
          <w:rFonts w:ascii="Times New Roman" w:eastAsia="Times New Roman" w:hAnsi="Times New Roman" w:cs="Times New Roman"/>
          <w:i/>
          <w:iCs/>
          <w:color w:val="0F1115"/>
          <w:sz w:val="20"/>
          <w:szCs w:val="20"/>
        </w:rPr>
        <w:t>A. baumannii</w:t>
      </w:r>
      <w:r w:rsidRPr="00B01E80">
        <w:rPr>
          <w:rFonts w:ascii="Times New Roman" w:eastAsia="Times New Roman" w:hAnsi="Times New Roman" w:cs="Times New Roman"/>
          <w:color w:val="0F1115"/>
          <w:sz w:val="20"/>
          <w:szCs w:val="20"/>
        </w:rPr>
        <w:t xml:space="preserve"> from Enugu, Nigeria. The </w:t>
      </w:r>
      <w:r>
        <w:rPr>
          <w:rFonts w:ascii="Times New Roman" w:eastAsia="Times New Roman" w:hAnsi="Times New Roman" w:cs="Times New Roman"/>
          <w:color w:val="0F1115"/>
          <w:sz w:val="20"/>
          <w:szCs w:val="20"/>
        </w:rPr>
        <w:t>100 %</w:t>
      </w:r>
      <w:r w:rsidRPr="00B01E80">
        <w:rPr>
          <w:rFonts w:ascii="Times New Roman" w:eastAsia="Times New Roman" w:hAnsi="Times New Roman" w:cs="Times New Roman"/>
          <w:color w:val="0F1115"/>
          <w:sz w:val="20"/>
          <w:szCs w:val="20"/>
        </w:rPr>
        <w:t xml:space="preserve"> detection of CTX-M and tetA genes, coupled with qepA in two-thirds of ESBL-positive isolates, underscores an urgent need for enhanced antimicrobial stewardship, molecular surveillance, and revised empirical treatment guidelines for UTIs in Nigerian tertiary hospitals.</w:t>
      </w:r>
    </w:p>
    <w:p w14:paraId="7F7812C4" w14:textId="77777777" w:rsidR="006C0CB7" w:rsidRPr="00B01E80" w:rsidRDefault="006C0CB7" w:rsidP="006C0CB7">
      <w:pPr>
        <w:shd w:val="clear" w:color="auto" w:fill="FFFFFF"/>
        <w:spacing w:after="0" w:line="240" w:lineRule="auto"/>
        <w:jc w:val="both"/>
        <w:rPr>
          <w:rFonts w:ascii="Times New Roman" w:eastAsia="Times New Roman" w:hAnsi="Times New Roman" w:cs="Times New Roman"/>
          <w:b/>
          <w:bCs/>
          <w:color w:val="0F1115"/>
          <w:sz w:val="20"/>
          <w:szCs w:val="20"/>
        </w:rPr>
      </w:pPr>
    </w:p>
    <w:p w14:paraId="3C74DFF7" w14:textId="77777777" w:rsidR="006C0CB7" w:rsidRPr="002A252B" w:rsidRDefault="006C0CB7" w:rsidP="006C0CB7">
      <w:pPr>
        <w:shd w:val="clear" w:color="auto" w:fill="FFFFFF"/>
        <w:spacing w:after="0" w:line="240" w:lineRule="auto"/>
        <w:jc w:val="both"/>
        <w:rPr>
          <w:rFonts w:ascii="Times New Roman" w:eastAsia="Times New Roman" w:hAnsi="Times New Roman" w:cs="Times New Roman"/>
          <w:color w:val="00B050"/>
          <w:sz w:val="20"/>
          <w:szCs w:val="20"/>
        </w:rPr>
      </w:pPr>
      <w:r w:rsidRPr="009F4A5D">
        <w:rPr>
          <w:rFonts w:ascii="Times New Roman" w:eastAsia="Times New Roman" w:hAnsi="Times New Roman" w:cs="Times New Roman"/>
          <w:b/>
          <w:bCs/>
          <w:color w:val="0F1115"/>
          <w:sz w:val="20"/>
          <w:szCs w:val="20"/>
        </w:rPr>
        <w:t>Keywords:</w:t>
      </w:r>
      <w:r w:rsidRPr="009F4A5D">
        <w:rPr>
          <w:rFonts w:ascii="Times New Roman" w:eastAsia="Times New Roman" w:hAnsi="Times New Roman" w:cs="Times New Roman"/>
          <w:color w:val="0F1115"/>
          <w:sz w:val="20"/>
          <w:szCs w:val="20"/>
        </w:rPr>
        <w:t> </w:t>
      </w:r>
      <w:r w:rsidRPr="002A252B">
        <w:rPr>
          <w:rFonts w:ascii="Times New Roman" w:eastAsia="Times New Roman" w:hAnsi="Times New Roman" w:cs="Times New Roman"/>
          <w:i/>
          <w:iCs/>
          <w:color w:val="00B050"/>
          <w:sz w:val="20"/>
          <w:szCs w:val="20"/>
        </w:rPr>
        <w:t>Pseudomonas aeruginosa</w:t>
      </w:r>
      <w:r w:rsidRPr="002A252B">
        <w:rPr>
          <w:rFonts w:ascii="Times New Roman" w:eastAsia="Times New Roman" w:hAnsi="Times New Roman" w:cs="Times New Roman"/>
          <w:color w:val="00B050"/>
          <w:sz w:val="20"/>
          <w:szCs w:val="20"/>
        </w:rPr>
        <w:t>, </w:t>
      </w:r>
      <w:r w:rsidRPr="002A252B">
        <w:rPr>
          <w:rFonts w:ascii="Times New Roman" w:eastAsia="Times New Roman" w:hAnsi="Times New Roman" w:cs="Times New Roman"/>
          <w:i/>
          <w:iCs/>
          <w:color w:val="00B050"/>
          <w:sz w:val="20"/>
          <w:szCs w:val="20"/>
        </w:rPr>
        <w:t>Acinetobacter baumannii</w:t>
      </w:r>
      <w:r w:rsidRPr="002A252B">
        <w:rPr>
          <w:rFonts w:ascii="Times New Roman" w:eastAsia="Times New Roman" w:hAnsi="Times New Roman" w:cs="Times New Roman"/>
          <w:color w:val="00B050"/>
          <w:sz w:val="20"/>
          <w:szCs w:val="20"/>
        </w:rPr>
        <w:t>, CTX-M, tetA, qepA, urinary tract infection, antimicrobial</w:t>
      </w:r>
    </w:p>
    <w:p w14:paraId="6AC0DCD2" w14:textId="77777777" w:rsidR="006C0CB7" w:rsidRPr="009F4A5D" w:rsidRDefault="006C0CB7" w:rsidP="006C0CB7">
      <w:pPr>
        <w:shd w:val="clear" w:color="auto" w:fill="FFFFFF"/>
        <w:spacing w:after="0" w:line="240" w:lineRule="auto"/>
        <w:jc w:val="both"/>
        <w:rPr>
          <w:rFonts w:ascii="Times New Roman" w:eastAsia="Times New Roman" w:hAnsi="Times New Roman" w:cs="Times New Roman"/>
          <w:color w:val="0F1115"/>
          <w:sz w:val="20"/>
          <w:szCs w:val="20"/>
        </w:rPr>
      </w:pPr>
    </w:p>
    <w:p w14:paraId="03E4592E" w14:textId="77777777" w:rsidR="006C0CB7" w:rsidRPr="009F4A5D" w:rsidRDefault="006C0CB7" w:rsidP="006C0CB7">
      <w:pPr>
        <w:pStyle w:val="Heading2"/>
        <w:shd w:val="clear" w:color="auto" w:fill="FFFFFF"/>
        <w:spacing w:before="0" w:beforeAutospacing="0" w:after="0" w:afterAutospacing="0"/>
        <w:jc w:val="both"/>
        <w:rPr>
          <w:color w:val="0F1115"/>
          <w:sz w:val="20"/>
          <w:szCs w:val="20"/>
        </w:rPr>
      </w:pPr>
      <w:r w:rsidRPr="009F4A5D">
        <w:rPr>
          <w:color w:val="0F1115"/>
          <w:sz w:val="20"/>
          <w:szCs w:val="20"/>
        </w:rPr>
        <w:t>1. Introduction</w:t>
      </w:r>
    </w:p>
    <w:p w14:paraId="6A3DFAF9" w14:textId="77777777" w:rsidR="006C0CB7" w:rsidRPr="009F4A5D" w:rsidRDefault="006C0CB7" w:rsidP="006C0CB7">
      <w:pPr>
        <w:pStyle w:val="ds-markdown-paragraph"/>
        <w:shd w:val="clear" w:color="auto" w:fill="FFFFFF"/>
        <w:spacing w:before="0" w:beforeAutospacing="0" w:after="0" w:afterAutospacing="0"/>
        <w:jc w:val="both"/>
        <w:rPr>
          <w:color w:val="0F1115"/>
          <w:sz w:val="20"/>
          <w:szCs w:val="20"/>
        </w:rPr>
      </w:pPr>
      <w:r w:rsidRPr="009F4A5D">
        <w:rPr>
          <w:color w:val="0F1115"/>
          <w:sz w:val="20"/>
          <w:szCs w:val="20"/>
        </w:rPr>
        <w:t xml:space="preserve">Antimicrobial resistance (AMR) remains one of the most formidable global health threats of the 21st century, disproportionately affecting low- and middle-income countries where diagnostic capacity and antibiotic stewardship programs are often suboptimal (McEwen and Collignon, 2018; Ombelet </w:t>
      </w:r>
      <w:r w:rsidRPr="00B77CFF">
        <w:rPr>
          <w:i/>
          <w:color w:val="0F1115"/>
          <w:sz w:val="20"/>
          <w:szCs w:val="20"/>
        </w:rPr>
        <w:t>et al</w:t>
      </w:r>
      <w:r w:rsidRPr="009F4A5D">
        <w:rPr>
          <w:color w:val="0F1115"/>
          <w:sz w:val="20"/>
          <w:szCs w:val="20"/>
        </w:rPr>
        <w:t xml:space="preserve">., 2018; Peter </w:t>
      </w:r>
      <w:r w:rsidRPr="00B77CFF">
        <w:rPr>
          <w:i/>
          <w:color w:val="0F1115"/>
          <w:sz w:val="20"/>
          <w:szCs w:val="20"/>
        </w:rPr>
        <w:t>et al</w:t>
      </w:r>
      <w:r w:rsidRPr="009F4A5D">
        <w:rPr>
          <w:i/>
          <w:color w:val="0F1115"/>
          <w:sz w:val="20"/>
          <w:szCs w:val="20"/>
        </w:rPr>
        <w:t>.,</w:t>
      </w:r>
      <w:r w:rsidRPr="009F4A5D">
        <w:rPr>
          <w:color w:val="0F1115"/>
          <w:sz w:val="20"/>
          <w:szCs w:val="20"/>
        </w:rPr>
        <w:t xml:space="preserve"> 2025). The World Health Organization has designated carbapenem-resistant </w:t>
      </w:r>
      <w:r w:rsidRPr="009F4A5D">
        <w:rPr>
          <w:rStyle w:val="Emphasis"/>
          <w:color w:val="0F1115"/>
          <w:sz w:val="20"/>
          <w:szCs w:val="20"/>
        </w:rPr>
        <w:t>Acinetobacter baumannii</w:t>
      </w:r>
      <w:r w:rsidRPr="009F4A5D">
        <w:rPr>
          <w:color w:val="0F1115"/>
          <w:sz w:val="20"/>
          <w:szCs w:val="20"/>
        </w:rPr>
        <w:t> and </w:t>
      </w:r>
      <w:r w:rsidRPr="009F4A5D">
        <w:rPr>
          <w:rStyle w:val="Emphasis"/>
          <w:color w:val="0F1115"/>
          <w:sz w:val="20"/>
          <w:szCs w:val="20"/>
        </w:rPr>
        <w:t>Pseudomonas aeruginosa</w:t>
      </w:r>
      <w:r w:rsidRPr="009F4A5D">
        <w:rPr>
          <w:color w:val="0F1115"/>
          <w:sz w:val="20"/>
          <w:szCs w:val="20"/>
        </w:rPr>
        <w:t xml:space="preserve"> as </w:t>
      </w:r>
      <w:r w:rsidRPr="009F4A5D">
        <w:rPr>
          <w:color w:val="0F1115"/>
          <w:sz w:val="20"/>
          <w:szCs w:val="20"/>
        </w:rPr>
        <w:lastRenderedPageBreak/>
        <w:t xml:space="preserve">critical priority pathogens requiring urgent research and development of new therapeutic interventions (Tacconelli </w:t>
      </w:r>
      <w:r w:rsidRPr="00B77CFF">
        <w:rPr>
          <w:i/>
          <w:color w:val="0F1115"/>
          <w:sz w:val="20"/>
          <w:szCs w:val="20"/>
        </w:rPr>
        <w:t>et al</w:t>
      </w:r>
      <w:r w:rsidRPr="009F4A5D">
        <w:rPr>
          <w:color w:val="0F1115"/>
          <w:sz w:val="20"/>
          <w:szCs w:val="20"/>
        </w:rPr>
        <w:t>., 2018; WHO, 2021).</w:t>
      </w:r>
    </w:p>
    <w:p w14:paraId="66D20450" w14:textId="77777777" w:rsidR="006C0CB7" w:rsidRPr="009F4A5D" w:rsidRDefault="006C0CB7" w:rsidP="006C0CB7">
      <w:pPr>
        <w:pStyle w:val="ds-markdown-paragraph"/>
        <w:shd w:val="clear" w:color="auto" w:fill="FFFFFF"/>
        <w:spacing w:before="0" w:beforeAutospacing="0" w:after="0" w:afterAutospacing="0"/>
        <w:jc w:val="both"/>
        <w:rPr>
          <w:color w:val="0F1115"/>
          <w:sz w:val="20"/>
          <w:szCs w:val="20"/>
        </w:rPr>
      </w:pPr>
      <w:r w:rsidRPr="009F4A5D">
        <w:rPr>
          <w:color w:val="0F1115"/>
          <w:sz w:val="20"/>
          <w:szCs w:val="20"/>
        </w:rPr>
        <w:t xml:space="preserve">Among the diverse mechanisms of antibiotic resistance, the production of extended-spectrum β-lactamases (ESBLs) represents a particularly concerning phenomenon. ESBLs are plasmid-encoded enzymes capable of hydrolyzing penicillins, extended-spectrum cephalosporins, and monobactams, while remaining susceptible to inhibition by clavulanic acid (Bush and Bradford, 2019; Joseph </w:t>
      </w:r>
      <w:r w:rsidRPr="00B77CFF">
        <w:rPr>
          <w:i/>
          <w:color w:val="0F1115"/>
          <w:sz w:val="20"/>
          <w:szCs w:val="20"/>
        </w:rPr>
        <w:t>et al</w:t>
      </w:r>
      <w:r w:rsidRPr="009F4A5D">
        <w:rPr>
          <w:i/>
          <w:color w:val="0F1115"/>
          <w:sz w:val="20"/>
          <w:szCs w:val="20"/>
        </w:rPr>
        <w:t>.,</w:t>
      </w:r>
      <w:r w:rsidRPr="009F4A5D">
        <w:rPr>
          <w:color w:val="0F1115"/>
          <w:sz w:val="20"/>
          <w:szCs w:val="20"/>
        </w:rPr>
        <w:t xml:space="preserve"> 2023). The CTX-M family has emerged as the most epidemiologically successful ESBL type worldwide, with </w:t>
      </w:r>
      <w:r w:rsidRPr="009F4A5D">
        <w:rPr>
          <w:rStyle w:val="Emphasis"/>
          <w:color w:val="0F1115"/>
          <w:sz w:val="20"/>
          <w:szCs w:val="20"/>
        </w:rPr>
        <w:t>bla</w:t>
      </w:r>
      <w:r w:rsidRPr="009F4A5D">
        <w:rPr>
          <w:color w:val="0F1115"/>
          <w:sz w:val="20"/>
          <w:szCs w:val="20"/>
        </w:rPr>
        <w:t xml:space="preserve">CTX-M-15 being the predominant variant documented across diverse geographical regions (Pfeifer </w:t>
      </w:r>
      <w:r w:rsidRPr="00B77CFF">
        <w:rPr>
          <w:i/>
          <w:color w:val="0F1115"/>
          <w:sz w:val="20"/>
          <w:szCs w:val="20"/>
        </w:rPr>
        <w:t>et al</w:t>
      </w:r>
      <w:r w:rsidRPr="009F4A5D">
        <w:rPr>
          <w:color w:val="0F1115"/>
          <w:sz w:val="20"/>
          <w:szCs w:val="20"/>
        </w:rPr>
        <w:t>., 2010</w:t>
      </w:r>
      <w:r w:rsidRPr="00446324">
        <w:rPr>
          <w:color w:val="00B050"/>
          <w:sz w:val="20"/>
          <w:szCs w:val="20"/>
        </w:rPr>
        <w:t xml:space="preserve">; Bush </w:t>
      </w:r>
      <w:r w:rsidRPr="00446324">
        <w:rPr>
          <w:iCs/>
          <w:color w:val="00B050"/>
          <w:sz w:val="20"/>
          <w:szCs w:val="20"/>
        </w:rPr>
        <w:t>and Fisher,</w:t>
      </w:r>
      <w:r w:rsidRPr="00446324">
        <w:rPr>
          <w:color w:val="00B050"/>
          <w:sz w:val="20"/>
          <w:szCs w:val="20"/>
        </w:rPr>
        <w:t xml:space="preserve"> 2011</w:t>
      </w:r>
      <w:r w:rsidRPr="009F4A5D">
        <w:rPr>
          <w:color w:val="0F1115"/>
          <w:sz w:val="20"/>
          <w:szCs w:val="20"/>
        </w:rPr>
        <w:t xml:space="preserve">; Edemekong </w:t>
      </w:r>
      <w:r w:rsidRPr="00B77CFF">
        <w:rPr>
          <w:i/>
          <w:color w:val="0F1115"/>
          <w:sz w:val="20"/>
          <w:szCs w:val="20"/>
        </w:rPr>
        <w:t>et al</w:t>
      </w:r>
      <w:r w:rsidRPr="009F4A5D">
        <w:rPr>
          <w:i/>
          <w:color w:val="0F1115"/>
          <w:sz w:val="20"/>
          <w:szCs w:val="20"/>
        </w:rPr>
        <w:t>.,</w:t>
      </w:r>
      <w:r w:rsidRPr="009F4A5D">
        <w:rPr>
          <w:color w:val="0F1115"/>
          <w:sz w:val="20"/>
          <w:szCs w:val="20"/>
        </w:rPr>
        <w:t xml:space="preserve"> 2025). In Nigeria, systematic reviews have identified </w:t>
      </w:r>
      <w:r w:rsidRPr="009F4A5D">
        <w:rPr>
          <w:rStyle w:val="Emphasis"/>
          <w:color w:val="0F1115"/>
          <w:sz w:val="20"/>
          <w:szCs w:val="20"/>
        </w:rPr>
        <w:t>bla</w:t>
      </w:r>
      <w:r w:rsidRPr="009F4A5D">
        <w:rPr>
          <w:color w:val="0F1115"/>
          <w:sz w:val="20"/>
          <w:szCs w:val="20"/>
        </w:rPr>
        <w:t xml:space="preserve">CTX-M as among the most frequently detected antibacterial resistance genes in clinical and environmental isolates (Mshelia </w:t>
      </w:r>
      <w:r w:rsidRPr="00B77CFF">
        <w:rPr>
          <w:i/>
          <w:color w:val="0F1115"/>
          <w:sz w:val="20"/>
          <w:szCs w:val="20"/>
        </w:rPr>
        <w:t>et al</w:t>
      </w:r>
      <w:r w:rsidRPr="009F4A5D">
        <w:rPr>
          <w:color w:val="0F1115"/>
          <w:sz w:val="20"/>
          <w:szCs w:val="20"/>
        </w:rPr>
        <w:t xml:space="preserve">., 2024; Edemekong </w:t>
      </w:r>
      <w:r w:rsidRPr="00B77CFF">
        <w:rPr>
          <w:i/>
          <w:color w:val="0F1115"/>
          <w:sz w:val="20"/>
          <w:szCs w:val="20"/>
        </w:rPr>
        <w:t>et al</w:t>
      </w:r>
      <w:r w:rsidRPr="009F4A5D">
        <w:rPr>
          <w:i/>
          <w:color w:val="0F1115"/>
          <w:sz w:val="20"/>
          <w:szCs w:val="20"/>
        </w:rPr>
        <w:t>.,</w:t>
      </w:r>
      <w:r w:rsidRPr="009F4A5D">
        <w:rPr>
          <w:color w:val="0F1115"/>
          <w:sz w:val="20"/>
          <w:szCs w:val="20"/>
        </w:rPr>
        <w:t xml:space="preserve"> 2025; Ugbo </w:t>
      </w:r>
      <w:r w:rsidRPr="00B77CFF">
        <w:rPr>
          <w:i/>
          <w:color w:val="0F1115"/>
          <w:sz w:val="20"/>
          <w:szCs w:val="20"/>
        </w:rPr>
        <w:t>et al</w:t>
      </w:r>
      <w:r w:rsidRPr="009F4A5D">
        <w:rPr>
          <w:color w:val="0F1115"/>
          <w:sz w:val="20"/>
          <w:szCs w:val="20"/>
        </w:rPr>
        <w:t xml:space="preserve">., 2026). Recent surveillance from Gombe, Nigeria, documented </w:t>
      </w:r>
      <w:r>
        <w:rPr>
          <w:color w:val="0F1115"/>
          <w:sz w:val="20"/>
          <w:szCs w:val="20"/>
        </w:rPr>
        <w:t>100 %</w:t>
      </w:r>
      <w:r w:rsidRPr="009F4A5D">
        <w:rPr>
          <w:color w:val="0F1115"/>
          <w:sz w:val="20"/>
          <w:szCs w:val="20"/>
        </w:rPr>
        <w:t> </w:t>
      </w:r>
      <w:r w:rsidRPr="009F4A5D">
        <w:rPr>
          <w:rStyle w:val="Emphasis"/>
          <w:color w:val="0F1115"/>
          <w:sz w:val="20"/>
          <w:szCs w:val="20"/>
        </w:rPr>
        <w:t>bla</w:t>
      </w:r>
      <w:r w:rsidRPr="009F4A5D">
        <w:rPr>
          <w:color w:val="0F1115"/>
          <w:sz w:val="20"/>
          <w:szCs w:val="20"/>
        </w:rPr>
        <w:t>CTX-M gene presence among ESBL-producing </w:t>
      </w:r>
      <w:r w:rsidRPr="009F4A5D">
        <w:rPr>
          <w:rStyle w:val="Emphasis"/>
          <w:color w:val="0F1115"/>
          <w:sz w:val="20"/>
          <w:szCs w:val="20"/>
        </w:rPr>
        <w:t>Klebsiella pneumoniae</w:t>
      </w:r>
      <w:r w:rsidRPr="009F4A5D">
        <w:rPr>
          <w:color w:val="0F1115"/>
          <w:sz w:val="20"/>
          <w:szCs w:val="20"/>
        </w:rPr>
        <w:t xml:space="preserve"> isolates, confirming CTX-M as the dominant ESBL genotype in Nigerian healthcare settings (Muhammad </w:t>
      </w:r>
      <w:r w:rsidRPr="00B77CFF">
        <w:rPr>
          <w:i/>
          <w:color w:val="0F1115"/>
          <w:sz w:val="20"/>
          <w:szCs w:val="20"/>
        </w:rPr>
        <w:t>et al</w:t>
      </w:r>
      <w:r w:rsidRPr="009F4A5D">
        <w:rPr>
          <w:color w:val="0F1115"/>
          <w:sz w:val="20"/>
          <w:szCs w:val="20"/>
        </w:rPr>
        <w:t>., 2026).</w:t>
      </w:r>
    </w:p>
    <w:p w14:paraId="21FC5372" w14:textId="77777777" w:rsidR="006C0CB7" w:rsidRPr="009F4A5D" w:rsidRDefault="006C0CB7" w:rsidP="006C0CB7">
      <w:pPr>
        <w:pStyle w:val="ds-markdown-paragraph"/>
        <w:shd w:val="clear" w:color="auto" w:fill="FFFFFF"/>
        <w:spacing w:before="0" w:beforeAutospacing="0" w:after="0" w:afterAutospacing="0"/>
        <w:jc w:val="both"/>
        <w:rPr>
          <w:color w:val="0F1115"/>
          <w:sz w:val="20"/>
          <w:szCs w:val="20"/>
        </w:rPr>
      </w:pPr>
      <w:r w:rsidRPr="009F4A5D">
        <w:rPr>
          <w:color w:val="0F1115"/>
          <w:sz w:val="20"/>
          <w:szCs w:val="20"/>
        </w:rPr>
        <w:t>The clinical significance of ESBL production is amplified when these genes co-occur with determinants conferring resistance to other critically important antibiotic classes. The </w:t>
      </w:r>
      <w:r w:rsidRPr="009F4A5D">
        <w:rPr>
          <w:rStyle w:val="Emphasis"/>
          <w:color w:val="0F1115"/>
          <w:sz w:val="20"/>
          <w:szCs w:val="20"/>
        </w:rPr>
        <w:t>tetA</w:t>
      </w:r>
      <w:r w:rsidRPr="009F4A5D">
        <w:rPr>
          <w:color w:val="0F1115"/>
          <w:sz w:val="20"/>
          <w:szCs w:val="20"/>
        </w:rPr>
        <w:t xml:space="preserve"> gene encodes a tetracycline-specific efflux pump that actively exports tetracycline from bacterial cells, conferring resistance to this important class of antibiotics (Dönhöfer </w:t>
      </w:r>
      <w:r w:rsidRPr="00B77CFF">
        <w:rPr>
          <w:i/>
          <w:color w:val="0F1115"/>
          <w:sz w:val="20"/>
          <w:szCs w:val="20"/>
        </w:rPr>
        <w:t>et al</w:t>
      </w:r>
      <w:r w:rsidRPr="009F4A5D">
        <w:rPr>
          <w:color w:val="0F1115"/>
          <w:sz w:val="20"/>
          <w:szCs w:val="20"/>
        </w:rPr>
        <w:t xml:space="preserve">., 2012; Coyne </w:t>
      </w:r>
      <w:r w:rsidRPr="00B77CFF">
        <w:rPr>
          <w:i/>
          <w:color w:val="0F1115"/>
          <w:sz w:val="20"/>
          <w:szCs w:val="20"/>
        </w:rPr>
        <w:t>et al</w:t>
      </w:r>
      <w:r w:rsidRPr="009F4A5D">
        <w:rPr>
          <w:color w:val="0F1115"/>
          <w:sz w:val="20"/>
          <w:szCs w:val="20"/>
        </w:rPr>
        <w:t>., 2011). The </w:t>
      </w:r>
      <w:r w:rsidRPr="009F4A5D">
        <w:rPr>
          <w:rStyle w:val="Emphasis"/>
          <w:color w:val="0F1115"/>
          <w:sz w:val="20"/>
          <w:szCs w:val="20"/>
        </w:rPr>
        <w:t>qepA</w:t>
      </w:r>
      <w:r w:rsidRPr="009F4A5D">
        <w:rPr>
          <w:color w:val="0F1115"/>
          <w:sz w:val="20"/>
          <w:szCs w:val="20"/>
        </w:rPr>
        <w:t xml:space="preserve"> gene encodes a plasmid-mediated fluoroquinolone efflux pump that reduces intracellular concentrations of hydrophilic fluoroquinolones including ciprofloxacin and norfloxacin (Yamane </w:t>
      </w:r>
      <w:r w:rsidRPr="00B77CFF">
        <w:rPr>
          <w:i/>
          <w:color w:val="0F1115"/>
          <w:sz w:val="20"/>
          <w:szCs w:val="20"/>
        </w:rPr>
        <w:t>et al</w:t>
      </w:r>
      <w:r w:rsidRPr="009F4A5D">
        <w:rPr>
          <w:color w:val="0F1115"/>
          <w:sz w:val="20"/>
          <w:szCs w:val="20"/>
        </w:rPr>
        <w:t xml:space="preserve">., 2008; Abdi </w:t>
      </w:r>
      <w:r w:rsidRPr="00B77CFF">
        <w:rPr>
          <w:i/>
          <w:color w:val="0F1115"/>
          <w:sz w:val="20"/>
          <w:szCs w:val="20"/>
        </w:rPr>
        <w:t>et al</w:t>
      </w:r>
      <w:r w:rsidRPr="009F4A5D">
        <w:rPr>
          <w:color w:val="0F1115"/>
          <w:sz w:val="20"/>
          <w:szCs w:val="20"/>
        </w:rPr>
        <w:t xml:space="preserve">., 2020; </w:t>
      </w:r>
      <w:r w:rsidRPr="009F4A5D">
        <w:rPr>
          <w:rStyle w:val="Strong"/>
          <w:b w:val="0"/>
          <w:color w:val="0F1115"/>
          <w:sz w:val="20"/>
          <w:szCs w:val="20"/>
        </w:rPr>
        <w:t xml:space="preserve">Agwu </w:t>
      </w:r>
      <w:r w:rsidRPr="00B77CFF">
        <w:rPr>
          <w:rStyle w:val="Strong"/>
          <w:b w:val="0"/>
          <w:i/>
          <w:color w:val="0F1115"/>
          <w:sz w:val="20"/>
          <w:szCs w:val="20"/>
        </w:rPr>
        <w:t>et al</w:t>
      </w:r>
      <w:r w:rsidRPr="009F4A5D">
        <w:rPr>
          <w:rStyle w:val="Strong"/>
          <w:b w:val="0"/>
          <w:i/>
          <w:color w:val="0F1115"/>
          <w:sz w:val="20"/>
          <w:szCs w:val="20"/>
        </w:rPr>
        <w:t>.,</w:t>
      </w:r>
      <w:r w:rsidRPr="009F4A5D">
        <w:rPr>
          <w:rStyle w:val="Strong"/>
          <w:b w:val="0"/>
          <w:color w:val="0F1115"/>
          <w:sz w:val="20"/>
          <w:szCs w:val="20"/>
        </w:rPr>
        <w:t xml:space="preserve"> 2026</w:t>
      </w:r>
      <w:r w:rsidRPr="009F4A5D">
        <w:rPr>
          <w:color w:val="0F1115"/>
          <w:sz w:val="20"/>
          <w:szCs w:val="20"/>
        </w:rPr>
        <w:t xml:space="preserve">). When these resistance determinants converge with ESBL genes on mobile genetic elements, they facilitate co-selection and the emergence of multidrug-resistant (MDR) phenotypes that severely limit therapeutic options (Lerminiaux and Cameron, 2019; Godeux </w:t>
      </w:r>
      <w:r w:rsidRPr="00B77CFF">
        <w:rPr>
          <w:i/>
          <w:color w:val="0F1115"/>
          <w:sz w:val="20"/>
          <w:szCs w:val="20"/>
        </w:rPr>
        <w:t>et al</w:t>
      </w:r>
      <w:r w:rsidRPr="009F4A5D">
        <w:rPr>
          <w:color w:val="0F1115"/>
          <w:sz w:val="20"/>
          <w:szCs w:val="20"/>
        </w:rPr>
        <w:t xml:space="preserve">., 2022; John-Onwe </w:t>
      </w:r>
      <w:r w:rsidRPr="00B77CFF">
        <w:rPr>
          <w:i/>
          <w:color w:val="0F1115"/>
          <w:sz w:val="20"/>
          <w:szCs w:val="20"/>
        </w:rPr>
        <w:t>et al</w:t>
      </w:r>
      <w:r w:rsidRPr="009F4A5D">
        <w:rPr>
          <w:i/>
          <w:color w:val="0F1115"/>
          <w:sz w:val="20"/>
          <w:szCs w:val="20"/>
        </w:rPr>
        <w:t>.,</w:t>
      </w:r>
      <w:r w:rsidRPr="009F4A5D">
        <w:rPr>
          <w:color w:val="0F1115"/>
          <w:sz w:val="20"/>
          <w:szCs w:val="20"/>
        </w:rPr>
        <w:t xml:space="preserve"> 2023).</w:t>
      </w:r>
    </w:p>
    <w:p w14:paraId="681A02D8" w14:textId="77777777" w:rsidR="006C0CB7" w:rsidRPr="009F4A5D" w:rsidRDefault="006C0CB7" w:rsidP="006C0CB7">
      <w:pPr>
        <w:pStyle w:val="ds-markdown-paragraph"/>
        <w:shd w:val="clear" w:color="auto" w:fill="FFFFFF"/>
        <w:spacing w:before="0" w:beforeAutospacing="0" w:after="0" w:afterAutospacing="0"/>
        <w:jc w:val="both"/>
        <w:rPr>
          <w:color w:val="0F1115"/>
          <w:sz w:val="20"/>
          <w:szCs w:val="20"/>
        </w:rPr>
      </w:pPr>
      <w:r w:rsidRPr="009F4A5D">
        <w:rPr>
          <w:color w:val="0F1115"/>
          <w:sz w:val="20"/>
          <w:szCs w:val="20"/>
        </w:rPr>
        <w:t xml:space="preserve">The convergence of CTX-M, tetA, and qepA resistance genes is particularly alarming because it simultaneously compromises three major antibiotic classes: extended-spectrum cephalosporins, tetracyclines, and fluoroquinolones (Nwosu </w:t>
      </w:r>
      <w:r w:rsidRPr="00B77CFF">
        <w:rPr>
          <w:i/>
          <w:color w:val="0F1115"/>
          <w:sz w:val="20"/>
          <w:szCs w:val="20"/>
        </w:rPr>
        <w:t>et al</w:t>
      </w:r>
      <w:r w:rsidRPr="009F4A5D">
        <w:rPr>
          <w:i/>
          <w:color w:val="0F1115"/>
          <w:sz w:val="20"/>
          <w:szCs w:val="20"/>
        </w:rPr>
        <w:t>.,</w:t>
      </w:r>
      <w:r w:rsidRPr="009F4A5D">
        <w:rPr>
          <w:color w:val="0F1115"/>
          <w:sz w:val="20"/>
          <w:szCs w:val="20"/>
        </w:rPr>
        <w:t xml:space="preserve"> 2023; Oke </w:t>
      </w:r>
      <w:r w:rsidRPr="00B77CFF">
        <w:rPr>
          <w:i/>
          <w:color w:val="0F1115"/>
          <w:sz w:val="20"/>
          <w:szCs w:val="20"/>
        </w:rPr>
        <w:t>et al</w:t>
      </w:r>
      <w:r w:rsidRPr="009F4A5D">
        <w:rPr>
          <w:i/>
          <w:color w:val="0F1115"/>
          <w:sz w:val="20"/>
          <w:szCs w:val="20"/>
        </w:rPr>
        <w:t>.,</w:t>
      </w:r>
      <w:r w:rsidRPr="009F4A5D">
        <w:rPr>
          <w:color w:val="0F1115"/>
          <w:sz w:val="20"/>
          <w:szCs w:val="20"/>
        </w:rPr>
        <w:t xml:space="preserve"> 2024; </w:t>
      </w:r>
      <w:r w:rsidRPr="009F4A5D">
        <w:rPr>
          <w:rStyle w:val="Strong"/>
          <w:b w:val="0"/>
          <w:color w:val="0F1115"/>
          <w:sz w:val="20"/>
          <w:szCs w:val="20"/>
        </w:rPr>
        <w:t xml:space="preserve">Agwu </w:t>
      </w:r>
      <w:r w:rsidRPr="00B77CFF">
        <w:rPr>
          <w:rStyle w:val="Strong"/>
          <w:b w:val="0"/>
          <w:i/>
          <w:color w:val="0F1115"/>
          <w:sz w:val="20"/>
          <w:szCs w:val="20"/>
        </w:rPr>
        <w:t>et al</w:t>
      </w:r>
      <w:r w:rsidRPr="009F4A5D">
        <w:rPr>
          <w:rStyle w:val="Strong"/>
          <w:b w:val="0"/>
          <w:i/>
          <w:color w:val="0F1115"/>
          <w:sz w:val="20"/>
          <w:szCs w:val="20"/>
        </w:rPr>
        <w:t>.,</w:t>
      </w:r>
      <w:r w:rsidRPr="009F4A5D">
        <w:rPr>
          <w:rStyle w:val="Strong"/>
          <w:b w:val="0"/>
          <w:color w:val="0F1115"/>
          <w:sz w:val="20"/>
          <w:szCs w:val="20"/>
        </w:rPr>
        <w:t xml:space="preserve"> 2026</w:t>
      </w:r>
      <w:r w:rsidRPr="009F4A5D">
        <w:rPr>
          <w:color w:val="0F1115"/>
          <w:sz w:val="20"/>
          <w:szCs w:val="20"/>
        </w:rPr>
        <w:t>). Recent surveillance from Lagos, Nigeria, has documented </w:t>
      </w:r>
      <w:r w:rsidRPr="009F4A5D">
        <w:rPr>
          <w:rStyle w:val="Emphasis"/>
          <w:color w:val="0F1115"/>
          <w:sz w:val="20"/>
          <w:szCs w:val="20"/>
        </w:rPr>
        <w:t>qnrS</w:t>
      </w:r>
      <w:r w:rsidRPr="009F4A5D">
        <w:rPr>
          <w:color w:val="0F1115"/>
          <w:sz w:val="20"/>
          <w:szCs w:val="20"/>
        </w:rPr>
        <w:t xml:space="preserve"> genes (related to fluoroquinolone resistance) in 83% of analyzed environmental samples, highlighting the pervasive dissemination of plasmid-mediated quinolone resistance determinants across Nigerian ecosystems (Ajayi </w:t>
      </w:r>
      <w:r w:rsidRPr="00B77CFF">
        <w:rPr>
          <w:i/>
          <w:color w:val="0F1115"/>
          <w:sz w:val="20"/>
          <w:szCs w:val="20"/>
        </w:rPr>
        <w:t>et al</w:t>
      </w:r>
      <w:r w:rsidRPr="009F4A5D">
        <w:rPr>
          <w:color w:val="0F1115"/>
          <w:sz w:val="20"/>
          <w:szCs w:val="20"/>
        </w:rPr>
        <w:t>., 2025). Studies from Iran have documented high </w:t>
      </w:r>
      <w:r w:rsidRPr="009F4A5D">
        <w:rPr>
          <w:rStyle w:val="Emphasis"/>
          <w:color w:val="0F1115"/>
          <w:sz w:val="20"/>
          <w:szCs w:val="20"/>
        </w:rPr>
        <w:t>tetA</w:t>
      </w:r>
      <w:r w:rsidRPr="009F4A5D">
        <w:rPr>
          <w:color w:val="0F1115"/>
          <w:sz w:val="20"/>
          <w:szCs w:val="20"/>
        </w:rPr>
        <w:t> prevalence rates ranging from 39.81% to 95.5% among </w:t>
      </w:r>
      <w:r w:rsidRPr="009F4A5D">
        <w:rPr>
          <w:rStyle w:val="Emphasis"/>
          <w:color w:val="0F1115"/>
          <w:sz w:val="20"/>
          <w:szCs w:val="20"/>
        </w:rPr>
        <w:t>A. baumannii</w:t>
      </w:r>
      <w:r w:rsidRPr="009F4A5D">
        <w:rPr>
          <w:color w:val="0F1115"/>
          <w:sz w:val="20"/>
          <w:szCs w:val="20"/>
        </w:rPr>
        <w:t xml:space="preserve"> isolates (Asadollahi </w:t>
      </w:r>
      <w:r w:rsidRPr="00B77CFF">
        <w:rPr>
          <w:i/>
          <w:color w:val="0F1115"/>
          <w:sz w:val="20"/>
          <w:szCs w:val="20"/>
        </w:rPr>
        <w:t>et al</w:t>
      </w:r>
      <w:r w:rsidRPr="009F4A5D">
        <w:rPr>
          <w:color w:val="0F1115"/>
          <w:sz w:val="20"/>
          <w:szCs w:val="20"/>
        </w:rPr>
        <w:t xml:space="preserve">., 2012; Jafari Sales </w:t>
      </w:r>
      <w:r w:rsidRPr="00B77CFF">
        <w:rPr>
          <w:i/>
          <w:color w:val="0F1115"/>
          <w:sz w:val="20"/>
          <w:szCs w:val="20"/>
        </w:rPr>
        <w:t>et al</w:t>
      </w:r>
      <w:r w:rsidRPr="009F4A5D">
        <w:rPr>
          <w:color w:val="0F1115"/>
          <w:sz w:val="20"/>
          <w:szCs w:val="20"/>
        </w:rPr>
        <w:t>., 2021), while </w:t>
      </w:r>
      <w:r w:rsidRPr="009F4A5D">
        <w:rPr>
          <w:rStyle w:val="Emphasis"/>
          <w:color w:val="0F1115"/>
          <w:sz w:val="20"/>
          <w:szCs w:val="20"/>
        </w:rPr>
        <w:t>qepA</w:t>
      </w:r>
      <w:r w:rsidRPr="009F4A5D">
        <w:rPr>
          <w:color w:val="0F1115"/>
          <w:sz w:val="20"/>
          <w:szCs w:val="20"/>
        </w:rPr>
        <w:t xml:space="preserve"> detection rates vary considerably depending on the bacterial population and geographic setting (Yamane </w:t>
      </w:r>
      <w:r w:rsidRPr="00B77CFF">
        <w:rPr>
          <w:i/>
          <w:color w:val="0F1115"/>
          <w:sz w:val="20"/>
          <w:szCs w:val="20"/>
        </w:rPr>
        <w:t>et al</w:t>
      </w:r>
      <w:r w:rsidRPr="009F4A5D">
        <w:rPr>
          <w:color w:val="0F1115"/>
          <w:sz w:val="20"/>
          <w:szCs w:val="20"/>
        </w:rPr>
        <w:t xml:space="preserve">., 2008; Ezeh </w:t>
      </w:r>
      <w:r w:rsidRPr="00B77CFF">
        <w:rPr>
          <w:i/>
          <w:color w:val="0F1115"/>
          <w:sz w:val="20"/>
          <w:szCs w:val="20"/>
        </w:rPr>
        <w:t>et al</w:t>
      </w:r>
      <w:r w:rsidRPr="009F4A5D">
        <w:rPr>
          <w:color w:val="0F1115"/>
          <w:sz w:val="20"/>
          <w:szCs w:val="20"/>
        </w:rPr>
        <w:t xml:space="preserve">., 2017; </w:t>
      </w:r>
      <w:r w:rsidRPr="009F4A5D">
        <w:rPr>
          <w:rStyle w:val="Strong"/>
          <w:b w:val="0"/>
          <w:color w:val="0F1115"/>
          <w:sz w:val="20"/>
          <w:szCs w:val="20"/>
        </w:rPr>
        <w:t xml:space="preserve">Agwu </w:t>
      </w:r>
      <w:r w:rsidRPr="00B77CFF">
        <w:rPr>
          <w:rStyle w:val="Strong"/>
          <w:b w:val="0"/>
          <w:i/>
          <w:color w:val="0F1115"/>
          <w:sz w:val="20"/>
          <w:szCs w:val="20"/>
        </w:rPr>
        <w:t>et al</w:t>
      </w:r>
      <w:r w:rsidRPr="009F4A5D">
        <w:rPr>
          <w:rStyle w:val="Strong"/>
          <w:b w:val="0"/>
          <w:i/>
          <w:color w:val="0F1115"/>
          <w:sz w:val="20"/>
          <w:szCs w:val="20"/>
        </w:rPr>
        <w:t>.,</w:t>
      </w:r>
      <w:r w:rsidRPr="009F4A5D">
        <w:rPr>
          <w:rStyle w:val="Strong"/>
          <w:b w:val="0"/>
          <w:color w:val="0F1115"/>
          <w:sz w:val="20"/>
          <w:szCs w:val="20"/>
        </w:rPr>
        <w:t xml:space="preserve"> 2026</w:t>
      </w:r>
      <w:r w:rsidRPr="009F4A5D">
        <w:rPr>
          <w:color w:val="0F1115"/>
          <w:sz w:val="20"/>
          <w:szCs w:val="20"/>
        </w:rPr>
        <w:t>).</w:t>
      </w:r>
    </w:p>
    <w:p w14:paraId="48EC0EC8" w14:textId="77777777" w:rsidR="006C0CB7" w:rsidRPr="009F4A5D" w:rsidRDefault="006C0CB7" w:rsidP="006C0CB7">
      <w:pPr>
        <w:pStyle w:val="ds-markdown-paragraph"/>
        <w:shd w:val="clear" w:color="auto" w:fill="FFFFFF"/>
        <w:spacing w:before="0" w:beforeAutospacing="0" w:after="0" w:afterAutospacing="0"/>
        <w:jc w:val="both"/>
        <w:rPr>
          <w:color w:val="0F1115"/>
          <w:sz w:val="20"/>
          <w:szCs w:val="20"/>
        </w:rPr>
      </w:pPr>
      <w:r w:rsidRPr="009F4A5D">
        <w:rPr>
          <w:color w:val="0F1115"/>
          <w:sz w:val="20"/>
          <w:szCs w:val="20"/>
        </w:rPr>
        <w:t xml:space="preserve">Urinary tract infections (UTIs) represent one of the most common bacterial infections encountered in both community and healthcare settings (Fan </w:t>
      </w:r>
      <w:r w:rsidRPr="00B77CFF">
        <w:rPr>
          <w:i/>
          <w:color w:val="0F1115"/>
          <w:sz w:val="20"/>
          <w:szCs w:val="20"/>
        </w:rPr>
        <w:t>et al</w:t>
      </w:r>
      <w:r w:rsidRPr="009F4A5D">
        <w:rPr>
          <w:color w:val="0F1115"/>
          <w:sz w:val="20"/>
          <w:szCs w:val="20"/>
        </w:rPr>
        <w:t xml:space="preserve">., 2014; </w:t>
      </w:r>
      <w:r w:rsidRPr="009F4A5D">
        <w:rPr>
          <w:color w:val="636363"/>
          <w:sz w:val="20"/>
          <w:szCs w:val="20"/>
          <w:shd w:val="clear" w:color="auto" w:fill="FFFFFF"/>
        </w:rPr>
        <w:t>Czajkowski</w:t>
      </w:r>
      <w:r w:rsidRPr="009F4A5D">
        <w:rPr>
          <w:color w:val="0F1115"/>
          <w:sz w:val="20"/>
          <w:szCs w:val="20"/>
        </w:rPr>
        <w:t xml:space="preserve"> </w:t>
      </w:r>
      <w:r w:rsidRPr="00B77CFF">
        <w:rPr>
          <w:i/>
          <w:color w:val="0F1115"/>
          <w:sz w:val="20"/>
          <w:szCs w:val="20"/>
        </w:rPr>
        <w:t>et al</w:t>
      </w:r>
      <w:r w:rsidRPr="009F4A5D">
        <w:rPr>
          <w:color w:val="0F1115"/>
          <w:sz w:val="20"/>
          <w:szCs w:val="20"/>
        </w:rPr>
        <w:t>., 2021). While </w:t>
      </w:r>
      <w:r w:rsidRPr="009F4A5D">
        <w:rPr>
          <w:rStyle w:val="Emphasis"/>
          <w:color w:val="0F1115"/>
          <w:sz w:val="20"/>
          <w:szCs w:val="20"/>
        </w:rPr>
        <w:t>Escherichia coli</w:t>
      </w:r>
      <w:r w:rsidRPr="009F4A5D">
        <w:rPr>
          <w:color w:val="0F1115"/>
          <w:sz w:val="20"/>
          <w:szCs w:val="20"/>
        </w:rPr>
        <w:t> remains the predominant uropathogen, non-fermenting Gram-negative bacilli (NFGNB) including </w:t>
      </w:r>
      <w:r w:rsidRPr="009F4A5D">
        <w:rPr>
          <w:rStyle w:val="Emphasis"/>
          <w:color w:val="0F1115"/>
          <w:sz w:val="20"/>
          <w:szCs w:val="20"/>
        </w:rPr>
        <w:t>P. aeruginosa</w:t>
      </w:r>
      <w:r w:rsidRPr="009F4A5D">
        <w:rPr>
          <w:color w:val="0F1115"/>
          <w:sz w:val="20"/>
          <w:szCs w:val="20"/>
        </w:rPr>
        <w:t> and </w:t>
      </w:r>
      <w:r w:rsidRPr="009F4A5D">
        <w:rPr>
          <w:rStyle w:val="Emphasis"/>
          <w:color w:val="0F1115"/>
          <w:sz w:val="20"/>
          <w:szCs w:val="20"/>
        </w:rPr>
        <w:t>A. baumannii</w:t>
      </w:r>
      <w:r w:rsidRPr="009F4A5D">
        <w:rPr>
          <w:color w:val="0F1115"/>
          <w:sz w:val="20"/>
          <w:szCs w:val="20"/>
        </w:rPr>
        <w:t xml:space="preserve"> are increasingly implicated in complicated and healthcare-associated UTIs (Magill </w:t>
      </w:r>
      <w:r w:rsidRPr="00B77CFF">
        <w:rPr>
          <w:i/>
          <w:color w:val="0F1115"/>
          <w:sz w:val="20"/>
          <w:szCs w:val="20"/>
        </w:rPr>
        <w:t>et al</w:t>
      </w:r>
      <w:r w:rsidRPr="009F4A5D">
        <w:rPr>
          <w:color w:val="0F1115"/>
          <w:sz w:val="20"/>
          <w:szCs w:val="20"/>
        </w:rPr>
        <w:t xml:space="preserve">., 2023; Manikandan </w:t>
      </w:r>
      <w:r w:rsidRPr="00B77CFF">
        <w:rPr>
          <w:i/>
          <w:color w:val="0F1115"/>
          <w:sz w:val="20"/>
          <w:szCs w:val="20"/>
        </w:rPr>
        <w:t>et al</w:t>
      </w:r>
      <w:r w:rsidRPr="009F4A5D">
        <w:rPr>
          <w:color w:val="0F1115"/>
          <w:sz w:val="20"/>
          <w:szCs w:val="20"/>
        </w:rPr>
        <w:t xml:space="preserve">., 2011). A recent three-year surveillance study from Calabar, Nigeria, documented overall resistance rates of 78.4% to ampicillin and 64.8% to ciprofloxacin among uropathogens, with multidrug resistance observed in 68.7% of isolates (Bassey </w:t>
      </w:r>
      <w:r w:rsidRPr="00B77CFF">
        <w:rPr>
          <w:i/>
          <w:color w:val="0F1115"/>
          <w:sz w:val="20"/>
          <w:szCs w:val="20"/>
        </w:rPr>
        <w:t>et al</w:t>
      </w:r>
      <w:r w:rsidRPr="009F4A5D">
        <w:rPr>
          <w:color w:val="0F1115"/>
          <w:sz w:val="20"/>
          <w:szCs w:val="20"/>
        </w:rPr>
        <w:t>., 2025). In neighboring Niger, a prospective study of NFGNB revealed that </w:t>
      </w:r>
      <w:r w:rsidRPr="009F4A5D">
        <w:rPr>
          <w:rStyle w:val="Emphasis"/>
          <w:color w:val="0F1115"/>
          <w:sz w:val="20"/>
          <w:szCs w:val="20"/>
        </w:rPr>
        <w:t>A. baumannii</w:t>
      </w:r>
      <w:r w:rsidRPr="009F4A5D">
        <w:rPr>
          <w:color w:val="0F1115"/>
          <w:sz w:val="20"/>
          <w:szCs w:val="20"/>
        </w:rPr>
        <w:t> predominated (60%) among clinical isolates, with carbapenem resistance detected in 13.3% of </w:t>
      </w:r>
      <w:r w:rsidRPr="009F4A5D">
        <w:rPr>
          <w:rStyle w:val="Emphasis"/>
          <w:color w:val="0F1115"/>
          <w:sz w:val="20"/>
          <w:szCs w:val="20"/>
        </w:rPr>
        <w:t>A. baumannii</w:t>
      </w:r>
      <w:r w:rsidRPr="009F4A5D">
        <w:rPr>
          <w:color w:val="0F1115"/>
          <w:sz w:val="20"/>
          <w:szCs w:val="20"/>
        </w:rPr>
        <w:t> and 6.7% of </w:t>
      </w:r>
      <w:r w:rsidRPr="009F4A5D">
        <w:rPr>
          <w:rStyle w:val="Emphasis"/>
          <w:color w:val="0F1115"/>
          <w:sz w:val="20"/>
          <w:szCs w:val="20"/>
        </w:rPr>
        <w:t>P. aeruginosa</w:t>
      </w:r>
      <w:r w:rsidRPr="009F4A5D">
        <w:rPr>
          <w:color w:val="0F1115"/>
          <w:sz w:val="20"/>
          <w:szCs w:val="20"/>
        </w:rPr>
        <w:t xml:space="preserve"> strains (Ounoussa Tapha </w:t>
      </w:r>
      <w:r w:rsidRPr="00B77CFF">
        <w:rPr>
          <w:i/>
          <w:color w:val="0F1115"/>
          <w:sz w:val="20"/>
          <w:szCs w:val="20"/>
        </w:rPr>
        <w:t>et al</w:t>
      </w:r>
      <w:r w:rsidRPr="009F4A5D">
        <w:rPr>
          <w:color w:val="0F1115"/>
          <w:sz w:val="20"/>
          <w:szCs w:val="20"/>
        </w:rPr>
        <w:t>., 2025).</w:t>
      </w:r>
    </w:p>
    <w:p w14:paraId="22FFE13B" w14:textId="77777777" w:rsidR="006C0CB7" w:rsidRPr="009F4A5D" w:rsidRDefault="006C0CB7" w:rsidP="006C0CB7">
      <w:pPr>
        <w:pStyle w:val="ds-markdown-paragraph"/>
        <w:shd w:val="clear" w:color="auto" w:fill="FFFFFF"/>
        <w:spacing w:before="0" w:beforeAutospacing="0" w:after="0" w:afterAutospacing="0"/>
        <w:jc w:val="both"/>
        <w:rPr>
          <w:color w:val="0F1115"/>
          <w:sz w:val="20"/>
          <w:szCs w:val="20"/>
        </w:rPr>
      </w:pPr>
      <w:r w:rsidRPr="009F4A5D">
        <w:rPr>
          <w:rStyle w:val="Emphasis"/>
          <w:color w:val="0F1115"/>
          <w:sz w:val="20"/>
          <w:szCs w:val="20"/>
        </w:rPr>
        <w:t>Acinetobacter baumannii</w:t>
      </w:r>
      <w:r w:rsidRPr="009F4A5D">
        <w:rPr>
          <w:color w:val="0F1115"/>
          <w:sz w:val="20"/>
          <w:szCs w:val="20"/>
        </w:rPr>
        <w:t> and </w:t>
      </w:r>
      <w:r w:rsidRPr="009F4A5D">
        <w:rPr>
          <w:rStyle w:val="Emphasis"/>
          <w:color w:val="0F1115"/>
          <w:sz w:val="20"/>
          <w:szCs w:val="20"/>
        </w:rPr>
        <w:t>Pseudomonas aeruginosa</w:t>
      </w:r>
      <w:r w:rsidRPr="009F4A5D">
        <w:rPr>
          <w:color w:val="0F1115"/>
          <w:sz w:val="20"/>
          <w:szCs w:val="20"/>
        </w:rPr>
        <w:t xml:space="preserve"> possess remarkable genetic plasticity, readily acquiring resistance determinants through horizontal gene transfer mechanisms (Godeux </w:t>
      </w:r>
      <w:r w:rsidRPr="00B77CFF">
        <w:rPr>
          <w:i/>
          <w:color w:val="0F1115"/>
          <w:sz w:val="20"/>
          <w:szCs w:val="20"/>
        </w:rPr>
        <w:t>et al</w:t>
      </w:r>
      <w:r w:rsidRPr="009F4A5D">
        <w:rPr>
          <w:color w:val="0F1115"/>
          <w:sz w:val="20"/>
          <w:szCs w:val="20"/>
        </w:rPr>
        <w:t xml:space="preserve">., 2022). The acquisition of multidrug resistance genes remains a major clinical concern (Irek </w:t>
      </w:r>
      <w:r w:rsidRPr="00B77CFF">
        <w:rPr>
          <w:i/>
          <w:color w:val="0F1115"/>
          <w:sz w:val="20"/>
          <w:szCs w:val="20"/>
        </w:rPr>
        <w:t>et al</w:t>
      </w:r>
      <w:r w:rsidRPr="009F4A5D">
        <w:rPr>
          <w:color w:val="0F1115"/>
          <w:sz w:val="20"/>
          <w:szCs w:val="20"/>
        </w:rPr>
        <w:t xml:space="preserve">., 2018; Asaduzzaman </w:t>
      </w:r>
      <w:r w:rsidRPr="00B77CFF">
        <w:rPr>
          <w:i/>
          <w:color w:val="0F1115"/>
          <w:sz w:val="20"/>
          <w:szCs w:val="20"/>
        </w:rPr>
        <w:t>et al</w:t>
      </w:r>
      <w:r w:rsidRPr="009F4A5D">
        <w:rPr>
          <w:color w:val="0F1115"/>
          <w:sz w:val="20"/>
          <w:szCs w:val="20"/>
        </w:rPr>
        <w:t xml:space="preserve">., 2022), and infections caused by these pathogens are associated with high mortality rates, prolonged hospitalization, and increased healthcare costs (Cerceo </w:t>
      </w:r>
      <w:r w:rsidRPr="00B77CFF">
        <w:rPr>
          <w:i/>
          <w:color w:val="0F1115"/>
          <w:sz w:val="20"/>
          <w:szCs w:val="20"/>
        </w:rPr>
        <w:t>et al</w:t>
      </w:r>
      <w:r w:rsidRPr="009F4A5D">
        <w:rPr>
          <w:color w:val="0F1115"/>
          <w:sz w:val="20"/>
          <w:szCs w:val="20"/>
        </w:rPr>
        <w:t>., 2016; Hwang and Yoon, 2019).</w:t>
      </w:r>
    </w:p>
    <w:p w14:paraId="4D704E5A" w14:textId="77777777" w:rsidR="006C0CB7" w:rsidRPr="009F4A5D" w:rsidRDefault="006C0CB7" w:rsidP="006C0CB7">
      <w:pPr>
        <w:pStyle w:val="ds-markdown-paragraph"/>
        <w:shd w:val="clear" w:color="auto" w:fill="FFFFFF"/>
        <w:spacing w:before="0" w:beforeAutospacing="0" w:after="0" w:afterAutospacing="0"/>
        <w:jc w:val="both"/>
        <w:rPr>
          <w:color w:val="0F1115"/>
          <w:sz w:val="20"/>
          <w:szCs w:val="20"/>
        </w:rPr>
      </w:pPr>
      <w:r w:rsidRPr="009F4A5D">
        <w:rPr>
          <w:color w:val="0F1115"/>
          <w:sz w:val="20"/>
          <w:szCs w:val="20"/>
        </w:rPr>
        <w:t>Despite the growing burden of AMR in West Africa, comprehensive molecular epidemiological data on the convergence of CTX-M, tetA, and qepA resistance determinants in uropathogenic </w:t>
      </w:r>
      <w:r w:rsidRPr="009F4A5D">
        <w:rPr>
          <w:rStyle w:val="Emphasis"/>
          <w:color w:val="0F1115"/>
          <w:sz w:val="20"/>
          <w:szCs w:val="20"/>
        </w:rPr>
        <w:t>P. aeruginosa</w:t>
      </w:r>
      <w:r w:rsidRPr="009F4A5D">
        <w:rPr>
          <w:color w:val="0F1115"/>
          <w:sz w:val="20"/>
          <w:szCs w:val="20"/>
        </w:rPr>
        <w:t> and </w:t>
      </w:r>
      <w:r w:rsidRPr="009F4A5D">
        <w:rPr>
          <w:rStyle w:val="Emphasis"/>
          <w:color w:val="0F1115"/>
          <w:sz w:val="20"/>
          <w:szCs w:val="20"/>
        </w:rPr>
        <w:t>A. baumannii</w:t>
      </w:r>
      <w:r w:rsidRPr="009F4A5D">
        <w:rPr>
          <w:color w:val="0F1115"/>
          <w:sz w:val="20"/>
          <w:szCs w:val="20"/>
        </w:rPr>
        <w:t> remain limited. Understanding the frequency and patterns of this specific three-gene convergence is essential for predicting treatment outcomes, guiding empirical therapy, and designing effective infection control interventions. This study therefore aimed to: (1) determine the prevalence of </w:t>
      </w:r>
      <w:r w:rsidRPr="009F4A5D">
        <w:rPr>
          <w:rStyle w:val="Emphasis"/>
          <w:color w:val="0F1115"/>
          <w:sz w:val="20"/>
          <w:szCs w:val="20"/>
        </w:rPr>
        <w:t>P. aeruginosa</w:t>
      </w:r>
      <w:r w:rsidRPr="009F4A5D">
        <w:rPr>
          <w:color w:val="0F1115"/>
          <w:sz w:val="20"/>
          <w:szCs w:val="20"/>
        </w:rPr>
        <w:t> and </w:t>
      </w:r>
      <w:r w:rsidRPr="009F4A5D">
        <w:rPr>
          <w:rStyle w:val="Emphasis"/>
          <w:color w:val="0F1115"/>
          <w:sz w:val="20"/>
          <w:szCs w:val="20"/>
        </w:rPr>
        <w:t>A. baumannii</w:t>
      </w:r>
      <w:r w:rsidRPr="009F4A5D">
        <w:rPr>
          <w:color w:val="0F1115"/>
          <w:sz w:val="20"/>
          <w:szCs w:val="20"/>
        </w:rPr>
        <w:t> among female UTI patients in a Nigerian tertiary hospital; (2) characterize the phenotypic antibiotic resistance profiles of ESBL-producing isolates with emphasis on cephalosporins, tetracyclines, and fluoroquinolones; (3) detect the presence and co-carriage of </w:t>
      </w:r>
      <w:r w:rsidRPr="009F4A5D">
        <w:rPr>
          <w:rStyle w:val="Emphasis"/>
          <w:color w:val="0F1115"/>
          <w:sz w:val="20"/>
          <w:szCs w:val="20"/>
        </w:rPr>
        <w:t>bla</w:t>
      </w:r>
      <w:r w:rsidRPr="009F4A5D">
        <w:rPr>
          <w:color w:val="0F1115"/>
          <w:sz w:val="20"/>
          <w:szCs w:val="20"/>
        </w:rPr>
        <w:t>CTX-M, </w:t>
      </w:r>
      <w:r w:rsidRPr="009F4A5D">
        <w:rPr>
          <w:rStyle w:val="Emphasis"/>
          <w:color w:val="0F1115"/>
          <w:sz w:val="20"/>
          <w:szCs w:val="20"/>
        </w:rPr>
        <w:t>tetA</w:t>
      </w:r>
      <w:r w:rsidRPr="009F4A5D">
        <w:rPr>
          <w:color w:val="0F1115"/>
          <w:sz w:val="20"/>
          <w:szCs w:val="20"/>
        </w:rPr>
        <w:t>, and </w:t>
      </w:r>
      <w:r w:rsidRPr="009F4A5D">
        <w:rPr>
          <w:rStyle w:val="Emphasis"/>
          <w:color w:val="0F1115"/>
          <w:sz w:val="20"/>
          <w:szCs w:val="20"/>
        </w:rPr>
        <w:t>qepA</w:t>
      </w:r>
      <w:r w:rsidRPr="009F4A5D">
        <w:rPr>
          <w:color w:val="0F1115"/>
          <w:sz w:val="20"/>
          <w:szCs w:val="20"/>
        </w:rPr>
        <w:t> genes using PCR; and (4) evaluate the statistical association between carriage of these three genes and phenotypic antibiotic resistance patterns.</w:t>
      </w:r>
    </w:p>
    <w:p w14:paraId="687ABC31" w14:textId="77777777" w:rsidR="006C0CB7" w:rsidRPr="009F4A5D" w:rsidRDefault="006C0CB7" w:rsidP="006C0CB7">
      <w:pPr>
        <w:spacing w:after="0"/>
        <w:jc w:val="both"/>
        <w:rPr>
          <w:rFonts w:ascii="Times New Roman" w:hAnsi="Times New Roman" w:cs="Times New Roman"/>
          <w:sz w:val="20"/>
          <w:szCs w:val="20"/>
        </w:rPr>
      </w:pPr>
    </w:p>
    <w:p w14:paraId="47929A6A" w14:textId="77777777" w:rsidR="006C0CB7" w:rsidRPr="00B01E80" w:rsidRDefault="006C0CB7" w:rsidP="006C0CB7">
      <w:pPr>
        <w:pStyle w:val="Heading2"/>
        <w:shd w:val="clear" w:color="auto" w:fill="FFFFFF"/>
        <w:spacing w:before="0" w:beforeAutospacing="0" w:after="0" w:afterAutospacing="0"/>
        <w:jc w:val="both"/>
        <w:rPr>
          <w:color w:val="0F1115"/>
          <w:sz w:val="20"/>
          <w:szCs w:val="20"/>
        </w:rPr>
      </w:pPr>
      <w:r w:rsidRPr="00B01E80">
        <w:rPr>
          <w:color w:val="0F1115"/>
          <w:sz w:val="20"/>
          <w:szCs w:val="20"/>
        </w:rPr>
        <w:t>2. Materials and Methods</w:t>
      </w:r>
    </w:p>
    <w:p w14:paraId="5E3A9C96" w14:textId="77777777" w:rsidR="006C0CB7" w:rsidRPr="00B01E80" w:rsidRDefault="006C0CB7" w:rsidP="006C0CB7">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lastRenderedPageBreak/>
        <w:t>2.1 Study Design and Setting</w:t>
      </w:r>
    </w:p>
    <w:p w14:paraId="09961CA8"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This prospective cross-sectional study was conducted between February and October 2025 at the Enugu State University Teaching Hospital (ESUTH) Parklane, Enugu, Nigeria. Enugu, located </w:t>
      </w:r>
      <w:r>
        <w:rPr>
          <w:color w:val="0F1115"/>
          <w:sz w:val="20"/>
          <w:szCs w:val="20"/>
        </w:rPr>
        <w:t>at co-ordinate 6</w:t>
      </w:r>
      <w:r w:rsidRPr="00F721CE">
        <w:rPr>
          <w:color w:val="0F1115"/>
          <w:sz w:val="20"/>
          <w:szCs w:val="20"/>
          <w:vertAlign w:val="superscript"/>
        </w:rPr>
        <w:t>o</w:t>
      </w:r>
      <w:r>
        <w:rPr>
          <w:color w:val="0F1115"/>
          <w:sz w:val="20"/>
          <w:szCs w:val="20"/>
        </w:rPr>
        <w:t>27’10</w:t>
      </w:r>
      <w:r w:rsidRPr="00F721CE">
        <w:rPr>
          <w:color w:val="0F1115"/>
          <w:sz w:val="20"/>
          <w:szCs w:val="20"/>
          <w:vertAlign w:val="superscript"/>
        </w:rPr>
        <w:t>o</w:t>
      </w:r>
      <w:r>
        <w:rPr>
          <w:color w:val="0F1115"/>
          <w:sz w:val="20"/>
          <w:szCs w:val="20"/>
        </w:rPr>
        <w:t>N and 7</w:t>
      </w:r>
      <w:r w:rsidRPr="00FD6104">
        <w:rPr>
          <w:color w:val="0F1115"/>
          <w:sz w:val="20"/>
          <w:szCs w:val="20"/>
          <w:vertAlign w:val="superscript"/>
        </w:rPr>
        <w:t>o</w:t>
      </w:r>
      <w:r>
        <w:rPr>
          <w:color w:val="0F1115"/>
          <w:sz w:val="20"/>
          <w:szCs w:val="20"/>
        </w:rPr>
        <w:t xml:space="preserve">30’40’E </w:t>
      </w:r>
      <w:r w:rsidRPr="00B01E80">
        <w:rPr>
          <w:color w:val="0F1115"/>
          <w:sz w:val="20"/>
          <w:szCs w:val="20"/>
        </w:rPr>
        <w:t>in southeastern Nigeria, serves as a major referral center for patients from Enugu State and surrounding regions</w:t>
      </w:r>
      <w:r>
        <w:rPr>
          <w:color w:val="0F1115"/>
          <w:sz w:val="20"/>
          <w:szCs w:val="20"/>
        </w:rPr>
        <w:t xml:space="preserve"> (Ebenyi </w:t>
      </w:r>
      <w:r w:rsidRPr="00B77CFF">
        <w:rPr>
          <w:i/>
          <w:color w:val="0F1115"/>
          <w:sz w:val="20"/>
          <w:szCs w:val="20"/>
        </w:rPr>
        <w:t>et al</w:t>
      </w:r>
      <w:r>
        <w:rPr>
          <w:i/>
          <w:color w:val="0F1115"/>
          <w:sz w:val="20"/>
          <w:szCs w:val="20"/>
        </w:rPr>
        <w:t>.,</w:t>
      </w:r>
      <w:r>
        <w:rPr>
          <w:color w:val="0F1115"/>
          <w:sz w:val="20"/>
          <w:szCs w:val="20"/>
        </w:rPr>
        <w:t xml:space="preserve"> 2026a; Ebenyi </w:t>
      </w:r>
      <w:r w:rsidRPr="00B77CFF">
        <w:rPr>
          <w:i/>
          <w:color w:val="0F1115"/>
          <w:sz w:val="20"/>
          <w:szCs w:val="20"/>
        </w:rPr>
        <w:t>et al</w:t>
      </w:r>
      <w:r>
        <w:rPr>
          <w:i/>
          <w:color w:val="0F1115"/>
          <w:sz w:val="20"/>
          <w:szCs w:val="20"/>
        </w:rPr>
        <w:t>.,</w:t>
      </w:r>
      <w:r>
        <w:rPr>
          <w:color w:val="0F1115"/>
          <w:sz w:val="20"/>
          <w:szCs w:val="20"/>
        </w:rPr>
        <w:t xml:space="preserve"> 2026b)</w:t>
      </w:r>
      <w:r w:rsidRPr="00B01E80">
        <w:rPr>
          <w:color w:val="0F1115"/>
          <w:sz w:val="20"/>
          <w:szCs w:val="20"/>
        </w:rPr>
        <w:t xml:space="preserve">. Ethical approval was obtained from the ESUTH Health Research </w:t>
      </w:r>
      <w:r w:rsidRPr="007F14AE">
        <w:rPr>
          <w:color w:val="00B050"/>
          <w:sz w:val="20"/>
          <w:szCs w:val="20"/>
        </w:rPr>
        <w:t>Ethics Committee (ESUTH/HREC/2025/078) with prior to study commencement</w:t>
      </w:r>
      <w:r w:rsidRPr="00B01E80">
        <w:rPr>
          <w:color w:val="0F1115"/>
          <w:sz w:val="20"/>
          <w:szCs w:val="20"/>
        </w:rPr>
        <w:t>.</w:t>
      </w:r>
    </w:p>
    <w:p w14:paraId="5ED61DAA" w14:textId="77777777" w:rsidR="006C0CB7" w:rsidRPr="00B01E80" w:rsidRDefault="006C0CB7" w:rsidP="006C0CB7">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2.2 Sample Size Determination and Collection</w:t>
      </w:r>
    </w:p>
    <w:p w14:paraId="573CEB48"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The sample size was calculated using the Cochran formula: n = Z²P(1-P)/d², where Z = 1.96 (95% confidence interval), P = estimated prevalence of 0.20 based on previous Nigerian studies (Ejikeugwu </w:t>
      </w:r>
      <w:r w:rsidRPr="00B77CFF">
        <w:rPr>
          <w:i/>
          <w:color w:val="0F1115"/>
          <w:sz w:val="20"/>
          <w:szCs w:val="20"/>
        </w:rPr>
        <w:t>et al</w:t>
      </w:r>
      <w:r w:rsidRPr="00B01E80">
        <w:rPr>
          <w:color w:val="0F1115"/>
          <w:sz w:val="20"/>
          <w:szCs w:val="20"/>
        </w:rPr>
        <w:t xml:space="preserve">., 2012; Giwa </w:t>
      </w:r>
      <w:r w:rsidRPr="00B77CFF">
        <w:rPr>
          <w:i/>
          <w:color w:val="0F1115"/>
          <w:sz w:val="20"/>
          <w:szCs w:val="20"/>
        </w:rPr>
        <w:t>et al</w:t>
      </w:r>
      <w:r w:rsidRPr="00B01E80">
        <w:rPr>
          <w:color w:val="0F1115"/>
          <w:sz w:val="20"/>
          <w:szCs w:val="20"/>
        </w:rPr>
        <w:t>., 2018), and d = 0.05 precision. The minimum required sample size was determined to be 246, and was adjusted to 250 mid-stream urine samples.</w:t>
      </w:r>
    </w:p>
    <w:p w14:paraId="571B11E8"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Mid-stream urine samples were collected from adult female patients (aged ≥18 years) presenting with clinical signs and symptoms of UTI (dysuria, urinary frequency, urgency, and/or suprapubic discomfort). Patients who had received antibiotic therapy within the preceding 72 hours were excluded. </w:t>
      </w:r>
    </w:p>
    <w:p w14:paraId="448AC893" w14:textId="77777777" w:rsidR="006C0CB7" w:rsidRPr="00B01E80" w:rsidRDefault="006C0CB7" w:rsidP="006C0CB7">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2.3 Bacterial Isolation and Identification</w:t>
      </w:r>
    </w:p>
    <w:p w14:paraId="1B3D7A55"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A loopful (10 μL) of each well-mixed urine sample was inoculated onto MacConkey agar and Cetrimide agar (Oxoid, Basingstoke, UK). Plates were incubated aerobically at 37°C for 18-24 hours. Significant bacteriuria was defined as colony counts ≥10</w:t>
      </w:r>
      <w:r w:rsidRPr="00B01E80">
        <w:rPr>
          <w:rFonts w:ascii="Cambria Math" w:hAnsi="Cambria Math" w:cs="Cambria Math"/>
          <w:color w:val="0F1115"/>
          <w:sz w:val="20"/>
          <w:szCs w:val="20"/>
        </w:rPr>
        <w:t>⁵</w:t>
      </w:r>
      <w:r w:rsidRPr="00B01E80">
        <w:rPr>
          <w:color w:val="0F1115"/>
          <w:sz w:val="20"/>
          <w:szCs w:val="20"/>
        </w:rPr>
        <w:t xml:space="preserve"> CFU/mL. Suspected colonies of </w:t>
      </w:r>
      <w:r w:rsidRPr="00B01E80">
        <w:rPr>
          <w:rStyle w:val="Emphasis"/>
          <w:color w:val="0F1115"/>
          <w:sz w:val="20"/>
          <w:szCs w:val="20"/>
        </w:rPr>
        <w:t>P. aeruginosa</w:t>
      </w:r>
      <w:r w:rsidRPr="00B01E80">
        <w:rPr>
          <w:color w:val="0F1115"/>
          <w:sz w:val="20"/>
          <w:szCs w:val="20"/>
        </w:rPr>
        <w:t> (greenish pigmentation, oxidase-positive) and </w:t>
      </w:r>
      <w:r w:rsidRPr="00B01E80">
        <w:rPr>
          <w:rStyle w:val="Emphasis"/>
          <w:color w:val="0F1115"/>
          <w:sz w:val="20"/>
          <w:szCs w:val="20"/>
        </w:rPr>
        <w:t>A. baumannii</w:t>
      </w:r>
      <w:r w:rsidRPr="00B01E80">
        <w:rPr>
          <w:color w:val="0F1115"/>
          <w:sz w:val="20"/>
          <w:szCs w:val="20"/>
        </w:rPr>
        <w:t> (pale, mucoid, non-lactose fermenting) were subcultured onto nutrient agar for purity.</w:t>
      </w:r>
      <w:r>
        <w:rPr>
          <w:color w:val="0F1115"/>
          <w:sz w:val="20"/>
          <w:szCs w:val="20"/>
        </w:rPr>
        <w:t xml:space="preserve"> </w:t>
      </w:r>
      <w:r w:rsidRPr="00B01E80">
        <w:rPr>
          <w:color w:val="0F1115"/>
          <w:sz w:val="20"/>
          <w:szCs w:val="20"/>
        </w:rPr>
        <w:t xml:space="preserve">Identification was confirmed using standard biochemical tests as described by Cheesbrough (2006) and Iroha </w:t>
      </w:r>
      <w:r w:rsidRPr="00B77CFF">
        <w:rPr>
          <w:i/>
          <w:color w:val="0F1115"/>
          <w:sz w:val="20"/>
          <w:szCs w:val="20"/>
        </w:rPr>
        <w:t>et al</w:t>
      </w:r>
      <w:r w:rsidRPr="00B01E80">
        <w:rPr>
          <w:color w:val="0F1115"/>
          <w:sz w:val="20"/>
          <w:szCs w:val="20"/>
        </w:rPr>
        <w:t>. (2019): Gram staining, oxidase test, citrate utilization, triple sugar iron (TSI) agar, motility test, and carbohydrate fermentation profiles. </w:t>
      </w:r>
      <w:r w:rsidRPr="00B01E80">
        <w:rPr>
          <w:rStyle w:val="Emphasis"/>
          <w:color w:val="0F1115"/>
          <w:sz w:val="20"/>
          <w:szCs w:val="20"/>
        </w:rPr>
        <w:t>P. aeruginosa</w:t>
      </w:r>
      <w:r w:rsidRPr="00B01E80">
        <w:rPr>
          <w:color w:val="0F1115"/>
          <w:sz w:val="20"/>
          <w:szCs w:val="20"/>
        </w:rPr>
        <w:t> was identified as Gram-negative rods, oxidase-positive, motile, citrate-positive, with characteristic green pigment production on Cetrimide agar. </w:t>
      </w:r>
      <w:r w:rsidRPr="00B01E80">
        <w:rPr>
          <w:rStyle w:val="Emphasis"/>
          <w:color w:val="0F1115"/>
          <w:sz w:val="20"/>
          <w:szCs w:val="20"/>
        </w:rPr>
        <w:t>A. baumannii</w:t>
      </w:r>
      <w:r w:rsidRPr="00B01E80">
        <w:rPr>
          <w:color w:val="0F1115"/>
          <w:sz w:val="20"/>
          <w:szCs w:val="20"/>
        </w:rPr>
        <w:t> was identified as Gram-negative coccobacilli, oxidase-negative, non-motile, citrate-positive, and non-fermentative on TSI</w:t>
      </w:r>
      <w:r>
        <w:rPr>
          <w:color w:val="0F1115"/>
          <w:sz w:val="20"/>
          <w:szCs w:val="20"/>
        </w:rPr>
        <w:t xml:space="preserve"> (Iroha </w:t>
      </w:r>
      <w:r w:rsidRPr="00B77CFF">
        <w:rPr>
          <w:i/>
          <w:color w:val="0F1115"/>
          <w:sz w:val="20"/>
          <w:szCs w:val="20"/>
        </w:rPr>
        <w:t>et al</w:t>
      </w:r>
      <w:r>
        <w:rPr>
          <w:i/>
          <w:color w:val="0F1115"/>
          <w:sz w:val="20"/>
          <w:szCs w:val="20"/>
        </w:rPr>
        <w:t>.,</w:t>
      </w:r>
      <w:r>
        <w:rPr>
          <w:color w:val="0F1115"/>
          <w:sz w:val="20"/>
          <w:szCs w:val="20"/>
        </w:rPr>
        <w:t xml:space="preserve"> 2019)</w:t>
      </w:r>
      <w:r w:rsidRPr="00B01E80">
        <w:rPr>
          <w:color w:val="0F1115"/>
          <w:sz w:val="20"/>
          <w:szCs w:val="20"/>
        </w:rPr>
        <w:t>.</w:t>
      </w:r>
    </w:p>
    <w:p w14:paraId="208ADAEF" w14:textId="77777777" w:rsidR="006C0CB7" w:rsidRPr="00B01E80" w:rsidRDefault="006C0CB7" w:rsidP="006C0CB7">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2.4 Phenotypic Detection of Extended-Spectrum β-Lactamase Production</w:t>
      </w:r>
    </w:p>
    <w:p w14:paraId="09FDC451"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ESBL production was phenotypically screened using the Double Disc Synergy Test (DDST) according to Clinical and Laboratory Standards Institute (CLSI) 2024 guidelines (CLSI, 2024). Briefly, bacterial suspensions adjusted to 0.5 McFarland standard were inoculated onto Mueller-Hinton agar plates. Ceftazidime (30 μg) and ceftazidime-clavulanic acid (30/10 μg) discs were placed 20 mm apart (center-to-center). An increase of ≥5 mm in the zone diameter for ceftazidime-clavulanic acid compared to ceftazidime alone was interpreted as ESBL-positive (Iroha </w:t>
      </w:r>
      <w:r w:rsidRPr="00B77CFF">
        <w:rPr>
          <w:i/>
          <w:color w:val="0F1115"/>
          <w:sz w:val="20"/>
          <w:szCs w:val="20"/>
        </w:rPr>
        <w:t>et al</w:t>
      </w:r>
      <w:r w:rsidRPr="00B01E80">
        <w:rPr>
          <w:color w:val="0F1115"/>
          <w:sz w:val="20"/>
          <w:szCs w:val="20"/>
        </w:rPr>
        <w:t xml:space="preserve">., 2017; Husna </w:t>
      </w:r>
      <w:r w:rsidRPr="00B77CFF">
        <w:rPr>
          <w:i/>
          <w:color w:val="0F1115"/>
          <w:sz w:val="20"/>
          <w:szCs w:val="20"/>
        </w:rPr>
        <w:t>et al</w:t>
      </w:r>
      <w:r w:rsidRPr="00B01E80">
        <w:rPr>
          <w:color w:val="0F1115"/>
          <w:sz w:val="20"/>
          <w:szCs w:val="20"/>
        </w:rPr>
        <w:t>., 2023). </w:t>
      </w:r>
      <w:r w:rsidRPr="00B01E80">
        <w:rPr>
          <w:rStyle w:val="Emphasis"/>
          <w:color w:val="0F1115"/>
          <w:sz w:val="20"/>
          <w:szCs w:val="20"/>
        </w:rPr>
        <w:t>Escherichia coli</w:t>
      </w:r>
      <w:r w:rsidRPr="00B01E80">
        <w:rPr>
          <w:color w:val="0F1115"/>
          <w:sz w:val="20"/>
          <w:szCs w:val="20"/>
        </w:rPr>
        <w:t> ATCC 25922 and </w:t>
      </w:r>
      <w:r w:rsidRPr="00B01E80">
        <w:rPr>
          <w:rStyle w:val="Emphasis"/>
          <w:color w:val="0F1115"/>
          <w:sz w:val="20"/>
          <w:szCs w:val="20"/>
        </w:rPr>
        <w:t>Klebsiella pneumoniae</w:t>
      </w:r>
      <w:r w:rsidRPr="00B01E80">
        <w:rPr>
          <w:color w:val="0F1115"/>
          <w:sz w:val="20"/>
          <w:szCs w:val="20"/>
        </w:rPr>
        <w:t> ATCC 700603 were used as negative and positive controls, respectively.</w:t>
      </w:r>
    </w:p>
    <w:p w14:paraId="67610175"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rStyle w:val="Strong"/>
          <w:color w:val="0F1115"/>
          <w:sz w:val="20"/>
          <w:szCs w:val="20"/>
        </w:rPr>
        <w:t>2.5 Antibiotic Susceptibility Testing</w:t>
      </w:r>
    </w:p>
    <w:p w14:paraId="0F81E1E3"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Antibiotic susceptibility testing was performed using the Kirby-Bauer disc diffusion method on Mueller-Hinton agar, in accordance with CLSI 2024 guidelines (CLSI, 2024</w:t>
      </w:r>
      <w:r>
        <w:rPr>
          <w:color w:val="0F1115"/>
          <w:sz w:val="20"/>
          <w:szCs w:val="20"/>
        </w:rPr>
        <w:t xml:space="preserve">; Peter </w:t>
      </w:r>
      <w:r w:rsidRPr="00B77CFF">
        <w:rPr>
          <w:i/>
          <w:color w:val="0F1115"/>
          <w:sz w:val="20"/>
          <w:szCs w:val="20"/>
        </w:rPr>
        <w:t>et al</w:t>
      </w:r>
      <w:r>
        <w:rPr>
          <w:i/>
          <w:color w:val="0F1115"/>
          <w:sz w:val="20"/>
          <w:szCs w:val="20"/>
        </w:rPr>
        <w:t>.,</w:t>
      </w:r>
      <w:r>
        <w:rPr>
          <w:color w:val="0F1115"/>
          <w:sz w:val="20"/>
          <w:szCs w:val="20"/>
        </w:rPr>
        <w:t xml:space="preserve"> 2025</w:t>
      </w:r>
      <w:r w:rsidRPr="00B01E80">
        <w:rPr>
          <w:color w:val="0F1115"/>
          <w:sz w:val="20"/>
          <w:szCs w:val="20"/>
        </w:rPr>
        <w:t xml:space="preserve">). The antibiotic discs tested (Oxoid, UK), with emphasis on cephalosporins, fluoroquinolones, and tetracyclines, included the following: third-generation cephalosporins consisting of cefotaxime (30 μg) and ceftazidime (30 μg); the fourth-generation cephalosporin cefepime (30 μg); the carbapenems imipenem (10 μg) and meropenem (10 μg); the fluoroquinolones ciprofloxacin (5 μg) and levofloxacin (5 μg); the aminoglycoside gentamicin (10 μg); the tetracycline class agent tetracycline (30 μg); and the quinolone nalidixic acid (30 μg). Inoculated plates were incubated at 37°C for 16-18 hours, after which zone diameters were measured and interpreted as susceptible, </w:t>
      </w:r>
      <w:r>
        <w:rPr>
          <w:color w:val="0F1115"/>
          <w:sz w:val="20"/>
          <w:szCs w:val="20"/>
        </w:rPr>
        <w:t>and</w:t>
      </w:r>
      <w:r w:rsidRPr="00B01E80">
        <w:rPr>
          <w:color w:val="0F1115"/>
          <w:sz w:val="20"/>
          <w:szCs w:val="20"/>
        </w:rPr>
        <w:t xml:space="preserve"> resistant according to CLSI 2024 breakpoints</w:t>
      </w:r>
      <w:r>
        <w:rPr>
          <w:color w:val="0F1115"/>
          <w:sz w:val="20"/>
          <w:szCs w:val="20"/>
        </w:rPr>
        <w:t xml:space="preserve"> (Nwode </w:t>
      </w:r>
      <w:r w:rsidRPr="00B77CFF">
        <w:rPr>
          <w:i/>
          <w:color w:val="0F1115"/>
          <w:sz w:val="20"/>
          <w:szCs w:val="20"/>
        </w:rPr>
        <w:t>et al</w:t>
      </w:r>
      <w:r>
        <w:rPr>
          <w:i/>
          <w:color w:val="0F1115"/>
          <w:sz w:val="20"/>
          <w:szCs w:val="20"/>
        </w:rPr>
        <w:t>.,</w:t>
      </w:r>
      <w:r>
        <w:rPr>
          <w:color w:val="0F1115"/>
          <w:sz w:val="20"/>
          <w:szCs w:val="20"/>
        </w:rPr>
        <w:t xml:space="preserve"> 2026)</w:t>
      </w:r>
      <w:r w:rsidRPr="00B01E80">
        <w:rPr>
          <w:color w:val="0F1115"/>
          <w:sz w:val="20"/>
          <w:szCs w:val="20"/>
        </w:rPr>
        <w:t>.</w:t>
      </w:r>
    </w:p>
    <w:p w14:paraId="04C38906" w14:textId="77777777" w:rsidR="006C0CB7" w:rsidRPr="000C3535" w:rsidRDefault="006C0CB7" w:rsidP="006C0CB7">
      <w:pPr>
        <w:pStyle w:val="Heading3"/>
        <w:shd w:val="clear" w:color="auto" w:fill="FFFFFF"/>
        <w:spacing w:before="0" w:line="240" w:lineRule="auto"/>
        <w:jc w:val="both"/>
        <w:rPr>
          <w:rFonts w:ascii="Times New Roman" w:hAnsi="Times New Roman" w:cs="Times New Roman"/>
          <w:b/>
          <w:color w:val="0F1115"/>
          <w:sz w:val="20"/>
          <w:szCs w:val="20"/>
        </w:rPr>
      </w:pPr>
      <w:r w:rsidRPr="000C3535">
        <w:rPr>
          <w:rFonts w:ascii="Times New Roman" w:hAnsi="Times New Roman" w:cs="Times New Roman"/>
          <w:b/>
          <w:color w:val="0F1115"/>
          <w:sz w:val="20"/>
          <w:szCs w:val="20"/>
        </w:rPr>
        <w:t>2.6 Multiple Antibiotic Resistance (MAR) Index</w:t>
      </w:r>
    </w:p>
    <w:p w14:paraId="5C6C7090"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The MAR index was calculated for each isolate using the formula: MAR Index = a/b, where 'a' represents the number of antibiotics to which the isolate was resistant, and 'b' represents the total number of antibiotics tested. MAR index values &gt;0.2 were considered indicative of high-risk contamination from environments with frequent antibiotic use (Joseph </w:t>
      </w:r>
      <w:r w:rsidRPr="00B77CFF">
        <w:rPr>
          <w:i/>
          <w:color w:val="0F1115"/>
          <w:sz w:val="20"/>
          <w:szCs w:val="20"/>
        </w:rPr>
        <w:t>et al</w:t>
      </w:r>
      <w:r w:rsidRPr="00B01E80">
        <w:rPr>
          <w:color w:val="0F1115"/>
          <w:sz w:val="20"/>
          <w:szCs w:val="20"/>
        </w:rPr>
        <w:t xml:space="preserve">., 2023; John-Onwe </w:t>
      </w:r>
      <w:r w:rsidRPr="00B77CFF">
        <w:rPr>
          <w:i/>
          <w:color w:val="0F1115"/>
          <w:sz w:val="20"/>
          <w:szCs w:val="20"/>
        </w:rPr>
        <w:t>et al</w:t>
      </w:r>
      <w:r w:rsidRPr="00B01E80">
        <w:rPr>
          <w:color w:val="0F1115"/>
          <w:sz w:val="20"/>
          <w:szCs w:val="20"/>
        </w:rPr>
        <w:t>., 2023</w:t>
      </w:r>
      <w:r>
        <w:rPr>
          <w:color w:val="0F1115"/>
          <w:sz w:val="20"/>
          <w:szCs w:val="20"/>
        </w:rPr>
        <w:t xml:space="preserve">; Agwu </w:t>
      </w:r>
      <w:r w:rsidRPr="00B77CFF">
        <w:rPr>
          <w:i/>
          <w:color w:val="0F1115"/>
          <w:sz w:val="20"/>
          <w:szCs w:val="20"/>
        </w:rPr>
        <w:t>et al</w:t>
      </w:r>
      <w:r>
        <w:rPr>
          <w:i/>
          <w:color w:val="0F1115"/>
          <w:sz w:val="20"/>
          <w:szCs w:val="20"/>
        </w:rPr>
        <w:t>.,</w:t>
      </w:r>
      <w:r>
        <w:rPr>
          <w:color w:val="0F1115"/>
          <w:sz w:val="20"/>
          <w:szCs w:val="20"/>
        </w:rPr>
        <w:t xml:space="preserve"> 2026</w:t>
      </w:r>
      <w:r w:rsidRPr="00B01E80">
        <w:rPr>
          <w:color w:val="0F1115"/>
          <w:sz w:val="20"/>
          <w:szCs w:val="20"/>
        </w:rPr>
        <w:t>).</w:t>
      </w:r>
    </w:p>
    <w:p w14:paraId="472725CB" w14:textId="77777777" w:rsidR="006C0CB7" w:rsidRPr="00B01E80" w:rsidRDefault="006C0CB7" w:rsidP="006C0CB7">
      <w:pPr>
        <w:pStyle w:val="Heading3"/>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2.7 Molecular Detection of Resistance Genes</w:t>
      </w:r>
    </w:p>
    <w:p w14:paraId="43E1C2A6" w14:textId="77777777" w:rsidR="006C0CB7" w:rsidRPr="00B01E80" w:rsidRDefault="006C0CB7" w:rsidP="006C0CB7">
      <w:pPr>
        <w:pStyle w:val="Heading4"/>
        <w:shd w:val="clear" w:color="auto" w:fill="FFFFFF"/>
        <w:spacing w:before="0" w:line="240" w:lineRule="auto"/>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2.7.1 Genomic DNA Extraction</w:t>
      </w:r>
    </w:p>
    <w:p w14:paraId="46F53558"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A subset of 20 phenotypically confirmed ESBL-producing isolates (10 </w:t>
      </w:r>
      <w:r w:rsidRPr="00B01E80">
        <w:rPr>
          <w:rStyle w:val="Emphasis"/>
          <w:color w:val="0F1115"/>
          <w:sz w:val="20"/>
          <w:szCs w:val="20"/>
        </w:rPr>
        <w:t>P. aeruginosa</w:t>
      </w:r>
      <w:r w:rsidRPr="00B01E80">
        <w:rPr>
          <w:color w:val="0F1115"/>
          <w:sz w:val="20"/>
          <w:szCs w:val="20"/>
        </w:rPr>
        <w:t> and 10 </w:t>
      </w:r>
      <w:r w:rsidRPr="00B01E80">
        <w:rPr>
          <w:rStyle w:val="Emphasis"/>
          <w:color w:val="0F1115"/>
          <w:sz w:val="20"/>
          <w:szCs w:val="20"/>
        </w:rPr>
        <w:t>A. baumannii</w:t>
      </w:r>
      <w:r w:rsidRPr="00B01E80">
        <w:rPr>
          <w:color w:val="0F1115"/>
          <w:sz w:val="20"/>
          <w:szCs w:val="20"/>
        </w:rPr>
        <w:t xml:space="preserve">) representing diverse resistance profiles was selected for molecular analysis. Genomic DNA was extracted from overnight nutrient broth cultures using the ZR Fungal/Bacterial DNA MiniPrep™ Kit (Zymo Research, USA) according to the manufacturer's protocol (El-far and Abukhatwah, 2023; Nwojiji </w:t>
      </w:r>
      <w:r w:rsidRPr="00B77CFF">
        <w:rPr>
          <w:i/>
          <w:color w:val="0F1115"/>
          <w:sz w:val="20"/>
          <w:szCs w:val="20"/>
        </w:rPr>
        <w:t>et al</w:t>
      </w:r>
      <w:r w:rsidRPr="00B01E80">
        <w:rPr>
          <w:color w:val="0F1115"/>
          <w:sz w:val="20"/>
          <w:szCs w:val="20"/>
        </w:rPr>
        <w:t>., 2025). Extracted DNA was quantified using a NanoDrop spectrophotometer and stored at -20°C until PCR analysis.</w:t>
      </w:r>
    </w:p>
    <w:p w14:paraId="480C3F0B" w14:textId="77777777" w:rsidR="006C0CB7" w:rsidRPr="00B77CFF" w:rsidRDefault="006C0CB7" w:rsidP="006C0CB7">
      <w:pPr>
        <w:pStyle w:val="Heading4"/>
        <w:shd w:val="clear" w:color="auto" w:fill="FFFFFF"/>
        <w:spacing w:before="0" w:line="240" w:lineRule="auto"/>
        <w:jc w:val="both"/>
        <w:rPr>
          <w:rFonts w:ascii="Times New Roman" w:hAnsi="Times New Roman" w:cs="Times New Roman"/>
          <w:b/>
          <w:color w:val="0F1115"/>
          <w:sz w:val="20"/>
          <w:szCs w:val="20"/>
        </w:rPr>
      </w:pPr>
      <w:r w:rsidRPr="00B77CFF">
        <w:rPr>
          <w:rFonts w:ascii="Times New Roman" w:hAnsi="Times New Roman" w:cs="Times New Roman"/>
          <w:b/>
          <w:color w:val="0F1115"/>
          <w:sz w:val="20"/>
          <w:szCs w:val="20"/>
        </w:rPr>
        <w:lastRenderedPageBreak/>
        <w:t>2.7.2 Polymerase Chain Reaction (PCR) Amplification</w:t>
      </w:r>
    </w:p>
    <w:p w14:paraId="18DB6D2E"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PCR amplification was performed using specific primers targeting </w:t>
      </w:r>
      <w:r w:rsidRPr="00B01E80">
        <w:rPr>
          <w:rStyle w:val="Emphasis"/>
          <w:color w:val="0F1115"/>
          <w:sz w:val="20"/>
          <w:szCs w:val="20"/>
        </w:rPr>
        <w:t>bla</w:t>
      </w:r>
      <w:r w:rsidRPr="00B01E80">
        <w:rPr>
          <w:color w:val="0F1115"/>
          <w:sz w:val="20"/>
          <w:szCs w:val="20"/>
        </w:rPr>
        <w:t>CTX-M, </w:t>
      </w:r>
      <w:r w:rsidRPr="00B01E80">
        <w:rPr>
          <w:rStyle w:val="Emphasis"/>
          <w:color w:val="0F1115"/>
          <w:sz w:val="20"/>
          <w:szCs w:val="20"/>
        </w:rPr>
        <w:t>tetA</w:t>
      </w:r>
      <w:r w:rsidRPr="00B01E80">
        <w:rPr>
          <w:color w:val="0F1115"/>
          <w:sz w:val="20"/>
          <w:szCs w:val="20"/>
        </w:rPr>
        <w:t>, and </w:t>
      </w:r>
      <w:r w:rsidRPr="00B01E80">
        <w:rPr>
          <w:rStyle w:val="Emphasis"/>
          <w:color w:val="0F1115"/>
          <w:sz w:val="20"/>
          <w:szCs w:val="20"/>
        </w:rPr>
        <w:t>qepA</w:t>
      </w:r>
      <w:r w:rsidRPr="00B01E80">
        <w:rPr>
          <w:color w:val="0F1115"/>
          <w:sz w:val="20"/>
          <w:szCs w:val="20"/>
        </w:rPr>
        <w:t> genes. Primer sequences and amplicon sizes are presented in </w:t>
      </w:r>
      <w:r w:rsidRPr="00B01E80">
        <w:rPr>
          <w:rStyle w:val="Strong"/>
          <w:rFonts w:eastAsiaTheme="majorEastAsia"/>
          <w:color w:val="0F1115"/>
          <w:sz w:val="20"/>
          <w:szCs w:val="20"/>
        </w:rPr>
        <w:t>Table 1</w:t>
      </w:r>
      <w:r w:rsidRPr="00B01E80">
        <w:rPr>
          <w:color w:val="0F1115"/>
          <w:sz w:val="20"/>
          <w:szCs w:val="20"/>
        </w:rPr>
        <w:t>.</w:t>
      </w:r>
    </w:p>
    <w:p w14:paraId="34F82B91" w14:textId="77777777" w:rsidR="006C0CB7" w:rsidRPr="00B01E80" w:rsidRDefault="006C0CB7" w:rsidP="006C0CB7">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Table 1: Primer Sequences and Amplicon Sizes for Resistance Gene Detection</w:t>
      </w:r>
    </w:p>
    <w:tbl>
      <w:tblPr>
        <w:tblW w:w="999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30"/>
        <w:gridCol w:w="4153"/>
        <w:gridCol w:w="2143"/>
        <w:gridCol w:w="2364"/>
      </w:tblGrid>
      <w:tr w:rsidR="006C0CB7" w:rsidRPr="00B01E80" w14:paraId="13EE0455" w14:textId="77777777" w:rsidTr="00446324">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2FAC39CF" w14:textId="77777777" w:rsidR="006C0CB7" w:rsidRPr="00B01E80" w:rsidRDefault="006C0CB7" w:rsidP="00446324">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Target Gene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D3295C2" w14:textId="77777777" w:rsidR="006C0CB7" w:rsidRPr="00B01E80" w:rsidRDefault="006C0CB7" w:rsidP="00446324">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Primer Sequence (5'→3')</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8A83255" w14:textId="77777777" w:rsidR="006C0CB7" w:rsidRPr="00B01E80" w:rsidRDefault="006C0CB7" w:rsidP="00446324">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Amplicon Size (bp)</w:t>
            </w:r>
          </w:p>
        </w:tc>
        <w:tc>
          <w:tcPr>
            <w:tcW w:w="2364" w:type="dxa"/>
            <w:tcBorders>
              <w:top w:val="single" w:sz="4" w:space="0" w:color="auto"/>
              <w:bottom w:val="single" w:sz="4" w:space="0" w:color="auto"/>
            </w:tcBorders>
            <w:tcMar>
              <w:top w:w="150" w:type="dxa"/>
              <w:left w:w="240" w:type="dxa"/>
              <w:bottom w:w="150" w:type="dxa"/>
              <w:right w:w="240" w:type="dxa"/>
            </w:tcMar>
            <w:vAlign w:val="center"/>
            <w:hideMark/>
          </w:tcPr>
          <w:p w14:paraId="079FAE4A" w14:textId="77777777" w:rsidR="006C0CB7" w:rsidRPr="00B01E80" w:rsidRDefault="006C0CB7" w:rsidP="00446324">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Reference</w:t>
            </w:r>
          </w:p>
        </w:tc>
      </w:tr>
      <w:tr w:rsidR="006C0CB7" w:rsidRPr="00B01E80" w14:paraId="30A9B438" w14:textId="77777777" w:rsidTr="00446324">
        <w:tc>
          <w:tcPr>
            <w:tcW w:w="0" w:type="auto"/>
            <w:tcBorders>
              <w:top w:val="single" w:sz="4" w:space="0" w:color="auto"/>
            </w:tcBorders>
            <w:tcMar>
              <w:top w:w="150" w:type="dxa"/>
              <w:left w:w="0" w:type="dxa"/>
              <w:bottom w:w="150" w:type="dxa"/>
              <w:right w:w="240" w:type="dxa"/>
            </w:tcMar>
            <w:vAlign w:val="center"/>
            <w:hideMark/>
          </w:tcPr>
          <w:p w14:paraId="2D28F43E"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i/>
                <w:iCs/>
                <w:sz w:val="20"/>
                <w:szCs w:val="20"/>
              </w:rPr>
              <w:t>bla</w:t>
            </w:r>
            <w:r w:rsidRPr="00B01E80">
              <w:rPr>
                <w:rFonts w:ascii="Times New Roman" w:eastAsia="Times New Roman" w:hAnsi="Times New Roman" w:cs="Times New Roman"/>
                <w:sz w:val="20"/>
                <w:szCs w:val="20"/>
              </w:rPr>
              <w:t>CTX-M</w:t>
            </w:r>
          </w:p>
        </w:tc>
        <w:tc>
          <w:tcPr>
            <w:tcW w:w="0" w:type="auto"/>
            <w:tcBorders>
              <w:top w:val="single" w:sz="4" w:space="0" w:color="auto"/>
            </w:tcBorders>
            <w:tcMar>
              <w:top w:w="150" w:type="dxa"/>
              <w:left w:w="240" w:type="dxa"/>
              <w:bottom w:w="150" w:type="dxa"/>
              <w:right w:w="240" w:type="dxa"/>
            </w:tcMar>
            <w:vAlign w:val="center"/>
            <w:hideMark/>
          </w:tcPr>
          <w:p w14:paraId="172EAD51"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 TTTGCGATGTGCAGTACCAGTAA</w:t>
            </w:r>
          </w:p>
        </w:tc>
        <w:tc>
          <w:tcPr>
            <w:tcW w:w="0" w:type="auto"/>
            <w:tcBorders>
              <w:top w:val="single" w:sz="4" w:space="0" w:color="auto"/>
            </w:tcBorders>
            <w:tcMar>
              <w:top w:w="150" w:type="dxa"/>
              <w:left w:w="240" w:type="dxa"/>
              <w:bottom w:w="150" w:type="dxa"/>
              <w:right w:w="240" w:type="dxa"/>
            </w:tcMar>
            <w:vAlign w:val="center"/>
            <w:hideMark/>
          </w:tcPr>
          <w:p w14:paraId="74BBB824"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560</w:t>
            </w:r>
          </w:p>
        </w:tc>
        <w:tc>
          <w:tcPr>
            <w:tcW w:w="2364" w:type="dxa"/>
            <w:tcBorders>
              <w:top w:val="single" w:sz="4" w:space="0" w:color="auto"/>
            </w:tcBorders>
            <w:tcMar>
              <w:top w:w="150" w:type="dxa"/>
              <w:left w:w="240" w:type="dxa"/>
              <w:bottom w:w="150" w:type="dxa"/>
              <w:right w:w="0" w:type="dxa"/>
            </w:tcMar>
            <w:vAlign w:val="center"/>
            <w:hideMark/>
          </w:tcPr>
          <w:p w14:paraId="6094345D"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 xml:space="preserve">Jahantigh </w:t>
            </w:r>
            <w:r w:rsidRPr="00B77CFF">
              <w:rPr>
                <w:rFonts w:ascii="Times New Roman" w:eastAsia="Times New Roman" w:hAnsi="Times New Roman" w:cs="Times New Roman"/>
                <w:i/>
                <w:sz w:val="20"/>
                <w:szCs w:val="20"/>
              </w:rPr>
              <w:t>et al</w:t>
            </w:r>
            <w:r w:rsidRPr="00B01E80">
              <w:rPr>
                <w:rFonts w:ascii="Times New Roman" w:eastAsia="Times New Roman" w:hAnsi="Times New Roman" w:cs="Times New Roman"/>
                <w:sz w:val="20"/>
                <w:szCs w:val="20"/>
              </w:rPr>
              <w:t>., 2020</w:t>
            </w:r>
          </w:p>
        </w:tc>
      </w:tr>
      <w:tr w:rsidR="006C0CB7" w:rsidRPr="00B01E80" w14:paraId="7A209BC9" w14:textId="77777777" w:rsidTr="00446324">
        <w:tc>
          <w:tcPr>
            <w:tcW w:w="0" w:type="auto"/>
            <w:tcMar>
              <w:top w:w="150" w:type="dxa"/>
              <w:left w:w="0" w:type="dxa"/>
              <w:bottom w:w="150" w:type="dxa"/>
              <w:right w:w="240" w:type="dxa"/>
            </w:tcMar>
            <w:vAlign w:val="center"/>
            <w:hideMark/>
          </w:tcPr>
          <w:p w14:paraId="7973996A"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p>
        </w:tc>
        <w:tc>
          <w:tcPr>
            <w:tcW w:w="0" w:type="auto"/>
            <w:tcMar>
              <w:top w:w="150" w:type="dxa"/>
              <w:left w:w="240" w:type="dxa"/>
              <w:bottom w:w="150" w:type="dxa"/>
              <w:right w:w="240" w:type="dxa"/>
            </w:tcMar>
            <w:vAlign w:val="center"/>
            <w:hideMark/>
          </w:tcPr>
          <w:p w14:paraId="62D165E0"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R: CTCGCTGCCGGTTTTAT</w:t>
            </w:r>
          </w:p>
        </w:tc>
        <w:tc>
          <w:tcPr>
            <w:tcW w:w="0" w:type="auto"/>
            <w:tcMar>
              <w:top w:w="150" w:type="dxa"/>
              <w:left w:w="240" w:type="dxa"/>
              <w:bottom w:w="150" w:type="dxa"/>
              <w:right w:w="240" w:type="dxa"/>
            </w:tcMar>
            <w:vAlign w:val="center"/>
            <w:hideMark/>
          </w:tcPr>
          <w:p w14:paraId="163E31A5"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p>
        </w:tc>
        <w:tc>
          <w:tcPr>
            <w:tcW w:w="2364" w:type="dxa"/>
            <w:tcMar>
              <w:top w:w="150" w:type="dxa"/>
              <w:left w:w="240" w:type="dxa"/>
              <w:bottom w:w="150" w:type="dxa"/>
              <w:right w:w="0" w:type="dxa"/>
            </w:tcMar>
            <w:vAlign w:val="center"/>
            <w:hideMark/>
          </w:tcPr>
          <w:p w14:paraId="6B0356AA"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p>
        </w:tc>
      </w:tr>
      <w:tr w:rsidR="006C0CB7" w:rsidRPr="00B01E80" w14:paraId="27B38E3D" w14:textId="77777777" w:rsidTr="00446324">
        <w:tc>
          <w:tcPr>
            <w:tcW w:w="0" w:type="auto"/>
            <w:tcMar>
              <w:top w:w="150" w:type="dxa"/>
              <w:left w:w="0" w:type="dxa"/>
              <w:bottom w:w="150" w:type="dxa"/>
              <w:right w:w="240" w:type="dxa"/>
            </w:tcMar>
            <w:vAlign w:val="center"/>
            <w:hideMark/>
          </w:tcPr>
          <w:p w14:paraId="50055ABD"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i/>
                <w:iCs/>
                <w:sz w:val="20"/>
                <w:szCs w:val="20"/>
              </w:rPr>
              <w:t>tetA</w:t>
            </w:r>
          </w:p>
        </w:tc>
        <w:tc>
          <w:tcPr>
            <w:tcW w:w="0" w:type="auto"/>
            <w:tcMar>
              <w:top w:w="150" w:type="dxa"/>
              <w:left w:w="240" w:type="dxa"/>
              <w:bottom w:w="150" w:type="dxa"/>
              <w:right w:w="240" w:type="dxa"/>
            </w:tcMar>
            <w:vAlign w:val="center"/>
            <w:hideMark/>
          </w:tcPr>
          <w:p w14:paraId="7876F413"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 CGCCTTTCCTTTGGGTTCTCTATATC</w:t>
            </w:r>
          </w:p>
        </w:tc>
        <w:tc>
          <w:tcPr>
            <w:tcW w:w="0" w:type="auto"/>
            <w:tcMar>
              <w:top w:w="150" w:type="dxa"/>
              <w:left w:w="240" w:type="dxa"/>
              <w:bottom w:w="150" w:type="dxa"/>
              <w:right w:w="240" w:type="dxa"/>
            </w:tcMar>
            <w:vAlign w:val="center"/>
            <w:hideMark/>
          </w:tcPr>
          <w:p w14:paraId="067E80EE"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182</w:t>
            </w:r>
          </w:p>
        </w:tc>
        <w:tc>
          <w:tcPr>
            <w:tcW w:w="2364" w:type="dxa"/>
            <w:tcMar>
              <w:top w:w="150" w:type="dxa"/>
              <w:left w:w="240" w:type="dxa"/>
              <w:bottom w:w="150" w:type="dxa"/>
              <w:right w:w="0" w:type="dxa"/>
            </w:tcMar>
            <w:vAlign w:val="center"/>
            <w:hideMark/>
          </w:tcPr>
          <w:p w14:paraId="3E24E009" w14:textId="77777777" w:rsidR="006C0CB7" w:rsidRPr="007D44F1"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 xml:space="preserve">Jahantigh </w:t>
            </w:r>
            <w:r w:rsidRPr="00B77CFF">
              <w:rPr>
                <w:rFonts w:ascii="Times New Roman" w:eastAsia="Times New Roman" w:hAnsi="Times New Roman" w:cs="Times New Roman"/>
                <w:i/>
                <w:sz w:val="20"/>
                <w:szCs w:val="20"/>
              </w:rPr>
              <w:t>et al</w:t>
            </w:r>
            <w:r w:rsidRPr="00B01E80">
              <w:rPr>
                <w:rFonts w:ascii="Times New Roman" w:eastAsia="Times New Roman" w:hAnsi="Times New Roman" w:cs="Times New Roman"/>
                <w:sz w:val="20"/>
                <w:szCs w:val="20"/>
              </w:rPr>
              <w:t>., 2020</w:t>
            </w:r>
            <w:r>
              <w:rPr>
                <w:rFonts w:ascii="Times New Roman" w:eastAsia="Times New Roman" w:hAnsi="Times New Roman" w:cs="Times New Roman"/>
                <w:sz w:val="20"/>
                <w:szCs w:val="20"/>
              </w:rPr>
              <w:t xml:space="preserve">; Oke </w:t>
            </w:r>
            <w:r w:rsidRPr="00B77CFF">
              <w:rPr>
                <w:rFonts w:ascii="Times New Roman" w:eastAsia="Times New Roman" w:hAnsi="Times New Roman" w:cs="Times New Roman"/>
                <w:i/>
                <w:sz w:val="20"/>
                <w:szCs w:val="20"/>
              </w:rPr>
              <w:t>et al</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(2024)</w:t>
            </w:r>
          </w:p>
        </w:tc>
      </w:tr>
      <w:tr w:rsidR="006C0CB7" w:rsidRPr="00B01E80" w14:paraId="35B4B902" w14:textId="77777777" w:rsidTr="00446324">
        <w:tc>
          <w:tcPr>
            <w:tcW w:w="0" w:type="auto"/>
            <w:tcMar>
              <w:top w:w="150" w:type="dxa"/>
              <w:left w:w="0" w:type="dxa"/>
              <w:bottom w:w="150" w:type="dxa"/>
              <w:right w:w="240" w:type="dxa"/>
            </w:tcMar>
            <w:vAlign w:val="center"/>
            <w:hideMark/>
          </w:tcPr>
          <w:p w14:paraId="2E649340"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p>
        </w:tc>
        <w:tc>
          <w:tcPr>
            <w:tcW w:w="0" w:type="auto"/>
            <w:tcMar>
              <w:top w:w="150" w:type="dxa"/>
              <w:left w:w="240" w:type="dxa"/>
              <w:bottom w:w="150" w:type="dxa"/>
              <w:right w:w="240" w:type="dxa"/>
            </w:tcMar>
            <w:vAlign w:val="center"/>
            <w:hideMark/>
          </w:tcPr>
          <w:p w14:paraId="6371D6F7"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R: CAGCCCACCGAGCACAGG</w:t>
            </w:r>
          </w:p>
        </w:tc>
        <w:tc>
          <w:tcPr>
            <w:tcW w:w="0" w:type="auto"/>
            <w:tcMar>
              <w:top w:w="150" w:type="dxa"/>
              <w:left w:w="240" w:type="dxa"/>
              <w:bottom w:w="150" w:type="dxa"/>
              <w:right w:w="240" w:type="dxa"/>
            </w:tcMar>
            <w:vAlign w:val="center"/>
            <w:hideMark/>
          </w:tcPr>
          <w:p w14:paraId="21509DF8"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p>
        </w:tc>
        <w:tc>
          <w:tcPr>
            <w:tcW w:w="2364" w:type="dxa"/>
            <w:tcMar>
              <w:top w:w="150" w:type="dxa"/>
              <w:left w:w="240" w:type="dxa"/>
              <w:bottom w:w="150" w:type="dxa"/>
              <w:right w:w="0" w:type="dxa"/>
            </w:tcMar>
            <w:vAlign w:val="center"/>
            <w:hideMark/>
          </w:tcPr>
          <w:p w14:paraId="2CC8FD93"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p>
        </w:tc>
      </w:tr>
      <w:tr w:rsidR="006C0CB7" w:rsidRPr="00B01E80" w14:paraId="70CB1146" w14:textId="77777777" w:rsidTr="00446324">
        <w:tc>
          <w:tcPr>
            <w:tcW w:w="0" w:type="auto"/>
            <w:tcMar>
              <w:top w:w="150" w:type="dxa"/>
              <w:left w:w="0" w:type="dxa"/>
              <w:bottom w:w="150" w:type="dxa"/>
              <w:right w:w="240" w:type="dxa"/>
            </w:tcMar>
            <w:vAlign w:val="center"/>
            <w:hideMark/>
          </w:tcPr>
          <w:p w14:paraId="712A5BF0"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i/>
                <w:iCs/>
                <w:sz w:val="20"/>
                <w:szCs w:val="20"/>
              </w:rPr>
              <w:t>qepA</w:t>
            </w:r>
          </w:p>
        </w:tc>
        <w:tc>
          <w:tcPr>
            <w:tcW w:w="0" w:type="auto"/>
            <w:tcMar>
              <w:top w:w="150" w:type="dxa"/>
              <w:left w:w="240" w:type="dxa"/>
              <w:bottom w:w="150" w:type="dxa"/>
              <w:right w:w="240" w:type="dxa"/>
            </w:tcMar>
            <w:vAlign w:val="center"/>
            <w:hideMark/>
          </w:tcPr>
          <w:p w14:paraId="0115FAB5"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 GCAGGTCCAGCAGCGGGTAG</w:t>
            </w:r>
          </w:p>
        </w:tc>
        <w:tc>
          <w:tcPr>
            <w:tcW w:w="0" w:type="auto"/>
            <w:tcMar>
              <w:top w:w="150" w:type="dxa"/>
              <w:left w:w="240" w:type="dxa"/>
              <w:bottom w:w="150" w:type="dxa"/>
              <w:right w:w="240" w:type="dxa"/>
            </w:tcMar>
            <w:vAlign w:val="center"/>
            <w:hideMark/>
          </w:tcPr>
          <w:p w14:paraId="433F9040"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199</w:t>
            </w:r>
          </w:p>
        </w:tc>
        <w:tc>
          <w:tcPr>
            <w:tcW w:w="2364" w:type="dxa"/>
            <w:tcMar>
              <w:top w:w="150" w:type="dxa"/>
              <w:left w:w="240" w:type="dxa"/>
              <w:bottom w:w="150" w:type="dxa"/>
              <w:right w:w="0" w:type="dxa"/>
            </w:tcMar>
            <w:vAlign w:val="center"/>
            <w:hideMark/>
          </w:tcPr>
          <w:p w14:paraId="788DBE51"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 xml:space="preserve">Ayobola </w:t>
            </w:r>
            <w:r w:rsidRPr="00B77CFF">
              <w:rPr>
                <w:rFonts w:ascii="Times New Roman" w:eastAsia="Times New Roman" w:hAnsi="Times New Roman" w:cs="Times New Roman"/>
                <w:i/>
                <w:sz w:val="20"/>
                <w:szCs w:val="20"/>
              </w:rPr>
              <w:t>et al</w:t>
            </w:r>
            <w:r w:rsidRPr="00B01E80">
              <w:rPr>
                <w:rFonts w:ascii="Times New Roman" w:eastAsia="Times New Roman" w:hAnsi="Times New Roman" w:cs="Times New Roman"/>
                <w:sz w:val="20"/>
                <w:szCs w:val="20"/>
              </w:rPr>
              <w:t>., 2021</w:t>
            </w:r>
          </w:p>
        </w:tc>
      </w:tr>
      <w:tr w:rsidR="006C0CB7" w:rsidRPr="00B01E80" w14:paraId="4F2CC967" w14:textId="77777777" w:rsidTr="00446324">
        <w:tc>
          <w:tcPr>
            <w:tcW w:w="0" w:type="auto"/>
            <w:tcMar>
              <w:top w:w="150" w:type="dxa"/>
              <w:left w:w="0" w:type="dxa"/>
              <w:bottom w:w="150" w:type="dxa"/>
              <w:right w:w="240" w:type="dxa"/>
            </w:tcMar>
            <w:vAlign w:val="center"/>
            <w:hideMark/>
          </w:tcPr>
          <w:p w14:paraId="3962A157"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p>
        </w:tc>
        <w:tc>
          <w:tcPr>
            <w:tcW w:w="0" w:type="auto"/>
            <w:tcMar>
              <w:top w:w="150" w:type="dxa"/>
              <w:left w:w="240" w:type="dxa"/>
              <w:bottom w:w="150" w:type="dxa"/>
              <w:right w:w="240" w:type="dxa"/>
            </w:tcMar>
            <w:vAlign w:val="center"/>
            <w:hideMark/>
          </w:tcPr>
          <w:p w14:paraId="17D46AA3"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R: CTTCCTGCCCGAGTATCGTG</w:t>
            </w:r>
          </w:p>
        </w:tc>
        <w:tc>
          <w:tcPr>
            <w:tcW w:w="0" w:type="auto"/>
            <w:tcMar>
              <w:top w:w="150" w:type="dxa"/>
              <w:left w:w="240" w:type="dxa"/>
              <w:bottom w:w="150" w:type="dxa"/>
              <w:right w:w="240" w:type="dxa"/>
            </w:tcMar>
            <w:vAlign w:val="center"/>
            <w:hideMark/>
          </w:tcPr>
          <w:p w14:paraId="4B0BB57F"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p>
        </w:tc>
        <w:tc>
          <w:tcPr>
            <w:tcW w:w="2364" w:type="dxa"/>
            <w:tcMar>
              <w:top w:w="150" w:type="dxa"/>
              <w:left w:w="240" w:type="dxa"/>
              <w:bottom w:w="150" w:type="dxa"/>
              <w:right w:w="0" w:type="dxa"/>
            </w:tcMar>
            <w:vAlign w:val="center"/>
            <w:hideMark/>
          </w:tcPr>
          <w:p w14:paraId="1B3EB184"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p>
        </w:tc>
      </w:tr>
    </w:tbl>
    <w:p w14:paraId="043753F5" w14:textId="77777777" w:rsidR="006C0CB7" w:rsidRPr="00B01E80" w:rsidRDefault="006C0CB7" w:rsidP="006C0CB7">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color w:val="0F1115"/>
          <w:sz w:val="20"/>
          <w:szCs w:val="20"/>
        </w:rPr>
        <w:t>PCR reactions were prepared in a total volume of 25 μL containing: 12.5 μL of Taq 2X Master Mix (New England Biolabs), 1 μL each of forward and reverse primers (10 μM), 2 μL of DNA template, and 8.5 μL of nuclease-free water. Amplification conditions consisted of: initial denaturation at 94°C for 5 minutes; 35 cycles of denaturation at 94°C for 30 seconds, annealing at 54°C (</w:t>
      </w:r>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CTX-M), 52°C (</w:t>
      </w:r>
      <w:r w:rsidRPr="00B01E80">
        <w:rPr>
          <w:rFonts w:ascii="Times New Roman" w:eastAsia="Times New Roman" w:hAnsi="Times New Roman" w:cs="Times New Roman"/>
          <w:i/>
          <w:iCs/>
          <w:color w:val="0F1115"/>
          <w:sz w:val="20"/>
          <w:szCs w:val="20"/>
        </w:rPr>
        <w:t>tetA</w:t>
      </w:r>
      <w:r w:rsidRPr="00B01E80">
        <w:rPr>
          <w:rFonts w:ascii="Times New Roman" w:eastAsia="Times New Roman" w:hAnsi="Times New Roman" w:cs="Times New Roman"/>
          <w:color w:val="0F1115"/>
          <w:sz w:val="20"/>
          <w:szCs w:val="20"/>
        </w:rPr>
        <w:t>), or 58°C (</w:t>
      </w:r>
      <w:r w:rsidRPr="00B01E80">
        <w:rPr>
          <w:rFonts w:ascii="Times New Roman" w:eastAsia="Times New Roman" w:hAnsi="Times New Roman" w:cs="Times New Roman"/>
          <w:i/>
          <w:iCs/>
          <w:color w:val="0F1115"/>
          <w:sz w:val="20"/>
          <w:szCs w:val="20"/>
        </w:rPr>
        <w:t>qepA</w:t>
      </w:r>
      <w:r w:rsidRPr="00B01E80">
        <w:rPr>
          <w:rFonts w:ascii="Times New Roman" w:eastAsia="Times New Roman" w:hAnsi="Times New Roman" w:cs="Times New Roman"/>
          <w:color w:val="0F1115"/>
          <w:sz w:val="20"/>
          <w:szCs w:val="20"/>
        </w:rPr>
        <w:t>) for 30 seconds, and extension at 72°C for 45 seconds; followed by final extension at 72°C for 7 minutes</w:t>
      </w:r>
      <w:r>
        <w:rPr>
          <w:rFonts w:ascii="Times New Roman" w:eastAsia="Times New Roman" w:hAnsi="Times New Roman" w:cs="Times New Roman"/>
          <w:color w:val="0F1115"/>
          <w:sz w:val="20"/>
          <w:szCs w:val="20"/>
        </w:rPr>
        <w:t xml:space="preserve"> (Oke </w:t>
      </w:r>
      <w:r w:rsidRPr="00B77CFF">
        <w:rPr>
          <w:rFonts w:ascii="Times New Roman" w:eastAsia="Times New Roman" w:hAnsi="Times New Roman" w:cs="Times New Roman"/>
          <w:i/>
          <w:color w:val="0F1115"/>
          <w:sz w:val="20"/>
          <w:szCs w:val="20"/>
        </w:rPr>
        <w:t>et al</w:t>
      </w:r>
      <w:r>
        <w:rPr>
          <w:rFonts w:ascii="Times New Roman" w:eastAsia="Times New Roman" w:hAnsi="Times New Roman" w:cs="Times New Roman"/>
          <w:i/>
          <w:color w:val="0F1115"/>
          <w:sz w:val="20"/>
          <w:szCs w:val="20"/>
        </w:rPr>
        <w:t>.,</w:t>
      </w:r>
      <w:r>
        <w:rPr>
          <w:rFonts w:ascii="Times New Roman" w:eastAsia="Times New Roman" w:hAnsi="Times New Roman" w:cs="Times New Roman"/>
          <w:color w:val="0F1115"/>
          <w:sz w:val="20"/>
          <w:szCs w:val="20"/>
        </w:rPr>
        <w:t xml:space="preserve"> 2024)</w:t>
      </w:r>
      <w:r w:rsidRPr="00B01E80">
        <w:rPr>
          <w:rFonts w:ascii="Times New Roman" w:eastAsia="Times New Roman" w:hAnsi="Times New Roman" w:cs="Times New Roman"/>
          <w:color w:val="0F1115"/>
          <w:sz w:val="20"/>
          <w:szCs w:val="20"/>
        </w:rPr>
        <w:t>.</w:t>
      </w:r>
    </w:p>
    <w:p w14:paraId="599C81D2"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PCR products were resolved by electrophoresis on 1.5% agarose gels stained with ethidium bromide and visualized under UV transillumination. A 50 bp DNA ladder (NZYTech, Portugal) was used for amplicon size determination</w:t>
      </w:r>
      <w:r>
        <w:rPr>
          <w:color w:val="0F1115"/>
          <w:sz w:val="20"/>
          <w:szCs w:val="20"/>
        </w:rPr>
        <w:t xml:space="preserve"> (Peter </w:t>
      </w:r>
      <w:r w:rsidRPr="00B77CFF">
        <w:rPr>
          <w:i/>
          <w:color w:val="0F1115"/>
          <w:sz w:val="20"/>
          <w:szCs w:val="20"/>
        </w:rPr>
        <w:t>et al</w:t>
      </w:r>
      <w:r>
        <w:rPr>
          <w:i/>
          <w:color w:val="0F1115"/>
          <w:sz w:val="20"/>
          <w:szCs w:val="20"/>
        </w:rPr>
        <w:t>.,</w:t>
      </w:r>
      <w:r>
        <w:rPr>
          <w:color w:val="0F1115"/>
          <w:sz w:val="20"/>
          <w:szCs w:val="20"/>
        </w:rPr>
        <w:t xml:space="preserve"> 2025)</w:t>
      </w:r>
      <w:r w:rsidRPr="00B01E80">
        <w:rPr>
          <w:color w:val="0F1115"/>
          <w:sz w:val="20"/>
          <w:szCs w:val="20"/>
        </w:rPr>
        <w:t>.</w:t>
      </w:r>
    </w:p>
    <w:p w14:paraId="642D2862" w14:textId="77777777" w:rsidR="006C0CB7" w:rsidRPr="00B01E80" w:rsidRDefault="006C0CB7" w:rsidP="006C0CB7">
      <w:pPr>
        <w:pStyle w:val="Heading3"/>
        <w:shd w:val="clear" w:color="auto" w:fill="FFFFFF"/>
        <w:spacing w:before="0"/>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2.8 Statistical Analysis</w:t>
      </w:r>
    </w:p>
    <w:p w14:paraId="3373224D"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Data were entered into Microsoft Excel 2019 and analyzed using SPSS version 26.0 (IBM Corp., Armonk, NY, USA). Descriptive statistics were expressed as frequencies and percentages. Associations between resistance gene carriage and phenotypic antibiotic resistance were assessed using Fisher's exact test for categorical variables. Odds ratios (OR) with 95% confidence intervals (CI) were calculated to quantify the strength of associations. Logistic regression analysis was performed to identify independent predict</w:t>
      </w:r>
      <w:r>
        <w:rPr>
          <w:color w:val="0F1115"/>
          <w:sz w:val="20"/>
          <w:szCs w:val="20"/>
        </w:rPr>
        <w:t>ors of multidrug resistance. A p</w:t>
      </w:r>
      <w:r w:rsidRPr="00B01E80">
        <w:rPr>
          <w:color w:val="0F1115"/>
          <w:sz w:val="20"/>
          <w:szCs w:val="20"/>
        </w:rPr>
        <w:t>-value &lt; 0.05 was considered statistically significant.</w:t>
      </w:r>
    </w:p>
    <w:p w14:paraId="62F7B09F" w14:textId="77777777" w:rsidR="006C0CB7" w:rsidRPr="00B01E80" w:rsidRDefault="006C0CB7" w:rsidP="006C0CB7">
      <w:pPr>
        <w:pStyle w:val="Heading2"/>
        <w:shd w:val="clear" w:color="auto" w:fill="FFFFFF"/>
        <w:spacing w:before="0" w:beforeAutospacing="0" w:after="0" w:afterAutospacing="0"/>
        <w:jc w:val="both"/>
        <w:rPr>
          <w:color w:val="0F1115"/>
          <w:sz w:val="20"/>
          <w:szCs w:val="20"/>
        </w:rPr>
      </w:pPr>
      <w:r w:rsidRPr="00B01E80">
        <w:rPr>
          <w:color w:val="0F1115"/>
          <w:sz w:val="20"/>
          <w:szCs w:val="20"/>
        </w:rPr>
        <w:t>3. Results</w:t>
      </w:r>
    </w:p>
    <w:p w14:paraId="533FBCFF" w14:textId="77777777" w:rsidR="006C0CB7" w:rsidRPr="00930F35" w:rsidRDefault="006C0CB7" w:rsidP="006C0CB7">
      <w:pPr>
        <w:pStyle w:val="Heading3"/>
        <w:shd w:val="clear" w:color="auto" w:fill="FFFFFF"/>
        <w:spacing w:before="0"/>
        <w:jc w:val="both"/>
        <w:rPr>
          <w:rFonts w:ascii="Times New Roman" w:hAnsi="Times New Roman" w:cs="Times New Roman"/>
          <w:b/>
          <w:color w:val="0F1115"/>
          <w:sz w:val="20"/>
          <w:szCs w:val="20"/>
        </w:rPr>
      </w:pPr>
      <w:r w:rsidRPr="00930F35">
        <w:rPr>
          <w:rFonts w:ascii="Times New Roman" w:hAnsi="Times New Roman" w:cs="Times New Roman"/>
          <w:b/>
          <w:color w:val="0F1115"/>
          <w:sz w:val="20"/>
          <w:szCs w:val="20"/>
        </w:rPr>
        <w:t>3.1 Prevalence of Bacterial Isolates</w:t>
      </w:r>
    </w:p>
    <w:p w14:paraId="4F42586E"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Of the 250 mid-stream urine samples analyzed, 152 (60.8%) yielded significant bacterial growth. </w:t>
      </w:r>
      <w:r w:rsidRPr="00B01E80">
        <w:rPr>
          <w:rStyle w:val="Emphasis"/>
          <w:color w:val="0F1115"/>
          <w:sz w:val="20"/>
          <w:szCs w:val="20"/>
        </w:rPr>
        <w:t>P. aeruginosa</w:t>
      </w:r>
      <w:r w:rsidRPr="00B01E80">
        <w:rPr>
          <w:color w:val="0F1115"/>
          <w:sz w:val="20"/>
          <w:szCs w:val="20"/>
        </w:rPr>
        <w:t> was isolated from 98 (39.2%) samples, while </w:t>
      </w:r>
      <w:r w:rsidRPr="00B01E80">
        <w:rPr>
          <w:rStyle w:val="Emphasis"/>
          <w:color w:val="0F1115"/>
          <w:sz w:val="20"/>
          <w:szCs w:val="20"/>
        </w:rPr>
        <w:t>A. baumannii</w:t>
      </w:r>
      <w:r w:rsidRPr="00B01E80">
        <w:rPr>
          <w:color w:val="0F1115"/>
          <w:sz w:val="20"/>
          <w:szCs w:val="20"/>
        </w:rPr>
        <w:t> was isolated from 54 (21.6%) samples. The age distribution of patients with confirmed UTIs showed the highest prevalence in the 32-38 years age group (71/103, 68.9%), followed by the 25-31 years group (38/78, 48.7%) (</w:t>
      </w:r>
      <w:r w:rsidRPr="00B01E80">
        <w:rPr>
          <w:rStyle w:val="Strong"/>
          <w:rFonts w:eastAsiaTheme="majorEastAsia"/>
          <w:b w:val="0"/>
          <w:color w:val="0F1115"/>
          <w:sz w:val="20"/>
          <w:szCs w:val="20"/>
        </w:rPr>
        <w:t>Table 2</w:t>
      </w:r>
      <w:r w:rsidRPr="00B01E80">
        <w:rPr>
          <w:color w:val="0F1115"/>
          <w:sz w:val="20"/>
          <w:szCs w:val="20"/>
        </w:rPr>
        <w:t>).</w:t>
      </w:r>
    </w:p>
    <w:p w14:paraId="3F474CFA" w14:textId="77777777" w:rsidR="006C0CB7" w:rsidRDefault="006C0CB7" w:rsidP="006C0CB7">
      <w:pPr>
        <w:pStyle w:val="ds-markdown-paragraph"/>
        <w:shd w:val="clear" w:color="auto" w:fill="FFFFFF"/>
        <w:spacing w:before="0" w:beforeAutospacing="0" w:after="0" w:afterAutospacing="0"/>
        <w:jc w:val="both"/>
        <w:rPr>
          <w:rStyle w:val="Strong"/>
          <w:color w:val="0F1115"/>
          <w:sz w:val="20"/>
          <w:szCs w:val="20"/>
        </w:rPr>
      </w:pPr>
    </w:p>
    <w:p w14:paraId="2D60E492"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rStyle w:val="Strong"/>
          <w:color w:val="0F1115"/>
          <w:sz w:val="20"/>
          <w:szCs w:val="20"/>
        </w:rPr>
        <w:t>Table 2: Age Distribution of </w:t>
      </w:r>
      <w:r w:rsidRPr="00B01E80">
        <w:rPr>
          <w:rStyle w:val="Emphasis"/>
          <w:b/>
          <w:bCs/>
          <w:color w:val="0F1115"/>
          <w:sz w:val="20"/>
          <w:szCs w:val="20"/>
        </w:rPr>
        <w:t>P. aeruginosa</w:t>
      </w:r>
      <w:r w:rsidRPr="00B01E80">
        <w:rPr>
          <w:rStyle w:val="Strong"/>
          <w:color w:val="0F1115"/>
          <w:sz w:val="20"/>
          <w:szCs w:val="20"/>
        </w:rPr>
        <w:t> and </w:t>
      </w:r>
      <w:r w:rsidRPr="00B01E80">
        <w:rPr>
          <w:rStyle w:val="Emphasis"/>
          <w:b/>
          <w:bCs/>
          <w:color w:val="0F1115"/>
          <w:sz w:val="20"/>
          <w:szCs w:val="20"/>
        </w:rPr>
        <w:t>A. baumannii</w:t>
      </w:r>
      <w:r w:rsidRPr="00B01E80">
        <w:rPr>
          <w:rStyle w:val="Strong"/>
          <w:color w:val="0F1115"/>
          <w:sz w:val="20"/>
          <w:szCs w:val="20"/>
        </w:rPr>
        <w:t> Isolates from Female UTI Patients (N=250)</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80"/>
        <w:gridCol w:w="1518"/>
        <w:gridCol w:w="2079"/>
        <w:gridCol w:w="2066"/>
        <w:gridCol w:w="2017"/>
      </w:tblGrid>
      <w:tr w:rsidR="006C0CB7" w:rsidRPr="00B01E80" w14:paraId="10EBB446" w14:textId="77777777" w:rsidTr="00446324">
        <w:trPr>
          <w:tblHeader/>
        </w:trPr>
        <w:tc>
          <w:tcPr>
            <w:tcW w:w="0" w:type="auto"/>
            <w:tcMar>
              <w:top w:w="150" w:type="dxa"/>
              <w:left w:w="0" w:type="dxa"/>
              <w:bottom w:w="150" w:type="dxa"/>
              <w:right w:w="240" w:type="dxa"/>
            </w:tcMar>
            <w:vAlign w:val="center"/>
            <w:hideMark/>
          </w:tcPr>
          <w:p w14:paraId="792D6F08" w14:textId="77777777" w:rsidR="006C0CB7" w:rsidRPr="00B01E80" w:rsidRDefault="006C0CB7" w:rsidP="00446324">
            <w:pPr>
              <w:spacing w:after="0"/>
              <w:jc w:val="both"/>
              <w:rPr>
                <w:rFonts w:ascii="Times New Roman" w:hAnsi="Times New Roman" w:cs="Times New Roman"/>
                <w:b/>
                <w:bCs/>
                <w:sz w:val="20"/>
                <w:szCs w:val="20"/>
              </w:rPr>
            </w:pPr>
            <w:r w:rsidRPr="00B01E80">
              <w:rPr>
                <w:rStyle w:val="Strong"/>
                <w:rFonts w:ascii="Times New Roman" w:hAnsi="Times New Roman" w:cs="Times New Roman"/>
                <w:sz w:val="20"/>
                <w:szCs w:val="20"/>
              </w:rPr>
              <w:t>Age Group (years)</w:t>
            </w:r>
          </w:p>
        </w:tc>
        <w:tc>
          <w:tcPr>
            <w:tcW w:w="0" w:type="auto"/>
            <w:tcMar>
              <w:top w:w="150" w:type="dxa"/>
              <w:left w:w="240" w:type="dxa"/>
              <w:bottom w:w="150" w:type="dxa"/>
              <w:right w:w="240" w:type="dxa"/>
            </w:tcMar>
            <w:vAlign w:val="center"/>
            <w:hideMark/>
          </w:tcPr>
          <w:p w14:paraId="5F09765F" w14:textId="77777777" w:rsidR="006C0CB7" w:rsidRPr="00B01E80" w:rsidRDefault="006C0CB7" w:rsidP="00446324">
            <w:pPr>
              <w:spacing w:after="0"/>
              <w:jc w:val="both"/>
              <w:rPr>
                <w:rFonts w:ascii="Times New Roman" w:hAnsi="Times New Roman" w:cs="Times New Roman"/>
                <w:b/>
                <w:bCs/>
                <w:sz w:val="20"/>
                <w:szCs w:val="20"/>
              </w:rPr>
            </w:pPr>
            <w:r w:rsidRPr="00B01E80">
              <w:rPr>
                <w:rStyle w:val="Strong"/>
                <w:rFonts w:ascii="Times New Roman" w:hAnsi="Times New Roman" w:cs="Times New Roman"/>
                <w:sz w:val="20"/>
                <w:szCs w:val="20"/>
              </w:rPr>
              <w:t>No. Sampled</w:t>
            </w:r>
          </w:p>
        </w:tc>
        <w:tc>
          <w:tcPr>
            <w:tcW w:w="0" w:type="auto"/>
            <w:tcMar>
              <w:top w:w="150" w:type="dxa"/>
              <w:left w:w="240" w:type="dxa"/>
              <w:bottom w:w="150" w:type="dxa"/>
              <w:right w:w="240" w:type="dxa"/>
            </w:tcMar>
            <w:vAlign w:val="center"/>
            <w:hideMark/>
          </w:tcPr>
          <w:p w14:paraId="090F0D15" w14:textId="77777777" w:rsidR="006C0CB7" w:rsidRPr="00B01E80" w:rsidRDefault="006C0CB7" w:rsidP="00446324">
            <w:pPr>
              <w:spacing w:after="0"/>
              <w:jc w:val="both"/>
              <w:rPr>
                <w:rFonts w:ascii="Times New Roman" w:hAnsi="Times New Roman" w:cs="Times New Roman"/>
                <w:b/>
                <w:bCs/>
                <w:sz w:val="20"/>
                <w:szCs w:val="20"/>
              </w:rPr>
            </w:pPr>
            <w:r w:rsidRPr="00B01E80">
              <w:rPr>
                <w:rStyle w:val="Emphasis"/>
                <w:rFonts w:ascii="Times New Roman" w:hAnsi="Times New Roman" w:cs="Times New Roman"/>
                <w:b/>
                <w:bCs/>
                <w:sz w:val="20"/>
                <w:szCs w:val="20"/>
              </w:rPr>
              <w:t>P. aeruginosa</w:t>
            </w:r>
            <w:r w:rsidRPr="00B01E80">
              <w:rPr>
                <w:rStyle w:val="Strong"/>
                <w:rFonts w:ascii="Times New Roman" w:hAnsi="Times New Roman" w:cs="Times New Roman"/>
                <w:sz w:val="20"/>
                <w:szCs w:val="20"/>
              </w:rPr>
              <w:t> n (%)</w:t>
            </w:r>
          </w:p>
        </w:tc>
        <w:tc>
          <w:tcPr>
            <w:tcW w:w="0" w:type="auto"/>
            <w:tcMar>
              <w:top w:w="150" w:type="dxa"/>
              <w:left w:w="240" w:type="dxa"/>
              <w:bottom w:w="150" w:type="dxa"/>
              <w:right w:w="240" w:type="dxa"/>
            </w:tcMar>
            <w:vAlign w:val="center"/>
            <w:hideMark/>
          </w:tcPr>
          <w:p w14:paraId="217587B1" w14:textId="77777777" w:rsidR="006C0CB7" w:rsidRPr="00B01E80" w:rsidRDefault="006C0CB7" w:rsidP="00446324">
            <w:pPr>
              <w:spacing w:after="0"/>
              <w:jc w:val="both"/>
              <w:rPr>
                <w:rFonts w:ascii="Times New Roman" w:hAnsi="Times New Roman" w:cs="Times New Roman"/>
                <w:b/>
                <w:bCs/>
                <w:sz w:val="20"/>
                <w:szCs w:val="20"/>
              </w:rPr>
            </w:pPr>
            <w:r w:rsidRPr="00B01E80">
              <w:rPr>
                <w:rStyle w:val="Emphasis"/>
                <w:rFonts w:ascii="Times New Roman" w:hAnsi="Times New Roman" w:cs="Times New Roman"/>
                <w:b/>
                <w:bCs/>
                <w:sz w:val="20"/>
                <w:szCs w:val="20"/>
              </w:rPr>
              <w:t>A. baumannii</w:t>
            </w:r>
            <w:r w:rsidRPr="00B01E80">
              <w:rPr>
                <w:rStyle w:val="Strong"/>
                <w:rFonts w:ascii="Times New Roman" w:hAnsi="Times New Roman" w:cs="Times New Roman"/>
                <w:sz w:val="20"/>
                <w:szCs w:val="20"/>
              </w:rPr>
              <w:t> n (%)</w:t>
            </w:r>
          </w:p>
        </w:tc>
        <w:tc>
          <w:tcPr>
            <w:tcW w:w="0" w:type="auto"/>
            <w:tcMar>
              <w:top w:w="150" w:type="dxa"/>
              <w:left w:w="240" w:type="dxa"/>
              <w:bottom w:w="150" w:type="dxa"/>
              <w:right w:w="240" w:type="dxa"/>
            </w:tcMar>
            <w:vAlign w:val="center"/>
            <w:hideMark/>
          </w:tcPr>
          <w:p w14:paraId="34E35975" w14:textId="77777777" w:rsidR="006C0CB7" w:rsidRPr="00B01E80" w:rsidRDefault="006C0CB7" w:rsidP="00446324">
            <w:pPr>
              <w:spacing w:after="0"/>
              <w:jc w:val="both"/>
              <w:rPr>
                <w:rFonts w:ascii="Times New Roman" w:hAnsi="Times New Roman" w:cs="Times New Roman"/>
                <w:b/>
                <w:bCs/>
                <w:sz w:val="20"/>
                <w:szCs w:val="20"/>
              </w:rPr>
            </w:pPr>
            <w:r w:rsidRPr="00B01E80">
              <w:rPr>
                <w:rStyle w:val="Strong"/>
                <w:rFonts w:ascii="Times New Roman" w:hAnsi="Times New Roman" w:cs="Times New Roman"/>
                <w:sz w:val="20"/>
                <w:szCs w:val="20"/>
              </w:rPr>
              <w:t>Total Isolates n (%)</w:t>
            </w:r>
          </w:p>
        </w:tc>
      </w:tr>
      <w:tr w:rsidR="006C0CB7" w:rsidRPr="00B01E80" w14:paraId="707B1365" w14:textId="77777777" w:rsidTr="00446324">
        <w:tc>
          <w:tcPr>
            <w:tcW w:w="0" w:type="auto"/>
            <w:tcMar>
              <w:top w:w="150" w:type="dxa"/>
              <w:left w:w="0" w:type="dxa"/>
              <w:bottom w:w="150" w:type="dxa"/>
              <w:right w:w="240" w:type="dxa"/>
            </w:tcMar>
            <w:vAlign w:val="center"/>
            <w:hideMark/>
          </w:tcPr>
          <w:p w14:paraId="3D6FA1F2"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t>18-24</w:t>
            </w:r>
          </w:p>
        </w:tc>
        <w:tc>
          <w:tcPr>
            <w:tcW w:w="0" w:type="auto"/>
            <w:tcMar>
              <w:top w:w="150" w:type="dxa"/>
              <w:left w:w="240" w:type="dxa"/>
              <w:bottom w:w="150" w:type="dxa"/>
              <w:right w:w="240" w:type="dxa"/>
            </w:tcMar>
            <w:vAlign w:val="center"/>
            <w:hideMark/>
          </w:tcPr>
          <w:p w14:paraId="7EA48372"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t>48</w:t>
            </w:r>
          </w:p>
        </w:tc>
        <w:tc>
          <w:tcPr>
            <w:tcW w:w="0" w:type="auto"/>
            <w:tcMar>
              <w:top w:w="150" w:type="dxa"/>
              <w:left w:w="240" w:type="dxa"/>
              <w:bottom w:w="150" w:type="dxa"/>
              <w:right w:w="240" w:type="dxa"/>
            </w:tcMar>
            <w:vAlign w:val="center"/>
            <w:hideMark/>
          </w:tcPr>
          <w:p w14:paraId="0853B802"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t>18 (37.5)</w:t>
            </w:r>
          </w:p>
        </w:tc>
        <w:tc>
          <w:tcPr>
            <w:tcW w:w="0" w:type="auto"/>
            <w:tcMar>
              <w:top w:w="150" w:type="dxa"/>
              <w:left w:w="240" w:type="dxa"/>
              <w:bottom w:w="150" w:type="dxa"/>
              <w:right w:w="240" w:type="dxa"/>
            </w:tcMar>
            <w:vAlign w:val="center"/>
            <w:hideMark/>
          </w:tcPr>
          <w:p w14:paraId="0EC6E77E"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t>12 (25.0)</w:t>
            </w:r>
          </w:p>
        </w:tc>
        <w:tc>
          <w:tcPr>
            <w:tcW w:w="0" w:type="auto"/>
            <w:tcMar>
              <w:top w:w="150" w:type="dxa"/>
              <w:left w:w="240" w:type="dxa"/>
              <w:bottom w:w="150" w:type="dxa"/>
              <w:right w:w="0" w:type="dxa"/>
            </w:tcMar>
            <w:vAlign w:val="center"/>
            <w:hideMark/>
          </w:tcPr>
          <w:p w14:paraId="7FAB7A2D"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t>30 (62.5)</w:t>
            </w:r>
          </w:p>
        </w:tc>
      </w:tr>
      <w:tr w:rsidR="006C0CB7" w:rsidRPr="00B01E80" w14:paraId="2EA6D650" w14:textId="77777777" w:rsidTr="00446324">
        <w:tc>
          <w:tcPr>
            <w:tcW w:w="0" w:type="auto"/>
            <w:tcMar>
              <w:top w:w="150" w:type="dxa"/>
              <w:left w:w="0" w:type="dxa"/>
              <w:bottom w:w="150" w:type="dxa"/>
              <w:right w:w="240" w:type="dxa"/>
            </w:tcMar>
            <w:vAlign w:val="center"/>
            <w:hideMark/>
          </w:tcPr>
          <w:p w14:paraId="3CA3FE0E"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t>25-31</w:t>
            </w:r>
          </w:p>
        </w:tc>
        <w:tc>
          <w:tcPr>
            <w:tcW w:w="0" w:type="auto"/>
            <w:tcMar>
              <w:top w:w="150" w:type="dxa"/>
              <w:left w:w="240" w:type="dxa"/>
              <w:bottom w:w="150" w:type="dxa"/>
              <w:right w:w="240" w:type="dxa"/>
            </w:tcMar>
            <w:vAlign w:val="center"/>
            <w:hideMark/>
          </w:tcPr>
          <w:p w14:paraId="7A563C5E"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t>78</w:t>
            </w:r>
          </w:p>
        </w:tc>
        <w:tc>
          <w:tcPr>
            <w:tcW w:w="0" w:type="auto"/>
            <w:tcMar>
              <w:top w:w="150" w:type="dxa"/>
              <w:left w:w="240" w:type="dxa"/>
              <w:bottom w:w="150" w:type="dxa"/>
              <w:right w:w="240" w:type="dxa"/>
            </w:tcMar>
            <w:vAlign w:val="center"/>
            <w:hideMark/>
          </w:tcPr>
          <w:p w14:paraId="5956E7D2"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t>27 (34.6)</w:t>
            </w:r>
          </w:p>
        </w:tc>
        <w:tc>
          <w:tcPr>
            <w:tcW w:w="0" w:type="auto"/>
            <w:tcMar>
              <w:top w:w="150" w:type="dxa"/>
              <w:left w:w="240" w:type="dxa"/>
              <w:bottom w:w="150" w:type="dxa"/>
              <w:right w:w="240" w:type="dxa"/>
            </w:tcMar>
            <w:vAlign w:val="center"/>
            <w:hideMark/>
          </w:tcPr>
          <w:p w14:paraId="76083EEC"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t>11 (14.1)</w:t>
            </w:r>
          </w:p>
        </w:tc>
        <w:tc>
          <w:tcPr>
            <w:tcW w:w="0" w:type="auto"/>
            <w:tcMar>
              <w:top w:w="150" w:type="dxa"/>
              <w:left w:w="240" w:type="dxa"/>
              <w:bottom w:w="150" w:type="dxa"/>
              <w:right w:w="0" w:type="dxa"/>
            </w:tcMar>
            <w:vAlign w:val="center"/>
            <w:hideMark/>
          </w:tcPr>
          <w:p w14:paraId="3562E98F"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t>38 (48.7)</w:t>
            </w:r>
          </w:p>
        </w:tc>
      </w:tr>
      <w:tr w:rsidR="006C0CB7" w:rsidRPr="00B01E80" w14:paraId="1B27F982" w14:textId="77777777" w:rsidTr="00446324">
        <w:tc>
          <w:tcPr>
            <w:tcW w:w="0" w:type="auto"/>
            <w:tcMar>
              <w:top w:w="150" w:type="dxa"/>
              <w:left w:w="0" w:type="dxa"/>
              <w:bottom w:w="150" w:type="dxa"/>
              <w:right w:w="240" w:type="dxa"/>
            </w:tcMar>
            <w:vAlign w:val="center"/>
            <w:hideMark/>
          </w:tcPr>
          <w:p w14:paraId="517879DA"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t>32-38</w:t>
            </w:r>
          </w:p>
        </w:tc>
        <w:tc>
          <w:tcPr>
            <w:tcW w:w="0" w:type="auto"/>
            <w:tcMar>
              <w:top w:w="150" w:type="dxa"/>
              <w:left w:w="240" w:type="dxa"/>
              <w:bottom w:w="150" w:type="dxa"/>
              <w:right w:w="240" w:type="dxa"/>
            </w:tcMar>
            <w:vAlign w:val="center"/>
            <w:hideMark/>
          </w:tcPr>
          <w:p w14:paraId="15E78248"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t>103</w:t>
            </w:r>
          </w:p>
        </w:tc>
        <w:tc>
          <w:tcPr>
            <w:tcW w:w="0" w:type="auto"/>
            <w:tcMar>
              <w:top w:w="150" w:type="dxa"/>
              <w:left w:w="240" w:type="dxa"/>
              <w:bottom w:w="150" w:type="dxa"/>
              <w:right w:w="240" w:type="dxa"/>
            </w:tcMar>
            <w:vAlign w:val="center"/>
            <w:hideMark/>
          </w:tcPr>
          <w:p w14:paraId="6D7DAEB7"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t>42 (40.8)</w:t>
            </w:r>
          </w:p>
        </w:tc>
        <w:tc>
          <w:tcPr>
            <w:tcW w:w="0" w:type="auto"/>
            <w:tcMar>
              <w:top w:w="150" w:type="dxa"/>
              <w:left w:w="240" w:type="dxa"/>
              <w:bottom w:w="150" w:type="dxa"/>
              <w:right w:w="240" w:type="dxa"/>
            </w:tcMar>
            <w:vAlign w:val="center"/>
            <w:hideMark/>
          </w:tcPr>
          <w:p w14:paraId="09A482EB"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t>29 (28.2)</w:t>
            </w:r>
          </w:p>
        </w:tc>
        <w:tc>
          <w:tcPr>
            <w:tcW w:w="0" w:type="auto"/>
            <w:tcMar>
              <w:top w:w="150" w:type="dxa"/>
              <w:left w:w="240" w:type="dxa"/>
              <w:bottom w:w="150" w:type="dxa"/>
              <w:right w:w="0" w:type="dxa"/>
            </w:tcMar>
            <w:vAlign w:val="center"/>
            <w:hideMark/>
          </w:tcPr>
          <w:p w14:paraId="073F1C29"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t>71 (68.9)</w:t>
            </w:r>
          </w:p>
        </w:tc>
      </w:tr>
      <w:tr w:rsidR="006C0CB7" w:rsidRPr="00B01E80" w14:paraId="18E2CF21" w14:textId="77777777" w:rsidTr="00446324">
        <w:tc>
          <w:tcPr>
            <w:tcW w:w="0" w:type="auto"/>
            <w:tcMar>
              <w:top w:w="150" w:type="dxa"/>
              <w:left w:w="0" w:type="dxa"/>
              <w:bottom w:w="150" w:type="dxa"/>
              <w:right w:w="240" w:type="dxa"/>
            </w:tcMar>
            <w:vAlign w:val="center"/>
            <w:hideMark/>
          </w:tcPr>
          <w:p w14:paraId="679BB4EF"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lastRenderedPageBreak/>
              <w:t>39-45</w:t>
            </w:r>
          </w:p>
        </w:tc>
        <w:tc>
          <w:tcPr>
            <w:tcW w:w="0" w:type="auto"/>
            <w:tcMar>
              <w:top w:w="150" w:type="dxa"/>
              <w:left w:w="240" w:type="dxa"/>
              <w:bottom w:w="150" w:type="dxa"/>
              <w:right w:w="240" w:type="dxa"/>
            </w:tcMar>
            <w:vAlign w:val="center"/>
            <w:hideMark/>
          </w:tcPr>
          <w:p w14:paraId="5B792451"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t>21</w:t>
            </w:r>
          </w:p>
        </w:tc>
        <w:tc>
          <w:tcPr>
            <w:tcW w:w="0" w:type="auto"/>
            <w:tcMar>
              <w:top w:w="150" w:type="dxa"/>
              <w:left w:w="240" w:type="dxa"/>
              <w:bottom w:w="150" w:type="dxa"/>
              <w:right w:w="240" w:type="dxa"/>
            </w:tcMar>
            <w:vAlign w:val="center"/>
            <w:hideMark/>
          </w:tcPr>
          <w:p w14:paraId="51731C0E"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t>11 (52.4)</w:t>
            </w:r>
          </w:p>
        </w:tc>
        <w:tc>
          <w:tcPr>
            <w:tcW w:w="0" w:type="auto"/>
            <w:tcMar>
              <w:top w:w="150" w:type="dxa"/>
              <w:left w:w="240" w:type="dxa"/>
              <w:bottom w:w="150" w:type="dxa"/>
              <w:right w:w="240" w:type="dxa"/>
            </w:tcMar>
            <w:vAlign w:val="center"/>
            <w:hideMark/>
          </w:tcPr>
          <w:p w14:paraId="48081CC0"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t>2 (9.5)</w:t>
            </w:r>
          </w:p>
        </w:tc>
        <w:tc>
          <w:tcPr>
            <w:tcW w:w="0" w:type="auto"/>
            <w:tcMar>
              <w:top w:w="150" w:type="dxa"/>
              <w:left w:w="240" w:type="dxa"/>
              <w:bottom w:w="150" w:type="dxa"/>
              <w:right w:w="0" w:type="dxa"/>
            </w:tcMar>
            <w:vAlign w:val="center"/>
            <w:hideMark/>
          </w:tcPr>
          <w:p w14:paraId="7A43DF84" w14:textId="77777777" w:rsidR="006C0CB7" w:rsidRPr="00B01E80" w:rsidRDefault="006C0CB7" w:rsidP="00446324">
            <w:pPr>
              <w:spacing w:after="0"/>
              <w:jc w:val="both"/>
              <w:rPr>
                <w:rFonts w:ascii="Times New Roman" w:hAnsi="Times New Roman" w:cs="Times New Roman"/>
                <w:sz w:val="20"/>
                <w:szCs w:val="20"/>
              </w:rPr>
            </w:pPr>
            <w:r w:rsidRPr="00B01E80">
              <w:rPr>
                <w:rFonts w:ascii="Times New Roman" w:hAnsi="Times New Roman" w:cs="Times New Roman"/>
                <w:sz w:val="20"/>
                <w:szCs w:val="20"/>
              </w:rPr>
              <w:t>13 (61.9)</w:t>
            </w:r>
          </w:p>
        </w:tc>
      </w:tr>
      <w:tr w:rsidR="006C0CB7" w:rsidRPr="00B01E80" w14:paraId="3463A83C" w14:textId="77777777" w:rsidTr="00446324">
        <w:tc>
          <w:tcPr>
            <w:tcW w:w="0" w:type="auto"/>
            <w:tcMar>
              <w:top w:w="150" w:type="dxa"/>
              <w:left w:w="0" w:type="dxa"/>
              <w:bottom w:w="150" w:type="dxa"/>
              <w:right w:w="240" w:type="dxa"/>
            </w:tcMar>
            <w:vAlign w:val="center"/>
            <w:hideMark/>
          </w:tcPr>
          <w:p w14:paraId="5030E859" w14:textId="77777777" w:rsidR="006C0CB7" w:rsidRPr="00B01E80" w:rsidRDefault="006C0CB7" w:rsidP="00446324">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t>Total</w:t>
            </w:r>
          </w:p>
        </w:tc>
        <w:tc>
          <w:tcPr>
            <w:tcW w:w="0" w:type="auto"/>
            <w:tcMar>
              <w:top w:w="150" w:type="dxa"/>
              <w:left w:w="240" w:type="dxa"/>
              <w:bottom w:w="150" w:type="dxa"/>
              <w:right w:w="240" w:type="dxa"/>
            </w:tcMar>
            <w:vAlign w:val="center"/>
            <w:hideMark/>
          </w:tcPr>
          <w:p w14:paraId="7F4E837B" w14:textId="77777777" w:rsidR="006C0CB7" w:rsidRPr="00B01E80" w:rsidRDefault="006C0CB7" w:rsidP="00446324">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t>250</w:t>
            </w:r>
          </w:p>
        </w:tc>
        <w:tc>
          <w:tcPr>
            <w:tcW w:w="0" w:type="auto"/>
            <w:tcMar>
              <w:top w:w="150" w:type="dxa"/>
              <w:left w:w="240" w:type="dxa"/>
              <w:bottom w:w="150" w:type="dxa"/>
              <w:right w:w="240" w:type="dxa"/>
            </w:tcMar>
            <w:vAlign w:val="center"/>
            <w:hideMark/>
          </w:tcPr>
          <w:p w14:paraId="02170E22" w14:textId="77777777" w:rsidR="006C0CB7" w:rsidRPr="00B01E80" w:rsidRDefault="006C0CB7" w:rsidP="00446324">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t>98 (39.2)</w:t>
            </w:r>
          </w:p>
        </w:tc>
        <w:tc>
          <w:tcPr>
            <w:tcW w:w="0" w:type="auto"/>
            <w:tcMar>
              <w:top w:w="150" w:type="dxa"/>
              <w:left w:w="240" w:type="dxa"/>
              <w:bottom w:w="150" w:type="dxa"/>
              <w:right w:w="240" w:type="dxa"/>
            </w:tcMar>
            <w:vAlign w:val="center"/>
            <w:hideMark/>
          </w:tcPr>
          <w:p w14:paraId="4985D8FC" w14:textId="77777777" w:rsidR="006C0CB7" w:rsidRPr="00B01E80" w:rsidRDefault="006C0CB7" w:rsidP="00446324">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t>54 (21.6)</w:t>
            </w:r>
          </w:p>
        </w:tc>
        <w:tc>
          <w:tcPr>
            <w:tcW w:w="0" w:type="auto"/>
            <w:tcMar>
              <w:top w:w="150" w:type="dxa"/>
              <w:left w:w="240" w:type="dxa"/>
              <w:bottom w:w="150" w:type="dxa"/>
              <w:right w:w="0" w:type="dxa"/>
            </w:tcMar>
            <w:vAlign w:val="center"/>
            <w:hideMark/>
          </w:tcPr>
          <w:p w14:paraId="2EE222F4" w14:textId="77777777" w:rsidR="006C0CB7" w:rsidRPr="00B01E80" w:rsidRDefault="006C0CB7" w:rsidP="00446324">
            <w:pPr>
              <w:spacing w:after="0"/>
              <w:jc w:val="both"/>
              <w:rPr>
                <w:rFonts w:ascii="Times New Roman" w:hAnsi="Times New Roman" w:cs="Times New Roman"/>
                <w:sz w:val="20"/>
                <w:szCs w:val="20"/>
              </w:rPr>
            </w:pPr>
            <w:r w:rsidRPr="00B01E80">
              <w:rPr>
                <w:rStyle w:val="Strong"/>
                <w:rFonts w:ascii="Times New Roman" w:hAnsi="Times New Roman" w:cs="Times New Roman"/>
                <w:sz w:val="20"/>
                <w:szCs w:val="20"/>
              </w:rPr>
              <w:t>152 (60.8)</w:t>
            </w:r>
          </w:p>
        </w:tc>
      </w:tr>
    </w:tbl>
    <w:p w14:paraId="6E39C51C" w14:textId="77777777" w:rsidR="006C0CB7" w:rsidRPr="00B01E80" w:rsidRDefault="006C0CB7" w:rsidP="006C0CB7">
      <w:pPr>
        <w:pStyle w:val="Heading3"/>
        <w:shd w:val="clear" w:color="auto" w:fill="FFFFFF"/>
        <w:spacing w:before="0"/>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3.2 Phenotypic ESBL Production</w:t>
      </w:r>
    </w:p>
    <w:p w14:paraId="394BAFAB" w14:textId="77777777" w:rsidR="006C0CB7" w:rsidRPr="00B01E80" w:rsidRDefault="006C0CB7" w:rsidP="006C0CB7">
      <w:pPr>
        <w:pStyle w:val="ds-markdown-paragraph"/>
        <w:shd w:val="clear" w:color="auto" w:fill="FFFFFF"/>
        <w:spacing w:before="240" w:beforeAutospacing="0" w:after="0" w:afterAutospacing="0"/>
        <w:jc w:val="both"/>
        <w:rPr>
          <w:color w:val="0F1115"/>
          <w:sz w:val="20"/>
          <w:szCs w:val="20"/>
          <w:shd w:val="clear" w:color="auto" w:fill="FFFFFF"/>
        </w:rPr>
      </w:pPr>
      <w:r w:rsidRPr="00B01E80">
        <w:rPr>
          <w:color w:val="0F1115"/>
          <w:sz w:val="20"/>
          <w:szCs w:val="20"/>
          <w:shd w:val="clear" w:color="auto" w:fill="FFFFFF"/>
        </w:rPr>
        <w:t>Among the 152 total isolates, 89 (58.6%) were phenotypically confirmed as ESBL producers. The prevalence of ESBL production was 57.1% (56/98) among </w:t>
      </w:r>
      <w:r w:rsidRPr="00B01E80">
        <w:rPr>
          <w:rStyle w:val="Emphasis"/>
          <w:color w:val="0F1115"/>
          <w:sz w:val="20"/>
          <w:szCs w:val="20"/>
          <w:shd w:val="clear" w:color="auto" w:fill="FFFFFF"/>
        </w:rPr>
        <w:t>P. aeruginosa</w:t>
      </w:r>
      <w:r w:rsidRPr="00B01E80">
        <w:rPr>
          <w:color w:val="0F1115"/>
          <w:sz w:val="20"/>
          <w:szCs w:val="20"/>
          <w:shd w:val="clear" w:color="auto" w:fill="FFFFFF"/>
        </w:rPr>
        <w:t> isolates and 61.1% (33/54) among </w:t>
      </w:r>
      <w:r w:rsidRPr="00B01E80">
        <w:rPr>
          <w:rStyle w:val="Emphasis"/>
          <w:color w:val="0F1115"/>
          <w:sz w:val="20"/>
          <w:szCs w:val="20"/>
          <w:shd w:val="clear" w:color="auto" w:fill="FFFFFF"/>
        </w:rPr>
        <w:t>A. baumannii</w:t>
      </w:r>
      <w:r w:rsidRPr="00B01E80">
        <w:rPr>
          <w:color w:val="0F1115"/>
          <w:sz w:val="20"/>
          <w:szCs w:val="20"/>
          <w:shd w:val="clear" w:color="auto" w:fill="FFFFFF"/>
        </w:rPr>
        <w:t> isolates. The highest proportion of ESBL producers was observed in the 32-38 years age group for </w:t>
      </w:r>
      <w:r w:rsidRPr="00B01E80">
        <w:rPr>
          <w:rStyle w:val="Emphasis"/>
          <w:color w:val="0F1115"/>
          <w:sz w:val="20"/>
          <w:szCs w:val="20"/>
          <w:shd w:val="clear" w:color="auto" w:fill="FFFFFF"/>
        </w:rPr>
        <w:t>P. aeruginosa</w:t>
      </w:r>
      <w:r w:rsidRPr="00B01E80">
        <w:rPr>
          <w:color w:val="0F1115"/>
          <w:sz w:val="20"/>
          <w:szCs w:val="20"/>
          <w:shd w:val="clear" w:color="auto" w:fill="FFFFFF"/>
        </w:rPr>
        <w:t> (33/42, 78.6%) and in the 25-31 years age group for </w:t>
      </w:r>
      <w:r w:rsidRPr="00B01E80">
        <w:rPr>
          <w:rStyle w:val="Emphasis"/>
          <w:color w:val="0F1115"/>
          <w:sz w:val="20"/>
          <w:szCs w:val="20"/>
          <w:shd w:val="clear" w:color="auto" w:fill="FFFFFF"/>
        </w:rPr>
        <w:t>A. baumannii</w:t>
      </w:r>
      <w:r w:rsidRPr="00B01E80">
        <w:rPr>
          <w:color w:val="0F1115"/>
          <w:sz w:val="20"/>
          <w:szCs w:val="20"/>
          <w:shd w:val="clear" w:color="auto" w:fill="FFFFFF"/>
        </w:rPr>
        <w:t> (8/11, 72.7%).</w:t>
      </w:r>
    </w:p>
    <w:p w14:paraId="279F0D90" w14:textId="77777777" w:rsidR="006C0CB7" w:rsidRPr="00B01E80" w:rsidRDefault="006C0CB7" w:rsidP="006C0CB7">
      <w:pPr>
        <w:pStyle w:val="Heading3"/>
        <w:shd w:val="clear" w:color="auto" w:fill="FFFFFF"/>
        <w:spacing w:before="0"/>
        <w:jc w:val="both"/>
        <w:rPr>
          <w:rFonts w:ascii="Times New Roman" w:hAnsi="Times New Roman" w:cs="Times New Roman"/>
          <w:b/>
          <w:color w:val="0F1115"/>
          <w:sz w:val="20"/>
          <w:szCs w:val="20"/>
        </w:rPr>
      </w:pPr>
      <w:r w:rsidRPr="00B01E80">
        <w:rPr>
          <w:rFonts w:ascii="Times New Roman" w:hAnsi="Times New Roman" w:cs="Times New Roman"/>
          <w:b/>
          <w:color w:val="0F1115"/>
          <w:sz w:val="20"/>
          <w:szCs w:val="20"/>
        </w:rPr>
        <w:t>3.3 Antibiotic Susceptibility Profiles</w:t>
      </w:r>
    </w:p>
    <w:p w14:paraId="1BD80A02"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Antibiotic susceptibility testing of the 89 ESBL-positive isolates revealed extensive resistance to cephalosporins, tetracyclines, and fluoroquinolones (</w:t>
      </w:r>
      <w:r w:rsidRPr="00B01E80">
        <w:rPr>
          <w:rStyle w:val="Strong"/>
          <w:color w:val="0F1115"/>
          <w:sz w:val="20"/>
          <w:szCs w:val="20"/>
        </w:rPr>
        <w:t>Table 3</w:t>
      </w:r>
      <w:r w:rsidRPr="00B01E80">
        <w:rPr>
          <w:color w:val="0F1115"/>
          <w:sz w:val="20"/>
          <w:szCs w:val="20"/>
        </w:rPr>
        <w:t>). Complete resistance (100%) was observed to cefotaxime, ceftazidime, and tetracycline among </w:t>
      </w:r>
      <w:r w:rsidRPr="00B01E80">
        <w:rPr>
          <w:rStyle w:val="Emphasis"/>
          <w:color w:val="0F1115"/>
          <w:sz w:val="20"/>
          <w:szCs w:val="20"/>
        </w:rPr>
        <w:t>P. aeruginosa</w:t>
      </w:r>
      <w:r w:rsidRPr="00B01E80">
        <w:rPr>
          <w:color w:val="0F1115"/>
          <w:sz w:val="20"/>
          <w:szCs w:val="20"/>
        </w:rPr>
        <w:t> isolates. Resistance to ciprofloxacin was documented in 73.2% of </w:t>
      </w:r>
      <w:r w:rsidRPr="00B01E80">
        <w:rPr>
          <w:rStyle w:val="Emphasis"/>
          <w:color w:val="0F1115"/>
          <w:sz w:val="20"/>
          <w:szCs w:val="20"/>
        </w:rPr>
        <w:t>P. aeruginosa</w:t>
      </w:r>
      <w:r w:rsidRPr="00B01E80">
        <w:rPr>
          <w:color w:val="0F1115"/>
          <w:sz w:val="20"/>
          <w:szCs w:val="20"/>
        </w:rPr>
        <w:t> and 81.8% of </w:t>
      </w:r>
      <w:r w:rsidRPr="00B01E80">
        <w:rPr>
          <w:rStyle w:val="Emphasis"/>
          <w:color w:val="0F1115"/>
          <w:sz w:val="20"/>
          <w:szCs w:val="20"/>
        </w:rPr>
        <w:t>A. baumannii</w:t>
      </w:r>
      <w:r w:rsidRPr="00B01E80">
        <w:rPr>
          <w:color w:val="0F1115"/>
          <w:sz w:val="20"/>
          <w:szCs w:val="20"/>
        </w:rPr>
        <w:t> ESBL-positive isolates. Levofloxacin resistance was 100% among </w:t>
      </w:r>
      <w:r w:rsidRPr="00B01E80">
        <w:rPr>
          <w:rStyle w:val="Emphasis"/>
          <w:color w:val="0F1115"/>
          <w:sz w:val="20"/>
          <w:szCs w:val="20"/>
        </w:rPr>
        <w:t>P. aeruginosa</w:t>
      </w:r>
      <w:r w:rsidRPr="00B01E80">
        <w:rPr>
          <w:color w:val="0F1115"/>
          <w:sz w:val="20"/>
          <w:szCs w:val="20"/>
        </w:rPr>
        <w:t> and 63.6% among </w:t>
      </w:r>
      <w:r w:rsidRPr="00B01E80">
        <w:rPr>
          <w:rStyle w:val="Emphasis"/>
          <w:color w:val="0F1115"/>
          <w:sz w:val="20"/>
          <w:szCs w:val="20"/>
        </w:rPr>
        <w:t>A. baumannii</w:t>
      </w:r>
      <w:r w:rsidRPr="00B01E80">
        <w:rPr>
          <w:color w:val="0F1115"/>
          <w:sz w:val="20"/>
          <w:szCs w:val="20"/>
        </w:rPr>
        <w:t>.</w:t>
      </w:r>
    </w:p>
    <w:p w14:paraId="4A04A726" w14:textId="77777777" w:rsidR="006C0CB7" w:rsidRPr="0057177C"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Imipenem demonstrated the highest efficacy, with susceptibility rates of 67.9% for </w:t>
      </w:r>
      <w:r w:rsidRPr="00B01E80">
        <w:rPr>
          <w:rStyle w:val="Emphasis"/>
          <w:color w:val="0F1115"/>
          <w:sz w:val="20"/>
          <w:szCs w:val="20"/>
        </w:rPr>
        <w:t>P. aeruginosa</w:t>
      </w:r>
      <w:r w:rsidRPr="00B01E80">
        <w:rPr>
          <w:color w:val="0F1115"/>
          <w:sz w:val="20"/>
          <w:szCs w:val="20"/>
        </w:rPr>
        <w:t> and 90.9% for </w:t>
      </w:r>
      <w:r w:rsidRPr="00B01E80">
        <w:rPr>
          <w:rStyle w:val="Emphasis"/>
          <w:color w:val="0F1115"/>
          <w:sz w:val="20"/>
          <w:szCs w:val="20"/>
        </w:rPr>
        <w:t>A. baumannii</w:t>
      </w:r>
      <w:r w:rsidRPr="00B01E80">
        <w:rPr>
          <w:color w:val="0F1115"/>
          <w:sz w:val="20"/>
          <w:szCs w:val="20"/>
        </w:rPr>
        <w:t>. Gentamicin also retained moderate activity, with susceptibility rates of 71.4% and 78.8% for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respectively.</w:t>
      </w:r>
    </w:p>
    <w:p w14:paraId="2F8D2E07" w14:textId="77777777" w:rsidR="006C0CB7" w:rsidRPr="00B01E80" w:rsidRDefault="006C0CB7" w:rsidP="006C0CB7">
      <w:pPr>
        <w:shd w:val="clear" w:color="auto" w:fill="FFFFFF"/>
        <w:spacing w:after="0" w:line="240" w:lineRule="auto"/>
        <w:rPr>
          <w:rFonts w:ascii="Times New Roman" w:eastAsia="Times New Roman" w:hAnsi="Times New Roman" w:cs="Times New Roman"/>
          <w:b/>
          <w:bCs/>
          <w:color w:val="0F1115"/>
          <w:sz w:val="20"/>
          <w:szCs w:val="20"/>
        </w:rPr>
      </w:pPr>
    </w:p>
    <w:p w14:paraId="562B987C" w14:textId="77777777" w:rsidR="006C0CB7" w:rsidRPr="00B01E80" w:rsidRDefault="006C0CB7" w:rsidP="006C0CB7">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Table 3: Antibiotic Susceptibility Profiles of ESBL-Positive </w:t>
      </w:r>
      <w:r w:rsidRPr="00B01E80">
        <w:rPr>
          <w:rFonts w:ascii="Times New Roman" w:eastAsia="Times New Roman" w:hAnsi="Times New Roman" w:cs="Times New Roman"/>
          <w:b/>
          <w:bCs/>
          <w:i/>
          <w:iCs/>
          <w:color w:val="0F1115"/>
          <w:sz w:val="20"/>
          <w:szCs w:val="20"/>
        </w:rPr>
        <w:t>P. aeruginosa</w:t>
      </w:r>
      <w:r w:rsidRPr="00B01E80">
        <w:rPr>
          <w:rFonts w:ascii="Times New Roman" w:eastAsia="Times New Roman" w:hAnsi="Times New Roman" w:cs="Times New Roman"/>
          <w:b/>
          <w:bCs/>
          <w:color w:val="0F1115"/>
          <w:sz w:val="20"/>
          <w:szCs w:val="20"/>
        </w:rPr>
        <w:t> (n=56) and </w:t>
      </w:r>
      <w:r w:rsidRPr="00B01E80">
        <w:rPr>
          <w:rFonts w:ascii="Times New Roman" w:eastAsia="Times New Roman" w:hAnsi="Times New Roman" w:cs="Times New Roman"/>
          <w:b/>
          <w:bCs/>
          <w:i/>
          <w:iCs/>
          <w:color w:val="0F1115"/>
          <w:sz w:val="20"/>
          <w:szCs w:val="20"/>
        </w:rPr>
        <w:t>A. baumannii</w:t>
      </w:r>
      <w:r w:rsidRPr="00B01E80">
        <w:rPr>
          <w:rFonts w:ascii="Times New Roman" w:eastAsia="Times New Roman" w:hAnsi="Times New Roman" w:cs="Times New Roman"/>
          <w:b/>
          <w:bCs/>
          <w:color w:val="0F1115"/>
          <w:sz w:val="20"/>
          <w:szCs w:val="20"/>
        </w:rPr>
        <w:t> (n=33) Isolates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73"/>
        <w:gridCol w:w="1608"/>
        <w:gridCol w:w="1625"/>
        <w:gridCol w:w="1214"/>
        <w:gridCol w:w="1614"/>
        <w:gridCol w:w="974"/>
      </w:tblGrid>
      <w:tr w:rsidR="006C0CB7" w:rsidRPr="00B01E80" w14:paraId="04971F73" w14:textId="77777777" w:rsidTr="00446324">
        <w:trPr>
          <w:tblHeader/>
        </w:trPr>
        <w:tc>
          <w:tcPr>
            <w:tcW w:w="0" w:type="auto"/>
            <w:tcBorders>
              <w:top w:val="single" w:sz="4" w:space="0" w:color="auto"/>
              <w:bottom w:val="nil"/>
            </w:tcBorders>
            <w:tcMar>
              <w:top w:w="150" w:type="dxa"/>
              <w:left w:w="0" w:type="dxa"/>
              <w:bottom w:w="150" w:type="dxa"/>
              <w:right w:w="240" w:type="dxa"/>
            </w:tcMar>
            <w:vAlign w:val="center"/>
            <w:hideMark/>
          </w:tcPr>
          <w:p w14:paraId="6185B3FF" w14:textId="77777777" w:rsidR="006C0CB7" w:rsidRPr="00B01E80" w:rsidRDefault="006C0CB7" w:rsidP="00446324">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Antibiotic Class</w:t>
            </w:r>
          </w:p>
        </w:tc>
        <w:tc>
          <w:tcPr>
            <w:tcW w:w="0" w:type="auto"/>
            <w:tcBorders>
              <w:top w:val="single" w:sz="4" w:space="0" w:color="auto"/>
              <w:bottom w:val="nil"/>
            </w:tcBorders>
            <w:tcMar>
              <w:top w:w="150" w:type="dxa"/>
              <w:left w:w="240" w:type="dxa"/>
              <w:bottom w:w="150" w:type="dxa"/>
              <w:right w:w="240" w:type="dxa"/>
            </w:tcMar>
            <w:vAlign w:val="center"/>
            <w:hideMark/>
          </w:tcPr>
          <w:p w14:paraId="61572D81" w14:textId="77777777" w:rsidR="006C0CB7" w:rsidRPr="00B01E80" w:rsidRDefault="006C0CB7" w:rsidP="00446324">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Antibiotic</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8798EF8" w14:textId="77777777" w:rsidR="006C0CB7" w:rsidRPr="00B01E80" w:rsidRDefault="006C0CB7" w:rsidP="00446324">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i/>
                <w:iCs/>
                <w:sz w:val="20"/>
                <w:szCs w:val="20"/>
              </w:rPr>
              <w:t>P. aeruginosa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A6EA985" w14:textId="77777777" w:rsidR="006C0CB7" w:rsidRPr="00B01E80" w:rsidRDefault="006C0CB7" w:rsidP="00446324">
            <w:pPr>
              <w:spacing w:after="0" w:line="240" w:lineRule="auto"/>
              <w:rPr>
                <w:rFonts w:ascii="Times New Roman" w:eastAsia="Times New Roman" w:hAnsi="Times New Roman" w:cs="Times New Roman"/>
                <w:b/>
                <w:bCs/>
                <w:sz w:val="20"/>
                <w:szCs w:val="20"/>
              </w:rPr>
            </w:pP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26A1C99" w14:textId="77777777" w:rsidR="006C0CB7" w:rsidRPr="00B01E80" w:rsidRDefault="006C0CB7" w:rsidP="00446324">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i/>
                <w:iCs/>
                <w:sz w:val="20"/>
                <w:szCs w:val="20"/>
              </w:rPr>
              <w:t>A. baumannii</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BD7E5C8" w14:textId="77777777" w:rsidR="006C0CB7" w:rsidRPr="00B01E80" w:rsidRDefault="006C0CB7" w:rsidP="00446324">
            <w:pPr>
              <w:spacing w:after="0" w:line="240" w:lineRule="auto"/>
              <w:rPr>
                <w:rFonts w:ascii="Times New Roman" w:eastAsia="Times New Roman" w:hAnsi="Times New Roman" w:cs="Times New Roman"/>
                <w:b/>
                <w:bCs/>
                <w:sz w:val="20"/>
                <w:szCs w:val="20"/>
              </w:rPr>
            </w:pPr>
          </w:p>
        </w:tc>
      </w:tr>
      <w:tr w:rsidR="006C0CB7" w:rsidRPr="00B01E80" w14:paraId="48BE9C24" w14:textId="77777777" w:rsidTr="00446324">
        <w:tc>
          <w:tcPr>
            <w:tcW w:w="0" w:type="auto"/>
            <w:tcBorders>
              <w:top w:val="nil"/>
              <w:bottom w:val="single" w:sz="4" w:space="0" w:color="auto"/>
            </w:tcBorders>
            <w:tcMar>
              <w:top w:w="150" w:type="dxa"/>
              <w:left w:w="0" w:type="dxa"/>
              <w:bottom w:w="150" w:type="dxa"/>
              <w:right w:w="240" w:type="dxa"/>
            </w:tcMar>
            <w:vAlign w:val="center"/>
            <w:hideMark/>
          </w:tcPr>
          <w:p w14:paraId="349E2092" w14:textId="77777777" w:rsidR="006C0CB7" w:rsidRPr="00B01E80" w:rsidRDefault="006C0CB7" w:rsidP="00446324">
            <w:pPr>
              <w:spacing w:after="0" w:line="240" w:lineRule="auto"/>
              <w:rPr>
                <w:rFonts w:ascii="Times New Roman" w:eastAsia="Times New Roman" w:hAnsi="Times New Roman" w:cs="Times New Roman"/>
                <w:sz w:val="20"/>
                <w:szCs w:val="20"/>
              </w:rPr>
            </w:pPr>
          </w:p>
        </w:tc>
        <w:tc>
          <w:tcPr>
            <w:tcW w:w="0" w:type="auto"/>
            <w:tcBorders>
              <w:top w:val="nil"/>
              <w:bottom w:val="single" w:sz="4" w:space="0" w:color="auto"/>
            </w:tcBorders>
            <w:tcMar>
              <w:top w:w="150" w:type="dxa"/>
              <w:left w:w="240" w:type="dxa"/>
              <w:bottom w:w="150" w:type="dxa"/>
              <w:right w:w="240" w:type="dxa"/>
            </w:tcMar>
            <w:vAlign w:val="center"/>
            <w:hideMark/>
          </w:tcPr>
          <w:p w14:paraId="315457CF" w14:textId="77777777" w:rsidR="006C0CB7" w:rsidRPr="00B01E80" w:rsidRDefault="006C0CB7" w:rsidP="00446324">
            <w:pPr>
              <w:spacing w:after="0" w:line="240" w:lineRule="auto"/>
              <w:rPr>
                <w:rFonts w:ascii="Times New Roman" w:eastAsia="Times New Roman" w:hAnsi="Times New Roman" w:cs="Times New Roman"/>
                <w:sz w:val="20"/>
                <w:szCs w:val="20"/>
              </w:rPr>
            </w:pP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BB960B7"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R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1C00F04"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S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00CF1AF"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R (%)</w:t>
            </w:r>
          </w:p>
        </w:tc>
        <w:tc>
          <w:tcPr>
            <w:tcW w:w="0" w:type="auto"/>
            <w:tcBorders>
              <w:top w:val="single" w:sz="4" w:space="0" w:color="auto"/>
              <w:bottom w:val="single" w:sz="4" w:space="0" w:color="auto"/>
            </w:tcBorders>
            <w:tcMar>
              <w:top w:w="150" w:type="dxa"/>
              <w:left w:w="240" w:type="dxa"/>
              <w:bottom w:w="150" w:type="dxa"/>
              <w:right w:w="0" w:type="dxa"/>
            </w:tcMar>
            <w:vAlign w:val="center"/>
            <w:hideMark/>
          </w:tcPr>
          <w:p w14:paraId="2BA08943"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S (%)</w:t>
            </w:r>
          </w:p>
        </w:tc>
      </w:tr>
      <w:tr w:rsidR="006C0CB7" w:rsidRPr="00B01E80" w14:paraId="1821B790" w14:textId="77777777" w:rsidTr="00446324">
        <w:tc>
          <w:tcPr>
            <w:tcW w:w="0" w:type="auto"/>
            <w:tcBorders>
              <w:top w:val="single" w:sz="4" w:space="0" w:color="auto"/>
            </w:tcBorders>
            <w:tcMar>
              <w:top w:w="150" w:type="dxa"/>
              <w:left w:w="0" w:type="dxa"/>
              <w:bottom w:w="150" w:type="dxa"/>
              <w:right w:w="240" w:type="dxa"/>
            </w:tcMar>
            <w:vAlign w:val="center"/>
            <w:hideMark/>
          </w:tcPr>
          <w:p w14:paraId="5378F1E2"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Cephalosporins (3rd gen)</w:t>
            </w:r>
          </w:p>
        </w:tc>
        <w:tc>
          <w:tcPr>
            <w:tcW w:w="0" w:type="auto"/>
            <w:tcBorders>
              <w:top w:val="single" w:sz="4" w:space="0" w:color="auto"/>
            </w:tcBorders>
            <w:tcMar>
              <w:top w:w="150" w:type="dxa"/>
              <w:left w:w="240" w:type="dxa"/>
              <w:bottom w:w="150" w:type="dxa"/>
              <w:right w:w="240" w:type="dxa"/>
            </w:tcMar>
            <w:vAlign w:val="center"/>
            <w:hideMark/>
          </w:tcPr>
          <w:p w14:paraId="61E45F04"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Cefotaxime</w:t>
            </w:r>
          </w:p>
        </w:tc>
        <w:tc>
          <w:tcPr>
            <w:tcW w:w="0" w:type="auto"/>
            <w:tcBorders>
              <w:top w:val="single" w:sz="4" w:space="0" w:color="auto"/>
            </w:tcBorders>
            <w:tcMar>
              <w:top w:w="150" w:type="dxa"/>
              <w:left w:w="240" w:type="dxa"/>
              <w:bottom w:w="150" w:type="dxa"/>
              <w:right w:w="240" w:type="dxa"/>
            </w:tcMar>
            <w:vAlign w:val="center"/>
            <w:hideMark/>
          </w:tcPr>
          <w:p w14:paraId="111DF638"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Borders>
              <w:top w:val="single" w:sz="4" w:space="0" w:color="auto"/>
            </w:tcBorders>
            <w:tcMar>
              <w:top w:w="150" w:type="dxa"/>
              <w:left w:w="240" w:type="dxa"/>
              <w:bottom w:w="150" w:type="dxa"/>
              <w:right w:w="240" w:type="dxa"/>
            </w:tcMar>
            <w:vAlign w:val="center"/>
            <w:hideMark/>
          </w:tcPr>
          <w:p w14:paraId="457B8D0C"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Borders>
              <w:top w:val="single" w:sz="4" w:space="0" w:color="auto"/>
            </w:tcBorders>
            <w:tcMar>
              <w:top w:w="150" w:type="dxa"/>
              <w:left w:w="240" w:type="dxa"/>
              <w:bottom w:w="150" w:type="dxa"/>
              <w:right w:w="240" w:type="dxa"/>
            </w:tcMar>
            <w:vAlign w:val="center"/>
            <w:hideMark/>
          </w:tcPr>
          <w:p w14:paraId="2FDEE2DF"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33 (100)</w:t>
            </w:r>
          </w:p>
        </w:tc>
        <w:tc>
          <w:tcPr>
            <w:tcW w:w="0" w:type="auto"/>
            <w:tcBorders>
              <w:top w:val="single" w:sz="4" w:space="0" w:color="auto"/>
            </w:tcBorders>
            <w:tcMar>
              <w:top w:w="150" w:type="dxa"/>
              <w:left w:w="240" w:type="dxa"/>
              <w:bottom w:w="150" w:type="dxa"/>
              <w:right w:w="0" w:type="dxa"/>
            </w:tcMar>
            <w:vAlign w:val="center"/>
            <w:hideMark/>
          </w:tcPr>
          <w:p w14:paraId="14B252DD"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r>
      <w:tr w:rsidR="006C0CB7" w:rsidRPr="00B01E80" w14:paraId="1B470C14" w14:textId="77777777" w:rsidTr="00446324">
        <w:tc>
          <w:tcPr>
            <w:tcW w:w="0" w:type="auto"/>
            <w:tcMar>
              <w:top w:w="150" w:type="dxa"/>
              <w:left w:w="0" w:type="dxa"/>
              <w:bottom w:w="150" w:type="dxa"/>
              <w:right w:w="240" w:type="dxa"/>
            </w:tcMar>
            <w:vAlign w:val="center"/>
            <w:hideMark/>
          </w:tcPr>
          <w:p w14:paraId="608BC988"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Cephalosporins (3rd gen)</w:t>
            </w:r>
          </w:p>
        </w:tc>
        <w:tc>
          <w:tcPr>
            <w:tcW w:w="0" w:type="auto"/>
            <w:tcMar>
              <w:top w:w="150" w:type="dxa"/>
              <w:left w:w="240" w:type="dxa"/>
              <w:bottom w:w="150" w:type="dxa"/>
              <w:right w:w="240" w:type="dxa"/>
            </w:tcMar>
            <w:vAlign w:val="center"/>
            <w:hideMark/>
          </w:tcPr>
          <w:p w14:paraId="6DBF456A"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Ceftazidime</w:t>
            </w:r>
          </w:p>
        </w:tc>
        <w:tc>
          <w:tcPr>
            <w:tcW w:w="0" w:type="auto"/>
            <w:tcMar>
              <w:top w:w="150" w:type="dxa"/>
              <w:left w:w="240" w:type="dxa"/>
              <w:bottom w:w="150" w:type="dxa"/>
              <w:right w:w="240" w:type="dxa"/>
            </w:tcMar>
            <w:vAlign w:val="center"/>
            <w:hideMark/>
          </w:tcPr>
          <w:p w14:paraId="5DD6D9A2"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Mar>
              <w:top w:w="150" w:type="dxa"/>
              <w:left w:w="240" w:type="dxa"/>
              <w:bottom w:w="150" w:type="dxa"/>
              <w:right w:w="240" w:type="dxa"/>
            </w:tcMar>
            <w:vAlign w:val="center"/>
            <w:hideMark/>
          </w:tcPr>
          <w:p w14:paraId="16680BDF"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Mar>
              <w:top w:w="150" w:type="dxa"/>
              <w:left w:w="240" w:type="dxa"/>
              <w:bottom w:w="150" w:type="dxa"/>
              <w:right w:w="240" w:type="dxa"/>
            </w:tcMar>
            <w:vAlign w:val="center"/>
            <w:hideMark/>
          </w:tcPr>
          <w:p w14:paraId="309C32B2"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33 (100)</w:t>
            </w:r>
          </w:p>
        </w:tc>
        <w:tc>
          <w:tcPr>
            <w:tcW w:w="0" w:type="auto"/>
            <w:tcMar>
              <w:top w:w="150" w:type="dxa"/>
              <w:left w:w="240" w:type="dxa"/>
              <w:bottom w:w="150" w:type="dxa"/>
              <w:right w:w="0" w:type="dxa"/>
            </w:tcMar>
            <w:vAlign w:val="center"/>
            <w:hideMark/>
          </w:tcPr>
          <w:p w14:paraId="7351917B"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r>
      <w:tr w:rsidR="006C0CB7" w:rsidRPr="00B01E80" w14:paraId="76F4FD40" w14:textId="77777777" w:rsidTr="00446324">
        <w:tc>
          <w:tcPr>
            <w:tcW w:w="0" w:type="auto"/>
            <w:tcMar>
              <w:top w:w="150" w:type="dxa"/>
              <w:left w:w="0" w:type="dxa"/>
              <w:bottom w:w="150" w:type="dxa"/>
              <w:right w:w="240" w:type="dxa"/>
            </w:tcMar>
            <w:vAlign w:val="center"/>
            <w:hideMark/>
          </w:tcPr>
          <w:p w14:paraId="0FA7206D"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Cephalosporins (4th gen)</w:t>
            </w:r>
          </w:p>
        </w:tc>
        <w:tc>
          <w:tcPr>
            <w:tcW w:w="0" w:type="auto"/>
            <w:tcMar>
              <w:top w:w="150" w:type="dxa"/>
              <w:left w:w="240" w:type="dxa"/>
              <w:bottom w:w="150" w:type="dxa"/>
              <w:right w:w="240" w:type="dxa"/>
            </w:tcMar>
            <w:vAlign w:val="center"/>
            <w:hideMark/>
          </w:tcPr>
          <w:p w14:paraId="1993C22D"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Cefepime</w:t>
            </w:r>
          </w:p>
        </w:tc>
        <w:tc>
          <w:tcPr>
            <w:tcW w:w="0" w:type="auto"/>
            <w:tcMar>
              <w:top w:w="150" w:type="dxa"/>
              <w:left w:w="240" w:type="dxa"/>
              <w:bottom w:w="150" w:type="dxa"/>
              <w:right w:w="240" w:type="dxa"/>
            </w:tcMar>
            <w:vAlign w:val="center"/>
            <w:hideMark/>
          </w:tcPr>
          <w:p w14:paraId="548D0440"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42 (75.0)</w:t>
            </w:r>
          </w:p>
        </w:tc>
        <w:tc>
          <w:tcPr>
            <w:tcW w:w="0" w:type="auto"/>
            <w:tcMar>
              <w:top w:w="150" w:type="dxa"/>
              <w:left w:w="240" w:type="dxa"/>
              <w:bottom w:w="150" w:type="dxa"/>
              <w:right w:w="240" w:type="dxa"/>
            </w:tcMar>
            <w:vAlign w:val="center"/>
            <w:hideMark/>
          </w:tcPr>
          <w:p w14:paraId="40E8E52A"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14 (25.0)</w:t>
            </w:r>
          </w:p>
        </w:tc>
        <w:tc>
          <w:tcPr>
            <w:tcW w:w="0" w:type="auto"/>
            <w:tcMar>
              <w:top w:w="150" w:type="dxa"/>
              <w:left w:w="240" w:type="dxa"/>
              <w:bottom w:w="150" w:type="dxa"/>
              <w:right w:w="240" w:type="dxa"/>
            </w:tcMar>
            <w:vAlign w:val="center"/>
            <w:hideMark/>
          </w:tcPr>
          <w:p w14:paraId="41AC54E6"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28 (84.8)</w:t>
            </w:r>
          </w:p>
        </w:tc>
        <w:tc>
          <w:tcPr>
            <w:tcW w:w="0" w:type="auto"/>
            <w:tcMar>
              <w:top w:w="150" w:type="dxa"/>
              <w:left w:w="240" w:type="dxa"/>
              <w:bottom w:w="150" w:type="dxa"/>
              <w:right w:w="0" w:type="dxa"/>
            </w:tcMar>
            <w:vAlign w:val="center"/>
            <w:hideMark/>
          </w:tcPr>
          <w:p w14:paraId="0B41D0D4"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 (15.2)</w:t>
            </w:r>
          </w:p>
        </w:tc>
      </w:tr>
      <w:tr w:rsidR="006C0CB7" w:rsidRPr="00B01E80" w14:paraId="2B796F47" w14:textId="77777777" w:rsidTr="00446324">
        <w:tc>
          <w:tcPr>
            <w:tcW w:w="0" w:type="auto"/>
            <w:tcMar>
              <w:top w:w="150" w:type="dxa"/>
              <w:left w:w="0" w:type="dxa"/>
              <w:bottom w:w="150" w:type="dxa"/>
              <w:right w:w="240" w:type="dxa"/>
            </w:tcMar>
            <w:vAlign w:val="center"/>
            <w:hideMark/>
          </w:tcPr>
          <w:p w14:paraId="2FA46ED8"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Carbapenems</w:t>
            </w:r>
          </w:p>
        </w:tc>
        <w:tc>
          <w:tcPr>
            <w:tcW w:w="0" w:type="auto"/>
            <w:tcMar>
              <w:top w:w="150" w:type="dxa"/>
              <w:left w:w="240" w:type="dxa"/>
              <w:bottom w:w="150" w:type="dxa"/>
              <w:right w:w="240" w:type="dxa"/>
            </w:tcMar>
            <w:vAlign w:val="center"/>
            <w:hideMark/>
          </w:tcPr>
          <w:p w14:paraId="523D3234"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Imipenem</w:t>
            </w:r>
          </w:p>
        </w:tc>
        <w:tc>
          <w:tcPr>
            <w:tcW w:w="0" w:type="auto"/>
            <w:tcMar>
              <w:top w:w="150" w:type="dxa"/>
              <w:left w:w="240" w:type="dxa"/>
              <w:bottom w:w="150" w:type="dxa"/>
              <w:right w:w="240" w:type="dxa"/>
            </w:tcMar>
            <w:vAlign w:val="center"/>
            <w:hideMark/>
          </w:tcPr>
          <w:p w14:paraId="10BBD7A6"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18 (32.1)</w:t>
            </w:r>
          </w:p>
        </w:tc>
        <w:tc>
          <w:tcPr>
            <w:tcW w:w="0" w:type="auto"/>
            <w:tcMar>
              <w:top w:w="150" w:type="dxa"/>
              <w:left w:w="240" w:type="dxa"/>
              <w:bottom w:w="150" w:type="dxa"/>
              <w:right w:w="240" w:type="dxa"/>
            </w:tcMar>
            <w:vAlign w:val="center"/>
            <w:hideMark/>
          </w:tcPr>
          <w:p w14:paraId="114CBE38"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38 (67.9)</w:t>
            </w:r>
          </w:p>
        </w:tc>
        <w:tc>
          <w:tcPr>
            <w:tcW w:w="0" w:type="auto"/>
            <w:tcMar>
              <w:top w:w="150" w:type="dxa"/>
              <w:left w:w="240" w:type="dxa"/>
              <w:bottom w:w="150" w:type="dxa"/>
              <w:right w:w="240" w:type="dxa"/>
            </w:tcMar>
            <w:vAlign w:val="center"/>
            <w:hideMark/>
          </w:tcPr>
          <w:p w14:paraId="482A25B0"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 (9.1)</w:t>
            </w:r>
          </w:p>
        </w:tc>
        <w:tc>
          <w:tcPr>
            <w:tcW w:w="0" w:type="auto"/>
            <w:tcMar>
              <w:top w:w="150" w:type="dxa"/>
              <w:left w:w="240" w:type="dxa"/>
              <w:bottom w:w="150" w:type="dxa"/>
              <w:right w:w="0" w:type="dxa"/>
            </w:tcMar>
            <w:vAlign w:val="center"/>
            <w:hideMark/>
          </w:tcPr>
          <w:p w14:paraId="13F4A562"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30 (90.9)</w:t>
            </w:r>
          </w:p>
        </w:tc>
      </w:tr>
      <w:tr w:rsidR="006C0CB7" w:rsidRPr="00B01E80" w14:paraId="09107223" w14:textId="77777777" w:rsidTr="00446324">
        <w:tc>
          <w:tcPr>
            <w:tcW w:w="0" w:type="auto"/>
            <w:tcMar>
              <w:top w:w="150" w:type="dxa"/>
              <w:left w:w="0" w:type="dxa"/>
              <w:bottom w:w="150" w:type="dxa"/>
              <w:right w:w="240" w:type="dxa"/>
            </w:tcMar>
            <w:vAlign w:val="center"/>
            <w:hideMark/>
          </w:tcPr>
          <w:p w14:paraId="6CAEC5FD"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Carbapenems</w:t>
            </w:r>
          </w:p>
        </w:tc>
        <w:tc>
          <w:tcPr>
            <w:tcW w:w="0" w:type="auto"/>
            <w:tcMar>
              <w:top w:w="150" w:type="dxa"/>
              <w:left w:w="240" w:type="dxa"/>
              <w:bottom w:w="150" w:type="dxa"/>
              <w:right w:w="240" w:type="dxa"/>
            </w:tcMar>
            <w:vAlign w:val="center"/>
            <w:hideMark/>
          </w:tcPr>
          <w:p w14:paraId="07EE7AE4"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Meropenem</w:t>
            </w:r>
          </w:p>
        </w:tc>
        <w:tc>
          <w:tcPr>
            <w:tcW w:w="0" w:type="auto"/>
            <w:tcMar>
              <w:top w:w="150" w:type="dxa"/>
              <w:left w:w="240" w:type="dxa"/>
              <w:bottom w:w="150" w:type="dxa"/>
              <w:right w:w="240" w:type="dxa"/>
            </w:tcMar>
            <w:vAlign w:val="center"/>
            <w:hideMark/>
          </w:tcPr>
          <w:p w14:paraId="62ED3998"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25 (44.6)</w:t>
            </w:r>
          </w:p>
        </w:tc>
        <w:tc>
          <w:tcPr>
            <w:tcW w:w="0" w:type="auto"/>
            <w:tcMar>
              <w:top w:w="150" w:type="dxa"/>
              <w:left w:w="240" w:type="dxa"/>
              <w:bottom w:w="150" w:type="dxa"/>
              <w:right w:w="240" w:type="dxa"/>
            </w:tcMar>
            <w:vAlign w:val="center"/>
            <w:hideMark/>
          </w:tcPr>
          <w:p w14:paraId="41C761F9"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31 (55.4)</w:t>
            </w:r>
          </w:p>
        </w:tc>
        <w:tc>
          <w:tcPr>
            <w:tcW w:w="0" w:type="auto"/>
            <w:tcMar>
              <w:top w:w="150" w:type="dxa"/>
              <w:left w:w="240" w:type="dxa"/>
              <w:bottom w:w="150" w:type="dxa"/>
              <w:right w:w="240" w:type="dxa"/>
            </w:tcMar>
            <w:vAlign w:val="center"/>
            <w:hideMark/>
          </w:tcPr>
          <w:p w14:paraId="19065A90"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17 (51.5)</w:t>
            </w:r>
          </w:p>
        </w:tc>
        <w:tc>
          <w:tcPr>
            <w:tcW w:w="0" w:type="auto"/>
            <w:tcMar>
              <w:top w:w="150" w:type="dxa"/>
              <w:left w:w="240" w:type="dxa"/>
              <w:bottom w:w="150" w:type="dxa"/>
              <w:right w:w="0" w:type="dxa"/>
            </w:tcMar>
            <w:vAlign w:val="center"/>
            <w:hideMark/>
          </w:tcPr>
          <w:p w14:paraId="23CCF645"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16 (48.5)</w:t>
            </w:r>
          </w:p>
        </w:tc>
      </w:tr>
      <w:tr w:rsidR="006C0CB7" w:rsidRPr="00B01E80" w14:paraId="38E21BF7" w14:textId="77777777" w:rsidTr="00446324">
        <w:tc>
          <w:tcPr>
            <w:tcW w:w="0" w:type="auto"/>
            <w:tcMar>
              <w:top w:w="150" w:type="dxa"/>
              <w:left w:w="0" w:type="dxa"/>
              <w:bottom w:w="150" w:type="dxa"/>
              <w:right w:w="240" w:type="dxa"/>
            </w:tcMar>
            <w:vAlign w:val="center"/>
            <w:hideMark/>
          </w:tcPr>
          <w:p w14:paraId="56F75D9D"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Fluoroquinolones</w:t>
            </w:r>
          </w:p>
        </w:tc>
        <w:tc>
          <w:tcPr>
            <w:tcW w:w="0" w:type="auto"/>
            <w:tcMar>
              <w:top w:w="150" w:type="dxa"/>
              <w:left w:w="240" w:type="dxa"/>
              <w:bottom w:w="150" w:type="dxa"/>
              <w:right w:w="240" w:type="dxa"/>
            </w:tcMar>
            <w:vAlign w:val="center"/>
            <w:hideMark/>
          </w:tcPr>
          <w:p w14:paraId="6ACF3303"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Ciprofloxacin</w:t>
            </w:r>
          </w:p>
        </w:tc>
        <w:tc>
          <w:tcPr>
            <w:tcW w:w="0" w:type="auto"/>
            <w:tcMar>
              <w:top w:w="150" w:type="dxa"/>
              <w:left w:w="240" w:type="dxa"/>
              <w:bottom w:w="150" w:type="dxa"/>
              <w:right w:w="240" w:type="dxa"/>
            </w:tcMar>
            <w:vAlign w:val="center"/>
            <w:hideMark/>
          </w:tcPr>
          <w:p w14:paraId="29E4F845"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41 (73.2)</w:t>
            </w:r>
          </w:p>
        </w:tc>
        <w:tc>
          <w:tcPr>
            <w:tcW w:w="0" w:type="auto"/>
            <w:tcMar>
              <w:top w:w="150" w:type="dxa"/>
              <w:left w:w="240" w:type="dxa"/>
              <w:bottom w:w="150" w:type="dxa"/>
              <w:right w:w="240" w:type="dxa"/>
            </w:tcMar>
            <w:vAlign w:val="center"/>
            <w:hideMark/>
          </w:tcPr>
          <w:p w14:paraId="50154469"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15 (26.8)</w:t>
            </w:r>
          </w:p>
        </w:tc>
        <w:tc>
          <w:tcPr>
            <w:tcW w:w="0" w:type="auto"/>
            <w:tcMar>
              <w:top w:w="150" w:type="dxa"/>
              <w:left w:w="240" w:type="dxa"/>
              <w:bottom w:w="150" w:type="dxa"/>
              <w:right w:w="240" w:type="dxa"/>
            </w:tcMar>
            <w:vAlign w:val="center"/>
            <w:hideMark/>
          </w:tcPr>
          <w:p w14:paraId="5AEE45B6"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27 (81.8)</w:t>
            </w:r>
          </w:p>
        </w:tc>
        <w:tc>
          <w:tcPr>
            <w:tcW w:w="0" w:type="auto"/>
            <w:tcMar>
              <w:top w:w="150" w:type="dxa"/>
              <w:left w:w="240" w:type="dxa"/>
              <w:bottom w:w="150" w:type="dxa"/>
              <w:right w:w="0" w:type="dxa"/>
            </w:tcMar>
            <w:vAlign w:val="center"/>
            <w:hideMark/>
          </w:tcPr>
          <w:p w14:paraId="01F54198"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6 (18.2)</w:t>
            </w:r>
          </w:p>
        </w:tc>
      </w:tr>
      <w:tr w:rsidR="006C0CB7" w:rsidRPr="00B01E80" w14:paraId="2DEBC9FA" w14:textId="77777777" w:rsidTr="00446324">
        <w:tc>
          <w:tcPr>
            <w:tcW w:w="0" w:type="auto"/>
            <w:tcMar>
              <w:top w:w="150" w:type="dxa"/>
              <w:left w:w="0" w:type="dxa"/>
              <w:bottom w:w="150" w:type="dxa"/>
              <w:right w:w="240" w:type="dxa"/>
            </w:tcMar>
            <w:vAlign w:val="center"/>
            <w:hideMark/>
          </w:tcPr>
          <w:p w14:paraId="5557B1F7"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Fluoroquinolones</w:t>
            </w:r>
          </w:p>
        </w:tc>
        <w:tc>
          <w:tcPr>
            <w:tcW w:w="0" w:type="auto"/>
            <w:tcMar>
              <w:top w:w="150" w:type="dxa"/>
              <w:left w:w="240" w:type="dxa"/>
              <w:bottom w:w="150" w:type="dxa"/>
              <w:right w:w="240" w:type="dxa"/>
            </w:tcMar>
            <w:vAlign w:val="center"/>
            <w:hideMark/>
          </w:tcPr>
          <w:p w14:paraId="20533C68"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Levofloxacin</w:t>
            </w:r>
          </w:p>
        </w:tc>
        <w:tc>
          <w:tcPr>
            <w:tcW w:w="0" w:type="auto"/>
            <w:tcMar>
              <w:top w:w="150" w:type="dxa"/>
              <w:left w:w="240" w:type="dxa"/>
              <w:bottom w:w="150" w:type="dxa"/>
              <w:right w:w="240" w:type="dxa"/>
            </w:tcMar>
            <w:vAlign w:val="center"/>
            <w:hideMark/>
          </w:tcPr>
          <w:p w14:paraId="344115EF"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Mar>
              <w:top w:w="150" w:type="dxa"/>
              <w:left w:w="240" w:type="dxa"/>
              <w:bottom w:w="150" w:type="dxa"/>
              <w:right w:w="240" w:type="dxa"/>
            </w:tcMar>
            <w:vAlign w:val="center"/>
            <w:hideMark/>
          </w:tcPr>
          <w:p w14:paraId="3FF3357C"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Mar>
              <w:top w:w="150" w:type="dxa"/>
              <w:left w:w="240" w:type="dxa"/>
              <w:bottom w:w="150" w:type="dxa"/>
              <w:right w:w="240" w:type="dxa"/>
            </w:tcMar>
            <w:vAlign w:val="center"/>
            <w:hideMark/>
          </w:tcPr>
          <w:p w14:paraId="7057B0B5"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21 (63.6)</w:t>
            </w:r>
          </w:p>
        </w:tc>
        <w:tc>
          <w:tcPr>
            <w:tcW w:w="0" w:type="auto"/>
            <w:tcMar>
              <w:top w:w="150" w:type="dxa"/>
              <w:left w:w="240" w:type="dxa"/>
              <w:bottom w:w="150" w:type="dxa"/>
              <w:right w:w="0" w:type="dxa"/>
            </w:tcMar>
            <w:vAlign w:val="center"/>
            <w:hideMark/>
          </w:tcPr>
          <w:p w14:paraId="6F2307B6"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12 (36.4)</w:t>
            </w:r>
          </w:p>
        </w:tc>
      </w:tr>
      <w:tr w:rsidR="006C0CB7" w:rsidRPr="00B01E80" w14:paraId="6FB2C0D9" w14:textId="77777777" w:rsidTr="00446324">
        <w:tc>
          <w:tcPr>
            <w:tcW w:w="0" w:type="auto"/>
            <w:tcMar>
              <w:top w:w="150" w:type="dxa"/>
              <w:left w:w="0" w:type="dxa"/>
              <w:bottom w:w="150" w:type="dxa"/>
              <w:right w:w="240" w:type="dxa"/>
            </w:tcMar>
            <w:vAlign w:val="center"/>
            <w:hideMark/>
          </w:tcPr>
          <w:p w14:paraId="49B05536"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Aminoglycosides</w:t>
            </w:r>
          </w:p>
        </w:tc>
        <w:tc>
          <w:tcPr>
            <w:tcW w:w="0" w:type="auto"/>
            <w:tcMar>
              <w:top w:w="150" w:type="dxa"/>
              <w:left w:w="240" w:type="dxa"/>
              <w:bottom w:w="150" w:type="dxa"/>
              <w:right w:w="240" w:type="dxa"/>
            </w:tcMar>
            <w:vAlign w:val="center"/>
            <w:hideMark/>
          </w:tcPr>
          <w:p w14:paraId="0CC1C6D9"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Gentamicin</w:t>
            </w:r>
          </w:p>
        </w:tc>
        <w:tc>
          <w:tcPr>
            <w:tcW w:w="0" w:type="auto"/>
            <w:tcMar>
              <w:top w:w="150" w:type="dxa"/>
              <w:left w:w="240" w:type="dxa"/>
              <w:bottom w:w="150" w:type="dxa"/>
              <w:right w:w="240" w:type="dxa"/>
            </w:tcMar>
            <w:vAlign w:val="center"/>
            <w:hideMark/>
          </w:tcPr>
          <w:p w14:paraId="00F6183A"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16 (28.6)</w:t>
            </w:r>
          </w:p>
        </w:tc>
        <w:tc>
          <w:tcPr>
            <w:tcW w:w="0" w:type="auto"/>
            <w:tcMar>
              <w:top w:w="150" w:type="dxa"/>
              <w:left w:w="240" w:type="dxa"/>
              <w:bottom w:w="150" w:type="dxa"/>
              <w:right w:w="240" w:type="dxa"/>
            </w:tcMar>
            <w:vAlign w:val="center"/>
            <w:hideMark/>
          </w:tcPr>
          <w:p w14:paraId="7C0C0EAE"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40 (71.4)</w:t>
            </w:r>
          </w:p>
        </w:tc>
        <w:tc>
          <w:tcPr>
            <w:tcW w:w="0" w:type="auto"/>
            <w:tcMar>
              <w:top w:w="150" w:type="dxa"/>
              <w:left w:w="240" w:type="dxa"/>
              <w:bottom w:w="150" w:type="dxa"/>
              <w:right w:w="240" w:type="dxa"/>
            </w:tcMar>
            <w:vAlign w:val="center"/>
            <w:hideMark/>
          </w:tcPr>
          <w:p w14:paraId="759C3074"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7 (21.2)</w:t>
            </w:r>
          </w:p>
        </w:tc>
        <w:tc>
          <w:tcPr>
            <w:tcW w:w="0" w:type="auto"/>
            <w:tcMar>
              <w:top w:w="150" w:type="dxa"/>
              <w:left w:w="240" w:type="dxa"/>
              <w:bottom w:w="150" w:type="dxa"/>
              <w:right w:w="0" w:type="dxa"/>
            </w:tcMar>
            <w:vAlign w:val="center"/>
            <w:hideMark/>
          </w:tcPr>
          <w:p w14:paraId="03FBD8A4"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26 (78.8)</w:t>
            </w:r>
          </w:p>
        </w:tc>
      </w:tr>
      <w:tr w:rsidR="006C0CB7" w:rsidRPr="00B01E80" w14:paraId="0BD3E786" w14:textId="77777777" w:rsidTr="00446324">
        <w:tc>
          <w:tcPr>
            <w:tcW w:w="0" w:type="auto"/>
            <w:tcMar>
              <w:top w:w="150" w:type="dxa"/>
              <w:left w:w="0" w:type="dxa"/>
              <w:bottom w:w="150" w:type="dxa"/>
              <w:right w:w="240" w:type="dxa"/>
            </w:tcMar>
            <w:vAlign w:val="center"/>
            <w:hideMark/>
          </w:tcPr>
          <w:p w14:paraId="379D4AA8"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Tetracyclines</w:t>
            </w:r>
          </w:p>
        </w:tc>
        <w:tc>
          <w:tcPr>
            <w:tcW w:w="0" w:type="auto"/>
            <w:tcMar>
              <w:top w:w="150" w:type="dxa"/>
              <w:left w:w="240" w:type="dxa"/>
              <w:bottom w:w="150" w:type="dxa"/>
              <w:right w:w="240" w:type="dxa"/>
            </w:tcMar>
            <w:vAlign w:val="center"/>
            <w:hideMark/>
          </w:tcPr>
          <w:p w14:paraId="2845D265"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Tetracycline</w:t>
            </w:r>
          </w:p>
        </w:tc>
        <w:tc>
          <w:tcPr>
            <w:tcW w:w="0" w:type="auto"/>
            <w:tcMar>
              <w:top w:w="150" w:type="dxa"/>
              <w:left w:w="240" w:type="dxa"/>
              <w:bottom w:w="150" w:type="dxa"/>
              <w:right w:w="240" w:type="dxa"/>
            </w:tcMar>
            <w:vAlign w:val="center"/>
            <w:hideMark/>
          </w:tcPr>
          <w:p w14:paraId="19A52B7C"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Mar>
              <w:top w:w="150" w:type="dxa"/>
              <w:left w:w="240" w:type="dxa"/>
              <w:bottom w:w="150" w:type="dxa"/>
              <w:right w:w="240" w:type="dxa"/>
            </w:tcMar>
            <w:vAlign w:val="center"/>
            <w:hideMark/>
          </w:tcPr>
          <w:p w14:paraId="7081EFC3"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Mar>
              <w:top w:w="150" w:type="dxa"/>
              <w:left w:w="240" w:type="dxa"/>
              <w:bottom w:w="150" w:type="dxa"/>
              <w:right w:w="240" w:type="dxa"/>
            </w:tcMar>
            <w:vAlign w:val="center"/>
            <w:hideMark/>
          </w:tcPr>
          <w:p w14:paraId="43D80320"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28 (84.8)</w:t>
            </w:r>
          </w:p>
        </w:tc>
        <w:tc>
          <w:tcPr>
            <w:tcW w:w="0" w:type="auto"/>
            <w:tcMar>
              <w:top w:w="150" w:type="dxa"/>
              <w:left w:w="240" w:type="dxa"/>
              <w:bottom w:w="150" w:type="dxa"/>
              <w:right w:w="0" w:type="dxa"/>
            </w:tcMar>
            <w:vAlign w:val="center"/>
            <w:hideMark/>
          </w:tcPr>
          <w:p w14:paraId="50FCC30F"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 (15.2)</w:t>
            </w:r>
          </w:p>
        </w:tc>
      </w:tr>
      <w:tr w:rsidR="006C0CB7" w:rsidRPr="00B01E80" w14:paraId="6A4FB179" w14:textId="77777777" w:rsidTr="00446324">
        <w:tc>
          <w:tcPr>
            <w:tcW w:w="0" w:type="auto"/>
            <w:tcMar>
              <w:top w:w="150" w:type="dxa"/>
              <w:left w:w="0" w:type="dxa"/>
              <w:bottom w:w="150" w:type="dxa"/>
              <w:right w:w="240" w:type="dxa"/>
            </w:tcMar>
            <w:vAlign w:val="center"/>
            <w:hideMark/>
          </w:tcPr>
          <w:p w14:paraId="5B65C7AF"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Quinolones</w:t>
            </w:r>
          </w:p>
        </w:tc>
        <w:tc>
          <w:tcPr>
            <w:tcW w:w="0" w:type="auto"/>
            <w:tcMar>
              <w:top w:w="150" w:type="dxa"/>
              <w:left w:w="240" w:type="dxa"/>
              <w:bottom w:w="150" w:type="dxa"/>
              <w:right w:w="240" w:type="dxa"/>
            </w:tcMar>
            <w:vAlign w:val="center"/>
            <w:hideMark/>
          </w:tcPr>
          <w:p w14:paraId="6AAA73C4"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Nalidixic acid</w:t>
            </w:r>
          </w:p>
        </w:tc>
        <w:tc>
          <w:tcPr>
            <w:tcW w:w="0" w:type="auto"/>
            <w:tcMar>
              <w:top w:w="150" w:type="dxa"/>
              <w:left w:w="240" w:type="dxa"/>
              <w:bottom w:w="150" w:type="dxa"/>
              <w:right w:w="240" w:type="dxa"/>
            </w:tcMar>
            <w:vAlign w:val="center"/>
            <w:hideMark/>
          </w:tcPr>
          <w:p w14:paraId="28281553"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56 (100)</w:t>
            </w:r>
          </w:p>
        </w:tc>
        <w:tc>
          <w:tcPr>
            <w:tcW w:w="0" w:type="auto"/>
            <w:tcMar>
              <w:top w:w="150" w:type="dxa"/>
              <w:left w:w="240" w:type="dxa"/>
              <w:bottom w:w="150" w:type="dxa"/>
              <w:right w:w="240" w:type="dxa"/>
            </w:tcMar>
            <w:vAlign w:val="center"/>
            <w:hideMark/>
          </w:tcPr>
          <w:p w14:paraId="24C6D2F1"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c>
          <w:tcPr>
            <w:tcW w:w="0" w:type="auto"/>
            <w:tcMar>
              <w:top w:w="150" w:type="dxa"/>
              <w:left w:w="240" w:type="dxa"/>
              <w:bottom w:w="150" w:type="dxa"/>
              <w:right w:w="240" w:type="dxa"/>
            </w:tcMar>
            <w:vAlign w:val="center"/>
            <w:hideMark/>
          </w:tcPr>
          <w:p w14:paraId="7A972D75"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33 (100)</w:t>
            </w:r>
          </w:p>
        </w:tc>
        <w:tc>
          <w:tcPr>
            <w:tcW w:w="0" w:type="auto"/>
            <w:tcMar>
              <w:top w:w="150" w:type="dxa"/>
              <w:left w:w="240" w:type="dxa"/>
              <w:bottom w:w="150" w:type="dxa"/>
              <w:right w:w="0" w:type="dxa"/>
            </w:tcMar>
            <w:vAlign w:val="center"/>
            <w:hideMark/>
          </w:tcPr>
          <w:p w14:paraId="14B7CD67"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 (0)</w:t>
            </w:r>
          </w:p>
        </w:tc>
      </w:tr>
    </w:tbl>
    <w:p w14:paraId="0E584C9F" w14:textId="77777777" w:rsidR="006C0CB7" w:rsidRPr="00B01E80" w:rsidRDefault="006C0CB7" w:rsidP="006C0CB7">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Key:</w:t>
      </w:r>
      <w:r w:rsidRPr="00B01E80">
        <w:rPr>
          <w:rFonts w:ascii="Times New Roman" w:eastAsia="Times New Roman" w:hAnsi="Times New Roman" w:cs="Times New Roman"/>
          <w:color w:val="0F1115"/>
          <w:sz w:val="20"/>
          <w:szCs w:val="20"/>
        </w:rPr>
        <w:t> R = Resistant, S = Susceptible</w:t>
      </w:r>
    </w:p>
    <w:p w14:paraId="6C80252F" w14:textId="77777777" w:rsidR="006C0CB7" w:rsidRPr="00930F35" w:rsidRDefault="006C0CB7" w:rsidP="006C0CB7">
      <w:pPr>
        <w:pStyle w:val="Heading3"/>
        <w:shd w:val="clear" w:color="auto" w:fill="FFFFFF"/>
        <w:spacing w:before="0"/>
        <w:jc w:val="both"/>
        <w:rPr>
          <w:rFonts w:ascii="Times New Roman" w:hAnsi="Times New Roman" w:cs="Times New Roman"/>
          <w:b/>
          <w:color w:val="0F1115"/>
          <w:sz w:val="20"/>
          <w:szCs w:val="20"/>
        </w:rPr>
      </w:pPr>
      <w:r w:rsidRPr="00930F35">
        <w:rPr>
          <w:rFonts w:ascii="Times New Roman" w:hAnsi="Times New Roman" w:cs="Times New Roman"/>
          <w:b/>
          <w:color w:val="0F1115"/>
          <w:sz w:val="20"/>
          <w:szCs w:val="20"/>
        </w:rPr>
        <w:lastRenderedPageBreak/>
        <w:t>3.4 Multiple Antibiotic Resistance (MAR) Index</w:t>
      </w:r>
    </w:p>
    <w:p w14:paraId="0B1F6979"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MAR indices for ESBL-positive isolates ranged from 0.47 to 0.94, with all isolates exceeding the 0.2 threshold. The mean MAR index was 0.78 ± 0.12 for </w:t>
      </w:r>
      <w:r w:rsidRPr="00B01E80">
        <w:rPr>
          <w:rStyle w:val="Emphasis"/>
          <w:color w:val="0F1115"/>
          <w:sz w:val="20"/>
          <w:szCs w:val="20"/>
        </w:rPr>
        <w:t>P. aeruginosa</w:t>
      </w:r>
      <w:r w:rsidRPr="00B01E80">
        <w:rPr>
          <w:color w:val="0F1115"/>
          <w:sz w:val="20"/>
          <w:szCs w:val="20"/>
        </w:rPr>
        <w:t> and 0.72 ± 0.14 for </w:t>
      </w:r>
      <w:r w:rsidRPr="00B01E80">
        <w:rPr>
          <w:rStyle w:val="Emphasis"/>
          <w:color w:val="0F1115"/>
          <w:sz w:val="20"/>
          <w:szCs w:val="20"/>
        </w:rPr>
        <w:t>A. baumannii</w:t>
      </w:r>
      <w:r w:rsidRPr="00B01E80">
        <w:rPr>
          <w:color w:val="0F1115"/>
          <w:sz w:val="20"/>
          <w:szCs w:val="20"/>
        </w:rPr>
        <w:t>. Isolates from the 32-38 years age group demonstrated the highest mean MAR index (0.82), consistent with greater cumulative antibiotic exposure in this demographic.</w:t>
      </w:r>
    </w:p>
    <w:p w14:paraId="4F1E01ED" w14:textId="77777777" w:rsidR="006C0CB7" w:rsidRPr="00930F35" w:rsidRDefault="006C0CB7" w:rsidP="006C0CB7">
      <w:pPr>
        <w:pStyle w:val="Heading3"/>
        <w:shd w:val="clear" w:color="auto" w:fill="FFFFFF"/>
        <w:spacing w:before="0"/>
        <w:jc w:val="both"/>
        <w:rPr>
          <w:rFonts w:ascii="Times New Roman" w:hAnsi="Times New Roman" w:cs="Times New Roman"/>
          <w:b/>
          <w:color w:val="0F1115"/>
          <w:sz w:val="20"/>
          <w:szCs w:val="20"/>
        </w:rPr>
      </w:pPr>
      <w:r w:rsidRPr="00930F35">
        <w:rPr>
          <w:rFonts w:ascii="Times New Roman" w:hAnsi="Times New Roman" w:cs="Times New Roman"/>
          <w:b/>
          <w:color w:val="0F1115"/>
          <w:sz w:val="20"/>
          <w:szCs w:val="20"/>
        </w:rPr>
        <w:t>3.5 Molecular Detection and Convergence of Resistance Genes</w:t>
      </w:r>
    </w:p>
    <w:p w14:paraId="4D3CB910"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PCR analysis of 20 selected ESBL-positive isolates (10 </w:t>
      </w:r>
      <w:r w:rsidRPr="00B01E80">
        <w:rPr>
          <w:rStyle w:val="Emphasis"/>
          <w:color w:val="0F1115"/>
          <w:sz w:val="20"/>
          <w:szCs w:val="20"/>
        </w:rPr>
        <w:t>P. aeruginosa</w:t>
      </w:r>
      <w:r w:rsidRPr="00B01E80">
        <w:rPr>
          <w:color w:val="0F1115"/>
          <w:sz w:val="20"/>
          <w:szCs w:val="20"/>
        </w:rPr>
        <w:t> and 10 </w:t>
      </w:r>
      <w:r w:rsidRPr="00B01E80">
        <w:rPr>
          <w:rStyle w:val="Emphasis"/>
          <w:color w:val="0F1115"/>
          <w:sz w:val="20"/>
          <w:szCs w:val="20"/>
        </w:rPr>
        <w:t>A. baumannii</w:t>
      </w:r>
      <w:r w:rsidRPr="00B01E80">
        <w:rPr>
          <w:color w:val="0F1115"/>
          <w:sz w:val="20"/>
          <w:szCs w:val="20"/>
        </w:rPr>
        <w:t>) revealed a high prevalence and convergence of the targeted resistance genes (</w:t>
      </w:r>
      <w:r w:rsidRPr="00B01E80">
        <w:rPr>
          <w:rStyle w:val="Strong"/>
          <w:color w:val="0F1115"/>
          <w:sz w:val="20"/>
          <w:szCs w:val="20"/>
        </w:rPr>
        <w:t>Table 4</w:t>
      </w:r>
      <w:r w:rsidRPr="00B01E80">
        <w:rPr>
          <w:color w:val="0F1115"/>
          <w:sz w:val="20"/>
          <w:szCs w:val="20"/>
        </w:rPr>
        <w:t>). The </w:t>
      </w:r>
      <w:r w:rsidRPr="00B01E80">
        <w:rPr>
          <w:rStyle w:val="Emphasis"/>
          <w:color w:val="0F1115"/>
          <w:sz w:val="20"/>
          <w:szCs w:val="20"/>
        </w:rPr>
        <w:t>bla</w:t>
      </w:r>
      <w:r w:rsidRPr="00B01E80">
        <w:rPr>
          <w:color w:val="0F1115"/>
          <w:sz w:val="20"/>
          <w:szCs w:val="20"/>
        </w:rPr>
        <w:t>CTX-M gene was detected in 100% (20/20) of isolates, and the tetracycline resistance gene </w:t>
      </w:r>
      <w:r w:rsidRPr="00B01E80">
        <w:rPr>
          <w:rStyle w:val="Emphasis"/>
          <w:color w:val="0F1115"/>
          <w:sz w:val="20"/>
          <w:szCs w:val="20"/>
        </w:rPr>
        <w:t>tetA</w:t>
      </w:r>
      <w:r w:rsidRPr="00B01E80">
        <w:rPr>
          <w:color w:val="0F1115"/>
          <w:sz w:val="20"/>
          <w:szCs w:val="20"/>
        </w:rPr>
        <w:t xml:space="preserve"> was also </w:t>
      </w:r>
      <w:r>
        <w:rPr>
          <w:color w:val="0F1115"/>
          <w:sz w:val="20"/>
          <w:szCs w:val="20"/>
        </w:rPr>
        <w:t>100 %</w:t>
      </w:r>
      <w:r w:rsidRPr="00B01E80">
        <w:rPr>
          <w:color w:val="0F1115"/>
          <w:sz w:val="20"/>
          <w:szCs w:val="20"/>
        </w:rPr>
        <w:t>ly present (100%, 20/20). The </w:t>
      </w:r>
      <w:r w:rsidRPr="00B01E80">
        <w:rPr>
          <w:rStyle w:val="Emphasis"/>
          <w:color w:val="0F1115"/>
          <w:sz w:val="20"/>
          <w:szCs w:val="20"/>
        </w:rPr>
        <w:t>qepA</w:t>
      </w:r>
      <w:r w:rsidRPr="00B01E80">
        <w:rPr>
          <w:color w:val="0F1115"/>
          <w:sz w:val="20"/>
          <w:szCs w:val="20"/>
        </w:rPr>
        <w:t> gene was detected in 65% (13/20) of isolates, with a higher prevalence among </w:t>
      </w:r>
      <w:r w:rsidRPr="00B01E80">
        <w:rPr>
          <w:rStyle w:val="Emphasis"/>
          <w:color w:val="0F1115"/>
          <w:sz w:val="20"/>
          <w:szCs w:val="20"/>
        </w:rPr>
        <w:t>P. aeruginosa</w:t>
      </w:r>
      <w:r w:rsidRPr="00B01E80">
        <w:rPr>
          <w:color w:val="0F1115"/>
          <w:sz w:val="20"/>
          <w:szCs w:val="20"/>
        </w:rPr>
        <w:t> (70%) compared to </w:t>
      </w:r>
      <w:r w:rsidRPr="00B01E80">
        <w:rPr>
          <w:rStyle w:val="Emphasis"/>
          <w:color w:val="0F1115"/>
          <w:sz w:val="20"/>
          <w:szCs w:val="20"/>
        </w:rPr>
        <w:t>A. baumannii</w:t>
      </w:r>
      <w:r w:rsidRPr="00B01E80">
        <w:rPr>
          <w:color w:val="0F1115"/>
          <w:sz w:val="20"/>
          <w:szCs w:val="20"/>
        </w:rPr>
        <w:t> (60%).</w:t>
      </w:r>
    </w:p>
    <w:p w14:paraId="2D947E18"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Co-carriage of multiple resistance genes was the norm rather than the exception. All 20 isolates (100%) harbored both </w:t>
      </w:r>
      <w:r w:rsidRPr="00B01E80">
        <w:rPr>
          <w:rStyle w:val="Emphasis"/>
          <w:color w:val="0F1115"/>
          <w:sz w:val="20"/>
          <w:szCs w:val="20"/>
        </w:rPr>
        <w:t>bla</w:t>
      </w:r>
      <w:r w:rsidRPr="00B01E80">
        <w:rPr>
          <w:color w:val="0F1115"/>
          <w:sz w:val="20"/>
          <w:szCs w:val="20"/>
        </w:rPr>
        <w:t>CTX-M and </w:t>
      </w:r>
      <w:r w:rsidRPr="00B01E80">
        <w:rPr>
          <w:rStyle w:val="Emphasis"/>
          <w:color w:val="0F1115"/>
          <w:sz w:val="20"/>
          <w:szCs w:val="20"/>
        </w:rPr>
        <w:t>tetA</w:t>
      </w:r>
      <w:r w:rsidRPr="00B01E80">
        <w:rPr>
          <w:color w:val="0F1115"/>
          <w:sz w:val="20"/>
          <w:szCs w:val="20"/>
        </w:rPr>
        <w:t> simultaneously. Triple convergence of </w:t>
      </w:r>
      <w:r w:rsidRPr="00B01E80">
        <w:rPr>
          <w:rStyle w:val="Emphasis"/>
          <w:color w:val="0F1115"/>
          <w:sz w:val="20"/>
          <w:szCs w:val="20"/>
        </w:rPr>
        <w:t>bla</w:t>
      </w:r>
      <w:r w:rsidRPr="00B01E80">
        <w:rPr>
          <w:color w:val="0F1115"/>
          <w:sz w:val="20"/>
          <w:szCs w:val="20"/>
        </w:rPr>
        <w:t>CTX-M + </w:t>
      </w:r>
      <w:r w:rsidRPr="00B01E80">
        <w:rPr>
          <w:rStyle w:val="Emphasis"/>
          <w:color w:val="0F1115"/>
          <w:sz w:val="20"/>
          <w:szCs w:val="20"/>
        </w:rPr>
        <w:t>tetA</w:t>
      </w:r>
      <w:r w:rsidRPr="00B01E80">
        <w:rPr>
          <w:color w:val="0F1115"/>
          <w:sz w:val="20"/>
          <w:szCs w:val="20"/>
        </w:rPr>
        <w:t> + </w:t>
      </w:r>
      <w:r w:rsidRPr="00B01E80">
        <w:rPr>
          <w:rStyle w:val="Emphasis"/>
          <w:color w:val="0F1115"/>
          <w:sz w:val="20"/>
          <w:szCs w:val="20"/>
        </w:rPr>
        <w:t>qepA</w:t>
      </w:r>
      <w:r w:rsidRPr="00B01E80">
        <w:rPr>
          <w:color w:val="0F1115"/>
          <w:sz w:val="20"/>
          <w:szCs w:val="20"/>
        </w:rPr>
        <w:t> was observed in 13 isolates (65%), comprising 7 </w:t>
      </w:r>
      <w:r w:rsidRPr="00B01E80">
        <w:rPr>
          <w:rStyle w:val="Emphasis"/>
          <w:color w:val="0F1115"/>
          <w:sz w:val="20"/>
          <w:szCs w:val="20"/>
        </w:rPr>
        <w:t>P. aeruginosa</w:t>
      </w:r>
      <w:r w:rsidRPr="00B01E80">
        <w:rPr>
          <w:color w:val="0F1115"/>
          <w:sz w:val="20"/>
          <w:szCs w:val="20"/>
        </w:rPr>
        <w:t> and 6 </w:t>
      </w:r>
      <w:r w:rsidRPr="00B01E80">
        <w:rPr>
          <w:rStyle w:val="Emphasis"/>
          <w:color w:val="0F1115"/>
          <w:sz w:val="20"/>
          <w:szCs w:val="20"/>
        </w:rPr>
        <w:t>A. baumannii</w:t>
      </w:r>
      <w:r w:rsidRPr="00B01E80">
        <w:rPr>
          <w:color w:val="0F1115"/>
          <w:sz w:val="20"/>
          <w:szCs w:val="20"/>
        </w:rPr>
        <w:t>.</w:t>
      </w:r>
    </w:p>
    <w:p w14:paraId="34B62C0C" w14:textId="77777777" w:rsidR="006C0CB7" w:rsidRPr="00B01E80" w:rsidRDefault="006C0CB7" w:rsidP="006C0CB7">
      <w:pPr>
        <w:pStyle w:val="ds-markdown-paragraph"/>
        <w:shd w:val="clear" w:color="auto" w:fill="FFFFFF"/>
        <w:spacing w:before="240" w:beforeAutospacing="0" w:after="0" w:afterAutospacing="0"/>
        <w:jc w:val="both"/>
        <w:rPr>
          <w:rStyle w:val="Strong"/>
          <w:color w:val="0F1115"/>
          <w:sz w:val="20"/>
          <w:szCs w:val="20"/>
        </w:rPr>
      </w:pPr>
    </w:p>
    <w:p w14:paraId="4BC48D38"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rStyle w:val="Strong"/>
          <w:color w:val="0F1115"/>
          <w:sz w:val="20"/>
          <w:szCs w:val="20"/>
        </w:rPr>
        <w:t>Table 4: Distribution and Convergence of Resistance Genes Among ESBL-Positive </w:t>
      </w:r>
      <w:r w:rsidRPr="00B01E80">
        <w:rPr>
          <w:rStyle w:val="Emphasis"/>
          <w:b/>
          <w:bCs/>
          <w:color w:val="0F1115"/>
          <w:sz w:val="20"/>
          <w:szCs w:val="20"/>
        </w:rPr>
        <w:t>P. aeruginosa</w:t>
      </w:r>
      <w:r w:rsidRPr="00B01E80">
        <w:rPr>
          <w:rStyle w:val="Strong"/>
          <w:color w:val="0F1115"/>
          <w:sz w:val="20"/>
          <w:szCs w:val="20"/>
        </w:rPr>
        <w:t> (n=10) and </w:t>
      </w:r>
      <w:r w:rsidRPr="00B01E80">
        <w:rPr>
          <w:rStyle w:val="Emphasis"/>
          <w:b/>
          <w:bCs/>
          <w:color w:val="0F1115"/>
          <w:sz w:val="20"/>
          <w:szCs w:val="20"/>
        </w:rPr>
        <w:t>A. baumannii</w:t>
      </w:r>
      <w:r w:rsidRPr="00B01E80">
        <w:rPr>
          <w:rStyle w:val="Strong"/>
          <w:color w:val="0F1115"/>
          <w:sz w:val="20"/>
          <w:szCs w:val="20"/>
        </w:rPr>
        <w:t> (n=10) Isolates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13"/>
        <w:gridCol w:w="2170"/>
        <w:gridCol w:w="2159"/>
        <w:gridCol w:w="1480"/>
      </w:tblGrid>
      <w:tr w:rsidR="006C0CB7" w:rsidRPr="00B01E80" w14:paraId="6B54646A" w14:textId="77777777" w:rsidTr="00446324">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4E6A7469" w14:textId="77777777" w:rsidR="006C0CB7" w:rsidRPr="00B01E80" w:rsidRDefault="006C0CB7" w:rsidP="00446324">
            <w:pPr>
              <w:spacing w:after="0"/>
              <w:rPr>
                <w:rFonts w:ascii="Times New Roman" w:hAnsi="Times New Roman" w:cs="Times New Roman"/>
                <w:b/>
                <w:bCs/>
                <w:sz w:val="20"/>
                <w:szCs w:val="20"/>
              </w:rPr>
            </w:pPr>
            <w:r w:rsidRPr="00B01E80">
              <w:rPr>
                <w:rStyle w:val="Strong"/>
                <w:rFonts w:ascii="Times New Roman" w:hAnsi="Times New Roman" w:cs="Times New Roman"/>
                <w:sz w:val="20"/>
                <w:szCs w:val="20"/>
              </w:rPr>
              <w:t>Resistance Gene/Combination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500BC87" w14:textId="77777777" w:rsidR="006C0CB7" w:rsidRPr="00B01E80" w:rsidRDefault="006C0CB7" w:rsidP="00446324">
            <w:pPr>
              <w:spacing w:after="0"/>
              <w:rPr>
                <w:rFonts w:ascii="Times New Roman" w:hAnsi="Times New Roman" w:cs="Times New Roman"/>
                <w:b/>
                <w:bCs/>
                <w:sz w:val="20"/>
                <w:szCs w:val="20"/>
              </w:rPr>
            </w:pPr>
            <w:r w:rsidRPr="00B01E80">
              <w:rPr>
                <w:rStyle w:val="Emphasis"/>
                <w:rFonts w:ascii="Times New Roman" w:hAnsi="Times New Roman" w:cs="Times New Roman"/>
                <w:b/>
                <w:bCs/>
                <w:sz w:val="20"/>
                <w:szCs w:val="20"/>
              </w:rPr>
              <w:t>P. aeruginosa</w:t>
            </w:r>
            <w:r w:rsidRPr="00B01E80">
              <w:rPr>
                <w:rStyle w:val="Strong"/>
                <w:rFonts w:ascii="Times New Roman" w:hAnsi="Times New Roman" w:cs="Times New Roman"/>
                <w:sz w:val="20"/>
                <w:szCs w:val="20"/>
              </w:rPr>
              <w:t> n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84D85D2" w14:textId="77777777" w:rsidR="006C0CB7" w:rsidRPr="00B01E80" w:rsidRDefault="006C0CB7" w:rsidP="00446324">
            <w:pPr>
              <w:spacing w:after="0"/>
              <w:rPr>
                <w:rFonts w:ascii="Times New Roman" w:hAnsi="Times New Roman" w:cs="Times New Roman"/>
                <w:b/>
                <w:bCs/>
                <w:sz w:val="20"/>
                <w:szCs w:val="20"/>
              </w:rPr>
            </w:pPr>
            <w:r w:rsidRPr="00B01E80">
              <w:rPr>
                <w:rStyle w:val="Emphasis"/>
                <w:rFonts w:ascii="Times New Roman" w:hAnsi="Times New Roman" w:cs="Times New Roman"/>
                <w:b/>
                <w:bCs/>
                <w:sz w:val="20"/>
                <w:szCs w:val="20"/>
              </w:rPr>
              <w:t>A. baumannii</w:t>
            </w:r>
            <w:r w:rsidRPr="00B01E80">
              <w:rPr>
                <w:rStyle w:val="Strong"/>
                <w:rFonts w:ascii="Times New Roman" w:hAnsi="Times New Roman" w:cs="Times New Roman"/>
                <w:sz w:val="20"/>
                <w:szCs w:val="20"/>
              </w:rPr>
              <w:t> n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113B005" w14:textId="77777777" w:rsidR="006C0CB7" w:rsidRPr="00B01E80" w:rsidRDefault="006C0CB7" w:rsidP="00446324">
            <w:pPr>
              <w:spacing w:after="0"/>
              <w:rPr>
                <w:rFonts w:ascii="Times New Roman" w:hAnsi="Times New Roman" w:cs="Times New Roman"/>
                <w:b/>
                <w:bCs/>
                <w:sz w:val="20"/>
                <w:szCs w:val="20"/>
              </w:rPr>
            </w:pPr>
            <w:r w:rsidRPr="00B01E80">
              <w:rPr>
                <w:rStyle w:val="Strong"/>
                <w:rFonts w:ascii="Times New Roman" w:hAnsi="Times New Roman" w:cs="Times New Roman"/>
                <w:sz w:val="20"/>
                <w:szCs w:val="20"/>
              </w:rPr>
              <w:t>Total n (%)</w:t>
            </w:r>
          </w:p>
        </w:tc>
      </w:tr>
      <w:tr w:rsidR="006C0CB7" w:rsidRPr="00B01E80" w14:paraId="78937076" w14:textId="77777777" w:rsidTr="00446324">
        <w:tc>
          <w:tcPr>
            <w:tcW w:w="0" w:type="auto"/>
            <w:tcBorders>
              <w:top w:val="single" w:sz="4" w:space="0" w:color="auto"/>
            </w:tcBorders>
            <w:tcMar>
              <w:top w:w="150" w:type="dxa"/>
              <w:left w:w="0" w:type="dxa"/>
              <w:bottom w:w="150" w:type="dxa"/>
              <w:right w:w="240" w:type="dxa"/>
            </w:tcMar>
            <w:vAlign w:val="center"/>
            <w:hideMark/>
          </w:tcPr>
          <w:p w14:paraId="1F9D23FB" w14:textId="77777777" w:rsidR="006C0CB7" w:rsidRPr="00B01E80" w:rsidRDefault="006C0CB7" w:rsidP="00446324">
            <w:pPr>
              <w:spacing w:after="0"/>
              <w:rPr>
                <w:rFonts w:ascii="Times New Roman" w:hAnsi="Times New Roman" w:cs="Times New Roman"/>
                <w:sz w:val="20"/>
                <w:szCs w:val="20"/>
              </w:rPr>
            </w:pPr>
            <w:r w:rsidRPr="00B01E80">
              <w:rPr>
                <w:rStyle w:val="Emphasis"/>
                <w:rFonts w:ascii="Times New Roman" w:hAnsi="Times New Roman" w:cs="Times New Roman"/>
                <w:sz w:val="20"/>
                <w:szCs w:val="20"/>
              </w:rPr>
              <w:t>bla</w:t>
            </w:r>
            <w:r w:rsidRPr="00B01E80">
              <w:rPr>
                <w:rFonts w:ascii="Times New Roman" w:hAnsi="Times New Roman" w:cs="Times New Roman"/>
                <w:sz w:val="20"/>
                <w:szCs w:val="20"/>
              </w:rPr>
              <w:t>CTX-M</w:t>
            </w:r>
          </w:p>
        </w:tc>
        <w:tc>
          <w:tcPr>
            <w:tcW w:w="0" w:type="auto"/>
            <w:tcBorders>
              <w:top w:val="single" w:sz="4" w:space="0" w:color="auto"/>
            </w:tcBorders>
            <w:tcMar>
              <w:top w:w="150" w:type="dxa"/>
              <w:left w:w="240" w:type="dxa"/>
              <w:bottom w:w="150" w:type="dxa"/>
              <w:right w:w="240" w:type="dxa"/>
            </w:tcMar>
            <w:vAlign w:val="center"/>
            <w:hideMark/>
          </w:tcPr>
          <w:p w14:paraId="6A7A21BB" w14:textId="77777777" w:rsidR="006C0CB7" w:rsidRPr="00B01E80" w:rsidRDefault="006C0CB7" w:rsidP="00446324">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Borders>
              <w:top w:val="single" w:sz="4" w:space="0" w:color="auto"/>
            </w:tcBorders>
            <w:tcMar>
              <w:top w:w="150" w:type="dxa"/>
              <w:left w:w="240" w:type="dxa"/>
              <w:bottom w:w="150" w:type="dxa"/>
              <w:right w:w="240" w:type="dxa"/>
            </w:tcMar>
            <w:vAlign w:val="center"/>
            <w:hideMark/>
          </w:tcPr>
          <w:p w14:paraId="6A6D030F" w14:textId="77777777" w:rsidR="006C0CB7" w:rsidRPr="00B01E80" w:rsidRDefault="006C0CB7" w:rsidP="00446324">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Borders>
              <w:top w:val="single" w:sz="4" w:space="0" w:color="auto"/>
            </w:tcBorders>
            <w:tcMar>
              <w:top w:w="150" w:type="dxa"/>
              <w:left w:w="240" w:type="dxa"/>
              <w:bottom w:w="150" w:type="dxa"/>
              <w:right w:w="0" w:type="dxa"/>
            </w:tcMar>
            <w:vAlign w:val="center"/>
            <w:hideMark/>
          </w:tcPr>
          <w:p w14:paraId="731B4783" w14:textId="77777777" w:rsidR="006C0CB7" w:rsidRPr="00B01E80" w:rsidRDefault="006C0CB7" w:rsidP="00446324">
            <w:pPr>
              <w:spacing w:after="0"/>
              <w:rPr>
                <w:rFonts w:ascii="Times New Roman" w:hAnsi="Times New Roman" w:cs="Times New Roman"/>
                <w:sz w:val="20"/>
                <w:szCs w:val="20"/>
              </w:rPr>
            </w:pPr>
            <w:r w:rsidRPr="00B01E80">
              <w:rPr>
                <w:rFonts w:ascii="Times New Roman" w:hAnsi="Times New Roman" w:cs="Times New Roman"/>
                <w:sz w:val="20"/>
                <w:szCs w:val="20"/>
              </w:rPr>
              <w:t>20 (100)</w:t>
            </w:r>
          </w:p>
        </w:tc>
      </w:tr>
      <w:tr w:rsidR="006C0CB7" w:rsidRPr="00B01E80" w14:paraId="1D95DF8F" w14:textId="77777777" w:rsidTr="00446324">
        <w:tc>
          <w:tcPr>
            <w:tcW w:w="0" w:type="auto"/>
            <w:tcMar>
              <w:top w:w="150" w:type="dxa"/>
              <w:left w:w="0" w:type="dxa"/>
              <w:bottom w:w="150" w:type="dxa"/>
              <w:right w:w="240" w:type="dxa"/>
            </w:tcMar>
            <w:vAlign w:val="center"/>
            <w:hideMark/>
          </w:tcPr>
          <w:p w14:paraId="4B4E5315" w14:textId="77777777" w:rsidR="006C0CB7" w:rsidRPr="00B01E80" w:rsidRDefault="006C0CB7" w:rsidP="00446324">
            <w:pPr>
              <w:spacing w:after="0"/>
              <w:rPr>
                <w:rFonts w:ascii="Times New Roman" w:hAnsi="Times New Roman" w:cs="Times New Roman"/>
                <w:sz w:val="20"/>
                <w:szCs w:val="20"/>
              </w:rPr>
            </w:pPr>
            <w:r w:rsidRPr="00B01E80">
              <w:rPr>
                <w:rStyle w:val="Emphasis"/>
                <w:rFonts w:ascii="Times New Roman" w:hAnsi="Times New Roman" w:cs="Times New Roman"/>
                <w:sz w:val="20"/>
                <w:szCs w:val="20"/>
              </w:rPr>
              <w:t>tetA</w:t>
            </w:r>
          </w:p>
        </w:tc>
        <w:tc>
          <w:tcPr>
            <w:tcW w:w="0" w:type="auto"/>
            <w:tcMar>
              <w:top w:w="150" w:type="dxa"/>
              <w:left w:w="240" w:type="dxa"/>
              <w:bottom w:w="150" w:type="dxa"/>
              <w:right w:w="240" w:type="dxa"/>
            </w:tcMar>
            <w:vAlign w:val="center"/>
            <w:hideMark/>
          </w:tcPr>
          <w:p w14:paraId="16D61BFB" w14:textId="77777777" w:rsidR="006C0CB7" w:rsidRPr="00B01E80" w:rsidRDefault="006C0CB7" w:rsidP="00446324">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Mar>
              <w:top w:w="150" w:type="dxa"/>
              <w:left w:w="240" w:type="dxa"/>
              <w:bottom w:w="150" w:type="dxa"/>
              <w:right w:w="240" w:type="dxa"/>
            </w:tcMar>
            <w:vAlign w:val="center"/>
            <w:hideMark/>
          </w:tcPr>
          <w:p w14:paraId="2EFC2D5F" w14:textId="77777777" w:rsidR="006C0CB7" w:rsidRPr="00B01E80" w:rsidRDefault="006C0CB7" w:rsidP="00446324">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Mar>
              <w:top w:w="150" w:type="dxa"/>
              <w:left w:w="240" w:type="dxa"/>
              <w:bottom w:w="150" w:type="dxa"/>
              <w:right w:w="0" w:type="dxa"/>
            </w:tcMar>
            <w:vAlign w:val="center"/>
            <w:hideMark/>
          </w:tcPr>
          <w:p w14:paraId="1B657067" w14:textId="77777777" w:rsidR="006C0CB7" w:rsidRPr="00B01E80" w:rsidRDefault="006C0CB7" w:rsidP="00446324">
            <w:pPr>
              <w:spacing w:after="0"/>
              <w:rPr>
                <w:rFonts w:ascii="Times New Roman" w:hAnsi="Times New Roman" w:cs="Times New Roman"/>
                <w:sz w:val="20"/>
                <w:szCs w:val="20"/>
              </w:rPr>
            </w:pPr>
            <w:r w:rsidRPr="00B01E80">
              <w:rPr>
                <w:rFonts w:ascii="Times New Roman" w:hAnsi="Times New Roman" w:cs="Times New Roman"/>
                <w:sz w:val="20"/>
                <w:szCs w:val="20"/>
              </w:rPr>
              <w:t>20 (100)</w:t>
            </w:r>
          </w:p>
        </w:tc>
      </w:tr>
      <w:tr w:rsidR="006C0CB7" w:rsidRPr="00B01E80" w14:paraId="10188A33" w14:textId="77777777" w:rsidTr="00446324">
        <w:tc>
          <w:tcPr>
            <w:tcW w:w="0" w:type="auto"/>
            <w:tcMar>
              <w:top w:w="150" w:type="dxa"/>
              <w:left w:w="0" w:type="dxa"/>
              <w:bottom w:w="150" w:type="dxa"/>
              <w:right w:w="240" w:type="dxa"/>
            </w:tcMar>
            <w:vAlign w:val="center"/>
            <w:hideMark/>
          </w:tcPr>
          <w:p w14:paraId="19AE3703" w14:textId="77777777" w:rsidR="006C0CB7" w:rsidRPr="00B01E80" w:rsidRDefault="006C0CB7" w:rsidP="00446324">
            <w:pPr>
              <w:spacing w:after="0"/>
              <w:rPr>
                <w:rFonts w:ascii="Times New Roman" w:hAnsi="Times New Roman" w:cs="Times New Roman"/>
                <w:sz w:val="20"/>
                <w:szCs w:val="20"/>
              </w:rPr>
            </w:pPr>
            <w:r w:rsidRPr="00B01E80">
              <w:rPr>
                <w:rStyle w:val="Emphasis"/>
                <w:rFonts w:ascii="Times New Roman" w:hAnsi="Times New Roman" w:cs="Times New Roman"/>
                <w:sz w:val="20"/>
                <w:szCs w:val="20"/>
              </w:rPr>
              <w:t>qepA</w:t>
            </w:r>
          </w:p>
        </w:tc>
        <w:tc>
          <w:tcPr>
            <w:tcW w:w="0" w:type="auto"/>
            <w:tcMar>
              <w:top w:w="150" w:type="dxa"/>
              <w:left w:w="240" w:type="dxa"/>
              <w:bottom w:w="150" w:type="dxa"/>
              <w:right w:w="240" w:type="dxa"/>
            </w:tcMar>
            <w:vAlign w:val="center"/>
            <w:hideMark/>
          </w:tcPr>
          <w:p w14:paraId="4B811B32" w14:textId="77777777" w:rsidR="006C0CB7" w:rsidRPr="00B01E80" w:rsidRDefault="006C0CB7" w:rsidP="00446324">
            <w:pPr>
              <w:spacing w:after="0"/>
              <w:rPr>
                <w:rFonts w:ascii="Times New Roman" w:hAnsi="Times New Roman" w:cs="Times New Roman"/>
                <w:sz w:val="20"/>
                <w:szCs w:val="20"/>
              </w:rPr>
            </w:pPr>
            <w:r w:rsidRPr="00B01E80">
              <w:rPr>
                <w:rFonts w:ascii="Times New Roman" w:hAnsi="Times New Roman" w:cs="Times New Roman"/>
                <w:sz w:val="20"/>
                <w:szCs w:val="20"/>
              </w:rPr>
              <w:t>7 (70)</w:t>
            </w:r>
          </w:p>
        </w:tc>
        <w:tc>
          <w:tcPr>
            <w:tcW w:w="0" w:type="auto"/>
            <w:tcMar>
              <w:top w:w="150" w:type="dxa"/>
              <w:left w:w="240" w:type="dxa"/>
              <w:bottom w:w="150" w:type="dxa"/>
              <w:right w:w="240" w:type="dxa"/>
            </w:tcMar>
            <w:vAlign w:val="center"/>
            <w:hideMark/>
          </w:tcPr>
          <w:p w14:paraId="32FD3457" w14:textId="77777777" w:rsidR="006C0CB7" w:rsidRPr="00B01E80" w:rsidRDefault="006C0CB7" w:rsidP="00446324">
            <w:pPr>
              <w:spacing w:after="0"/>
              <w:rPr>
                <w:rFonts w:ascii="Times New Roman" w:hAnsi="Times New Roman" w:cs="Times New Roman"/>
                <w:sz w:val="20"/>
                <w:szCs w:val="20"/>
              </w:rPr>
            </w:pPr>
            <w:r w:rsidRPr="00B01E80">
              <w:rPr>
                <w:rFonts w:ascii="Times New Roman" w:hAnsi="Times New Roman" w:cs="Times New Roman"/>
                <w:sz w:val="20"/>
                <w:szCs w:val="20"/>
              </w:rPr>
              <w:t>6 (60)</w:t>
            </w:r>
          </w:p>
        </w:tc>
        <w:tc>
          <w:tcPr>
            <w:tcW w:w="0" w:type="auto"/>
            <w:tcMar>
              <w:top w:w="150" w:type="dxa"/>
              <w:left w:w="240" w:type="dxa"/>
              <w:bottom w:w="150" w:type="dxa"/>
              <w:right w:w="0" w:type="dxa"/>
            </w:tcMar>
            <w:vAlign w:val="center"/>
            <w:hideMark/>
          </w:tcPr>
          <w:p w14:paraId="36CDCC04" w14:textId="77777777" w:rsidR="006C0CB7" w:rsidRPr="00B01E80" w:rsidRDefault="006C0CB7" w:rsidP="00446324">
            <w:pPr>
              <w:spacing w:after="0"/>
              <w:rPr>
                <w:rFonts w:ascii="Times New Roman" w:hAnsi="Times New Roman" w:cs="Times New Roman"/>
                <w:sz w:val="20"/>
                <w:szCs w:val="20"/>
              </w:rPr>
            </w:pPr>
            <w:r w:rsidRPr="00B01E80">
              <w:rPr>
                <w:rFonts w:ascii="Times New Roman" w:hAnsi="Times New Roman" w:cs="Times New Roman"/>
                <w:sz w:val="20"/>
                <w:szCs w:val="20"/>
              </w:rPr>
              <w:t>13 (65)</w:t>
            </w:r>
          </w:p>
        </w:tc>
      </w:tr>
      <w:tr w:rsidR="006C0CB7" w:rsidRPr="00B01E80" w14:paraId="0223EBCE" w14:textId="77777777" w:rsidTr="00446324">
        <w:tc>
          <w:tcPr>
            <w:tcW w:w="0" w:type="auto"/>
            <w:tcMar>
              <w:top w:w="150" w:type="dxa"/>
              <w:left w:w="0" w:type="dxa"/>
              <w:bottom w:w="150" w:type="dxa"/>
              <w:right w:w="240" w:type="dxa"/>
            </w:tcMar>
            <w:vAlign w:val="center"/>
            <w:hideMark/>
          </w:tcPr>
          <w:p w14:paraId="187A8AB7" w14:textId="77777777" w:rsidR="006C0CB7" w:rsidRPr="00B01E80" w:rsidRDefault="006C0CB7" w:rsidP="00446324">
            <w:pPr>
              <w:spacing w:after="0"/>
              <w:rPr>
                <w:rFonts w:ascii="Times New Roman" w:hAnsi="Times New Roman" w:cs="Times New Roman"/>
                <w:sz w:val="20"/>
                <w:szCs w:val="20"/>
              </w:rPr>
            </w:pPr>
            <w:r w:rsidRPr="00B01E80">
              <w:rPr>
                <w:rStyle w:val="Emphasis"/>
                <w:rFonts w:ascii="Times New Roman" w:hAnsi="Times New Roman" w:cs="Times New Roman"/>
                <w:sz w:val="20"/>
                <w:szCs w:val="20"/>
              </w:rPr>
              <w:t>bla</w:t>
            </w:r>
            <w:r w:rsidRPr="00B01E80">
              <w:rPr>
                <w:rFonts w:ascii="Times New Roman" w:hAnsi="Times New Roman" w:cs="Times New Roman"/>
                <w:sz w:val="20"/>
                <w:szCs w:val="20"/>
              </w:rPr>
              <w:t>CTX-M + </w:t>
            </w:r>
            <w:r w:rsidRPr="00B01E80">
              <w:rPr>
                <w:rStyle w:val="Emphasis"/>
                <w:rFonts w:ascii="Times New Roman" w:hAnsi="Times New Roman" w:cs="Times New Roman"/>
                <w:sz w:val="20"/>
                <w:szCs w:val="20"/>
              </w:rPr>
              <w:t>tetA</w:t>
            </w:r>
          </w:p>
        </w:tc>
        <w:tc>
          <w:tcPr>
            <w:tcW w:w="0" w:type="auto"/>
            <w:tcMar>
              <w:top w:w="150" w:type="dxa"/>
              <w:left w:w="240" w:type="dxa"/>
              <w:bottom w:w="150" w:type="dxa"/>
              <w:right w:w="240" w:type="dxa"/>
            </w:tcMar>
            <w:vAlign w:val="center"/>
            <w:hideMark/>
          </w:tcPr>
          <w:p w14:paraId="30284D32" w14:textId="77777777" w:rsidR="006C0CB7" w:rsidRPr="00B01E80" w:rsidRDefault="006C0CB7" w:rsidP="00446324">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Mar>
              <w:top w:w="150" w:type="dxa"/>
              <w:left w:w="240" w:type="dxa"/>
              <w:bottom w:w="150" w:type="dxa"/>
              <w:right w:w="240" w:type="dxa"/>
            </w:tcMar>
            <w:vAlign w:val="center"/>
            <w:hideMark/>
          </w:tcPr>
          <w:p w14:paraId="15265248" w14:textId="77777777" w:rsidR="006C0CB7" w:rsidRPr="00B01E80" w:rsidRDefault="006C0CB7" w:rsidP="00446324">
            <w:pPr>
              <w:spacing w:after="0"/>
              <w:rPr>
                <w:rFonts w:ascii="Times New Roman" w:hAnsi="Times New Roman" w:cs="Times New Roman"/>
                <w:sz w:val="20"/>
                <w:szCs w:val="20"/>
              </w:rPr>
            </w:pPr>
            <w:r w:rsidRPr="00B01E80">
              <w:rPr>
                <w:rFonts w:ascii="Times New Roman" w:hAnsi="Times New Roman" w:cs="Times New Roman"/>
                <w:sz w:val="20"/>
                <w:szCs w:val="20"/>
              </w:rPr>
              <w:t>10 (100)</w:t>
            </w:r>
          </w:p>
        </w:tc>
        <w:tc>
          <w:tcPr>
            <w:tcW w:w="0" w:type="auto"/>
            <w:tcMar>
              <w:top w:w="150" w:type="dxa"/>
              <w:left w:w="240" w:type="dxa"/>
              <w:bottom w:w="150" w:type="dxa"/>
              <w:right w:w="0" w:type="dxa"/>
            </w:tcMar>
            <w:vAlign w:val="center"/>
            <w:hideMark/>
          </w:tcPr>
          <w:p w14:paraId="7A2F42D5" w14:textId="77777777" w:rsidR="006C0CB7" w:rsidRPr="00B01E80" w:rsidRDefault="006C0CB7" w:rsidP="00446324">
            <w:pPr>
              <w:spacing w:after="0"/>
              <w:rPr>
                <w:rFonts w:ascii="Times New Roman" w:hAnsi="Times New Roman" w:cs="Times New Roman"/>
                <w:sz w:val="20"/>
                <w:szCs w:val="20"/>
              </w:rPr>
            </w:pPr>
            <w:r w:rsidRPr="00B01E80">
              <w:rPr>
                <w:rFonts w:ascii="Times New Roman" w:hAnsi="Times New Roman" w:cs="Times New Roman"/>
                <w:sz w:val="20"/>
                <w:szCs w:val="20"/>
              </w:rPr>
              <w:t>20 (100)</w:t>
            </w:r>
          </w:p>
        </w:tc>
      </w:tr>
      <w:tr w:rsidR="006C0CB7" w:rsidRPr="00B01E80" w14:paraId="5A51485A" w14:textId="77777777" w:rsidTr="00446324">
        <w:tc>
          <w:tcPr>
            <w:tcW w:w="0" w:type="auto"/>
            <w:tcMar>
              <w:top w:w="150" w:type="dxa"/>
              <w:left w:w="0" w:type="dxa"/>
              <w:bottom w:w="150" w:type="dxa"/>
              <w:right w:w="240" w:type="dxa"/>
            </w:tcMar>
            <w:vAlign w:val="center"/>
            <w:hideMark/>
          </w:tcPr>
          <w:p w14:paraId="3719EC38" w14:textId="77777777" w:rsidR="006C0CB7" w:rsidRPr="00B01E80" w:rsidRDefault="006C0CB7" w:rsidP="00446324">
            <w:pPr>
              <w:spacing w:after="0"/>
              <w:rPr>
                <w:rFonts w:ascii="Times New Roman" w:hAnsi="Times New Roman" w:cs="Times New Roman"/>
                <w:sz w:val="20"/>
                <w:szCs w:val="20"/>
              </w:rPr>
            </w:pPr>
            <w:r w:rsidRPr="00B01E80">
              <w:rPr>
                <w:rStyle w:val="Emphasis"/>
                <w:rFonts w:ascii="Times New Roman" w:hAnsi="Times New Roman" w:cs="Times New Roman"/>
                <w:sz w:val="20"/>
                <w:szCs w:val="20"/>
              </w:rPr>
              <w:t>bla</w:t>
            </w:r>
            <w:r w:rsidRPr="00B01E80">
              <w:rPr>
                <w:rFonts w:ascii="Times New Roman" w:hAnsi="Times New Roman" w:cs="Times New Roman"/>
                <w:sz w:val="20"/>
                <w:szCs w:val="20"/>
              </w:rPr>
              <w:t>CTX-M + </w:t>
            </w:r>
            <w:r w:rsidRPr="00B01E80">
              <w:rPr>
                <w:rStyle w:val="Emphasis"/>
                <w:rFonts w:ascii="Times New Roman" w:hAnsi="Times New Roman" w:cs="Times New Roman"/>
                <w:sz w:val="20"/>
                <w:szCs w:val="20"/>
              </w:rPr>
              <w:t>tetA</w:t>
            </w:r>
            <w:r w:rsidRPr="00B01E80">
              <w:rPr>
                <w:rFonts w:ascii="Times New Roman" w:hAnsi="Times New Roman" w:cs="Times New Roman"/>
                <w:sz w:val="20"/>
                <w:szCs w:val="20"/>
              </w:rPr>
              <w:t> + </w:t>
            </w:r>
            <w:r w:rsidRPr="00B01E80">
              <w:rPr>
                <w:rStyle w:val="Emphasis"/>
                <w:rFonts w:ascii="Times New Roman" w:hAnsi="Times New Roman" w:cs="Times New Roman"/>
                <w:sz w:val="20"/>
                <w:szCs w:val="20"/>
              </w:rPr>
              <w:t>qepA</w:t>
            </w:r>
          </w:p>
        </w:tc>
        <w:tc>
          <w:tcPr>
            <w:tcW w:w="0" w:type="auto"/>
            <w:tcMar>
              <w:top w:w="150" w:type="dxa"/>
              <w:left w:w="240" w:type="dxa"/>
              <w:bottom w:w="150" w:type="dxa"/>
              <w:right w:w="240" w:type="dxa"/>
            </w:tcMar>
            <w:vAlign w:val="center"/>
            <w:hideMark/>
          </w:tcPr>
          <w:p w14:paraId="7887E487" w14:textId="77777777" w:rsidR="006C0CB7" w:rsidRPr="00B01E80" w:rsidRDefault="006C0CB7" w:rsidP="00446324">
            <w:pPr>
              <w:spacing w:after="0"/>
              <w:rPr>
                <w:rFonts w:ascii="Times New Roman" w:hAnsi="Times New Roman" w:cs="Times New Roman"/>
                <w:sz w:val="20"/>
                <w:szCs w:val="20"/>
              </w:rPr>
            </w:pPr>
            <w:r w:rsidRPr="00B01E80">
              <w:rPr>
                <w:rFonts w:ascii="Times New Roman" w:hAnsi="Times New Roman" w:cs="Times New Roman"/>
                <w:sz w:val="20"/>
                <w:szCs w:val="20"/>
              </w:rPr>
              <w:t>7 (70)</w:t>
            </w:r>
          </w:p>
        </w:tc>
        <w:tc>
          <w:tcPr>
            <w:tcW w:w="0" w:type="auto"/>
            <w:tcMar>
              <w:top w:w="150" w:type="dxa"/>
              <w:left w:w="240" w:type="dxa"/>
              <w:bottom w:w="150" w:type="dxa"/>
              <w:right w:w="240" w:type="dxa"/>
            </w:tcMar>
            <w:vAlign w:val="center"/>
            <w:hideMark/>
          </w:tcPr>
          <w:p w14:paraId="10570B21" w14:textId="77777777" w:rsidR="006C0CB7" w:rsidRPr="00B01E80" w:rsidRDefault="006C0CB7" w:rsidP="00446324">
            <w:pPr>
              <w:spacing w:after="0"/>
              <w:rPr>
                <w:rFonts w:ascii="Times New Roman" w:hAnsi="Times New Roman" w:cs="Times New Roman"/>
                <w:sz w:val="20"/>
                <w:szCs w:val="20"/>
              </w:rPr>
            </w:pPr>
            <w:r w:rsidRPr="00B01E80">
              <w:rPr>
                <w:rFonts w:ascii="Times New Roman" w:hAnsi="Times New Roman" w:cs="Times New Roman"/>
                <w:sz w:val="20"/>
                <w:szCs w:val="20"/>
              </w:rPr>
              <w:t>6 (60)</w:t>
            </w:r>
          </w:p>
        </w:tc>
        <w:tc>
          <w:tcPr>
            <w:tcW w:w="0" w:type="auto"/>
            <w:tcMar>
              <w:top w:w="150" w:type="dxa"/>
              <w:left w:w="240" w:type="dxa"/>
              <w:bottom w:w="150" w:type="dxa"/>
              <w:right w:w="0" w:type="dxa"/>
            </w:tcMar>
            <w:vAlign w:val="center"/>
            <w:hideMark/>
          </w:tcPr>
          <w:p w14:paraId="76529CAB" w14:textId="77777777" w:rsidR="006C0CB7" w:rsidRPr="00B01E80" w:rsidRDefault="006C0CB7" w:rsidP="00446324">
            <w:pPr>
              <w:spacing w:after="0"/>
              <w:rPr>
                <w:rFonts w:ascii="Times New Roman" w:hAnsi="Times New Roman" w:cs="Times New Roman"/>
                <w:sz w:val="20"/>
                <w:szCs w:val="20"/>
              </w:rPr>
            </w:pPr>
            <w:r w:rsidRPr="00B01E80">
              <w:rPr>
                <w:rFonts w:ascii="Times New Roman" w:hAnsi="Times New Roman" w:cs="Times New Roman"/>
                <w:sz w:val="20"/>
                <w:szCs w:val="20"/>
              </w:rPr>
              <w:t>13 (65)</w:t>
            </w:r>
          </w:p>
        </w:tc>
      </w:tr>
    </w:tbl>
    <w:p w14:paraId="7B5184D3" w14:textId="77777777" w:rsidR="006C0CB7" w:rsidRPr="00930F35" w:rsidRDefault="006C0CB7" w:rsidP="006C0CB7">
      <w:pPr>
        <w:pStyle w:val="Heading3"/>
        <w:shd w:val="clear" w:color="auto" w:fill="FFFFFF"/>
        <w:spacing w:before="0"/>
        <w:rPr>
          <w:rFonts w:ascii="Times New Roman" w:hAnsi="Times New Roman" w:cs="Times New Roman"/>
          <w:b/>
          <w:color w:val="0F1115"/>
          <w:sz w:val="20"/>
          <w:szCs w:val="20"/>
        </w:rPr>
      </w:pPr>
      <w:r w:rsidRPr="00930F35">
        <w:rPr>
          <w:rFonts w:ascii="Times New Roman" w:hAnsi="Times New Roman" w:cs="Times New Roman"/>
          <w:b/>
          <w:color w:val="0F1115"/>
          <w:sz w:val="20"/>
          <w:szCs w:val="20"/>
        </w:rPr>
        <w:t>3.6 Age-Stratified Gene Convergence</w:t>
      </w:r>
    </w:p>
    <w:p w14:paraId="01619495" w14:textId="77777777" w:rsidR="006C0CB7" w:rsidRPr="00B01E80" w:rsidRDefault="006C0CB7" w:rsidP="006C0CB7">
      <w:pPr>
        <w:pStyle w:val="ds-markdown-paragraph"/>
        <w:shd w:val="clear" w:color="auto" w:fill="FFFFFF"/>
        <w:spacing w:before="0" w:beforeAutospacing="0" w:after="0" w:afterAutospacing="0"/>
        <w:rPr>
          <w:color w:val="0F1115"/>
          <w:sz w:val="20"/>
          <w:szCs w:val="20"/>
          <w:shd w:val="clear" w:color="auto" w:fill="FFFFFF"/>
        </w:rPr>
      </w:pPr>
      <w:r w:rsidRPr="00B01E80">
        <w:rPr>
          <w:color w:val="0F1115"/>
          <w:sz w:val="20"/>
          <w:szCs w:val="20"/>
          <w:shd w:val="clear" w:color="auto" w:fill="FFFFFF"/>
        </w:rPr>
        <w:t>Analysis of gene convergence by age group revealed that the 32-38 years age group harbored the highest proportion of triple-gene positive isolates (</w:t>
      </w:r>
      <w:r w:rsidRPr="00B01E80">
        <w:rPr>
          <w:rStyle w:val="Strong"/>
          <w:color w:val="0F1115"/>
          <w:sz w:val="20"/>
          <w:szCs w:val="20"/>
          <w:shd w:val="clear" w:color="auto" w:fill="FFFFFF"/>
        </w:rPr>
        <w:t>Table 5</w:t>
      </w:r>
      <w:r w:rsidRPr="00B01E80">
        <w:rPr>
          <w:color w:val="0F1115"/>
          <w:sz w:val="20"/>
          <w:szCs w:val="20"/>
          <w:shd w:val="clear" w:color="auto" w:fill="FFFFFF"/>
        </w:rPr>
        <w:t>). Among the 8 isolates from the 32-38 years age group, 7 (87.5%) carried all three genes (</w:t>
      </w:r>
      <w:r w:rsidRPr="00B01E80">
        <w:rPr>
          <w:rStyle w:val="Emphasis"/>
          <w:color w:val="0F1115"/>
          <w:sz w:val="20"/>
          <w:szCs w:val="20"/>
          <w:shd w:val="clear" w:color="auto" w:fill="FFFFFF"/>
        </w:rPr>
        <w:t>bla</w:t>
      </w:r>
      <w:r w:rsidRPr="00B01E80">
        <w:rPr>
          <w:color w:val="0F1115"/>
          <w:sz w:val="20"/>
          <w:szCs w:val="20"/>
          <w:shd w:val="clear" w:color="auto" w:fill="FFFFFF"/>
        </w:rPr>
        <w:t>CTX-M + </w:t>
      </w:r>
      <w:r w:rsidRPr="00B01E80">
        <w:rPr>
          <w:rStyle w:val="Emphasis"/>
          <w:color w:val="0F1115"/>
          <w:sz w:val="20"/>
          <w:szCs w:val="20"/>
          <w:shd w:val="clear" w:color="auto" w:fill="FFFFFF"/>
        </w:rPr>
        <w:t>tetA</w:t>
      </w:r>
      <w:r w:rsidRPr="00B01E80">
        <w:rPr>
          <w:color w:val="0F1115"/>
          <w:sz w:val="20"/>
          <w:szCs w:val="20"/>
          <w:shd w:val="clear" w:color="auto" w:fill="FFFFFF"/>
        </w:rPr>
        <w:t> + </w:t>
      </w:r>
      <w:r w:rsidRPr="00B01E80">
        <w:rPr>
          <w:rStyle w:val="Emphasis"/>
          <w:color w:val="0F1115"/>
          <w:sz w:val="20"/>
          <w:szCs w:val="20"/>
          <w:shd w:val="clear" w:color="auto" w:fill="FFFFFF"/>
        </w:rPr>
        <w:t>qepA</w:t>
      </w:r>
      <w:r w:rsidRPr="00B01E80">
        <w:rPr>
          <w:color w:val="0F1115"/>
          <w:sz w:val="20"/>
          <w:szCs w:val="20"/>
          <w:shd w:val="clear" w:color="auto" w:fill="FFFFFF"/>
        </w:rPr>
        <w:t>), compared to 3 of 5 (60%) in the 25-31 years group and 2 of 4 (50%) in the 18-24 years group</w:t>
      </w:r>
    </w:p>
    <w:p w14:paraId="178DCA69" w14:textId="77777777" w:rsidR="006C0CB7" w:rsidRPr="00B01E80" w:rsidRDefault="006C0CB7" w:rsidP="006C0CB7">
      <w:pPr>
        <w:shd w:val="clear" w:color="auto" w:fill="FFFFFF"/>
        <w:spacing w:after="0" w:line="240" w:lineRule="auto"/>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Table 5: Age-Stratified Distribution of Triple Gene Convergence (</w:t>
      </w:r>
      <w:r w:rsidRPr="00B01E80">
        <w:rPr>
          <w:rFonts w:ascii="Times New Roman" w:eastAsia="Times New Roman" w:hAnsi="Times New Roman" w:cs="Times New Roman"/>
          <w:b/>
          <w:bCs/>
          <w:i/>
          <w:iCs/>
          <w:color w:val="0F1115"/>
          <w:sz w:val="20"/>
          <w:szCs w:val="20"/>
        </w:rPr>
        <w:t>bla</w:t>
      </w:r>
      <w:r w:rsidRPr="00B01E80">
        <w:rPr>
          <w:rFonts w:ascii="Times New Roman" w:eastAsia="Times New Roman" w:hAnsi="Times New Roman" w:cs="Times New Roman"/>
          <w:b/>
          <w:bCs/>
          <w:color w:val="0F1115"/>
          <w:sz w:val="20"/>
          <w:szCs w:val="20"/>
        </w:rPr>
        <w:t>CTX-M + </w:t>
      </w:r>
      <w:r w:rsidRPr="00B01E80">
        <w:rPr>
          <w:rFonts w:ascii="Times New Roman" w:eastAsia="Times New Roman" w:hAnsi="Times New Roman" w:cs="Times New Roman"/>
          <w:b/>
          <w:bCs/>
          <w:i/>
          <w:iCs/>
          <w:color w:val="0F1115"/>
          <w:sz w:val="20"/>
          <w:szCs w:val="20"/>
        </w:rPr>
        <w:t>tetA</w:t>
      </w:r>
      <w:r w:rsidRPr="00B01E80">
        <w:rPr>
          <w:rFonts w:ascii="Times New Roman" w:eastAsia="Times New Roman" w:hAnsi="Times New Roman" w:cs="Times New Roman"/>
          <w:b/>
          <w:bCs/>
          <w:color w:val="0F1115"/>
          <w:sz w:val="20"/>
          <w:szCs w:val="20"/>
        </w:rPr>
        <w:t> + </w:t>
      </w:r>
      <w:r w:rsidRPr="00B01E80">
        <w:rPr>
          <w:rFonts w:ascii="Times New Roman" w:eastAsia="Times New Roman" w:hAnsi="Times New Roman" w:cs="Times New Roman"/>
          <w:b/>
          <w:bCs/>
          <w:i/>
          <w:iCs/>
          <w:color w:val="0F1115"/>
          <w:sz w:val="20"/>
          <w:szCs w:val="20"/>
        </w:rPr>
        <w:t>qepA</w:t>
      </w:r>
      <w:r w:rsidRPr="00B01E80">
        <w:rPr>
          <w:rFonts w:ascii="Times New Roman" w:eastAsia="Times New Roman" w:hAnsi="Times New Roman" w:cs="Times New Roman"/>
          <w:b/>
          <w:bCs/>
          <w:color w:val="0F1115"/>
          <w:sz w:val="20"/>
          <w:szCs w:val="20"/>
        </w:rPr>
        <w:t>) Among Selected Isolates (n=20)</w:t>
      </w:r>
    </w:p>
    <w:tbl>
      <w:tblPr>
        <w:tblW w:w="9702"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571"/>
        <w:gridCol w:w="3238"/>
        <w:gridCol w:w="3893"/>
      </w:tblGrid>
      <w:tr w:rsidR="006C0CB7" w:rsidRPr="00B01E80" w14:paraId="660F5D7D" w14:textId="77777777" w:rsidTr="00446324">
        <w:trPr>
          <w:trHeight w:val="251"/>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59ACD0D" w14:textId="77777777" w:rsidR="006C0CB7" w:rsidRPr="00B01E80" w:rsidRDefault="006C0CB7" w:rsidP="00446324">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Age Group (years)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EB945D4" w14:textId="77777777" w:rsidR="006C0CB7" w:rsidRPr="00B01E80" w:rsidRDefault="006C0CB7" w:rsidP="00446324">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No. of Isolates Tested</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4B88691" w14:textId="77777777" w:rsidR="006C0CB7" w:rsidRPr="00B01E80" w:rsidRDefault="006C0CB7" w:rsidP="00446324">
            <w:pPr>
              <w:spacing w:after="0" w:line="240" w:lineRule="auto"/>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Triple Gene Positive n (%)</w:t>
            </w:r>
          </w:p>
        </w:tc>
      </w:tr>
      <w:tr w:rsidR="006C0CB7" w:rsidRPr="00B01E80" w14:paraId="5E8DA53F" w14:textId="77777777" w:rsidTr="00446324">
        <w:trPr>
          <w:trHeight w:val="265"/>
        </w:trPr>
        <w:tc>
          <w:tcPr>
            <w:tcW w:w="0" w:type="auto"/>
            <w:tcBorders>
              <w:top w:val="single" w:sz="4" w:space="0" w:color="auto"/>
            </w:tcBorders>
            <w:tcMar>
              <w:top w:w="150" w:type="dxa"/>
              <w:left w:w="0" w:type="dxa"/>
              <w:bottom w:w="150" w:type="dxa"/>
              <w:right w:w="240" w:type="dxa"/>
            </w:tcMar>
            <w:vAlign w:val="center"/>
            <w:hideMark/>
          </w:tcPr>
          <w:p w14:paraId="76826524"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18-24</w:t>
            </w:r>
          </w:p>
        </w:tc>
        <w:tc>
          <w:tcPr>
            <w:tcW w:w="0" w:type="auto"/>
            <w:tcBorders>
              <w:top w:val="single" w:sz="4" w:space="0" w:color="auto"/>
            </w:tcBorders>
            <w:tcMar>
              <w:top w:w="150" w:type="dxa"/>
              <w:left w:w="240" w:type="dxa"/>
              <w:bottom w:w="150" w:type="dxa"/>
              <w:right w:w="240" w:type="dxa"/>
            </w:tcMar>
            <w:vAlign w:val="center"/>
            <w:hideMark/>
          </w:tcPr>
          <w:p w14:paraId="036F0307"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w:t>
            </w:r>
          </w:p>
        </w:tc>
        <w:tc>
          <w:tcPr>
            <w:tcW w:w="0" w:type="auto"/>
            <w:tcBorders>
              <w:top w:val="single" w:sz="4" w:space="0" w:color="auto"/>
            </w:tcBorders>
            <w:tcMar>
              <w:top w:w="150" w:type="dxa"/>
              <w:left w:w="240" w:type="dxa"/>
              <w:bottom w:w="150" w:type="dxa"/>
              <w:right w:w="0" w:type="dxa"/>
            </w:tcMar>
            <w:vAlign w:val="center"/>
            <w:hideMark/>
          </w:tcPr>
          <w:p w14:paraId="54D3DB37"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 (50.0)</w:t>
            </w:r>
          </w:p>
        </w:tc>
      </w:tr>
      <w:tr w:rsidR="006C0CB7" w:rsidRPr="00B01E80" w14:paraId="38265365" w14:textId="77777777" w:rsidTr="00446324">
        <w:trPr>
          <w:trHeight w:val="251"/>
        </w:trPr>
        <w:tc>
          <w:tcPr>
            <w:tcW w:w="0" w:type="auto"/>
            <w:tcMar>
              <w:top w:w="150" w:type="dxa"/>
              <w:left w:w="0" w:type="dxa"/>
              <w:bottom w:w="150" w:type="dxa"/>
              <w:right w:w="240" w:type="dxa"/>
            </w:tcMar>
            <w:vAlign w:val="center"/>
            <w:hideMark/>
          </w:tcPr>
          <w:p w14:paraId="7B093AAC"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25-31</w:t>
            </w:r>
          </w:p>
        </w:tc>
        <w:tc>
          <w:tcPr>
            <w:tcW w:w="0" w:type="auto"/>
            <w:tcMar>
              <w:top w:w="150" w:type="dxa"/>
              <w:left w:w="240" w:type="dxa"/>
              <w:bottom w:w="150" w:type="dxa"/>
              <w:right w:w="240" w:type="dxa"/>
            </w:tcMar>
            <w:vAlign w:val="center"/>
            <w:hideMark/>
          </w:tcPr>
          <w:p w14:paraId="2C1CE20E"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w:t>
            </w:r>
          </w:p>
        </w:tc>
        <w:tc>
          <w:tcPr>
            <w:tcW w:w="0" w:type="auto"/>
            <w:tcMar>
              <w:top w:w="150" w:type="dxa"/>
              <w:left w:w="240" w:type="dxa"/>
              <w:bottom w:w="150" w:type="dxa"/>
              <w:right w:w="0" w:type="dxa"/>
            </w:tcMar>
            <w:vAlign w:val="center"/>
            <w:hideMark/>
          </w:tcPr>
          <w:p w14:paraId="6B18F971"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 (60.0)</w:t>
            </w:r>
          </w:p>
        </w:tc>
      </w:tr>
      <w:tr w:rsidR="006C0CB7" w:rsidRPr="00B01E80" w14:paraId="5DDDA525" w14:textId="77777777" w:rsidTr="00446324">
        <w:trPr>
          <w:trHeight w:val="265"/>
        </w:trPr>
        <w:tc>
          <w:tcPr>
            <w:tcW w:w="0" w:type="auto"/>
            <w:tcMar>
              <w:top w:w="150" w:type="dxa"/>
              <w:left w:w="0" w:type="dxa"/>
              <w:bottom w:w="150" w:type="dxa"/>
              <w:right w:w="240" w:type="dxa"/>
            </w:tcMar>
            <w:vAlign w:val="center"/>
            <w:hideMark/>
          </w:tcPr>
          <w:p w14:paraId="315A2089"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32-38</w:t>
            </w:r>
          </w:p>
        </w:tc>
        <w:tc>
          <w:tcPr>
            <w:tcW w:w="0" w:type="auto"/>
            <w:tcMar>
              <w:top w:w="150" w:type="dxa"/>
              <w:left w:w="240" w:type="dxa"/>
              <w:bottom w:w="150" w:type="dxa"/>
              <w:right w:w="240" w:type="dxa"/>
            </w:tcMar>
            <w:vAlign w:val="center"/>
            <w:hideMark/>
          </w:tcPr>
          <w:p w14:paraId="699EEF40"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8</w:t>
            </w:r>
          </w:p>
        </w:tc>
        <w:tc>
          <w:tcPr>
            <w:tcW w:w="0" w:type="auto"/>
            <w:tcMar>
              <w:top w:w="150" w:type="dxa"/>
              <w:left w:w="240" w:type="dxa"/>
              <w:bottom w:w="150" w:type="dxa"/>
              <w:right w:w="0" w:type="dxa"/>
            </w:tcMar>
            <w:vAlign w:val="center"/>
            <w:hideMark/>
          </w:tcPr>
          <w:p w14:paraId="114D4F08"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7 (87.5)</w:t>
            </w:r>
          </w:p>
        </w:tc>
      </w:tr>
      <w:tr w:rsidR="006C0CB7" w:rsidRPr="00B01E80" w14:paraId="08D90AA4" w14:textId="77777777" w:rsidTr="00446324">
        <w:trPr>
          <w:trHeight w:val="251"/>
        </w:trPr>
        <w:tc>
          <w:tcPr>
            <w:tcW w:w="0" w:type="auto"/>
            <w:tcMar>
              <w:top w:w="150" w:type="dxa"/>
              <w:left w:w="0" w:type="dxa"/>
              <w:bottom w:w="150" w:type="dxa"/>
              <w:right w:w="240" w:type="dxa"/>
            </w:tcMar>
            <w:vAlign w:val="center"/>
            <w:hideMark/>
          </w:tcPr>
          <w:p w14:paraId="1B1561F9"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39-45</w:t>
            </w:r>
          </w:p>
        </w:tc>
        <w:tc>
          <w:tcPr>
            <w:tcW w:w="0" w:type="auto"/>
            <w:tcMar>
              <w:top w:w="150" w:type="dxa"/>
              <w:left w:w="240" w:type="dxa"/>
              <w:bottom w:w="150" w:type="dxa"/>
              <w:right w:w="240" w:type="dxa"/>
            </w:tcMar>
            <w:vAlign w:val="center"/>
            <w:hideMark/>
          </w:tcPr>
          <w:p w14:paraId="1E5C45A8"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w:t>
            </w:r>
          </w:p>
        </w:tc>
        <w:tc>
          <w:tcPr>
            <w:tcW w:w="0" w:type="auto"/>
            <w:tcMar>
              <w:top w:w="150" w:type="dxa"/>
              <w:left w:w="240" w:type="dxa"/>
              <w:bottom w:w="150" w:type="dxa"/>
              <w:right w:w="0" w:type="dxa"/>
            </w:tcMar>
            <w:vAlign w:val="center"/>
            <w:hideMark/>
          </w:tcPr>
          <w:p w14:paraId="54E8FA59"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 (33.3)</w:t>
            </w:r>
          </w:p>
        </w:tc>
      </w:tr>
      <w:tr w:rsidR="006C0CB7" w:rsidRPr="00B01E80" w14:paraId="11DDD952" w14:textId="77777777" w:rsidTr="00446324">
        <w:trPr>
          <w:trHeight w:val="251"/>
        </w:trPr>
        <w:tc>
          <w:tcPr>
            <w:tcW w:w="0" w:type="auto"/>
            <w:tcMar>
              <w:top w:w="150" w:type="dxa"/>
              <w:left w:w="0" w:type="dxa"/>
              <w:bottom w:w="150" w:type="dxa"/>
              <w:right w:w="240" w:type="dxa"/>
            </w:tcMar>
            <w:vAlign w:val="center"/>
            <w:hideMark/>
          </w:tcPr>
          <w:p w14:paraId="0979F50C"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Total</w:t>
            </w:r>
          </w:p>
        </w:tc>
        <w:tc>
          <w:tcPr>
            <w:tcW w:w="0" w:type="auto"/>
            <w:tcMar>
              <w:top w:w="150" w:type="dxa"/>
              <w:left w:w="240" w:type="dxa"/>
              <w:bottom w:w="150" w:type="dxa"/>
              <w:right w:w="240" w:type="dxa"/>
            </w:tcMar>
            <w:vAlign w:val="center"/>
            <w:hideMark/>
          </w:tcPr>
          <w:p w14:paraId="26BA7B11"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20</w:t>
            </w:r>
          </w:p>
        </w:tc>
        <w:tc>
          <w:tcPr>
            <w:tcW w:w="0" w:type="auto"/>
            <w:tcMar>
              <w:top w:w="150" w:type="dxa"/>
              <w:left w:w="240" w:type="dxa"/>
              <w:bottom w:w="150" w:type="dxa"/>
              <w:right w:w="0" w:type="dxa"/>
            </w:tcMar>
            <w:vAlign w:val="center"/>
            <w:hideMark/>
          </w:tcPr>
          <w:p w14:paraId="5B100D5F" w14:textId="77777777" w:rsidR="006C0CB7" w:rsidRPr="00B01E80" w:rsidRDefault="006C0CB7" w:rsidP="00446324">
            <w:pPr>
              <w:spacing w:after="0" w:line="240" w:lineRule="auto"/>
              <w:rPr>
                <w:rFonts w:ascii="Times New Roman" w:eastAsia="Times New Roman" w:hAnsi="Times New Roman" w:cs="Times New Roman"/>
                <w:sz w:val="20"/>
                <w:szCs w:val="20"/>
              </w:rPr>
            </w:pPr>
            <w:r w:rsidRPr="00B01E80">
              <w:rPr>
                <w:rFonts w:ascii="Times New Roman" w:eastAsia="Times New Roman" w:hAnsi="Times New Roman" w:cs="Times New Roman"/>
                <w:b/>
                <w:bCs/>
                <w:sz w:val="20"/>
                <w:szCs w:val="20"/>
              </w:rPr>
              <w:t>13 (65.0)</w:t>
            </w:r>
          </w:p>
        </w:tc>
      </w:tr>
    </w:tbl>
    <w:p w14:paraId="06E6D02C" w14:textId="77777777" w:rsidR="006C0CB7" w:rsidRPr="00B01E80" w:rsidRDefault="006C0CB7" w:rsidP="006C0CB7">
      <w:pPr>
        <w:pStyle w:val="Heading3"/>
        <w:shd w:val="clear" w:color="auto" w:fill="FFFFFF"/>
        <w:spacing w:before="0"/>
        <w:jc w:val="both"/>
        <w:rPr>
          <w:rFonts w:ascii="Times New Roman" w:hAnsi="Times New Roman" w:cs="Times New Roman"/>
          <w:color w:val="0F1115"/>
          <w:sz w:val="20"/>
          <w:szCs w:val="20"/>
        </w:rPr>
      </w:pPr>
    </w:p>
    <w:p w14:paraId="5FCCCFFF" w14:textId="77777777" w:rsidR="006C0CB7" w:rsidRPr="00930F35" w:rsidRDefault="006C0CB7" w:rsidP="006C0CB7">
      <w:pPr>
        <w:pStyle w:val="Heading3"/>
        <w:shd w:val="clear" w:color="auto" w:fill="FFFFFF"/>
        <w:spacing w:before="0"/>
        <w:jc w:val="both"/>
        <w:rPr>
          <w:rFonts w:ascii="Times New Roman" w:hAnsi="Times New Roman" w:cs="Times New Roman"/>
          <w:b/>
          <w:color w:val="0F1115"/>
          <w:sz w:val="20"/>
          <w:szCs w:val="20"/>
        </w:rPr>
      </w:pPr>
      <w:r w:rsidRPr="00930F35">
        <w:rPr>
          <w:rFonts w:ascii="Times New Roman" w:hAnsi="Times New Roman" w:cs="Times New Roman"/>
          <w:b/>
          <w:color w:val="0F1115"/>
          <w:sz w:val="20"/>
          <w:szCs w:val="20"/>
        </w:rPr>
        <w:t>3.7 Association Between Resistance Gene Carriage and Phenotypic Resistance</w:t>
      </w:r>
    </w:p>
    <w:p w14:paraId="4F544353" w14:textId="77777777" w:rsidR="006C0CB7" w:rsidRPr="00930F35"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Statistical analysis revealed significant associations between specific resistance gene carriage and phenotypic resistance patterns (</w:t>
      </w:r>
      <w:r w:rsidRPr="00B01E80">
        <w:rPr>
          <w:rStyle w:val="Strong"/>
          <w:color w:val="0F1115"/>
          <w:sz w:val="20"/>
          <w:szCs w:val="20"/>
        </w:rPr>
        <w:t>Table 6</w:t>
      </w:r>
      <w:r w:rsidRPr="00B01E80">
        <w:rPr>
          <w:color w:val="0F1115"/>
          <w:sz w:val="20"/>
          <w:szCs w:val="20"/>
        </w:rPr>
        <w:t>). The presence of </w:t>
      </w:r>
      <w:r w:rsidRPr="00B01E80">
        <w:rPr>
          <w:rStyle w:val="Emphasis"/>
          <w:color w:val="0F1115"/>
          <w:sz w:val="20"/>
          <w:szCs w:val="20"/>
        </w:rPr>
        <w:t>tetA</w:t>
      </w:r>
      <w:r w:rsidRPr="00B01E80">
        <w:rPr>
          <w:color w:val="0F1115"/>
          <w:sz w:val="20"/>
          <w:szCs w:val="20"/>
        </w:rPr>
        <w:t> was strongly associated with phenotypic tetracycline resistance (O</w:t>
      </w:r>
      <w:r>
        <w:rPr>
          <w:color w:val="0F1115"/>
          <w:sz w:val="20"/>
          <w:szCs w:val="20"/>
        </w:rPr>
        <w:t>R = 28.5, 95% CI: 4.2-192.7, p</w:t>
      </w:r>
      <w:r w:rsidRPr="00B01E80">
        <w:rPr>
          <w:color w:val="0F1115"/>
          <w:sz w:val="20"/>
          <w:szCs w:val="20"/>
        </w:rPr>
        <w:t> &lt; 0.001). </w:t>
      </w:r>
      <w:r w:rsidRPr="00B01E80">
        <w:rPr>
          <w:rStyle w:val="Emphasis"/>
          <w:color w:val="0F1115"/>
          <w:sz w:val="20"/>
          <w:szCs w:val="20"/>
        </w:rPr>
        <w:t>qepA</w:t>
      </w:r>
      <w:r w:rsidRPr="00B01E80">
        <w:rPr>
          <w:color w:val="0F1115"/>
          <w:sz w:val="20"/>
          <w:szCs w:val="20"/>
        </w:rPr>
        <w:t xml:space="preserve"> carriage was significantly associated with levofloxacin resistance </w:t>
      </w:r>
      <w:r>
        <w:rPr>
          <w:color w:val="0F1115"/>
          <w:sz w:val="20"/>
          <w:szCs w:val="20"/>
        </w:rPr>
        <w:t>(OR = 3.21, 95% CI: 1.08-9.54, p</w:t>
      </w:r>
      <w:r w:rsidRPr="00B01E80">
        <w:rPr>
          <w:color w:val="0F1115"/>
          <w:sz w:val="20"/>
          <w:szCs w:val="20"/>
        </w:rPr>
        <w:t> = 0.042). Co-carriage of </w:t>
      </w:r>
      <w:r w:rsidRPr="00B01E80">
        <w:rPr>
          <w:rStyle w:val="Emphasis"/>
          <w:color w:val="0F1115"/>
          <w:sz w:val="20"/>
          <w:szCs w:val="20"/>
        </w:rPr>
        <w:t>bla</w:t>
      </w:r>
      <w:r w:rsidRPr="00B01E80">
        <w:rPr>
          <w:color w:val="0F1115"/>
          <w:sz w:val="20"/>
          <w:szCs w:val="20"/>
        </w:rPr>
        <w:t>CTX-M + </w:t>
      </w:r>
      <w:r w:rsidRPr="00B01E80">
        <w:rPr>
          <w:rStyle w:val="Emphasis"/>
          <w:color w:val="0F1115"/>
          <w:sz w:val="20"/>
          <w:szCs w:val="20"/>
        </w:rPr>
        <w:t>tetA</w:t>
      </w:r>
      <w:r w:rsidRPr="00B01E80">
        <w:rPr>
          <w:color w:val="0F1115"/>
          <w:sz w:val="20"/>
          <w:szCs w:val="20"/>
        </w:rPr>
        <w:t> was strongly associated with multidrug resistance (</w:t>
      </w:r>
      <w:r>
        <w:rPr>
          <w:color w:val="0F1115"/>
          <w:sz w:val="20"/>
          <w:szCs w:val="20"/>
        </w:rPr>
        <w:t>OR = 8.75, 95% CI: 2.14-35.82, p</w:t>
      </w:r>
      <w:r w:rsidRPr="00B01E80">
        <w:rPr>
          <w:color w:val="0F1115"/>
          <w:sz w:val="20"/>
          <w:szCs w:val="20"/>
        </w:rPr>
        <w:t> = 0.003).</w:t>
      </w:r>
    </w:p>
    <w:p w14:paraId="6EA7B140" w14:textId="77777777" w:rsidR="006C0CB7" w:rsidRPr="00B01E80" w:rsidRDefault="006C0CB7" w:rsidP="006C0CB7">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b/>
          <w:bCs/>
          <w:color w:val="0F1115"/>
          <w:sz w:val="20"/>
          <w:szCs w:val="20"/>
        </w:rPr>
        <w:t>Table 6: Association Between Resistance Gene Carriage and Phenotypic Resistance</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78"/>
        <w:gridCol w:w="1936"/>
        <w:gridCol w:w="1347"/>
        <w:gridCol w:w="1314"/>
      </w:tblGrid>
      <w:tr w:rsidR="006C0CB7" w:rsidRPr="00B01E80" w14:paraId="35658F0E" w14:textId="77777777" w:rsidTr="00446324">
        <w:trPr>
          <w:tblHeader/>
        </w:trPr>
        <w:tc>
          <w:tcPr>
            <w:tcW w:w="0" w:type="auto"/>
            <w:tcMar>
              <w:top w:w="150" w:type="dxa"/>
              <w:left w:w="0" w:type="dxa"/>
              <w:bottom w:w="150" w:type="dxa"/>
              <w:right w:w="240" w:type="dxa"/>
            </w:tcMar>
            <w:vAlign w:val="center"/>
            <w:hideMark/>
          </w:tcPr>
          <w:p w14:paraId="3247C5E2" w14:textId="77777777" w:rsidR="006C0CB7" w:rsidRPr="00B01E80" w:rsidRDefault="006C0CB7" w:rsidP="00446324">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Gene/Phenotype Association</w:t>
            </w:r>
          </w:p>
        </w:tc>
        <w:tc>
          <w:tcPr>
            <w:tcW w:w="0" w:type="auto"/>
            <w:tcMar>
              <w:top w:w="150" w:type="dxa"/>
              <w:left w:w="240" w:type="dxa"/>
              <w:bottom w:w="150" w:type="dxa"/>
              <w:right w:w="240" w:type="dxa"/>
            </w:tcMar>
            <w:vAlign w:val="center"/>
            <w:hideMark/>
          </w:tcPr>
          <w:p w14:paraId="067F3CA8" w14:textId="77777777" w:rsidR="006C0CB7" w:rsidRPr="00B01E80" w:rsidRDefault="006C0CB7" w:rsidP="00446324">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Odds Ratio (OR)</w:t>
            </w:r>
          </w:p>
        </w:tc>
        <w:tc>
          <w:tcPr>
            <w:tcW w:w="0" w:type="auto"/>
            <w:tcMar>
              <w:top w:w="150" w:type="dxa"/>
              <w:left w:w="240" w:type="dxa"/>
              <w:bottom w:w="150" w:type="dxa"/>
              <w:right w:w="240" w:type="dxa"/>
            </w:tcMar>
            <w:vAlign w:val="center"/>
            <w:hideMark/>
          </w:tcPr>
          <w:p w14:paraId="5A46AC6E" w14:textId="77777777" w:rsidR="006C0CB7" w:rsidRPr="00B01E80" w:rsidRDefault="006C0CB7" w:rsidP="00446324">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95% CI</w:t>
            </w:r>
          </w:p>
        </w:tc>
        <w:tc>
          <w:tcPr>
            <w:tcW w:w="0" w:type="auto"/>
            <w:tcMar>
              <w:top w:w="150" w:type="dxa"/>
              <w:left w:w="240" w:type="dxa"/>
              <w:bottom w:w="150" w:type="dxa"/>
              <w:right w:w="240" w:type="dxa"/>
            </w:tcMar>
            <w:vAlign w:val="center"/>
            <w:hideMark/>
          </w:tcPr>
          <w:p w14:paraId="6451E907" w14:textId="77777777" w:rsidR="006C0CB7" w:rsidRPr="00B01E80" w:rsidRDefault="006C0CB7" w:rsidP="00446324">
            <w:pPr>
              <w:spacing w:after="0" w:line="240" w:lineRule="auto"/>
              <w:jc w:val="both"/>
              <w:rPr>
                <w:rFonts w:ascii="Times New Roman" w:eastAsia="Times New Roman" w:hAnsi="Times New Roman" w:cs="Times New Roman"/>
                <w:b/>
                <w:bCs/>
                <w:sz w:val="20"/>
                <w:szCs w:val="20"/>
              </w:rPr>
            </w:pPr>
            <w:r w:rsidRPr="00B01E80">
              <w:rPr>
                <w:rFonts w:ascii="Times New Roman" w:eastAsia="Times New Roman" w:hAnsi="Times New Roman" w:cs="Times New Roman"/>
                <w:b/>
                <w:bCs/>
                <w:sz w:val="20"/>
                <w:szCs w:val="20"/>
              </w:rPr>
              <w:t>*p*-value</w:t>
            </w:r>
          </w:p>
        </w:tc>
      </w:tr>
      <w:tr w:rsidR="006C0CB7" w:rsidRPr="00B01E80" w14:paraId="58E8C525" w14:textId="77777777" w:rsidTr="00446324">
        <w:tc>
          <w:tcPr>
            <w:tcW w:w="0" w:type="auto"/>
            <w:tcMar>
              <w:top w:w="150" w:type="dxa"/>
              <w:left w:w="0" w:type="dxa"/>
              <w:bottom w:w="150" w:type="dxa"/>
              <w:right w:w="240" w:type="dxa"/>
            </w:tcMar>
            <w:vAlign w:val="center"/>
            <w:hideMark/>
          </w:tcPr>
          <w:p w14:paraId="142DD9F0"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i/>
                <w:iCs/>
                <w:sz w:val="20"/>
                <w:szCs w:val="20"/>
              </w:rPr>
              <w:t>tetA</w:t>
            </w:r>
            <w:r w:rsidRPr="00B01E80">
              <w:rPr>
                <w:rFonts w:ascii="Times New Roman" w:eastAsia="Times New Roman" w:hAnsi="Times New Roman" w:cs="Times New Roman"/>
                <w:sz w:val="20"/>
                <w:szCs w:val="20"/>
              </w:rPr>
              <w:t> carriage vs. tetracycline resistance</w:t>
            </w:r>
          </w:p>
        </w:tc>
        <w:tc>
          <w:tcPr>
            <w:tcW w:w="0" w:type="auto"/>
            <w:tcMar>
              <w:top w:w="150" w:type="dxa"/>
              <w:left w:w="240" w:type="dxa"/>
              <w:bottom w:w="150" w:type="dxa"/>
              <w:right w:w="240" w:type="dxa"/>
            </w:tcMar>
            <w:vAlign w:val="center"/>
            <w:hideMark/>
          </w:tcPr>
          <w:p w14:paraId="3E0E9B76"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28.5</w:t>
            </w:r>
          </w:p>
        </w:tc>
        <w:tc>
          <w:tcPr>
            <w:tcW w:w="0" w:type="auto"/>
            <w:tcMar>
              <w:top w:w="150" w:type="dxa"/>
              <w:left w:w="240" w:type="dxa"/>
              <w:bottom w:w="150" w:type="dxa"/>
              <w:right w:w="240" w:type="dxa"/>
            </w:tcMar>
            <w:vAlign w:val="center"/>
            <w:hideMark/>
          </w:tcPr>
          <w:p w14:paraId="516EDE73"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4.2-192.7</w:t>
            </w:r>
          </w:p>
        </w:tc>
        <w:tc>
          <w:tcPr>
            <w:tcW w:w="0" w:type="auto"/>
            <w:tcMar>
              <w:top w:w="150" w:type="dxa"/>
              <w:left w:w="240" w:type="dxa"/>
              <w:bottom w:w="150" w:type="dxa"/>
              <w:right w:w="0" w:type="dxa"/>
            </w:tcMar>
            <w:vAlign w:val="center"/>
            <w:hideMark/>
          </w:tcPr>
          <w:p w14:paraId="2558C0CA"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&lt;0.001</w:t>
            </w:r>
          </w:p>
        </w:tc>
      </w:tr>
      <w:tr w:rsidR="006C0CB7" w:rsidRPr="00B01E80" w14:paraId="65E1EF39" w14:textId="77777777" w:rsidTr="00446324">
        <w:tc>
          <w:tcPr>
            <w:tcW w:w="0" w:type="auto"/>
            <w:tcMar>
              <w:top w:w="150" w:type="dxa"/>
              <w:left w:w="0" w:type="dxa"/>
              <w:bottom w:w="150" w:type="dxa"/>
              <w:right w:w="240" w:type="dxa"/>
            </w:tcMar>
            <w:vAlign w:val="center"/>
            <w:hideMark/>
          </w:tcPr>
          <w:p w14:paraId="74E00C62"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i/>
                <w:iCs/>
                <w:sz w:val="20"/>
                <w:szCs w:val="20"/>
              </w:rPr>
              <w:t>qepA</w:t>
            </w:r>
            <w:r w:rsidRPr="00B01E80">
              <w:rPr>
                <w:rFonts w:ascii="Times New Roman" w:eastAsia="Times New Roman" w:hAnsi="Times New Roman" w:cs="Times New Roman"/>
                <w:sz w:val="20"/>
                <w:szCs w:val="20"/>
              </w:rPr>
              <w:t> carriage vs. levofloxacin resistance</w:t>
            </w:r>
          </w:p>
        </w:tc>
        <w:tc>
          <w:tcPr>
            <w:tcW w:w="0" w:type="auto"/>
            <w:tcMar>
              <w:top w:w="150" w:type="dxa"/>
              <w:left w:w="240" w:type="dxa"/>
              <w:bottom w:w="150" w:type="dxa"/>
              <w:right w:w="240" w:type="dxa"/>
            </w:tcMar>
            <w:vAlign w:val="center"/>
            <w:hideMark/>
          </w:tcPr>
          <w:p w14:paraId="5247F3AD"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3.21</w:t>
            </w:r>
          </w:p>
        </w:tc>
        <w:tc>
          <w:tcPr>
            <w:tcW w:w="0" w:type="auto"/>
            <w:tcMar>
              <w:top w:w="150" w:type="dxa"/>
              <w:left w:w="240" w:type="dxa"/>
              <w:bottom w:w="150" w:type="dxa"/>
              <w:right w:w="240" w:type="dxa"/>
            </w:tcMar>
            <w:vAlign w:val="center"/>
            <w:hideMark/>
          </w:tcPr>
          <w:p w14:paraId="2D5C193A"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1.08-9.54</w:t>
            </w:r>
          </w:p>
        </w:tc>
        <w:tc>
          <w:tcPr>
            <w:tcW w:w="0" w:type="auto"/>
            <w:tcMar>
              <w:top w:w="150" w:type="dxa"/>
              <w:left w:w="240" w:type="dxa"/>
              <w:bottom w:w="150" w:type="dxa"/>
              <w:right w:w="0" w:type="dxa"/>
            </w:tcMar>
            <w:vAlign w:val="center"/>
            <w:hideMark/>
          </w:tcPr>
          <w:p w14:paraId="414096B2"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0.042</w:t>
            </w:r>
          </w:p>
        </w:tc>
      </w:tr>
      <w:tr w:rsidR="006C0CB7" w:rsidRPr="00B01E80" w14:paraId="2A24A301" w14:textId="77777777" w:rsidTr="00446324">
        <w:tc>
          <w:tcPr>
            <w:tcW w:w="0" w:type="auto"/>
            <w:tcMar>
              <w:top w:w="150" w:type="dxa"/>
              <w:left w:w="0" w:type="dxa"/>
              <w:bottom w:w="150" w:type="dxa"/>
              <w:right w:w="240" w:type="dxa"/>
            </w:tcMar>
            <w:vAlign w:val="center"/>
            <w:hideMark/>
          </w:tcPr>
          <w:p w14:paraId="27A33F44"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i/>
                <w:iCs/>
                <w:sz w:val="20"/>
                <w:szCs w:val="20"/>
              </w:rPr>
              <w:t>qepA</w:t>
            </w:r>
            <w:r w:rsidRPr="00B01E80">
              <w:rPr>
                <w:rFonts w:ascii="Times New Roman" w:eastAsia="Times New Roman" w:hAnsi="Times New Roman" w:cs="Times New Roman"/>
                <w:sz w:val="20"/>
                <w:szCs w:val="20"/>
              </w:rPr>
              <w:t> carriage vs. ciprofloxacin resistance</w:t>
            </w:r>
          </w:p>
        </w:tc>
        <w:tc>
          <w:tcPr>
            <w:tcW w:w="0" w:type="auto"/>
            <w:tcMar>
              <w:top w:w="150" w:type="dxa"/>
              <w:left w:w="240" w:type="dxa"/>
              <w:bottom w:w="150" w:type="dxa"/>
              <w:right w:w="240" w:type="dxa"/>
            </w:tcMar>
            <w:vAlign w:val="center"/>
            <w:hideMark/>
          </w:tcPr>
          <w:p w14:paraId="3CBEDA36"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2.48</w:t>
            </w:r>
          </w:p>
        </w:tc>
        <w:tc>
          <w:tcPr>
            <w:tcW w:w="0" w:type="auto"/>
            <w:tcMar>
              <w:top w:w="150" w:type="dxa"/>
              <w:left w:w="240" w:type="dxa"/>
              <w:bottom w:w="150" w:type="dxa"/>
              <w:right w:w="240" w:type="dxa"/>
            </w:tcMar>
            <w:vAlign w:val="center"/>
            <w:hideMark/>
          </w:tcPr>
          <w:p w14:paraId="00C6208A"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0.94-6.53</w:t>
            </w:r>
          </w:p>
        </w:tc>
        <w:tc>
          <w:tcPr>
            <w:tcW w:w="0" w:type="auto"/>
            <w:tcMar>
              <w:top w:w="150" w:type="dxa"/>
              <w:left w:w="240" w:type="dxa"/>
              <w:bottom w:w="150" w:type="dxa"/>
              <w:right w:w="0" w:type="dxa"/>
            </w:tcMar>
            <w:vAlign w:val="center"/>
            <w:hideMark/>
          </w:tcPr>
          <w:p w14:paraId="4BDAF638"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0.068</w:t>
            </w:r>
          </w:p>
        </w:tc>
      </w:tr>
      <w:tr w:rsidR="006C0CB7" w:rsidRPr="00B01E80" w14:paraId="0D5F9076" w14:textId="77777777" w:rsidTr="00446324">
        <w:tc>
          <w:tcPr>
            <w:tcW w:w="0" w:type="auto"/>
            <w:tcMar>
              <w:top w:w="150" w:type="dxa"/>
              <w:left w:w="0" w:type="dxa"/>
              <w:bottom w:w="150" w:type="dxa"/>
              <w:right w:w="240" w:type="dxa"/>
            </w:tcMar>
            <w:vAlign w:val="center"/>
            <w:hideMark/>
          </w:tcPr>
          <w:p w14:paraId="5A8E2871"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i/>
                <w:iCs/>
                <w:sz w:val="20"/>
                <w:szCs w:val="20"/>
              </w:rPr>
              <w:t>bla</w:t>
            </w:r>
            <w:r w:rsidRPr="00B01E80">
              <w:rPr>
                <w:rFonts w:ascii="Times New Roman" w:eastAsia="Times New Roman" w:hAnsi="Times New Roman" w:cs="Times New Roman"/>
                <w:sz w:val="20"/>
                <w:szCs w:val="20"/>
              </w:rPr>
              <w:t>CTX-M + </w:t>
            </w:r>
            <w:r w:rsidRPr="00B01E80">
              <w:rPr>
                <w:rFonts w:ascii="Times New Roman" w:eastAsia="Times New Roman" w:hAnsi="Times New Roman" w:cs="Times New Roman"/>
                <w:i/>
                <w:iCs/>
                <w:sz w:val="20"/>
                <w:szCs w:val="20"/>
              </w:rPr>
              <w:t>tetA</w:t>
            </w:r>
            <w:r w:rsidRPr="00B01E80">
              <w:rPr>
                <w:rFonts w:ascii="Times New Roman" w:eastAsia="Times New Roman" w:hAnsi="Times New Roman" w:cs="Times New Roman"/>
                <w:sz w:val="20"/>
                <w:szCs w:val="20"/>
              </w:rPr>
              <w:t> co-carriage vs. MDR</w:t>
            </w:r>
          </w:p>
        </w:tc>
        <w:tc>
          <w:tcPr>
            <w:tcW w:w="0" w:type="auto"/>
            <w:tcMar>
              <w:top w:w="150" w:type="dxa"/>
              <w:left w:w="240" w:type="dxa"/>
              <w:bottom w:w="150" w:type="dxa"/>
              <w:right w:w="240" w:type="dxa"/>
            </w:tcMar>
            <w:vAlign w:val="center"/>
            <w:hideMark/>
          </w:tcPr>
          <w:p w14:paraId="1AB2510B"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8.75</w:t>
            </w:r>
          </w:p>
        </w:tc>
        <w:tc>
          <w:tcPr>
            <w:tcW w:w="0" w:type="auto"/>
            <w:tcMar>
              <w:top w:w="150" w:type="dxa"/>
              <w:left w:w="240" w:type="dxa"/>
              <w:bottom w:w="150" w:type="dxa"/>
              <w:right w:w="240" w:type="dxa"/>
            </w:tcMar>
            <w:vAlign w:val="center"/>
            <w:hideMark/>
          </w:tcPr>
          <w:p w14:paraId="45DBCC3E"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2.14-35.82</w:t>
            </w:r>
          </w:p>
        </w:tc>
        <w:tc>
          <w:tcPr>
            <w:tcW w:w="0" w:type="auto"/>
            <w:tcMar>
              <w:top w:w="150" w:type="dxa"/>
              <w:left w:w="240" w:type="dxa"/>
              <w:bottom w:w="150" w:type="dxa"/>
              <w:right w:w="0" w:type="dxa"/>
            </w:tcMar>
            <w:vAlign w:val="center"/>
            <w:hideMark/>
          </w:tcPr>
          <w:p w14:paraId="1C3737AC"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0.003</w:t>
            </w:r>
          </w:p>
        </w:tc>
      </w:tr>
      <w:tr w:rsidR="006C0CB7" w:rsidRPr="00B01E80" w14:paraId="1870AF49" w14:textId="77777777" w:rsidTr="00446324">
        <w:tc>
          <w:tcPr>
            <w:tcW w:w="0" w:type="auto"/>
            <w:tcMar>
              <w:top w:w="150" w:type="dxa"/>
              <w:left w:w="0" w:type="dxa"/>
              <w:bottom w:w="150" w:type="dxa"/>
              <w:right w:w="240" w:type="dxa"/>
            </w:tcMar>
            <w:vAlign w:val="center"/>
            <w:hideMark/>
          </w:tcPr>
          <w:p w14:paraId="2635C394"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Triple gene carriage vs. MDR</w:t>
            </w:r>
          </w:p>
        </w:tc>
        <w:tc>
          <w:tcPr>
            <w:tcW w:w="0" w:type="auto"/>
            <w:tcMar>
              <w:top w:w="150" w:type="dxa"/>
              <w:left w:w="240" w:type="dxa"/>
              <w:bottom w:w="150" w:type="dxa"/>
              <w:right w:w="240" w:type="dxa"/>
            </w:tcMar>
            <w:vAlign w:val="center"/>
            <w:hideMark/>
          </w:tcPr>
          <w:p w14:paraId="779CCDE4"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5.33</w:t>
            </w:r>
          </w:p>
        </w:tc>
        <w:tc>
          <w:tcPr>
            <w:tcW w:w="0" w:type="auto"/>
            <w:tcMar>
              <w:top w:w="150" w:type="dxa"/>
              <w:left w:w="240" w:type="dxa"/>
              <w:bottom w:w="150" w:type="dxa"/>
              <w:right w:w="240" w:type="dxa"/>
            </w:tcMar>
            <w:vAlign w:val="center"/>
            <w:hideMark/>
          </w:tcPr>
          <w:p w14:paraId="5593AED2"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1.56-18.24</w:t>
            </w:r>
          </w:p>
        </w:tc>
        <w:tc>
          <w:tcPr>
            <w:tcW w:w="0" w:type="auto"/>
            <w:tcMar>
              <w:top w:w="150" w:type="dxa"/>
              <w:left w:w="240" w:type="dxa"/>
              <w:bottom w:w="150" w:type="dxa"/>
              <w:right w:w="0" w:type="dxa"/>
            </w:tcMar>
            <w:vAlign w:val="center"/>
            <w:hideMark/>
          </w:tcPr>
          <w:p w14:paraId="1DA68608" w14:textId="77777777" w:rsidR="006C0CB7" w:rsidRPr="00B01E80" w:rsidRDefault="006C0CB7" w:rsidP="00446324">
            <w:pPr>
              <w:spacing w:after="0" w:line="240" w:lineRule="auto"/>
              <w:jc w:val="both"/>
              <w:rPr>
                <w:rFonts w:ascii="Times New Roman" w:eastAsia="Times New Roman" w:hAnsi="Times New Roman" w:cs="Times New Roman"/>
                <w:sz w:val="20"/>
                <w:szCs w:val="20"/>
              </w:rPr>
            </w:pPr>
            <w:r w:rsidRPr="00B01E80">
              <w:rPr>
                <w:rFonts w:ascii="Times New Roman" w:eastAsia="Times New Roman" w:hAnsi="Times New Roman" w:cs="Times New Roman"/>
                <w:sz w:val="20"/>
                <w:szCs w:val="20"/>
              </w:rPr>
              <w:t>0.011</w:t>
            </w:r>
          </w:p>
        </w:tc>
      </w:tr>
    </w:tbl>
    <w:p w14:paraId="360136D9" w14:textId="77777777" w:rsidR="006C0CB7" w:rsidRPr="00B01E80" w:rsidRDefault="006C0CB7" w:rsidP="006C0CB7">
      <w:pPr>
        <w:shd w:val="clear" w:color="auto" w:fill="FFFFFF"/>
        <w:spacing w:after="0" w:line="240" w:lineRule="auto"/>
        <w:jc w:val="both"/>
        <w:rPr>
          <w:rFonts w:ascii="Times New Roman" w:eastAsia="Times New Roman" w:hAnsi="Times New Roman" w:cs="Times New Roman"/>
          <w:color w:val="0F1115"/>
          <w:sz w:val="20"/>
          <w:szCs w:val="20"/>
        </w:rPr>
      </w:pPr>
      <w:r w:rsidRPr="00B01E80">
        <w:rPr>
          <w:rFonts w:ascii="Times New Roman" w:eastAsia="Times New Roman" w:hAnsi="Times New Roman" w:cs="Times New Roman"/>
          <w:color w:val="0F1115"/>
          <w:sz w:val="20"/>
          <w:szCs w:val="20"/>
        </w:rPr>
        <w:t>Logistic regression analysis identified co-carriage of </w:t>
      </w:r>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CTX-M and </w:t>
      </w:r>
      <w:r w:rsidRPr="00B01E80">
        <w:rPr>
          <w:rFonts w:ascii="Times New Roman" w:eastAsia="Times New Roman" w:hAnsi="Times New Roman" w:cs="Times New Roman"/>
          <w:i/>
          <w:iCs/>
          <w:color w:val="0F1115"/>
          <w:sz w:val="20"/>
          <w:szCs w:val="20"/>
        </w:rPr>
        <w:t>tetA</w:t>
      </w:r>
      <w:r w:rsidRPr="00B01E80">
        <w:rPr>
          <w:rFonts w:ascii="Times New Roman" w:eastAsia="Times New Roman" w:hAnsi="Times New Roman" w:cs="Times New Roman"/>
          <w:color w:val="0F1115"/>
          <w:sz w:val="20"/>
          <w:szCs w:val="20"/>
        </w:rPr>
        <w:t xml:space="preserve"> as an independent predictor of multidrug resistance (adjusted </w:t>
      </w:r>
      <w:r>
        <w:rPr>
          <w:rFonts w:ascii="Times New Roman" w:eastAsia="Times New Roman" w:hAnsi="Times New Roman" w:cs="Times New Roman"/>
          <w:color w:val="0F1115"/>
          <w:sz w:val="20"/>
          <w:szCs w:val="20"/>
        </w:rPr>
        <w:t>OR = 7.82, 95% CI: 1.95-31.36, p</w:t>
      </w:r>
      <w:r w:rsidRPr="00B01E80">
        <w:rPr>
          <w:rFonts w:ascii="Times New Roman" w:eastAsia="Times New Roman" w:hAnsi="Times New Roman" w:cs="Times New Roman"/>
          <w:color w:val="0F1115"/>
          <w:sz w:val="20"/>
          <w:szCs w:val="20"/>
        </w:rPr>
        <w:t> = 0.004), after adjusting for age group and bacterial species. Triple gene carriage (</w:t>
      </w:r>
      <w:r w:rsidRPr="00B01E80">
        <w:rPr>
          <w:rFonts w:ascii="Times New Roman" w:eastAsia="Times New Roman" w:hAnsi="Times New Roman" w:cs="Times New Roman"/>
          <w:i/>
          <w:iCs/>
          <w:color w:val="0F1115"/>
          <w:sz w:val="20"/>
          <w:szCs w:val="20"/>
        </w:rPr>
        <w:t>bla</w:t>
      </w:r>
      <w:r w:rsidRPr="00B01E80">
        <w:rPr>
          <w:rFonts w:ascii="Times New Roman" w:eastAsia="Times New Roman" w:hAnsi="Times New Roman" w:cs="Times New Roman"/>
          <w:color w:val="0F1115"/>
          <w:sz w:val="20"/>
          <w:szCs w:val="20"/>
        </w:rPr>
        <w:t>CTX-M + </w:t>
      </w:r>
      <w:r w:rsidRPr="00B01E80">
        <w:rPr>
          <w:rFonts w:ascii="Times New Roman" w:eastAsia="Times New Roman" w:hAnsi="Times New Roman" w:cs="Times New Roman"/>
          <w:i/>
          <w:iCs/>
          <w:color w:val="0F1115"/>
          <w:sz w:val="20"/>
          <w:szCs w:val="20"/>
        </w:rPr>
        <w:t>tetA</w:t>
      </w:r>
      <w:r w:rsidRPr="00B01E80">
        <w:rPr>
          <w:rFonts w:ascii="Times New Roman" w:eastAsia="Times New Roman" w:hAnsi="Times New Roman" w:cs="Times New Roman"/>
          <w:color w:val="0F1115"/>
          <w:sz w:val="20"/>
          <w:szCs w:val="20"/>
        </w:rPr>
        <w:t> + </w:t>
      </w:r>
      <w:r w:rsidRPr="00B01E80">
        <w:rPr>
          <w:rFonts w:ascii="Times New Roman" w:eastAsia="Times New Roman" w:hAnsi="Times New Roman" w:cs="Times New Roman"/>
          <w:i/>
          <w:iCs/>
          <w:color w:val="0F1115"/>
          <w:sz w:val="20"/>
          <w:szCs w:val="20"/>
        </w:rPr>
        <w:t>qepA</w:t>
      </w:r>
      <w:r w:rsidRPr="00B01E80">
        <w:rPr>
          <w:rFonts w:ascii="Times New Roman" w:eastAsia="Times New Roman" w:hAnsi="Times New Roman" w:cs="Times New Roman"/>
          <w:color w:val="0F1115"/>
          <w:sz w:val="20"/>
          <w:szCs w:val="20"/>
        </w:rPr>
        <w:t>) was also an independent predictor of MDR (adjusted OR = 4.91, 95% CI</w:t>
      </w:r>
      <w:r>
        <w:rPr>
          <w:rFonts w:ascii="Times New Roman" w:eastAsia="Times New Roman" w:hAnsi="Times New Roman" w:cs="Times New Roman"/>
          <w:color w:val="0F1115"/>
          <w:sz w:val="20"/>
          <w:szCs w:val="20"/>
        </w:rPr>
        <w:t>: 1.27-18.95, p</w:t>
      </w:r>
      <w:r w:rsidRPr="00B01E80">
        <w:rPr>
          <w:rFonts w:ascii="Times New Roman" w:eastAsia="Times New Roman" w:hAnsi="Times New Roman" w:cs="Times New Roman"/>
          <w:color w:val="0F1115"/>
          <w:sz w:val="20"/>
          <w:szCs w:val="20"/>
        </w:rPr>
        <w:t> = 0.021)</w:t>
      </w:r>
    </w:p>
    <w:p w14:paraId="67A1E691" w14:textId="77777777" w:rsidR="006C0CB7" w:rsidRPr="00B01E80" w:rsidRDefault="006C0CB7" w:rsidP="006C0CB7">
      <w:pPr>
        <w:pStyle w:val="Heading2"/>
        <w:shd w:val="clear" w:color="auto" w:fill="FFFFFF"/>
        <w:spacing w:before="0" w:beforeAutospacing="0" w:after="0" w:afterAutospacing="0"/>
        <w:jc w:val="both"/>
        <w:rPr>
          <w:color w:val="0F1115"/>
          <w:sz w:val="20"/>
          <w:szCs w:val="20"/>
        </w:rPr>
      </w:pPr>
      <w:r w:rsidRPr="00B01E80">
        <w:rPr>
          <w:color w:val="0F1115"/>
          <w:sz w:val="20"/>
          <w:szCs w:val="20"/>
        </w:rPr>
        <w:t>4. Discussion</w:t>
      </w:r>
    </w:p>
    <w:p w14:paraId="49172A4F"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This study provides compelling evidence for the convergence of </w:t>
      </w:r>
      <w:r w:rsidRPr="00B01E80">
        <w:rPr>
          <w:rStyle w:val="Emphasis"/>
          <w:color w:val="0F1115"/>
          <w:sz w:val="20"/>
          <w:szCs w:val="20"/>
        </w:rPr>
        <w:t>bla</w:t>
      </w:r>
      <w:r w:rsidRPr="00B01E80">
        <w:rPr>
          <w:color w:val="0F1115"/>
          <w:sz w:val="20"/>
          <w:szCs w:val="20"/>
        </w:rPr>
        <w:t>CTX-M, </w:t>
      </w:r>
      <w:r w:rsidRPr="00B01E80">
        <w:rPr>
          <w:rStyle w:val="Emphasis"/>
          <w:color w:val="0F1115"/>
          <w:sz w:val="20"/>
          <w:szCs w:val="20"/>
        </w:rPr>
        <w:t>tetA</w:t>
      </w:r>
      <w:r w:rsidRPr="00B01E80">
        <w:rPr>
          <w:color w:val="0F1115"/>
          <w:sz w:val="20"/>
          <w:szCs w:val="20"/>
        </w:rPr>
        <w:t>, and </w:t>
      </w:r>
      <w:r w:rsidRPr="00B01E80">
        <w:rPr>
          <w:rStyle w:val="Emphasis"/>
          <w:color w:val="0F1115"/>
          <w:sz w:val="20"/>
          <w:szCs w:val="20"/>
        </w:rPr>
        <w:t>qepA</w:t>
      </w:r>
      <w:r w:rsidRPr="00B01E80">
        <w:rPr>
          <w:color w:val="0F1115"/>
          <w:sz w:val="20"/>
          <w:szCs w:val="20"/>
        </w:rPr>
        <w:t> resistance determinants in uropathogenic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circulating in a Nigerian tertiary hospital. The overall bacterial isolation rate of 60.8% from female UTI patients, with </w:t>
      </w:r>
      <w:r w:rsidRPr="00B01E80">
        <w:rPr>
          <w:rStyle w:val="Emphasis"/>
          <w:color w:val="0F1115"/>
          <w:sz w:val="20"/>
          <w:szCs w:val="20"/>
        </w:rPr>
        <w:t>P. aeruginosa</w:t>
      </w:r>
      <w:r w:rsidRPr="00B01E80">
        <w:rPr>
          <w:color w:val="0F1115"/>
          <w:sz w:val="20"/>
          <w:szCs w:val="20"/>
        </w:rPr>
        <w:t> (39.2%) and </w:t>
      </w:r>
      <w:r w:rsidRPr="00B01E80">
        <w:rPr>
          <w:rStyle w:val="Emphasis"/>
          <w:color w:val="0F1115"/>
          <w:sz w:val="20"/>
          <w:szCs w:val="20"/>
        </w:rPr>
        <w:t>A. baumannii</w:t>
      </w:r>
      <w:r w:rsidRPr="00B01E80">
        <w:rPr>
          <w:color w:val="0F1115"/>
          <w:sz w:val="20"/>
          <w:szCs w:val="20"/>
        </w:rPr>
        <w:t> (21.6%) as predominant non-fermenters, reflects the growing prominence of these opportunistic pathogens in complicated urinary tract infections. These findings align with recent surveillance data from Calabar, Nigeria, where </w:t>
      </w:r>
      <w:r w:rsidRPr="00B01E80">
        <w:rPr>
          <w:rStyle w:val="Emphasis"/>
          <w:color w:val="0F1115"/>
          <w:sz w:val="20"/>
          <w:szCs w:val="20"/>
        </w:rPr>
        <w:t>Pseudomonas</w:t>
      </w:r>
      <w:r w:rsidRPr="00B01E80">
        <w:rPr>
          <w:color w:val="0F1115"/>
          <w:sz w:val="20"/>
          <w:szCs w:val="20"/>
        </w:rPr>
        <w:t xml:space="preserve"> species were among the leading uropathogens, with multidrug resistance documented in the majority of isolates (Bassey </w:t>
      </w:r>
      <w:r w:rsidRPr="00B77CFF">
        <w:rPr>
          <w:i/>
          <w:color w:val="0F1115"/>
          <w:sz w:val="20"/>
          <w:szCs w:val="20"/>
        </w:rPr>
        <w:t>et al</w:t>
      </w:r>
      <w:r w:rsidRPr="00B01E80">
        <w:rPr>
          <w:color w:val="0F1115"/>
          <w:sz w:val="20"/>
          <w:szCs w:val="20"/>
        </w:rPr>
        <w:t>., 2025). The high prevalence of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xml:space="preserve"> observed in our study likely reflects healthcare-associated acquisition, given the known propensity of these organisms to colonize urinary catheters and persist in hospital environments (Kumar </w:t>
      </w:r>
      <w:r w:rsidRPr="00B77CFF">
        <w:rPr>
          <w:i/>
          <w:color w:val="0F1115"/>
          <w:sz w:val="20"/>
          <w:szCs w:val="20"/>
        </w:rPr>
        <w:t>et al</w:t>
      </w:r>
      <w:r w:rsidRPr="00B01E80">
        <w:rPr>
          <w:color w:val="0F1115"/>
          <w:sz w:val="20"/>
          <w:szCs w:val="20"/>
        </w:rPr>
        <w:t xml:space="preserve">., 2018; Ding </w:t>
      </w:r>
      <w:r w:rsidRPr="00B77CFF">
        <w:rPr>
          <w:i/>
          <w:color w:val="0F1115"/>
          <w:sz w:val="20"/>
          <w:szCs w:val="20"/>
        </w:rPr>
        <w:t>et al</w:t>
      </w:r>
      <w:r w:rsidRPr="00B01E80">
        <w:rPr>
          <w:color w:val="0F1115"/>
          <w:sz w:val="20"/>
          <w:szCs w:val="20"/>
        </w:rPr>
        <w:t xml:space="preserve">., 2019; Newman </w:t>
      </w:r>
      <w:r w:rsidRPr="00B77CFF">
        <w:rPr>
          <w:i/>
          <w:color w:val="0F1115"/>
          <w:sz w:val="20"/>
          <w:szCs w:val="20"/>
        </w:rPr>
        <w:t>et al</w:t>
      </w:r>
      <w:r w:rsidRPr="00B01E80">
        <w:rPr>
          <w:color w:val="0F1115"/>
          <w:sz w:val="20"/>
          <w:szCs w:val="20"/>
        </w:rPr>
        <w:t>., 2022).</w:t>
      </w:r>
    </w:p>
    <w:p w14:paraId="18BEE62E"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ESBL production rate of 58.6% among our isolates represents a substantial burden of β-lactamase-mediated resistance. This figure exceeds the 34% pooled prevalence of ESBL-producing </w:t>
      </w:r>
      <w:r w:rsidRPr="00B01E80">
        <w:rPr>
          <w:rStyle w:val="Emphasis"/>
          <w:color w:val="0F1115"/>
          <w:sz w:val="20"/>
          <w:szCs w:val="20"/>
        </w:rPr>
        <w:t>A. baumannii</w:t>
      </w:r>
      <w:r w:rsidRPr="00B01E80">
        <w:rPr>
          <w:color w:val="0F1115"/>
          <w:sz w:val="20"/>
          <w:szCs w:val="20"/>
        </w:rPr>
        <w:t> and </w:t>
      </w:r>
      <w:r w:rsidRPr="00B01E80">
        <w:rPr>
          <w:rStyle w:val="Emphasis"/>
          <w:color w:val="0F1115"/>
          <w:sz w:val="20"/>
          <w:szCs w:val="20"/>
        </w:rPr>
        <w:t>P. aeruginosa</w:t>
      </w:r>
      <w:r w:rsidRPr="00B01E80">
        <w:rPr>
          <w:color w:val="0F1115"/>
          <w:sz w:val="20"/>
          <w:szCs w:val="20"/>
        </w:rPr>
        <w:t xml:space="preserve"> reported in a systematic review of Ethiopian studies (Gedefie </w:t>
      </w:r>
      <w:r w:rsidRPr="00B77CFF">
        <w:rPr>
          <w:i/>
          <w:color w:val="0F1115"/>
          <w:sz w:val="20"/>
          <w:szCs w:val="20"/>
        </w:rPr>
        <w:t>et al</w:t>
      </w:r>
      <w:r w:rsidRPr="00B01E80">
        <w:rPr>
          <w:color w:val="0F1115"/>
          <w:sz w:val="20"/>
          <w:szCs w:val="20"/>
        </w:rPr>
        <w:t xml:space="preserve">., 2025) but aligns with the trend of increasing ESBL prevalence documented across sub-Saharan Africa (Kindu </w:t>
      </w:r>
      <w:r w:rsidRPr="00B77CFF">
        <w:rPr>
          <w:i/>
          <w:color w:val="0F1115"/>
          <w:sz w:val="20"/>
          <w:szCs w:val="20"/>
        </w:rPr>
        <w:t>et al</w:t>
      </w:r>
      <w:r w:rsidRPr="00B01E80">
        <w:rPr>
          <w:color w:val="0F1115"/>
          <w:sz w:val="20"/>
          <w:szCs w:val="20"/>
        </w:rPr>
        <w:t xml:space="preserve">., 2020; Osei Sekyere and Reta, 2020). The </w:t>
      </w:r>
      <w:r>
        <w:rPr>
          <w:color w:val="0F1115"/>
          <w:sz w:val="20"/>
          <w:szCs w:val="20"/>
        </w:rPr>
        <w:t>100 %</w:t>
      </w:r>
      <w:r w:rsidRPr="00B01E80">
        <w:rPr>
          <w:color w:val="0F1115"/>
          <w:sz w:val="20"/>
          <w:szCs w:val="20"/>
        </w:rPr>
        <w:t xml:space="preserve"> detection of </w:t>
      </w:r>
      <w:r w:rsidRPr="00B01E80">
        <w:rPr>
          <w:rStyle w:val="Emphasis"/>
          <w:color w:val="0F1115"/>
          <w:sz w:val="20"/>
          <w:szCs w:val="20"/>
        </w:rPr>
        <w:t>bla</w:t>
      </w:r>
      <w:r w:rsidRPr="00B01E80">
        <w:rPr>
          <w:color w:val="0F1115"/>
          <w:sz w:val="20"/>
          <w:szCs w:val="20"/>
        </w:rPr>
        <w:t xml:space="preserve">CTX-M (100%) among our ESBL-positive isolates is consistent with global epidemiological shifts. Recent surveillance from Gombe, Nigeria, similarly documented </w:t>
      </w:r>
      <w:r>
        <w:rPr>
          <w:color w:val="0F1115"/>
          <w:sz w:val="20"/>
          <w:szCs w:val="20"/>
        </w:rPr>
        <w:t>100 %</w:t>
      </w:r>
      <w:r w:rsidRPr="00B01E80">
        <w:rPr>
          <w:color w:val="0F1115"/>
          <w:sz w:val="20"/>
          <w:szCs w:val="20"/>
        </w:rPr>
        <w:t> </w:t>
      </w:r>
      <w:r w:rsidRPr="00B01E80">
        <w:rPr>
          <w:rStyle w:val="Emphasis"/>
          <w:color w:val="0F1115"/>
          <w:sz w:val="20"/>
          <w:szCs w:val="20"/>
        </w:rPr>
        <w:t>bla</w:t>
      </w:r>
      <w:r w:rsidRPr="00B01E80">
        <w:rPr>
          <w:color w:val="0F1115"/>
          <w:sz w:val="20"/>
          <w:szCs w:val="20"/>
        </w:rPr>
        <w:t>CTX-M gene presence among ESBL-producing </w:t>
      </w:r>
      <w:r w:rsidRPr="00B01E80">
        <w:rPr>
          <w:rStyle w:val="Emphasis"/>
          <w:color w:val="0F1115"/>
          <w:sz w:val="20"/>
          <w:szCs w:val="20"/>
        </w:rPr>
        <w:t>K. pneumoniae</w:t>
      </w:r>
      <w:r w:rsidRPr="00B01E80">
        <w:rPr>
          <w:color w:val="0F1115"/>
          <w:sz w:val="20"/>
          <w:szCs w:val="20"/>
        </w:rPr>
        <w:t xml:space="preserve"> isolates, confirming CTX-M as the dominant ESBL genotype in Nigerian healthcare settings (Muhammad </w:t>
      </w:r>
      <w:r w:rsidRPr="00B77CFF">
        <w:rPr>
          <w:i/>
          <w:color w:val="0F1115"/>
          <w:sz w:val="20"/>
          <w:szCs w:val="20"/>
        </w:rPr>
        <w:t>et al</w:t>
      </w:r>
      <w:r w:rsidRPr="00B01E80">
        <w:rPr>
          <w:color w:val="0F1115"/>
          <w:sz w:val="20"/>
          <w:szCs w:val="20"/>
        </w:rPr>
        <w:t>., 2026). The predominance of CTX-M enzymes has important therapeutic implications, as these enzymes efficiently hydrolyze cefotaxime and ceftriaxone, rendering third-generation cephalosporins ineffective against CTX-M-producing organisms (Bush and Bradford, 2019).</w:t>
      </w:r>
    </w:p>
    <w:p w14:paraId="6E911F24"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convergence of </w:t>
      </w:r>
      <w:r w:rsidRPr="00B01E80">
        <w:rPr>
          <w:rStyle w:val="Emphasis"/>
          <w:color w:val="0F1115"/>
          <w:sz w:val="20"/>
          <w:szCs w:val="20"/>
        </w:rPr>
        <w:t>bla</w:t>
      </w:r>
      <w:r w:rsidRPr="00B01E80">
        <w:rPr>
          <w:color w:val="0F1115"/>
          <w:sz w:val="20"/>
          <w:szCs w:val="20"/>
        </w:rPr>
        <w:t>CTX-M with </w:t>
      </w:r>
      <w:r w:rsidRPr="00B01E80">
        <w:rPr>
          <w:rStyle w:val="Emphasis"/>
          <w:color w:val="0F1115"/>
          <w:sz w:val="20"/>
          <w:szCs w:val="20"/>
        </w:rPr>
        <w:t>tetA</w:t>
      </w:r>
      <w:r w:rsidRPr="00B01E80">
        <w:rPr>
          <w:color w:val="0F1115"/>
          <w:sz w:val="20"/>
          <w:szCs w:val="20"/>
        </w:rPr>
        <w:t> and </w:t>
      </w:r>
      <w:r w:rsidRPr="00B01E80">
        <w:rPr>
          <w:rStyle w:val="Emphasis"/>
          <w:color w:val="0F1115"/>
          <w:sz w:val="20"/>
          <w:szCs w:val="20"/>
        </w:rPr>
        <w:t>qepA</w:t>
      </w:r>
      <w:r w:rsidRPr="00B01E80">
        <w:rPr>
          <w:color w:val="0F1115"/>
          <w:sz w:val="20"/>
          <w:szCs w:val="20"/>
        </w:rPr>
        <w:t xml:space="preserve"> represents a particularly alarming finding with profound clinical implications. The </w:t>
      </w:r>
      <w:r>
        <w:rPr>
          <w:color w:val="0F1115"/>
          <w:sz w:val="20"/>
          <w:szCs w:val="20"/>
        </w:rPr>
        <w:t>100 %</w:t>
      </w:r>
      <w:r w:rsidRPr="00B01E80">
        <w:rPr>
          <w:color w:val="0F1115"/>
          <w:sz w:val="20"/>
          <w:szCs w:val="20"/>
        </w:rPr>
        <w:t xml:space="preserve"> detection of </w:t>
      </w:r>
      <w:r w:rsidRPr="00B01E80">
        <w:rPr>
          <w:rStyle w:val="Emphasis"/>
          <w:color w:val="0F1115"/>
          <w:sz w:val="20"/>
          <w:szCs w:val="20"/>
        </w:rPr>
        <w:t>tetA</w:t>
      </w:r>
      <w:r w:rsidRPr="00B01E80">
        <w:rPr>
          <w:color w:val="0F1115"/>
          <w:sz w:val="20"/>
          <w:szCs w:val="20"/>
        </w:rPr>
        <w:t> (100%) among our selected isolates, coupled with 100% phenotypic tetracycline resistance in </w:t>
      </w:r>
      <w:r w:rsidRPr="00B01E80">
        <w:rPr>
          <w:rStyle w:val="Emphasis"/>
          <w:color w:val="0F1115"/>
          <w:sz w:val="20"/>
          <w:szCs w:val="20"/>
        </w:rPr>
        <w:t>P. aeruginosa</w:t>
      </w:r>
      <w:r w:rsidRPr="00B01E80">
        <w:rPr>
          <w:color w:val="0F1115"/>
          <w:sz w:val="20"/>
          <w:szCs w:val="20"/>
        </w:rPr>
        <w:t> and 84.8% in </w:t>
      </w:r>
      <w:r w:rsidRPr="00B01E80">
        <w:rPr>
          <w:rStyle w:val="Emphasis"/>
          <w:color w:val="0F1115"/>
          <w:sz w:val="20"/>
          <w:szCs w:val="20"/>
        </w:rPr>
        <w:t>A. baumannii</w:t>
      </w:r>
      <w:r w:rsidRPr="00B01E80">
        <w:rPr>
          <w:color w:val="0F1115"/>
          <w:sz w:val="20"/>
          <w:szCs w:val="20"/>
        </w:rPr>
        <w:t>, indicates that tetracycline-based empirical therapy for UTIs caused by these pathogens would be futile in our setting. A systematic review of antibacterial resistance genes in Nigeria identified </w:t>
      </w:r>
      <w:r w:rsidRPr="00B01E80">
        <w:rPr>
          <w:rStyle w:val="Emphasis"/>
          <w:color w:val="0F1115"/>
          <w:sz w:val="20"/>
          <w:szCs w:val="20"/>
        </w:rPr>
        <w:t>tetA</w:t>
      </w:r>
      <w:r w:rsidRPr="00B01E80">
        <w:rPr>
          <w:color w:val="0F1115"/>
          <w:sz w:val="20"/>
          <w:szCs w:val="20"/>
        </w:rPr>
        <w:t xml:space="preserve"> as one of the most prevalent resistance determinants (Mshelia </w:t>
      </w:r>
      <w:r w:rsidRPr="00B77CFF">
        <w:rPr>
          <w:i/>
          <w:color w:val="0F1115"/>
          <w:sz w:val="20"/>
          <w:szCs w:val="20"/>
        </w:rPr>
        <w:t>et al</w:t>
      </w:r>
      <w:r w:rsidRPr="00B01E80">
        <w:rPr>
          <w:color w:val="0F1115"/>
          <w:sz w:val="20"/>
          <w:szCs w:val="20"/>
        </w:rPr>
        <w:t>., 2024), and studies from Iran have documented similarly high </w:t>
      </w:r>
      <w:r w:rsidRPr="00B01E80">
        <w:rPr>
          <w:rStyle w:val="Emphasis"/>
          <w:color w:val="0F1115"/>
          <w:sz w:val="20"/>
          <w:szCs w:val="20"/>
        </w:rPr>
        <w:t>tetA</w:t>
      </w:r>
      <w:r w:rsidRPr="00B01E80">
        <w:rPr>
          <w:color w:val="0F1115"/>
          <w:sz w:val="20"/>
          <w:szCs w:val="20"/>
        </w:rPr>
        <w:t> prevalence rates ranging from 39.81% to 95.5% among </w:t>
      </w:r>
      <w:r w:rsidRPr="00B01E80">
        <w:rPr>
          <w:rStyle w:val="Emphasis"/>
          <w:color w:val="0F1115"/>
          <w:sz w:val="20"/>
          <w:szCs w:val="20"/>
        </w:rPr>
        <w:t>A. baumannii</w:t>
      </w:r>
      <w:r w:rsidRPr="00B01E80">
        <w:rPr>
          <w:color w:val="0F1115"/>
          <w:sz w:val="20"/>
          <w:szCs w:val="20"/>
        </w:rPr>
        <w:t xml:space="preserve"> isolates (Asadollahi </w:t>
      </w:r>
      <w:r w:rsidRPr="00B77CFF">
        <w:rPr>
          <w:i/>
          <w:color w:val="0F1115"/>
          <w:sz w:val="20"/>
          <w:szCs w:val="20"/>
        </w:rPr>
        <w:t>et al</w:t>
      </w:r>
      <w:r w:rsidRPr="00B01E80">
        <w:rPr>
          <w:color w:val="0F1115"/>
          <w:sz w:val="20"/>
          <w:szCs w:val="20"/>
        </w:rPr>
        <w:t xml:space="preserve">., 2012; Jafari Sales </w:t>
      </w:r>
      <w:r w:rsidRPr="00B77CFF">
        <w:rPr>
          <w:i/>
          <w:color w:val="0F1115"/>
          <w:sz w:val="20"/>
          <w:szCs w:val="20"/>
        </w:rPr>
        <w:t>et al</w:t>
      </w:r>
      <w:r w:rsidRPr="00B01E80">
        <w:rPr>
          <w:color w:val="0F1115"/>
          <w:sz w:val="20"/>
          <w:szCs w:val="20"/>
        </w:rPr>
        <w:t>., 2021). The </w:t>
      </w:r>
      <w:r w:rsidRPr="00B01E80">
        <w:rPr>
          <w:rStyle w:val="Emphasis"/>
          <w:color w:val="0F1115"/>
          <w:sz w:val="20"/>
          <w:szCs w:val="20"/>
        </w:rPr>
        <w:t>tetA</w:t>
      </w:r>
      <w:r w:rsidRPr="00B01E80">
        <w:rPr>
          <w:color w:val="0F1115"/>
          <w:sz w:val="20"/>
          <w:szCs w:val="20"/>
        </w:rPr>
        <w:t xml:space="preserve"> gene is frequently located on mobile genetic elements such as plasmids and transposons, facilitating its rapid dissemination among Gram-negative pathogens (Alharbi </w:t>
      </w:r>
      <w:r w:rsidRPr="00B77CFF">
        <w:rPr>
          <w:i/>
          <w:color w:val="0F1115"/>
          <w:sz w:val="20"/>
          <w:szCs w:val="20"/>
        </w:rPr>
        <w:t>et al</w:t>
      </w:r>
      <w:r w:rsidRPr="00B01E80">
        <w:rPr>
          <w:color w:val="0F1115"/>
          <w:sz w:val="20"/>
          <w:szCs w:val="20"/>
        </w:rPr>
        <w:t xml:space="preserve">., 2025; Martínez-Trejo </w:t>
      </w:r>
      <w:r w:rsidRPr="00B77CFF">
        <w:rPr>
          <w:i/>
          <w:color w:val="0F1115"/>
          <w:sz w:val="20"/>
          <w:szCs w:val="20"/>
        </w:rPr>
        <w:t>et al</w:t>
      </w:r>
      <w:r w:rsidRPr="00B01E80">
        <w:rPr>
          <w:color w:val="0F1115"/>
          <w:sz w:val="20"/>
          <w:szCs w:val="20"/>
        </w:rPr>
        <w:t>., 2022).</w:t>
      </w:r>
    </w:p>
    <w:p w14:paraId="50649D44"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lastRenderedPageBreak/>
        <w:t>The detection of </w:t>
      </w:r>
      <w:r w:rsidRPr="00B01E80">
        <w:rPr>
          <w:rStyle w:val="Emphasis"/>
          <w:color w:val="0F1115"/>
          <w:sz w:val="20"/>
          <w:szCs w:val="20"/>
        </w:rPr>
        <w:t>qepA</w:t>
      </w:r>
      <w:r w:rsidRPr="00B01E80">
        <w:rPr>
          <w:color w:val="0F1115"/>
          <w:sz w:val="20"/>
          <w:szCs w:val="20"/>
        </w:rPr>
        <w:t> in 65% of our isolates (70% of </w:t>
      </w:r>
      <w:r w:rsidRPr="00B01E80">
        <w:rPr>
          <w:rStyle w:val="Emphasis"/>
          <w:color w:val="0F1115"/>
          <w:sz w:val="20"/>
          <w:szCs w:val="20"/>
        </w:rPr>
        <w:t>P. aeruginosa</w:t>
      </w:r>
      <w:r w:rsidRPr="00B01E80">
        <w:rPr>
          <w:color w:val="0F1115"/>
          <w:sz w:val="20"/>
          <w:szCs w:val="20"/>
        </w:rPr>
        <w:t> and 60% of </w:t>
      </w:r>
      <w:r w:rsidRPr="00B01E80">
        <w:rPr>
          <w:rStyle w:val="Emphasis"/>
          <w:color w:val="0F1115"/>
          <w:sz w:val="20"/>
          <w:szCs w:val="20"/>
        </w:rPr>
        <w:t>A. baumannii</w:t>
      </w:r>
      <w:r w:rsidRPr="00B01E80">
        <w:rPr>
          <w:color w:val="0F1115"/>
          <w:sz w:val="20"/>
          <w:szCs w:val="20"/>
        </w:rPr>
        <w:t>) signals the emergence of plasmid-mediated fluoroquinolone resistance as a significant clinical problem in our region. </w:t>
      </w:r>
      <w:r w:rsidRPr="00B01E80">
        <w:rPr>
          <w:rStyle w:val="Emphasis"/>
          <w:color w:val="0F1115"/>
          <w:sz w:val="20"/>
          <w:szCs w:val="20"/>
        </w:rPr>
        <w:t>qepA</w:t>
      </w:r>
      <w:r w:rsidRPr="00B01E80">
        <w:rPr>
          <w:color w:val="0F1115"/>
          <w:sz w:val="20"/>
          <w:szCs w:val="20"/>
        </w:rPr>
        <w:t xml:space="preserve"> encodes an efflux pump that actively exports hydrophilic fluoroquinolones including ciprofloxacin and norfloxacin, reducing intracellular antibiotic concentrations below therapeutic thresholds (Yamane </w:t>
      </w:r>
      <w:r w:rsidRPr="00B77CFF">
        <w:rPr>
          <w:i/>
          <w:color w:val="0F1115"/>
          <w:sz w:val="20"/>
          <w:szCs w:val="20"/>
        </w:rPr>
        <w:t>et al</w:t>
      </w:r>
      <w:r w:rsidRPr="00B01E80">
        <w:rPr>
          <w:color w:val="0F1115"/>
          <w:sz w:val="20"/>
          <w:szCs w:val="20"/>
        </w:rPr>
        <w:t xml:space="preserve">., 2008; Abdi </w:t>
      </w:r>
      <w:r w:rsidRPr="00B77CFF">
        <w:rPr>
          <w:i/>
          <w:color w:val="0F1115"/>
          <w:sz w:val="20"/>
          <w:szCs w:val="20"/>
        </w:rPr>
        <w:t>et al</w:t>
      </w:r>
      <w:r w:rsidRPr="00B01E80">
        <w:rPr>
          <w:color w:val="0F1115"/>
          <w:sz w:val="20"/>
          <w:szCs w:val="20"/>
        </w:rPr>
        <w:t>., 2020). Previous studies from Nigeria have documented variable </w:t>
      </w:r>
      <w:r w:rsidRPr="00B01E80">
        <w:rPr>
          <w:rStyle w:val="Emphasis"/>
          <w:color w:val="0F1115"/>
          <w:sz w:val="20"/>
          <w:szCs w:val="20"/>
        </w:rPr>
        <w:t>qepA</w:t>
      </w:r>
      <w:r w:rsidRPr="00B01E80">
        <w:rPr>
          <w:color w:val="0F1115"/>
          <w:sz w:val="20"/>
          <w:szCs w:val="20"/>
        </w:rPr>
        <w:t> detection rates ranging from 2.1% in </w:t>
      </w:r>
      <w:r w:rsidRPr="00B01E80">
        <w:rPr>
          <w:rStyle w:val="Emphasis"/>
          <w:color w:val="0F1115"/>
          <w:sz w:val="20"/>
          <w:szCs w:val="20"/>
        </w:rPr>
        <w:t>E. coli</w:t>
      </w:r>
      <w:r w:rsidRPr="00B01E80">
        <w:rPr>
          <w:color w:val="0F1115"/>
          <w:sz w:val="20"/>
          <w:szCs w:val="20"/>
        </w:rPr>
        <w:t xml:space="preserve"> (Sah and Feglo, 2022) to 70% in diverse Gram-negative bacteria (Ezeh </w:t>
      </w:r>
      <w:r w:rsidRPr="00B77CFF">
        <w:rPr>
          <w:i/>
          <w:color w:val="0F1115"/>
          <w:sz w:val="20"/>
          <w:szCs w:val="20"/>
        </w:rPr>
        <w:t>et al</w:t>
      </w:r>
      <w:r w:rsidRPr="00B01E80">
        <w:rPr>
          <w:color w:val="0F1115"/>
          <w:sz w:val="20"/>
          <w:szCs w:val="20"/>
        </w:rPr>
        <w:t>., 2017). The 65% detection rate in our study falls within the higher end of this range, suggesting that </w:t>
      </w:r>
      <w:r w:rsidRPr="00B01E80">
        <w:rPr>
          <w:rStyle w:val="Emphasis"/>
          <w:color w:val="0F1115"/>
          <w:sz w:val="20"/>
          <w:szCs w:val="20"/>
        </w:rPr>
        <w:t>qepA</w:t>
      </w:r>
      <w:r w:rsidRPr="00B01E80">
        <w:rPr>
          <w:color w:val="0F1115"/>
          <w:sz w:val="20"/>
          <w:szCs w:val="20"/>
        </w:rPr>
        <w:t> has become well-established among uropathogenic non-fermenters in our tertiary hospital setting. The significant association between </w:t>
      </w:r>
      <w:r w:rsidRPr="00B01E80">
        <w:rPr>
          <w:rStyle w:val="Emphasis"/>
          <w:color w:val="0F1115"/>
          <w:sz w:val="20"/>
          <w:szCs w:val="20"/>
        </w:rPr>
        <w:t>qepA</w:t>
      </w:r>
      <w:r w:rsidRPr="00B01E80">
        <w:rPr>
          <w:color w:val="0F1115"/>
          <w:sz w:val="20"/>
          <w:szCs w:val="20"/>
        </w:rPr>
        <w:t> carriage and levoflox</w:t>
      </w:r>
      <w:r>
        <w:rPr>
          <w:color w:val="0F1115"/>
          <w:sz w:val="20"/>
          <w:szCs w:val="20"/>
        </w:rPr>
        <w:t xml:space="preserve">acin resistance (OR = 3.21, p </w:t>
      </w:r>
      <w:r w:rsidRPr="00B01E80">
        <w:rPr>
          <w:color w:val="0F1115"/>
          <w:sz w:val="20"/>
          <w:szCs w:val="20"/>
        </w:rPr>
        <w:t>= 0.042) validates the functional role of this efflux pump in mediating clinical fluoroquinolone resistance.</w:t>
      </w:r>
    </w:p>
    <w:p w14:paraId="3EF216D7"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triple convergence of </w:t>
      </w:r>
      <w:r w:rsidRPr="00B01E80">
        <w:rPr>
          <w:rStyle w:val="Emphasis"/>
          <w:color w:val="0F1115"/>
          <w:sz w:val="20"/>
          <w:szCs w:val="20"/>
        </w:rPr>
        <w:t>bla</w:t>
      </w:r>
      <w:r w:rsidRPr="00B01E80">
        <w:rPr>
          <w:color w:val="0F1115"/>
          <w:sz w:val="20"/>
          <w:szCs w:val="20"/>
        </w:rPr>
        <w:t>CTX-M + </w:t>
      </w:r>
      <w:r w:rsidRPr="00B01E80">
        <w:rPr>
          <w:rStyle w:val="Emphasis"/>
          <w:color w:val="0F1115"/>
          <w:sz w:val="20"/>
          <w:szCs w:val="20"/>
        </w:rPr>
        <w:t>tetA</w:t>
      </w:r>
      <w:r w:rsidRPr="00B01E80">
        <w:rPr>
          <w:color w:val="0F1115"/>
          <w:sz w:val="20"/>
          <w:szCs w:val="20"/>
        </w:rPr>
        <w:t> + </w:t>
      </w:r>
      <w:r w:rsidRPr="00B01E80">
        <w:rPr>
          <w:rStyle w:val="Emphasis"/>
          <w:color w:val="0F1115"/>
          <w:sz w:val="20"/>
          <w:szCs w:val="20"/>
        </w:rPr>
        <w:t>qepA</w:t>
      </w:r>
      <w:r w:rsidRPr="00B01E80">
        <w:rPr>
          <w:color w:val="0F1115"/>
          <w:sz w:val="20"/>
          <w:szCs w:val="20"/>
        </w:rPr>
        <w:t xml:space="preserve"> observed in 65% of isolates is particularly concerning because it simultaneously compromises three major antibiotic classes that have historically been mainstays of UTI therapy. This convergence was most pronounced in the 32-38 years age group, where 87.5% of tested isolates harbored all three genes. This age group also demonstrated the highest overall UTI prevalence (68.9%) and the highest mean MAR index (0.82), suggesting that cumulative antibiotic exposure and healthcare contact in this demographic may drive selection for extensively drug-resistant phenotypes. The co-carriage of these resistance genes on mobile genetic elements creates potential for co-selection, wherein the use of any one antibiotic class may select for maintenance of resistance to all three classes simultaneously (Lerminiaux and Cameron, 2019; Godeux </w:t>
      </w:r>
      <w:r w:rsidRPr="00B77CFF">
        <w:rPr>
          <w:i/>
          <w:color w:val="0F1115"/>
          <w:sz w:val="20"/>
          <w:szCs w:val="20"/>
        </w:rPr>
        <w:t>et al</w:t>
      </w:r>
      <w:r w:rsidRPr="00B01E80">
        <w:rPr>
          <w:color w:val="0F1115"/>
          <w:sz w:val="20"/>
          <w:szCs w:val="20"/>
        </w:rPr>
        <w:t>., 2022).</w:t>
      </w:r>
    </w:p>
    <w:p w14:paraId="6863077A"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statistical associations observed between gene carriage and phenotypic resistance validate the clinical relevance of molecular detection. The strong correlation between </w:t>
      </w:r>
      <w:r w:rsidRPr="00B01E80">
        <w:rPr>
          <w:rStyle w:val="Emphasis"/>
          <w:color w:val="0F1115"/>
          <w:sz w:val="20"/>
          <w:szCs w:val="20"/>
        </w:rPr>
        <w:t>tetA</w:t>
      </w:r>
      <w:r w:rsidRPr="00B01E80">
        <w:rPr>
          <w:color w:val="0F1115"/>
          <w:sz w:val="20"/>
          <w:szCs w:val="20"/>
        </w:rPr>
        <w:t> carriage and phenotypic tetra</w:t>
      </w:r>
      <w:r>
        <w:rPr>
          <w:color w:val="0F1115"/>
          <w:sz w:val="20"/>
          <w:szCs w:val="20"/>
        </w:rPr>
        <w:t>cycline resistance (OR = 28.5, p</w:t>
      </w:r>
      <w:r w:rsidRPr="00B01E80">
        <w:rPr>
          <w:color w:val="0F1115"/>
          <w:sz w:val="20"/>
          <w:szCs w:val="20"/>
        </w:rPr>
        <w:t> &lt; 0.001) confirms that </w:t>
      </w:r>
      <w:r w:rsidRPr="00B01E80">
        <w:rPr>
          <w:rStyle w:val="Emphasis"/>
          <w:color w:val="0F1115"/>
          <w:sz w:val="20"/>
          <w:szCs w:val="20"/>
        </w:rPr>
        <w:t>tetA</w:t>
      </w:r>
      <w:r w:rsidRPr="00B01E80">
        <w:rPr>
          <w:color w:val="0F1115"/>
          <w:sz w:val="20"/>
          <w:szCs w:val="20"/>
        </w:rPr>
        <w:t> represents a reliable predictor of tetracycline treatment failure. Similarly, the significant association between </w:t>
      </w:r>
      <w:r w:rsidRPr="00B01E80">
        <w:rPr>
          <w:rStyle w:val="Emphasis"/>
          <w:color w:val="0F1115"/>
          <w:sz w:val="20"/>
          <w:szCs w:val="20"/>
        </w:rPr>
        <w:t>qepA</w:t>
      </w:r>
      <w:r w:rsidRPr="00B01E80">
        <w:rPr>
          <w:color w:val="0F1115"/>
          <w:sz w:val="20"/>
          <w:szCs w:val="20"/>
        </w:rPr>
        <w:t> carriage and levofloxacin resistance validates the functional contribution of this efflux pump to clinical fluoroquinolone resistance in our isolates. The logistic regression analysis identifying </w:t>
      </w:r>
      <w:r w:rsidRPr="00B01E80">
        <w:rPr>
          <w:rStyle w:val="Emphasis"/>
          <w:color w:val="0F1115"/>
          <w:sz w:val="20"/>
          <w:szCs w:val="20"/>
        </w:rPr>
        <w:t>bla</w:t>
      </w:r>
      <w:r w:rsidRPr="00B01E80">
        <w:rPr>
          <w:color w:val="0F1115"/>
          <w:sz w:val="20"/>
          <w:szCs w:val="20"/>
        </w:rPr>
        <w:t>CTX-M + </w:t>
      </w:r>
      <w:r w:rsidRPr="00B01E80">
        <w:rPr>
          <w:rStyle w:val="Emphasis"/>
          <w:color w:val="0F1115"/>
          <w:sz w:val="20"/>
          <w:szCs w:val="20"/>
        </w:rPr>
        <w:t>tetA</w:t>
      </w:r>
      <w:r w:rsidRPr="00B01E80">
        <w:rPr>
          <w:color w:val="0F1115"/>
          <w:sz w:val="20"/>
          <w:szCs w:val="20"/>
        </w:rPr>
        <w:t> co-carriage and triple gene carriage as independent predictors of multidrug resistance (adjusted OR = 7.82 and 4.91, respectively) underscores the clinical utility of molecular diagnostics for identifying high-risk, extensively drug-resistant phenotypes that may require alternative therapeutic approaches.</w:t>
      </w:r>
    </w:p>
    <w:p w14:paraId="3A22B733"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MAR indices observed in our study, all exceeding 0.2 with a mean of 0.78 for </w:t>
      </w:r>
      <w:r w:rsidRPr="00B01E80">
        <w:rPr>
          <w:rStyle w:val="Emphasis"/>
          <w:color w:val="0F1115"/>
          <w:sz w:val="20"/>
          <w:szCs w:val="20"/>
        </w:rPr>
        <w:t>P. aeruginosa</w:t>
      </w:r>
      <w:r w:rsidRPr="00B01E80">
        <w:rPr>
          <w:color w:val="0F1115"/>
          <w:sz w:val="20"/>
          <w:szCs w:val="20"/>
        </w:rPr>
        <w:t> and 0.72 for </w:t>
      </w:r>
      <w:r w:rsidRPr="00B01E80">
        <w:rPr>
          <w:rStyle w:val="Emphasis"/>
          <w:color w:val="0F1115"/>
          <w:sz w:val="20"/>
          <w:szCs w:val="20"/>
        </w:rPr>
        <w:t>A. baumannii</w:t>
      </w:r>
      <w:r w:rsidRPr="00B01E80">
        <w:rPr>
          <w:color w:val="0F1115"/>
          <w:sz w:val="20"/>
          <w:szCs w:val="20"/>
        </w:rPr>
        <w:t xml:space="preserve">, indicate that these isolates originated from high-risk environments characterized by intensive antibiotic selection pressure. MAR indices greater than 0.2 are considered indicative of contamination from settings where multiple antibiotics are frequently used, such as tertiary hospitals and intensive care units (Joseph </w:t>
      </w:r>
      <w:r w:rsidRPr="00B77CFF">
        <w:rPr>
          <w:i/>
          <w:color w:val="0F1115"/>
          <w:sz w:val="20"/>
          <w:szCs w:val="20"/>
        </w:rPr>
        <w:t>et al</w:t>
      </w:r>
      <w:r w:rsidRPr="00B01E80">
        <w:rPr>
          <w:color w:val="0F1115"/>
          <w:sz w:val="20"/>
          <w:szCs w:val="20"/>
        </w:rPr>
        <w:t xml:space="preserve">., 2023; John-Onwe </w:t>
      </w:r>
      <w:r w:rsidRPr="00B77CFF">
        <w:rPr>
          <w:i/>
          <w:color w:val="0F1115"/>
          <w:sz w:val="20"/>
          <w:szCs w:val="20"/>
        </w:rPr>
        <w:t>et al</w:t>
      </w:r>
      <w:r w:rsidRPr="00B01E80">
        <w:rPr>
          <w:color w:val="0F1115"/>
          <w:sz w:val="20"/>
          <w:szCs w:val="20"/>
        </w:rPr>
        <w:t xml:space="preserve">., 2023). The particularly high indices in the 32-38 years age group may reflect greater cumulative healthcare exposure and recurrent antibiotic treatment for complicated or recurrent UTIs. Comparable high MAR indices have been reported in other African studies, including 81.4-83.3% in Ethiopia (Solomon </w:t>
      </w:r>
      <w:r w:rsidRPr="00B77CFF">
        <w:rPr>
          <w:i/>
          <w:color w:val="0F1115"/>
          <w:sz w:val="20"/>
          <w:szCs w:val="20"/>
        </w:rPr>
        <w:t>et al</w:t>
      </w:r>
      <w:r w:rsidRPr="00B01E80">
        <w:rPr>
          <w:color w:val="0F1115"/>
          <w:sz w:val="20"/>
          <w:szCs w:val="20"/>
        </w:rPr>
        <w:t xml:space="preserve">., 2017), 100% in Tanzania (Manyahi </w:t>
      </w:r>
      <w:r w:rsidRPr="00B77CFF">
        <w:rPr>
          <w:i/>
          <w:color w:val="0F1115"/>
          <w:sz w:val="20"/>
          <w:szCs w:val="20"/>
        </w:rPr>
        <w:t>et al</w:t>
      </w:r>
      <w:r w:rsidRPr="00B01E80">
        <w:rPr>
          <w:color w:val="0F1115"/>
          <w:sz w:val="20"/>
          <w:szCs w:val="20"/>
        </w:rPr>
        <w:t xml:space="preserve">., 2014), and 100% in Ghana (Agyepong </w:t>
      </w:r>
      <w:r w:rsidRPr="00B77CFF">
        <w:rPr>
          <w:i/>
          <w:color w:val="0F1115"/>
          <w:sz w:val="20"/>
          <w:szCs w:val="20"/>
        </w:rPr>
        <w:t>et al</w:t>
      </w:r>
      <w:r w:rsidRPr="00B01E80">
        <w:rPr>
          <w:color w:val="0F1115"/>
          <w:sz w:val="20"/>
          <w:szCs w:val="20"/>
        </w:rPr>
        <w:t>., 2018).</w:t>
      </w:r>
    </w:p>
    <w:p w14:paraId="60DAFE3C"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The </w:t>
      </w:r>
      <w:r>
        <w:rPr>
          <w:color w:val="0F1115"/>
          <w:sz w:val="20"/>
          <w:szCs w:val="20"/>
        </w:rPr>
        <w:t>100 %</w:t>
      </w:r>
      <w:r w:rsidRPr="00B01E80">
        <w:rPr>
          <w:color w:val="0F1115"/>
          <w:sz w:val="20"/>
          <w:szCs w:val="20"/>
        </w:rPr>
        <w:t xml:space="preserve"> resistance to third-generation cephalosporins (cefotaxime and ceftazidime) observed among our ESBL-positive isolates is a direct consequence of the 100% prevalence of </w:t>
      </w:r>
      <w:r w:rsidRPr="00B01E80">
        <w:rPr>
          <w:rStyle w:val="Emphasis"/>
          <w:color w:val="0F1115"/>
          <w:sz w:val="20"/>
          <w:szCs w:val="20"/>
        </w:rPr>
        <w:t>bla</w:t>
      </w:r>
      <w:r w:rsidRPr="00B01E80">
        <w:rPr>
          <w:color w:val="0F1115"/>
          <w:sz w:val="20"/>
          <w:szCs w:val="20"/>
        </w:rPr>
        <w:t>CTX-M. CTX-M enzymes are renowned for their efficient hydrolysis of cefotaxime and, to a variable extent, ceftazidime (Bush and Bradford, 2019). This complete resistance effectively eliminates third-generation cephalosporins as therapeutic options for UTIs caused by these pathogens in our setting. The high resistance rates to cefepime (75.0% in </w:t>
      </w:r>
      <w:r w:rsidRPr="00B01E80">
        <w:rPr>
          <w:rStyle w:val="Emphasis"/>
          <w:color w:val="0F1115"/>
          <w:sz w:val="20"/>
          <w:szCs w:val="20"/>
        </w:rPr>
        <w:t>P. aeruginosa</w:t>
      </w:r>
      <w:r w:rsidRPr="00B01E80">
        <w:rPr>
          <w:color w:val="0F1115"/>
          <w:sz w:val="20"/>
          <w:szCs w:val="20"/>
        </w:rPr>
        <w:t> and 84.8% in </w:t>
      </w:r>
      <w:r w:rsidRPr="00B01E80">
        <w:rPr>
          <w:rStyle w:val="Emphasis"/>
          <w:color w:val="0F1115"/>
          <w:sz w:val="20"/>
          <w:szCs w:val="20"/>
        </w:rPr>
        <w:t>A. baumannii</w:t>
      </w:r>
      <w:r w:rsidRPr="00B01E80">
        <w:rPr>
          <w:color w:val="0F1115"/>
          <w:sz w:val="20"/>
          <w:szCs w:val="20"/>
        </w:rPr>
        <w:t xml:space="preserve">) indicate that even fourth-generation cephalosporins, which were designed to be more stable against ESBL hydrolysis, are compromised against these isolates. These findings are consistent with studies from other Nigerian tertiary hospitals, where similarly high cephalosporin resistance rates have been documented among non-fermenting Gram-negative bacilli (Egwu </w:t>
      </w:r>
      <w:r w:rsidRPr="00B77CFF">
        <w:rPr>
          <w:i/>
          <w:color w:val="0F1115"/>
          <w:sz w:val="20"/>
          <w:szCs w:val="20"/>
        </w:rPr>
        <w:t>et al</w:t>
      </w:r>
      <w:r w:rsidRPr="00B01E80">
        <w:rPr>
          <w:color w:val="0F1115"/>
          <w:sz w:val="20"/>
          <w:szCs w:val="20"/>
        </w:rPr>
        <w:t xml:space="preserve">., 2021a; Egwu </w:t>
      </w:r>
      <w:r w:rsidRPr="00B77CFF">
        <w:rPr>
          <w:i/>
          <w:color w:val="0F1115"/>
          <w:sz w:val="20"/>
          <w:szCs w:val="20"/>
        </w:rPr>
        <w:t>et al</w:t>
      </w:r>
      <w:r w:rsidRPr="00B01E80">
        <w:rPr>
          <w:color w:val="0F1115"/>
          <w:sz w:val="20"/>
          <w:szCs w:val="20"/>
        </w:rPr>
        <w:t>., 2021b).</w:t>
      </w:r>
    </w:p>
    <w:p w14:paraId="4C58346A"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high-level fluoroquinolone resistance observed in this study is multifactorial, likely resulting from the convergence of multiple resistance mechanisms. The detection of </w:t>
      </w:r>
      <w:r w:rsidRPr="00B01E80">
        <w:rPr>
          <w:rStyle w:val="Emphasis"/>
          <w:color w:val="0F1115"/>
          <w:sz w:val="20"/>
          <w:szCs w:val="20"/>
        </w:rPr>
        <w:t>qepA</w:t>
      </w:r>
      <w:r w:rsidRPr="00B01E80">
        <w:rPr>
          <w:color w:val="0F1115"/>
          <w:sz w:val="20"/>
          <w:szCs w:val="20"/>
        </w:rPr>
        <w:t> in 65% of isolates provides one explanation for reduced fluoroquinolone susceptibility through active drug efflux. However, the observation that ciprofloxacin resistance (73.2-81.8%) exceeded </w:t>
      </w:r>
      <w:r w:rsidRPr="00B01E80">
        <w:rPr>
          <w:rStyle w:val="Emphasis"/>
          <w:color w:val="0F1115"/>
          <w:sz w:val="20"/>
          <w:szCs w:val="20"/>
        </w:rPr>
        <w:t>qepA</w:t>
      </w:r>
      <w:r w:rsidRPr="00B01E80">
        <w:rPr>
          <w:color w:val="0F1115"/>
          <w:sz w:val="20"/>
          <w:szCs w:val="20"/>
        </w:rPr>
        <w:t> detection rates (65%) suggests that additional fluoroquinolone resistance mechanisms are operative in these isolates. These may include chromosomal mutations in the quinolone resistance-determining regions (QRDRs) of </w:t>
      </w:r>
      <w:r w:rsidRPr="00B01E80">
        <w:rPr>
          <w:rStyle w:val="Emphasis"/>
          <w:color w:val="0F1115"/>
          <w:sz w:val="20"/>
          <w:szCs w:val="20"/>
        </w:rPr>
        <w:t>gyrA</w:t>
      </w:r>
      <w:r w:rsidRPr="00B01E80">
        <w:rPr>
          <w:color w:val="0F1115"/>
          <w:sz w:val="20"/>
          <w:szCs w:val="20"/>
        </w:rPr>
        <w:t> and </w:t>
      </w:r>
      <w:r w:rsidRPr="00B01E80">
        <w:rPr>
          <w:rStyle w:val="Emphasis"/>
          <w:color w:val="0F1115"/>
          <w:sz w:val="20"/>
          <w:szCs w:val="20"/>
        </w:rPr>
        <w:t>parC</w:t>
      </w:r>
      <w:r w:rsidRPr="00B01E80">
        <w:rPr>
          <w:color w:val="0F1115"/>
          <w:sz w:val="20"/>
          <w:szCs w:val="20"/>
        </w:rPr>
        <w:t> genes, which are well-documented in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xml:space="preserve"> (Vila </w:t>
      </w:r>
      <w:r w:rsidRPr="00B77CFF">
        <w:rPr>
          <w:i/>
          <w:color w:val="0F1115"/>
          <w:sz w:val="20"/>
          <w:szCs w:val="20"/>
        </w:rPr>
        <w:t>et al</w:t>
      </w:r>
      <w:r w:rsidRPr="00B01E80">
        <w:rPr>
          <w:color w:val="0F1115"/>
          <w:sz w:val="20"/>
          <w:szCs w:val="20"/>
        </w:rPr>
        <w:t xml:space="preserve">., 1995; Vila </w:t>
      </w:r>
      <w:r w:rsidRPr="00B77CFF">
        <w:rPr>
          <w:i/>
          <w:color w:val="0F1115"/>
          <w:sz w:val="20"/>
          <w:szCs w:val="20"/>
        </w:rPr>
        <w:t>et al</w:t>
      </w:r>
      <w:r w:rsidRPr="00B01E80">
        <w:rPr>
          <w:color w:val="0F1115"/>
          <w:sz w:val="20"/>
          <w:szCs w:val="20"/>
        </w:rPr>
        <w:t xml:space="preserve">., 1997; Hujer </w:t>
      </w:r>
      <w:r w:rsidRPr="00B77CFF">
        <w:rPr>
          <w:i/>
          <w:color w:val="0F1115"/>
          <w:sz w:val="20"/>
          <w:szCs w:val="20"/>
        </w:rPr>
        <w:t>et al</w:t>
      </w:r>
      <w:r w:rsidRPr="00B01E80">
        <w:rPr>
          <w:color w:val="0F1115"/>
          <w:sz w:val="20"/>
          <w:szCs w:val="20"/>
        </w:rPr>
        <w:t>., 2009). Furthermore, other plasmid-mediated quinolone resistance (PMQR) genes such as </w:t>
      </w:r>
      <w:r w:rsidRPr="00B01E80">
        <w:rPr>
          <w:rStyle w:val="Emphasis"/>
          <w:color w:val="0F1115"/>
          <w:sz w:val="20"/>
          <w:szCs w:val="20"/>
        </w:rPr>
        <w:t>qnr</w:t>
      </w:r>
      <w:r>
        <w:rPr>
          <w:color w:val="0F1115"/>
          <w:sz w:val="20"/>
          <w:szCs w:val="20"/>
        </w:rPr>
        <w:t> variants and </w:t>
      </w:r>
      <w:proofErr w:type="gramStart"/>
      <w:r>
        <w:rPr>
          <w:color w:val="0F1115"/>
          <w:sz w:val="20"/>
          <w:szCs w:val="20"/>
        </w:rPr>
        <w:t>aac(</w:t>
      </w:r>
      <w:proofErr w:type="gramEnd"/>
      <w:r>
        <w:rPr>
          <w:color w:val="0F1115"/>
          <w:sz w:val="20"/>
          <w:szCs w:val="20"/>
        </w:rPr>
        <w:t>6')-Ib-cr</w:t>
      </w:r>
      <w:r w:rsidRPr="00B01E80">
        <w:rPr>
          <w:color w:val="0F1115"/>
          <w:sz w:val="20"/>
          <w:szCs w:val="20"/>
        </w:rPr>
        <w:t xml:space="preserve"> may contribute to the observed resistance phenotypes (Mohammed </w:t>
      </w:r>
      <w:r w:rsidRPr="00B77CFF">
        <w:rPr>
          <w:i/>
          <w:color w:val="0F1115"/>
          <w:sz w:val="20"/>
          <w:szCs w:val="20"/>
        </w:rPr>
        <w:t>et al</w:t>
      </w:r>
      <w:r w:rsidRPr="00B01E80">
        <w:rPr>
          <w:color w:val="0F1115"/>
          <w:sz w:val="20"/>
          <w:szCs w:val="20"/>
        </w:rPr>
        <w:t xml:space="preserve">., 2021; Venkataramana </w:t>
      </w:r>
      <w:r w:rsidRPr="00B77CFF">
        <w:rPr>
          <w:i/>
          <w:color w:val="0F1115"/>
          <w:sz w:val="20"/>
          <w:szCs w:val="20"/>
        </w:rPr>
        <w:t>et al</w:t>
      </w:r>
      <w:r w:rsidRPr="00B01E80">
        <w:rPr>
          <w:color w:val="0F1115"/>
          <w:sz w:val="20"/>
          <w:szCs w:val="20"/>
        </w:rPr>
        <w:t>., 2022). The 100% resistance to levofloxacin among </w:t>
      </w:r>
      <w:r w:rsidRPr="00B01E80">
        <w:rPr>
          <w:rStyle w:val="Emphasis"/>
          <w:color w:val="0F1115"/>
          <w:sz w:val="20"/>
          <w:szCs w:val="20"/>
        </w:rPr>
        <w:t>P. aeruginosa</w:t>
      </w:r>
      <w:r w:rsidRPr="00B01E80">
        <w:rPr>
          <w:color w:val="0F1115"/>
          <w:sz w:val="20"/>
          <w:szCs w:val="20"/>
        </w:rPr>
        <w:t> isolates is particularly concerning, as levofloxacin is often considered a respiratory fluoroquinolone with enhanced anti-pseudomonal activity compared to ciprofloxacin.</w:t>
      </w:r>
    </w:p>
    <w:p w14:paraId="6EDFA092"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complete resistance to tetracycline among </w:t>
      </w:r>
      <w:r w:rsidRPr="00B01E80">
        <w:rPr>
          <w:rStyle w:val="Emphasis"/>
          <w:color w:val="0F1115"/>
          <w:sz w:val="20"/>
          <w:szCs w:val="20"/>
        </w:rPr>
        <w:t>P. aeruginosa</w:t>
      </w:r>
      <w:r w:rsidRPr="00B01E80">
        <w:rPr>
          <w:color w:val="0F1115"/>
          <w:sz w:val="20"/>
          <w:szCs w:val="20"/>
        </w:rPr>
        <w:t> isolates and 84.8% resistance among </w:t>
      </w:r>
      <w:r w:rsidRPr="00B01E80">
        <w:rPr>
          <w:rStyle w:val="Emphasis"/>
          <w:color w:val="0F1115"/>
          <w:sz w:val="20"/>
          <w:szCs w:val="20"/>
        </w:rPr>
        <w:t>A. baumannii</w:t>
      </w:r>
      <w:r w:rsidRPr="00B01E80">
        <w:rPr>
          <w:color w:val="0F1115"/>
          <w:sz w:val="20"/>
          <w:szCs w:val="20"/>
        </w:rPr>
        <w:t xml:space="preserve"> is strongly correlated with the </w:t>
      </w:r>
      <w:r>
        <w:rPr>
          <w:color w:val="0F1115"/>
          <w:sz w:val="20"/>
          <w:szCs w:val="20"/>
        </w:rPr>
        <w:t>100 %</w:t>
      </w:r>
      <w:r w:rsidRPr="00B01E80">
        <w:rPr>
          <w:color w:val="0F1115"/>
          <w:sz w:val="20"/>
          <w:szCs w:val="20"/>
        </w:rPr>
        <w:t xml:space="preserve"> detection of </w:t>
      </w:r>
      <w:r w:rsidRPr="00B01E80">
        <w:rPr>
          <w:rStyle w:val="Emphasis"/>
          <w:color w:val="0F1115"/>
          <w:sz w:val="20"/>
          <w:szCs w:val="20"/>
        </w:rPr>
        <w:t>tetA</w:t>
      </w:r>
      <w:r w:rsidRPr="00B01E80">
        <w:rPr>
          <w:color w:val="0F1115"/>
          <w:sz w:val="20"/>
          <w:szCs w:val="20"/>
        </w:rPr>
        <w:t xml:space="preserve">. The TetA efflux pump belongs to the major facilitator superfamily (MFS) of transporters and actively exports tetracycline from the bacterial cytoplasm in exchange for a proton </w:t>
      </w:r>
      <w:r w:rsidRPr="00B01E80">
        <w:rPr>
          <w:color w:val="0F1115"/>
          <w:sz w:val="20"/>
          <w:szCs w:val="20"/>
        </w:rPr>
        <w:lastRenderedPageBreak/>
        <w:t xml:space="preserve">(Dönhöfer </w:t>
      </w:r>
      <w:r w:rsidRPr="00B77CFF">
        <w:rPr>
          <w:i/>
          <w:color w:val="0F1115"/>
          <w:sz w:val="20"/>
          <w:szCs w:val="20"/>
        </w:rPr>
        <w:t>et al</w:t>
      </w:r>
      <w:r w:rsidRPr="00B01E80">
        <w:rPr>
          <w:color w:val="0F1115"/>
          <w:sz w:val="20"/>
          <w:szCs w:val="20"/>
        </w:rPr>
        <w:t>., 2012). In </w:t>
      </w:r>
      <w:r w:rsidRPr="00B01E80">
        <w:rPr>
          <w:rStyle w:val="Emphasis"/>
          <w:color w:val="0F1115"/>
          <w:sz w:val="20"/>
          <w:szCs w:val="20"/>
        </w:rPr>
        <w:t>A. baumannii</w:t>
      </w:r>
      <w:r w:rsidRPr="00B01E80">
        <w:rPr>
          <w:color w:val="0F1115"/>
          <w:sz w:val="20"/>
          <w:szCs w:val="20"/>
        </w:rPr>
        <w:t xml:space="preserve">, TetA has been shown to function synergistically with resistance-nodulation-division (RND)-type efflux pumps such as AdeABC and AdeIJK, resulting in higher-level tetracycline resistance (Foong </w:t>
      </w:r>
      <w:r w:rsidRPr="00B77CFF">
        <w:rPr>
          <w:i/>
          <w:color w:val="0F1115"/>
          <w:sz w:val="20"/>
          <w:szCs w:val="20"/>
        </w:rPr>
        <w:t>et al</w:t>
      </w:r>
      <w:r w:rsidRPr="00B01E80">
        <w:rPr>
          <w:color w:val="0F1115"/>
          <w:sz w:val="20"/>
          <w:szCs w:val="20"/>
        </w:rPr>
        <w:t>., 2020). This synergistic interaction may explain the high MIC values typically observed for tetracycline-resistant </w:t>
      </w:r>
      <w:r w:rsidRPr="00B01E80">
        <w:rPr>
          <w:rStyle w:val="Emphasis"/>
          <w:color w:val="0F1115"/>
          <w:sz w:val="20"/>
          <w:szCs w:val="20"/>
        </w:rPr>
        <w:t>A. baumannii</w:t>
      </w:r>
      <w:r w:rsidRPr="00B01E80">
        <w:rPr>
          <w:color w:val="0F1115"/>
          <w:sz w:val="20"/>
          <w:szCs w:val="20"/>
        </w:rPr>
        <w:t> clinical isolates. The </w:t>
      </w:r>
      <w:r w:rsidRPr="00B01E80">
        <w:rPr>
          <w:rStyle w:val="Emphasis"/>
          <w:color w:val="0F1115"/>
          <w:sz w:val="20"/>
          <w:szCs w:val="20"/>
        </w:rPr>
        <w:t>tetA</w:t>
      </w:r>
      <w:r w:rsidRPr="00B01E80">
        <w:rPr>
          <w:color w:val="0F1115"/>
          <w:sz w:val="20"/>
          <w:szCs w:val="20"/>
        </w:rPr>
        <w:t xml:space="preserve"> gene is frequently located on transposons such as Tn1721, which can be integrated into conjugative plasmids, facilitating horizontal dissemination among Gram-negative bacteria (Alharbi </w:t>
      </w:r>
      <w:r w:rsidRPr="00B77CFF">
        <w:rPr>
          <w:i/>
          <w:color w:val="0F1115"/>
          <w:sz w:val="20"/>
          <w:szCs w:val="20"/>
        </w:rPr>
        <w:t>et al</w:t>
      </w:r>
      <w:r w:rsidRPr="00B01E80">
        <w:rPr>
          <w:color w:val="0F1115"/>
          <w:sz w:val="20"/>
          <w:szCs w:val="20"/>
        </w:rPr>
        <w:t xml:space="preserve">., 2025; Martínez-Trejo </w:t>
      </w:r>
      <w:r w:rsidRPr="00B77CFF">
        <w:rPr>
          <w:i/>
          <w:color w:val="0F1115"/>
          <w:sz w:val="20"/>
          <w:szCs w:val="20"/>
        </w:rPr>
        <w:t>et al</w:t>
      </w:r>
      <w:r w:rsidRPr="00B01E80">
        <w:rPr>
          <w:color w:val="0F1115"/>
          <w:sz w:val="20"/>
          <w:szCs w:val="20"/>
        </w:rPr>
        <w:t>., 2022).</w:t>
      </w:r>
    </w:p>
    <w:p w14:paraId="141FE79E"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relatively preserved susceptibility to imipenem (67.9% for </w:t>
      </w:r>
      <w:r w:rsidRPr="00B01E80">
        <w:rPr>
          <w:rStyle w:val="Emphasis"/>
          <w:color w:val="0F1115"/>
          <w:sz w:val="20"/>
          <w:szCs w:val="20"/>
        </w:rPr>
        <w:t>P. aeruginosa</w:t>
      </w:r>
      <w:r w:rsidRPr="00B01E80">
        <w:rPr>
          <w:color w:val="0F1115"/>
          <w:sz w:val="20"/>
          <w:szCs w:val="20"/>
        </w:rPr>
        <w:t> and 90.9% for </w:t>
      </w:r>
      <w:r w:rsidRPr="00B01E80">
        <w:rPr>
          <w:rStyle w:val="Emphasis"/>
          <w:color w:val="0F1115"/>
          <w:sz w:val="20"/>
          <w:szCs w:val="20"/>
        </w:rPr>
        <w:t>A. baumannii</w:t>
      </w:r>
      <w:r w:rsidRPr="00B01E80">
        <w:rPr>
          <w:color w:val="0F1115"/>
          <w:sz w:val="20"/>
          <w:szCs w:val="20"/>
        </w:rPr>
        <w:t>) and gentamicin (71.4% and 78.8%, respectively) identifies these agents as potential therapeutic options for severe ESBL-producing uropathogen infections in our setting. However, several caveats must be considered. First, the 32.1% imipenem resistance rate among </w:t>
      </w:r>
      <w:r w:rsidRPr="00B01E80">
        <w:rPr>
          <w:rStyle w:val="Emphasis"/>
          <w:color w:val="0F1115"/>
          <w:sz w:val="20"/>
          <w:szCs w:val="20"/>
        </w:rPr>
        <w:t>P. aeruginosa</w:t>
      </w:r>
      <w:r w:rsidRPr="00B01E80">
        <w:rPr>
          <w:color w:val="0F1115"/>
          <w:sz w:val="20"/>
          <w:szCs w:val="20"/>
        </w:rPr>
        <w:t xml:space="preserve"> is concerning and may reflect the emergence of carbapenemase-producing strains or the accumulation of non-enzymatic resistance mechanisms such as OprD porin loss combined with AmpC hyperproduction (Ogba </w:t>
      </w:r>
      <w:r w:rsidRPr="00B77CFF">
        <w:rPr>
          <w:i/>
          <w:color w:val="0F1115"/>
          <w:sz w:val="20"/>
          <w:szCs w:val="20"/>
        </w:rPr>
        <w:t>et al</w:t>
      </w:r>
      <w:r w:rsidRPr="00B01E80">
        <w:rPr>
          <w:color w:val="0F1115"/>
          <w:sz w:val="20"/>
          <w:szCs w:val="20"/>
        </w:rPr>
        <w:t>., 2022). Second, the emergence of carbapenem resistance docume</w:t>
      </w:r>
      <w:r>
        <w:rPr>
          <w:color w:val="0F1115"/>
          <w:sz w:val="20"/>
          <w:szCs w:val="20"/>
        </w:rPr>
        <w:t xml:space="preserve">nted in recent Nigerian studies </w:t>
      </w:r>
      <w:r w:rsidRPr="00B01E80">
        <w:rPr>
          <w:color w:val="0F1115"/>
          <w:sz w:val="20"/>
          <w:szCs w:val="20"/>
        </w:rPr>
        <w:t>including 13.3% carbapenem resistance among </w:t>
      </w:r>
      <w:r w:rsidRPr="00B01E80">
        <w:rPr>
          <w:rStyle w:val="Emphasis"/>
          <w:color w:val="0F1115"/>
          <w:sz w:val="20"/>
          <w:szCs w:val="20"/>
        </w:rPr>
        <w:t>A. baumannii</w:t>
      </w:r>
      <w:r w:rsidRPr="00B01E80">
        <w:rPr>
          <w:color w:val="0F1115"/>
          <w:sz w:val="20"/>
          <w:szCs w:val="20"/>
        </w:rPr>
        <w:t> in Niger (</w:t>
      </w:r>
      <w:r w:rsidRPr="00044A09">
        <w:rPr>
          <w:color w:val="0F1115"/>
        </w:rPr>
        <w:t>Ounoussa</w:t>
      </w:r>
      <w:r>
        <w:rPr>
          <w:color w:val="0F1115"/>
          <w:sz w:val="20"/>
          <w:szCs w:val="20"/>
        </w:rPr>
        <w:t xml:space="preserve"> Tapha</w:t>
      </w:r>
      <w:r w:rsidRPr="00B01E80">
        <w:rPr>
          <w:color w:val="0F1115"/>
          <w:sz w:val="20"/>
          <w:szCs w:val="20"/>
        </w:rPr>
        <w:t xml:space="preserve"> </w:t>
      </w:r>
      <w:r w:rsidRPr="00B77CFF">
        <w:rPr>
          <w:i/>
          <w:color w:val="0F1115"/>
          <w:sz w:val="20"/>
          <w:szCs w:val="20"/>
        </w:rPr>
        <w:t>et al</w:t>
      </w:r>
      <w:r w:rsidRPr="00B01E80">
        <w:rPr>
          <w:color w:val="0F1115"/>
          <w:sz w:val="20"/>
          <w:szCs w:val="20"/>
        </w:rPr>
        <w:t>., 2025) and detection of carbapenemase genes (</w:t>
      </w:r>
      <w:r w:rsidRPr="00B01E80">
        <w:rPr>
          <w:rStyle w:val="Emphasis"/>
          <w:color w:val="0F1115"/>
          <w:sz w:val="20"/>
          <w:szCs w:val="20"/>
        </w:rPr>
        <w:t>bla</w:t>
      </w:r>
      <w:r w:rsidRPr="00B01E80">
        <w:rPr>
          <w:color w:val="0F1115"/>
          <w:sz w:val="20"/>
          <w:szCs w:val="20"/>
        </w:rPr>
        <w:t>VIM, </w:t>
      </w:r>
      <w:r w:rsidRPr="00B01E80">
        <w:rPr>
          <w:rStyle w:val="Emphasis"/>
          <w:color w:val="0F1115"/>
          <w:sz w:val="20"/>
          <w:szCs w:val="20"/>
        </w:rPr>
        <w:t>bla</w:t>
      </w:r>
      <w:r w:rsidRPr="00B01E80">
        <w:rPr>
          <w:color w:val="0F1115"/>
          <w:sz w:val="20"/>
          <w:szCs w:val="20"/>
        </w:rPr>
        <w:t>KPC, </w:t>
      </w:r>
      <w:r w:rsidRPr="00B01E80">
        <w:rPr>
          <w:rStyle w:val="Emphasis"/>
          <w:color w:val="0F1115"/>
          <w:sz w:val="20"/>
          <w:szCs w:val="20"/>
        </w:rPr>
        <w:t>bla</w:t>
      </w:r>
      <w:r w:rsidRPr="00B01E80">
        <w:rPr>
          <w:color w:val="0F1115"/>
          <w:sz w:val="20"/>
          <w:szCs w:val="20"/>
        </w:rPr>
        <w:t xml:space="preserve">NDM) in clinical and environmental surveillance (Ajayi </w:t>
      </w:r>
      <w:r w:rsidRPr="00B77CFF">
        <w:rPr>
          <w:i/>
          <w:color w:val="0F1115"/>
          <w:sz w:val="20"/>
          <w:szCs w:val="20"/>
        </w:rPr>
        <w:t>et al</w:t>
      </w:r>
      <w:r w:rsidRPr="00B01E80">
        <w:rPr>
          <w:color w:val="0F1115"/>
          <w:sz w:val="20"/>
          <w:szCs w:val="20"/>
        </w:rPr>
        <w:t>., 202</w:t>
      </w:r>
      <w:r>
        <w:rPr>
          <w:color w:val="0F1115"/>
          <w:sz w:val="20"/>
          <w:szCs w:val="20"/>
        </w:rPr>
        <w:t xml:space="preserve">5; Ajoseh </w:t>
      </w:r>
      <w:r w:rsidRPr="00B77CFF">
        <w:rPr>
          <w:i/>
          <w:color w:val="0F1115"/>
          <w:sz w:val="20"/>
          <w:szCs w:val="20"/>
        </w:rPr>
        <w:t>et al</w:t>
      </w:r>
      <w:r>
        <w:rPr>
          <w:color w:val="0F1115"/>
          <w:sz w:val="20"/>
          <w:szCs w:val="20"/>
        </w:rPr>
        <w:t xml:space="preserve">., 2025), </w:t>
      </w:r>
      <w:r w:rsidRPr="00B01E80">
        <w:rPr>
          <w:color w:val="0F1115"/>
          <w:sz w:val="20"/>
          <w:szCs w:val="20"/>
        </w:rPr>
        <w:t xml:space="preserve">underscores the precarious nature of relying on carbapenems without robust antimicrobial stewardship. Third, aminoglycoside resistance, while currently moderate, has the potential to escalate rapidly due to the dissemination of aminoglycoside-modifying enzyme genes and 16S rRNA methyltransferases on mobile genetic elements (Saeli </w:t>
      </w:r>
      <w:r w:rsidRPr="00B77CFF">
        <w:rPr>
          <w:i/>
          <w:color w:val="0F1115"/>
          <w:sz w:val="20"/>
          <w:szCs w:val="20"/>
        </w:rPr>
        <w:t>et al</w:t>
      </w:r>
      <w:r w:rsidRPr="00B01E80">
        <w:rPr>
          <w:color w:val="0F1115"/>
          <w:sz w:val="20"/>
          <w:szCs w:val="20"/>
        </w:rPr>
        <w:t>., 2024).</w:t>
      </w:r>
    </w:p>
    <w:p w14:paraId="27056580"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convergence of </w:t>
      </w:r>
      <w:r w:rsidRPr="00B01E80">
        <w:rPr>
          <w:rStyle w:val="Emphasis"/>
          <w:color w:val="0F1115"/>
          <w:sz w:val="20"/>
          <w:szCs w:val="20"/>
        </w:rPr>
        <w:t>bla</w:t>
      </w:r>
      <w:r w:rsidRPr="00B01E80">
        <w:rPr>
          <w:color w:val="0F1115"/>
          <w:sz w:val="20"/>
          <w:szCs w:val="20"/>
        </w:rPr>
        <w:t>CTX-M, </w:t>
      </w:r>
      <w:r w:rsidRPr="00B01E80">
        <w:rPr>
          <w:rStyle w:val="Emphasis"/>
          <w:color w:val="0F1115"/>
          <w:sz w:val="20"/>
          <w:szCs w:val="20"/>
        </w:rPr>
        <w:t>tetA</w:t>
      </w:r>
      <w:r w:rsidRPr="00B01E80">
        <w:rPr>
          <w:color w:val="0F1115"/>
          <w:sz w:val="20"/>
          <w:szCs w:val="20"/>
        </w:rPr>
        <w:t>, and </w:t>
      </w:r>
      <w:r w:rsidRPr="00B01E80">
        <w:rPr>
          <w:rStyle w:val="Emphasis"/>
          <w:color w:val="0F1115"/>
          <w:sz w:val="20"/>
          <w:szCs w:val="20"/>
        </w:rPr>
        <w:t>qepA</w:t>
      </w:r>
      <w:r w:rsidRPr="00B01E80">
        <w:rPr>
          <w:color w:val="0F1115"/>
          <w:sz w:val="20"/>
          <w:szCs w:val="20"/>
        </w:rPr>
        <w:t> documented in this study reflects broader regional and global trends in antimicrobial resistance evolution. In Iran, studies have documented the co-occurrence of </w:t>
      </w:r>
      <w:r w:rsidRPr="00B01E80">
        <w:rPr>
          <w:rStyle w:val="Emphasis"/>
          <w:color w:val="0F1115"/>
          <w:sz w:val="20"/>
          <w:szCs w:val="20"/>
        </w:rPr>
        <w:t>bla</w:t>
      </w:r>
      <w:r w:rsidRPr="00B01E80">
        <w:rPr>
          <w:color w:val="0F1115"/>
          <w:sz w:val="20"/>
          <w:szCs w:val="20"/>
        </w:rPr>
        <w:t>CTX-M with </w:t>
      </w:r>
      <w:r w:rsidRPr="00B01E80">
        <w:rPr>
          <w:rStyle w:val="Emphasis"/>
          <w:color w:val="0F1115"/>
          <w:sz w:val="20"/>
          <w:szCs w:val="20"/>
        </w:rPr>
        <w:t>tetA</w:t>
      </w:r>
      <w:r w:rsidRPr="00B01E80">
        <w:rPr>
          <w:color w:val="0F1115"/>
          <w:sz w:val="20"/>
          <w:szCs w:val="20"/>
        </w:rPr>
        <w:t> in </w:t>
      </w:r>
      <w:r w:rsidRPr="00B01E80">
        <w:rPr>
          <w:rStyle w:val="Emphasis"/>
          <w:color w:val="0F1115"/>
          <w:sz w:val="20"/>
          <w:szCs w:val="20"/>
        </w:rPr>
        <w:t>A. baumannii</w:t>
      </w:r>
      <w:r w:rsidRPr="00B01E80">
        <w:rPr>
          <w:color w:val="0F1115"/>
          <w:sz w:val="20"/>
          <w:szCs w:val="20"/>
        </w:rPr>
        <w:t> clinical isolates, with </w:t>
      </w:r>
      <w:r w:rsidRPr="00B01E80">
        <w:rPr>
          <w:rStyle w:val="Emphasis"/>
          <w:color w:val="0F1115"/>
          <w:sz w:val="20"/>
          <w:szCs w:val="20"/>
        </w:rPr>
        <w:t>tetA</w:t>
      </w:r>
      <w:r w:rsidRPr="00B01E80">
        <w:rPr>
          <w:color w:val="0F1115"/>
          <w:sz w:val="20"/>
          <w:szCs w:val="20"/>
        </w:rPr>
        <w:t xml:space="preserve"> detection rates of 39.81% (Jafari Sales </w:t>
      </w:r>
      <w:r w:rsidRPr="00B77CFF">
        <w:rPr>
          <w:i/>
          <w:color w:val="0F1115"/>
          <w:sz w:val="20"/>
          <w:szCs w:val="20"/>
        </w:rPr>
        <w:t>et al</w:t>
      </w:r>
      <w:r w:rsidRPr="00B01E80">
        <w:rPr>
          <w:color w:val="0F1115"/>
          <w:sz w:val="20"/>
          <w:szCs w:val="20"/>
        </w:rPr>
        <w:t>., 2021). In Egypt, Abdelrahim and colleagues (2024) reported that </w:t>
      </w:r>
      <w:r w:rsidRPr="00B01E80">
        <w:rPr>
          <w:rStyle w:val="Emphasis"/>
          <w:color w:val="0F1115"/>
          <w:sz w:val="20"/>
          <w:szCs w:val="20"/>
        </w:rPr>
        <w:t>bla</w:t>
      </w:r>
      <w:r w:rsidRPr="00B01E80">
        <w:rPr>
          <w:color w:val="0F1115"/>
          <w:sz w:val="20"/>
          <w:szCs w:val="20"/>
        </w:rPr>
        <w:t>CTX-M was the most frequent ESBL gene (76.9%) among </w:t>
      </w:r>
      <w:r w:rsidRPr="00B01E80">
        <w:rPr>
          <w:rStyle w:val="Emphasis"/>
          <w:color w:val="0F1115"/>
          <w:sz w:val="20"/>
          <w:szCs w:val="20"/>
        </w:rPr>
        <w:t>P. aeruginosa</w:t>
      </w:r>
      <w:r w:rsidRPr="00B01E80">
        <w:rPr>
          <w:color w:val="0F1115"/>
          <w:sz w:val="20"/>
          <w:szCs w:val="20"/>
        </w:rPr>
        <w:t> isolates, with </w:t>
      </w:r>
      <w:r w:rsidRPr="00B01E80">
        <w:rPr>
          <w:rStyle w:val="Emphasis"/>
          <w:color w:val="0F1115"/>
          <w:sz w:val="20"/>
          <w:szCs w:val="20"/>
        </w:rPr>
        <w:t>qepA</w:t>
      </w:r>
      <w:r w:rsidRPr="00B01E80">
        <w:rPr>
          <w:color w:val="0F1115"/>
          <w:sz w:val="20"/>
          <w:szCs w:val="20"/>
        </w:rPr>
        <w:t xml:space="preserve"> detected in a subset of fluoroquinolone-resistant strains. The convergence of these resistance determinants on mobile genetic elements creates "resistance gene cassettes" that can be transferred en bloc between bacterial species, accelerating the dissemination of multidrug resistance (Godeux </w:t>
      </w:r>
      <w:r w:rsidRPr="00B77CFF">
        <w:rPr>
          <w:i/>
          <w:color w:val="0F1115"/>
          <w:sz w:val="20"/>
          <w:szCs w:val="20"/>
        </w:rPr>
        <w:t>et al</w:t>
      </w:r>
      <w:r w:rsidRPr="00B01E80">
        <w:rPr>
          <w:color w:val="0F1115"/>
          <w:sz w:val="20"/>
          <w:szCs w:val="20"/>
        </w:rPr>
        <w:t>., 2022). Whole-genome sequencing studies from Nigeria have revealed that </w:t>
      </w:r>
      <w:r w:rsidRPr="00B01E80">
        <w:rPr>
          <w:rStyle w:val="Emphasis"/>
          <w:color w:val="0F1115"/>
          <w:sz w:val="20"/>
          <w:szCs w:val="20"/>
        </w:rPr>
        <w:t>A. baumannii</w:t>
      </w:r>
      <w:r w:rsidRPr="00B01E80">
        <w:rPr>
          <w:color w:val="0F1115"/>
          <w:sz w:val="20"/>
          <w:szCs w:val="20"/>
        </w:rPr>
        <w:t xml:space="preserve"> isolates harbor diverse arrays of resistance genes encoding resistance to cephalosporins, carbapenems, aminoglycosides, tetracyclines, and sulfonamides, often co-located on genomic resistance islands (Ajoseh </w:t>
      </w:r>
      <w:r w:rsidRPr="00B77CFF">
        <w:rPr>
          <w:i/>
          <w:color w:val="0F1115"/>
          <w:sz w:val="20"/>
          <w:szCs w:val="20"/>
        </w:rPr>
        <w:t>et al</w:t>
      </w:r>
      <w:r w:rsidRPr="00B01E80">
        <w:rPr>
          <w:color w:val="0F1115"/>
          <w:sz w:val="20"/>
          <w:szCs w:val="20"/>
        </w:rPr>
        <w:t>., 2025).</w:t>
      </w:r>
    </w:p>
    <w:p w14:paraId="1513B5D2"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The age-stratified analysis revealing the highest triple-gene convergence in the 32-38 years age group (87.5%) warrants careful consideration. This demographic represents women of reproductive age who may experience recurrent or complicated UTIs, potentially related to sexual activity, contraceptive use, or underlying anatomical or functional abnormalities of the urinary tract. Repeated healthcare encounters and antibiotic exposures in this population may create selective pressure favoring the emergence and persistence of extensively drug-resistant uropathogens. Additionally, this age group may have greater exposure to healthcare settings through antenatal care, family planning services, or hospitalization for obstetric or gynecologic procedures, increasing the risk of healthcare-associated acquisition of MDR non-fermenters. Similar age-related patterns of MDR uropathogen prevalence have been documented in other Nigerian studies (Bashetti </w:t>
      </w:r>
      <w:r w:rsidRPr="00B77CFF">
        <w:rPr>
          <w:i/>
          <w:color w:val="0F1115"/>
          <w:sz w:val="20"/>
          <w:szCs w:val="20"/>
        </w:rPr>
        <w:t>et al</w:t>
      </w:r>
      <w:r w:rsidRPr="00B01E80">
        <w:rPr>
          <w:color w:val="0F1115"/>
          <w:sz w:val="20"/>
          <w:szCs w:val="20"/>
        </w:rPr>
        <w:t xml:space="preserve">., 2024; Mutiu </w:t>
      </w:r>
      <w:r w:rsidRPr="00B77CFF">
        <w:rPr>
          <w:i/>
          <w:color w:val="0F1115"/>
          <w:sz w:val="20"/>
          <w:szCs w:val="20"/>
        </w:rPr>
        <w:t>et al</w:t>
      </w:r>
      <w:r w:rsidRPr="00B01E80">
        <w:rPr>
          <w:color w:val="0F1115"/>
          <w:sz w:val="20"/>
          <w:szCs w:val="20"/>
        </w:rPr>
        <w:t>., 2024).</w:t>
      </w:r>
    </w:p>
    <w:p w14:paraId="3032F65B"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complete resistance to nalidixic acid observed in all ESBL-positive isolates serves as a reliable phenotypic marker for underlying fluoroquinolone resistance mechanisms. Nalidixic acid resistance is often the first step in the development of clinical fluoroquinolone resistance, typically resulting from single mutations in the QRDR of </w:t>
      </w:r>
      <w:r w:rsidRPr="00B01E80">
        <w:rPr>
          <w:rStyle w:val="Emphasis"/>
          <w:color w:val="0F1115"/>
          <w:sz w:val="20"/>
          <w:szCs w:val="20"/>
        </w:rPr>
        <w:t>gyrA</w:t>
      </w:r>
      <w:r w:rsidRPr="00B01E80">
        <w:rPr>
          <w:color w:val="0F1115"/>
          <w:sz w:val="20"/>
          <w:szCs w:val="20"/>
        </w:rPr>
        <w:t xml:space="preserve"> (Haque </w:t>
      </w:r>
      <w:r w:rsidRPr="00B77CFF">
        <w:rPr>
          <w:i/>
          <w:color w:val="0F1115"/>
          <w:sz w:val="20"/>
          <w:szCs w:val="20"/>
        </w:rPr>
        <w:t>et al</w:t>
      </w:r>
      <w:r w:rsidRPr="00B01E80">
        <w:rPr>
          <w:color w:val="0F1115"/>
          <w:sz w:val="20"/>
          <w:szCs w:val="20"/>
        </w:rPr>
        <w:t xml:space="preserve">., 2022). The </w:t>
      </w:r>
      <w:r>
        <w:rPr>
          <w:color w:val="0F1115"/>
          <w:sz w:val="20"/>
          <w:szCs w:val="20"/>
        </w:rPr>
        <w:t>100 %</w:t>
      </w:r>
      <w:r w:rsidRPr="00B01E80">
        <w:rPr>
          <w:color w:val="0F1115"/>
          <w:sz w:val="20"/>
          <w:szCs w:val="20"/>
        </w:rPr>
        <w:t xml:space="preserve"> nalidixic acid resistance in our isolates suggests widespread chromosomal mutations in addition to the plasmid-mediated </w:t>
      </w:r>
      <w:r w:rsidRPr="00B01E80">
        <w:rPr>
          <w:rStyle w:val="Emphasis"/>
          <w:color w:val="0F1115"/>
          <w:sz w:val="20"/>
          <w:szCs w:val="20"/>
        </w:rPr>
        <w:t>qepA</w:t>
      </w:r>
      <w:r w:rsidRPr="00B01E80">
        <w:rPr>
          <w:color w:val="0F1115"/>
          <w:sz w:val="20"/>
          <w:szCs w:val="20"/>
        </w:rPr>
        <w:t> efflux mechanism. This combination of chromosomal and plasmid-mediated resistance mechanisms creates high-level fluoroquinolone resistance that is unlikely to be overcome by dose optimization or the use of newer fluoroquinolones.</w:t>
      </w:r>
    </w:p>
    <w:p w14:paraId="2E21DC53"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convergence of </w:t>
      </w:r>
      <w:r w:rsidRPr="00B01E80">
        <w:rPr>
          <w:rStyle w:val="Emphasis"/>
          <w:color w:val="0F1115"/>
          <w:sz w:val="20"/>
          <w:szCs w:val="20"/>
        </w:rPr>
        <w:t>bla</w:t>
      </w:r>
      <w:r w:rsidRPr="00B01E80">
        <w:rPr>
          <w:color w:val="0F1115"/>
          <w:sz w:val="20"/>
          <w:szCs w:val="20"/>
        </w:rPr>
        <w:t>CTX-M, </w:t>
      </w:r>
      <w:r w:rsidRPr="00B01E80">
        <w:rPr>
          <w:rStyle w:val="Emphasis"/>
          <w:color w:val="0F1115"/>
          <w:sz w:val="20"/>
          <w:szCs w:val="20"/>
        </w:rPr>
        <w:t>tetA</w:t>
      </w:r>
      <w:r w:rsidRPr="00B01E80">
        <w:rPr>
          <w:color w:val="0F1115"/>
          <w:sz w:val="20"/>
          <w:szCs w:val="20"/>
        </w:rPr>
        <w:t>, and </w:t>
      </w:r>
      <w:r w:rsidRPr="00B01E80">
        <w:rPr>
          <w:rStyle w:val="Emphasis"/>
          <w:color w:val="0F1115"/>
          <w:sz w:val="20"/>
          <w:szCs w:val="20"/>
        </w:rPr>
        <w:t>qepA</w:t>
      </w:r>
      <w:r w:rsidRPr="00B01E80">
        <w:rPr>
          <w:color w:val="0F1115"/>
          <w:sz w:val="20"/>
          <w:szCs w:val="20"/>
        </w:rPr>
        <w:t> resistance determinants in uropathogenic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carries profound implications for UTI management in Nigerian tertiary hospitals. First, empirical antibiotic regimens that include third-generation cephalosporins, tetracyclines, or fluoroquinolones are likely to fail against a substantial proportion of infections caused by these pathogens. This effectively narrows the empirical therapeutic armamentarium to carbapenems and aminoglycosides, both of which require parenteral administration and carry significant toxicity and ecological risks.</w:t>
      </w:r>
    </w:p>
    <w:p w14:paraId="640E18C4"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Second, the co-carriage of these three resistance genes on presumptively mobile genetic elements portends continued dissemination of MDR phenotypes within and beyond healthcare settings. The physical linkage of </w:t>
      </w:r>
      <w:r w:rsidRPr="00B01E80">
        <w:rPr>
          <w:rStyle w:val="Emphasis"/>
          <w:color w:val="0F1115"/>
          <w:sz w:val="20"/>
          <w:szCs w:val="20"/>
        </w:rPr>
        <w:t>bla</w:t>
      </w:r>
      <w:r w:rsidRPr="00B01E80">
        <w:rPr>
          <w:color w:val="0F1115"/>
          <w:sz w:val="20"/>
          <w:szCs w:val="20"/>
        </w:rPr>
        <w:t>CTX-M, </w:t>
      </w:r>
      <w:r w:rsidRPr="00B01E80">
        <w:rPr>
          <w:rStyle w:val="Emphasis"/>
          <w:color w:val="0F1115"/>
          <w:sz w:val="20"/>
          <w:szCs w:val="20"/>
        </w:rPr>
        <w:t>tetA</w:t>
      </w:r>
      <w:r w:rsidRPr="00B01E80">
        <w:rPr>
          <w:color w:val="0F1115"/>
          <w:sz w:val="20"/>
          <w:szCs w:val="20"/>
        </w:rPr>
        <w:t>, and </w:t>
      </w:r>
      <w:r w:rsidRPr="00B01E80">
        <w:rPr>
          <w:rStyle w:val="Emphasis"/>
          <w:color w:val="0F1115"/>
          <w:sz w:val="20"/>
          <w:szCs w:val="20"/>
        </w:rPr>
        <w:t>qepA</w:t>
      </w:r>
      <w:r w:rsidRPr="00B01E80">
        <w:rPr>
          <w:color w:val="0F1115"/>
          <w:sz w:val="20"/>
          <w:szCs w:val="20"/>
        </w:rPr>
        <w:t> on common plasmids or transposons means that the use of any one of the affected antibiotic classes may co-select for maintenance of resistance to all three classes simultaneously. This phenomenon, known as co-selection, accelerates the spread and persistence of MDR clones even in the absence of direct selective pressure from all antibiotic classes.</w:t>
      </w:r>
    </w:p>
    <w:p w14:paraId="0BD91563"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lastRenderedPageBreak/>
        <w:t>Third, the detection of </w:t>
      </w:r>
      <w:r w:rsidRPr="00B01E80">
        <w:rPr>
          <w:rStyle w:val="Emphasis"/>
          <w:color w:val="0F1115"/>
          <w:sz w:val="20"/>
          <w:szCs w:val="20"/>
        </w:rPr>
        <w:t>qepA</w:t>
      </w:r>
      <w:r w:rsidRPr="00B01E80">
        <w:rPr>
          <w:color w:val="0F1115"/>
          <w:sz w:val="20"/>
          <w:szCs w:val="20"/>
        </w:rPr>
        <w:t> in a majority of isolates signals the emergence of plasmid-mediated fluoroquinolone resistance as a significant clinical problem in our setting. Fluoroquinolones are among the few orally bioavailable agents with activity against </w:t>
      </w:r>
      <w:r w:rsidRPr="00B01E80">
        <w:rPr>
          <w:rStyle w:val="Emphasis"/>
          <w:color w:val="0F1115"/>
          <w:sz w:val="20"/>
          <w:szCs w:val="20"/>
        </w:rPr>
        <w:t>P. aeruginosa</w:t>
      </w:r>
      <w:r w:rsidRPr="00B01E80">
        <w:rPr>
          <w:color w:val="0F1115"/>
          <w:sz w:val="20"/>
          <w:szCs w:val="20"/>
        </w:rPr>
        <w:t>, and the loss of this option severely restricts outpatient management of pseudomonal UTIs. Patients with fluoroquinolone-resistant </w:t>
      </w:r>
      <w:r w:rsidRPr="00B01E80">
        <w:rPr>
          <w:rStyle w:val="Emphasis"/>
          <w:color w:val="0F1115"/>
          <w:sz w:val="20"/>
          <w:szCs w:val="20"/>
        </w:rPr>
        <w:t>P. aeruginosa</w:t>
      </w:r>
      <w:r w:rsidRPr="00B01E80">
        <w:rPr>
          <w:color w:val="0F1115"/>
          <w:sz w:val="20"/>
          <w:szCs w:val="20"/>
        </w:rPr>
        <w:t> UTIs may require hospitalization for intravenous therapy with carbapenems or aminoglycosides, substantially increasing healthcare costs and the risk of hospital-acquired complications.</w:t>
      </w:r>
    </w:p>
    <w:p w14:paraId="221625F2"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Fourth, the high MAR indices and extensive resistance profiles documented in this study suggest that these uropathogens are approaching or have already attained extensively drug-resistant (XDR) status. XDR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xml:space="preserve"> are associated with increased mortality, prolonged hospital stays, and higher healthcare costs compared to infections caused by susceptible strains (Cerceo </w:t>
      </w:r>
      <w:r w:rsidRPr="00B77CFF">
        <w:rPr>
          <w:i/>
          <w:color w:val="0F1115"/>
          <w:sz w:val="20"/>
          <w:szCs w:val="20"/>
        </w:rPr>
        <w:t>et al</w:t>
      </w:r>
      <w:r w:rsidRPr="00B01E80">
        <w:rPr>
          <w:color w:val="0F1115"/>
          <w:sz w:val="20"/>
          <w:szCs w:val="20"/>
        </w:rPr>
        <w:t>., 2016). The emergence of XDR uropathogens in a tertiary hospital setting raises the specter of untrea</w:t>
      </w:r>
      <w:bookmarkStart w:id="0" w:name="_GoBack"/>
      <w:r w:rsidRPr="00B01E80">
        <w:rPr>
          <w:color w:val="0F1115"/>
          <w:sz w:val="20"/>
          <w:szCs w:val="20"/>
        </w:rPr>
        <w:t>table</w:t>
      </w:r>
      <w:bookmarkEnd w:id="0"/>
      <w:r w:rsidRPr="00B01E80">
        <w:rPr>
          <w:color w:val="0F1115"/>
          <w:sz w:val="20"/>
          <w:szCs w:val="20"/>
        </w:rPr>
        <w:t xml:space="preserve"> urinary tract infections, a scenario that would have been unthinkable just two decades ago.</w:t>
      </w:r>
    </w:p>
    <w:p w14:paraId="46BA8A7B"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The findings of this study are consistent with and extend upon recent antimicrobial resistance surveillance data from across Nigeria. In Calabar, Bassey and colleagues (2025) documented multidrug resistance in 68.7% of uropathogens over a three-year period, with particularly high resistance rates to ampicillin (78.4%), trimethoprim-sulfamethoxazole (71.2%), and ciprofloxacin (64.8%). Our study demonstrates even higher resistance rates among the subset of ESBL-positive non-fermenters, suggesting that these pathogens represent the most resistant fraction of the uropathogen population.</w:t>
      </w:r>
    </w:p>
    <w:p w14:paraId="7D5F7B27"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 xml:space="preserve">In Gombe, Muhammad and colleagues (2026) conducted wastewater surveillance and documented </w:t>
      </w:r>
      <w:r w:rsidRPr="00B01E80">
        <w:rPr>
          <w:rStyle w:val="Emphasis"/>
          <w:color w:val="0F1115"/>
          <w:sz w:val="20"/>
          <w:szCs w:val="20"/>
        </w:rPr>
        <w:t>bla</w:t>
      </w:r>
      <w:r w:rsidRPr="00B01E80">
        <w:rPr>
          <w:color w:val="0F1115"/>
          <w:sz w:val="20"/>
          <w:szCs w:val="20"/>
        </w:rPr>
        <w:t xml:space="preserve">CTX-M gene </w:t>
      </w:r>
      <w:r>
        <w:rPr>
          <w:color w:val="0F1115"/>
          <w:sz w:val="20"/>
          <w:szCs w:val="20"/>
        </w:rPr>
        <w:t xml:space="preserve">100 % </w:t>
      </w:r>
      <w:r w:rsidRPr="00B01E80">
        <w:rPr>
          <w:color w:val="0F1115"/>
          <w:sz w:val="20"/>
          <w:szCs w:val="20"/>
        </w:rPr>
        <w:t>presence among ESBL-producing </w:t>
      </w:r>
      <w:r w:rsidRPr="00B01E80">
        <w:rPr>
          <w:rStyle w:val="Emphasis"/>
          <w:color w:val="0F1115"/>
          <w:sz w:val="20"/>
          <w:szCs w:val="20"/>
        </w:rPr>
        <w:t>K. pneumoniae</w:t>
      </w:r>
      <w:r w:rsidRPr="00B01E80">
        <w:rPr>
          <w:color w:val="0F1115"/>
          <w:sz w:val="20"/>
          <w:szCs w:val="20"/>
        </w:rPr>
        <w:t> isolates, confirming that CTX-M enzymes have become endemic in Nigerian healthcare environments. Our study extends these findings to </w:t>
      </w:r>
      <w:r w:rsidRPr="00B01E80">
        <w:rPr>
          <w:rStyle w:val="Emphasis"/>
          <w:color w:val="0F1115"/>
          <w:sz w:val="20"/>
          <w:szCs w:val="20"/>
        </w:rPr>
        <w:t>P. aeruginosa</w:t>
      </w:r>
      <w:r w:rsidRPr="00B01E80">
        <w:rPr>
          <w:color w:val="0F1115"/>
          <w:sz w:val="20"/>
          <w:szCs w:val="20"/>
        </w:rPr>
        <w:t> and </w:t>
      </w:r>
      <w:r w:rsidRPr="00B01E80">
        <w:rPr>
          <w:rStyle w:val="Emphasis"/>
          <w:color w:val="0F1115"/>
          <w:sz w:val="20"/>
          <w:szCs w:val="20"/>
        </w:rPr>
        <w:t>A. baumannii</w:t>
      </w:r>
      <w:r w:rsidRPr="00B01E80">
        <w:rPr>
          <w:color w:val="0F1115"/>
          <w:sz w:val="20"/>
          <w:szCs w:val="20"/>
        </w:rPr>
        <w:t>, demonstrating that the CTX-M pandemic has transcended the Enterobacterales to encompass non-fermenting Gram-negative bacilli as well.</w:t>
      </w:r>
    </w:p>
    <w:p w14:paraId="53048BA4" w14:textId="77777777" w:rsidR="006C0CB7" w:rsidRPr="00B01E80" w:rsidRDefault="006C0CB7" w:rsidP="006C0CB7">
      <w:pPr>
        <w:pStyle w:val="ds-markdown-paragraph"/>
        <w:shd w:val="clear" w:color="auto" w:fill="FFFFFF"/>
        <w:spacing w:before="0" w:beforeAutospacing="0" w:after="0" w:afterAutospacing="0"/>
        <w:jc w:val="both"/>
        <w:rPr>
          <w:color w:val="0F1115"/>
          <w:sz w:val="20"/>
          <w:szCs w:val="20"/>
        </w:rPr>
      </w:pPr>
      <w:r w:rsidRPr="00B01E80">
        <w:rPr>
          <w:color w:val="0F1115"/>
          <w:sz w:val="20"/>
          <w:szCs w:val="20"/>
        </w:rPr>
        <w:t>In Lagos, Ajayi and colleagues (2025) assessed antimicrobial resistance genes across hospital, pharmaceutical, and agricultural settings, documenting </w:t>
      </w:r>
      <w:r w:rsidRPr="00B01E80">
        <w:rPr>
          <w:rStyle w:val="Emphasis"/>
          <w:color w:val="0F1115"/>
          <w:sz w:val="20"/>
          <w:szCs w:val="20"/>
        </w:rPr>
        <w:t>bla</w:t>
      </w:r>
      <w:r w:rsidRPr="00B01E80">
        <w:rPr>
          <w:color w:val="0F1115"/>
          <w:sz w:val="20"/>
          <w:szCs w:val="20"/>
        </w:rPr>
        <w:t>TEM in 100% of analyzed samples and </w:t>
      </w:r>
      <w:r w:rsidRPr="00B01E80">
        <w:rPr>
          <w:rStyle w:val="Emphasis"/>
          <w:color w:val="0F1115"/>
          <w:sz w:val="20"/>
          <w:szCs w:val="20"/>
        </w:rPr>
        <w:t>qnrS</w:t>
      </w:r>
      <w:r w:rsidRPr="00B01E80">
        <w:rPr>
          <w:color w:val="0F1115"/>
          <w:sz w:val="20"/>
          <w:szCs w:val="20"/>
        </w:rPr>
        <w:t> in 83% of samples. While our study focused specifically on </w:t>
      </w:r>
      <w:r w:rsidRPr="00B01E80">
        <w:rPr>
          <w:rStyle w:val="Emphasis"/>
          <w:color w:val="0F1115"/>
          <w:sz w:val="20"/>
          <w:szCs w:val="20"/>
        </w:rPr>
        <w:t>bla</w:t>
      </w:r>
      <w:r w:rsidRPr="00B01E80">
        <w:rPr>
          <w:color w:val="0F1115"/>
          <w:sz w:val="20"/>
          <w:szCs w:val="20"/>
        </w:rPr>
        <w:t>CTX-M and </w:t>
      </w:r>
      <w:r w:rsidRPr="00B01E80">
        <w:rPr>
          <w:rStyle w:val="Emphasis"/>
          <w:color w:val="0F1115"/>
          <w:sz w:val="20"/>
          <w:szCs w:val="20"/>
        </w:rPr>
        <w:t>qepA</w:t>
      </w:r>
      <w:r w:rsidRPr="00B01E80">
        <w:rPr>
          <w:color w:val="0F1115"/>
          <w:sz w:val="20"/>
          <w:szCs w:val="20"/>
        </w:rPr>
        <w:t>, the high detection rates we observed are consistent with the widespread environmental dissemination of resistance determinants documented in Lagos. The convergence of clinical and environmental reservoirs of resistance genes creates a "One Health" challenge that requires coordinated interventions across human health, animal health, and environmental sectors.</w:t>
      </w:r>
    </w:p>
    <w:p w14:paraId="706DF1CF" w14:textId="77777777" w:rsidR="006C0CB7" w:rsidRPr="00B01E80" w:rsidRDefault="006C0CB7" w:rsidP="006C0CB7">
      <w:pPr>
        <w:pStyle w:val="Heading2"/>
        <w:shd w:val="clear" w:color="auto" w:fill="FFFFFF"/>
        <w:spacing w:before="0" w:beforeAutospacing="0" w:after="0" w:afterAutospacing="0"/>
        <w:jc w:val="both"/>
        <w:rPr>
          <w:color w:val="0F1115"/>
          <w:sz w:val="20"/>
          <w:szCs w:val="20"/>
        </w:rPr>
      </w:pPr>
      <w:r w:rsidRPr="00B01E80">
        <w:rPr>
          <w:color w:val="0F1115"/>
          <w:sz w:val="20"/>
          <w:szCs w:val="20"/>
        </w:rPr>
        <w:t>5. Conclusion</w:t>
      </w:r>
    </w:p>
    <w:p w14:paraId="44E28D3B" w14:textId="77777777" w:rsidR="006C0CB7" w:rsidRPr="006A7D76" w:rsidRDefault="006C0CB7" w:rsidP="006C0CB7">
      <w:pPr>
        <w:spacing w:after="0" w:line="240" w:lineRule="auto"/>
        <w:jc w:val="both"/>
        <w:rPr>
          <w:rFonts w:ascii="Times New Roman" w:eastAsia="Times New Roman" w:hAnsi="Times New Roman" w:cs="Times New Roman"/>
          <w:color w:val="00B050"/>
          <w:sz w:val="20"/>
          <w:szCs w:val="20"/>
        </w:rPr>
      </w:pPr>
      <w:r w:rsidRPr="006A7D76">
        <w:rPr>
          <w:rFonts w:ascii="Times New Roman" w:eastAsia="Times New Roman" w:hAnsi="Times New Roman" w:cs="Times New Roman"/>
          <w:color w:val="00B050"/>
          <w:sz w:val="20"/>
          <w:szCs w:val="20"/>
        </w:rPr>
        <w:t>This study documents a critical convergence of </w:t>
      </w:r>
      <w:r w:rsidRPr="00E534EA">
        <w:rPr>
          <w:rFonts w:ascii="Times New Roman" w:eastAsia="Times New Roman" w:hAnsi="Times New Roman" w:cs="Times New Roman"/>
          <w:i/>
          <w:iCs/>
          <w:color w:val="00B050"/>
          <w:sz w:val="20"/>
          <w:szCs w:val="20"/>
        </w:rPr>
        <w:t>bla</w:t>
      </w:r>
      <w:r w:rsidRPr="006A7D76">
        <w:rPr>
          <w:rFonts w:ascii="Times New Roman" w:eastAsia="Times New Roman" w:hAnsi="Times New Roman" w:cs="Times New Roman"/>
          <w:color w:val="00B050"/>
          <w:sz w:val="20"/>
          <w:szCs w:val="20"/>
        </w:rPr>
        <w:t>CTX-M, </w:t>
      </w:r>
      <w:r w:rsidRPr="00E534EA">
        <w:rPr>
          <w:rFonts w:ascii="Times New Roman" w:eastAsia="Times New Roman" w:hAnsi="Times New Roman" w:cs="Times New Roman"/>
          <w:i/>
          <w:iCs/>
          <w:color w:val="00B050"/>
          <w:sz w:val="20"/>
          <w:szCs w:val="20"/>
        </w:rPr>
        <w:t>tetA</w:t>
      </w:r>
      <w:r w:rsidRPr="006A7D76">
        <w:rPr>
          <w:rFonts w:ascii="Times New Roman" w:eastAsia="Times New Roman" w:hAnsi="Times New Roman" w:cs="Times New Roman"/>
          <w:color w:val="00B050"/>
          <w:sz w:val="20"/>
          <w:szCs w:val="20"/>
        </w:rPr>
        <w:t>, and </w:t>
      </w:r>
      <w:r w:rsidRPr="00E534EA">
        <w:rPr>
          <w:rFonts w:ascii="Times New Roman" w:eastAsia="Times New Roman" w:hAnsi="Times New Roman" w:cs="Times New Roman"/>
          <w:i/>
          <w:iCs/>
          <w:color w:val="00B050"/>
          <w:sz w:val="20"/>
          <w:szCs w:val="20"/>
        </w:rPr>
        <w:t>qepA</w:t>
      </w:r>
      <w:r w:rsidRPr="006A7D76">
        <w:rPr>
          <w:rFonts w:ascii="Times New Roman" w:eastAsia="Times New Roman" w:hAnsi="Times New Roman" w:cs="Times New Roman"/>
          <w:color w:val="00B050"/>
          <w:sz w:val="20"/>
          <w:szCs w:val="20"/>
        </w:rPr>
        <w:t> resistance determinants in uropathogenic </w:t>
      </w:r>
      <w:r w:rsidRPr="00E534EA">
        <w:rPr>
          <w:rFonts w:ascii="Times New Roman" w:eastAsia="Times New Roman" w:hAnsi="Times New Roman" w:cs="Times New Roman"/>
          <w:i/>
          <w:iCs/>
          <w:color w:val="00B050"/>
          <w:sz w:val="20"/>
          <w:szCs w:val="20"/>
        </w:rPr>
        <w:t>P. aeruginosa</w:t>
      </w:r>
      <w:r w:rsidRPr="006A7D76">
        <w:rPr>
          <w:rFonts w:ascii="Times New Roman" w:eastAsia="Times New Roman" w:hAnsi="Times New Roman" w:cs="Times New Roman"/>
          <w:color w:val="00B050"/>
          <w:sz w:val="20"/>
          <w:szCs w:val="20"/>
        </w:rPr>
        <w:t> and </w:t>
      </w:r>
      <w:r w:rsidRPr="00E534EA">
        <w:rPr>
          <w:rFonts w:ascii="Times New Roman" w:eastAsia="Times New Roman" w:hAnsi="Times New Roman" w:cs="Times New Roman"/>
          <w:i/>
          <w:iCs/>
          <w:color w:val="00B050"/>
          <w:sz w:val="20"/>
          <w:szCs w:val="20"/>
        </w:rPr>
        <w:t>A. baumannii</w:t>
      </w:r>
      <w:r w:rsidRPr="006A7D76">
        <w:rPr>
          <w:rFonts w:ascii="Times New Roman" w:eastAsia="Times New Roman" w:hAnsi="Times New Roman" w:cs="Times New Roman"/>
          <w:color w:val="00B050"/>
          <w:sz w:val="20"/>
          <w:szCs w:val="20"/>
        </w:rPr>
        <w:t> from a Nigerian tertiary hospital. The near-ubiquitous presence of CTX-M and TetA, together with QepA in two-thirds of ESBL-positive isolates, simultaneously compromises extended-spectrum cephalosporins, tetr</w:t>
      </w:r>
      <w:r w:rsidRPr="00E534EA">
        <w:rPr>
          <w:rFonts w:ascii="Times New Roman" w:eastAsia="Times New Roman" w:hAnsi="Times New Roman" w:cs="Times New Roman"/>
          <w:color w:val="00B050"/>
          <w:sz w:val="20"/>
          <w:szCs w:val="20"/>
        </w:rPr>
        <w:t xml:space="preserve">acyclines, and fluoroquinolones </w:t>
      </w:r>
      <w:r w:rsidRPr="006A7D76">
        <w:rPr>
          <w:rFonts w:ascii="Times New Roman" w:eastAsia="Times New Roman" w:hAnsi="Times New Roman" w:cs="Times New Roman"/>
          <w:color w:val="00B050"/>
          <w:sz w:val="20"/>
          <w:szCs w:val="20"/>
        </w:rPr>
        <w:t>historically mainstay therapies for UTIs. Triple gene convergence was most pronounced in the 32–38 years age group, identifying a high-risk demographic for targeted intervention.</w:t>
      </w:r>
    </w:p>
    <w:p w14:paraId="4250F42A" w14:textId="1B715E05" w:rsidR="006C0CB7" w:rsidRDefault="006C0CB7" w:rsidP="006C0CB7">
      <w:pPr>
        <w:spacing w:after="0" w:line="240" w:lineRule="auto"/>
        <w:jc w:val="both"/>
        <w:rPr>
          <w:rFonts w:ascii="Times New Roman" w:eastAsia="Times New Roman" w:hAnsi="Times New Roman" w:cs="Times New Roman"/>
          <w:color w:val="00B050"/>
          <w:sz w:val="20"/>
          <w:szCs w:val="20"/>
        </w:rPr>
      </w:pPr>
      <w:r w:rsidRPr="006A7D76">
        <w:rPr>
          <w:rFonts w:ascii="Times New Roman" w:eastAsia="Times New Roman" w:hAnsi="Times New Roman" w:cs="Times New Roman"/>
          <w:color w:val="00B050"/>
          <w:sz w:val="20"/>
          <w:szCs w:val="20"/>
        </w:rPr>
        <w:t>Immediate priorities include strengthening antimicrobial stewardship to restrict these antibiotic classes for empirical UTI therapy, implementing routine molecular surveillance for resistance gene combinations, updating local treatment guidelines to prioritize carbapenems or aminoglycosides for suspected ESBL-producing non-fermenters, and enhancing infection prevention practices. Without coordinated action, continued convergence of resistance determinants threatens to render UTI management increasingly complex, costly, and ineffective in Nigerian tertiary healthcare settings.</w:t>
      </w:r>
    </w:p>
    <w:p w14:paraId="67309AA4" w14:textId="4EA96197" w:rsidR="002A059C" w:rsidRDefault="002A059C" w:rsidP="006C0CB7">
      <w:pPr>
        <w:spacing w:after="0" w:line="240" w:lineRule="auto"/>
        <w:jc w:val="both"/>
        <w:rPr>
          <w:rFonts w:ascii="Times New Roman" w:eastAsia="Times New Roman" w:hAnsi="Times New Roman" w:cs="Times New Roman"/>
          <w:color w:val="00B050"/>
          <w:sz w:val="20"/>
          <w:szCs w:val="20"/>
        </w:rPr>
      </w:pPr>
    </w:p>
    <w:p w14:paraId="15D5FC5A" w14:textId="77777777" w:rsidR="002A059C" w:rsidRPr="002A059C" w:rsidRDefault="002A059C" w:rsidP="002A059C">
      <w:pPr>
        <w:spacing w:after="0" w:line="240" w:lineRule="auto"/>
        <w:jc w:val="both"/>
        <w:rPr>
          <w:rFonts w:ascii="Times New Roman" w:eastAsia="Times New Roman" w:hAnsi="Times New Roman" w:cs="Times New Roman"/>
          <w:color w:val="00B050"/>
          <w:sz w:val="20"/>
          <w:szCs w:val="20"/>
        </w:rPr>
      </w:pPr>
      <w:r w:rsidRPr="002A059C">
        <w:rPr>
          <w:rFonts w:ascii="Times New Roman" w:eastAsia="Times New Roman" w:hAnsi="Times New Roman" w:cs="Times New Roman"/>
          <w:color w:val="00B050"/>
          <w:sz w:val="20"/>
          <w:szCs w:val="20"/>
        </w:rPr>
        <w:t xml:space="preserve">Consent </w:t>
      </w:r>
    </w:p>
    <w:p w14:paraId="5311B9CB" w14:textId="7AE8341A" w:rsidR="002A059C" w:rsidRDefault="002A059C" w:rsidP="002A059C">
      <w:pPr>
        <w:spacing w:after="0" w:line="240" w:lineRule="auto"/>
        <w:jc w:val="both"/>
        <w:rPr>
          <w:rFonts w:ascii="Times New Roman" w:eastAsia="Times New Roman" w:hAnsi="Times New Roman" w:cs="Times New Roman"/>
          <w:color w:val="00B050"/>
          <w:sz w:val="20"/>
          <w:szCs w:val="20"/>
        </w:rPr>
      </w:pPr>
      <w:r w:rsidRPr="002A059C">
        <w:rPr>
          <w:rFonts w:ascii="Times New Roman" w:eastAsia="Times New Roman" w:hAnsi="Times New Roman" w:cs="Times New Roman"/>
          <w:color w:val="00B050"/>
          <w:sz w:val="20"/>
          <w:szCs w:val="20"/>
        </w:rPr>
        <w:t>As per international standards or university standards, patient(s) written consent has been collected and preserved by the author(s).</w:t>
      </w:r>
    </w:p>
    <w:p w14:paraId="3923BE1C" w14:textId="2B410AF8" w:rsidR="002A059C" w:rsidRDefault="002A059C" w:rsidP="002A059C">
      <w:pPr>
        <w:spacing w:after="0" w:line="240" w:lineRule="auto"/>
        <w:jc w:val="both"/>
        <w:rPr>
          <w:rFonts w:ascii="Times New Roman" w:eastAsia="Times New Roman" w:hAnsi="Times New Roman" w:cs="Times New Roman"/>
          <w:color w:val="00B050"/>
          <w:sz w:val="20"/>
          <w:szCs w:val="20"/>
        </w:rPr>
      </w:pPr>
    </w:p>
    <w:p w14:paraId="120995A5" w14:textId="77777777" w:rsidR="002A059C" w:rsidRPr="002A059C" w:rsidRDefault="002A059C" w:rsidP="002A059C">
      <w:pPr>
        <w:spacing w:after="0" w:line="240" w:lineRule="auto"/>
        <w:jc w:val="both"/>
        <w:rPr>
          <w:rFonts w:ascii="Times New Roman" w:eastAsia="Times New Roman" w:hAnsi="Times New Roman" w:cs="Times New Roman"/>
          <w:color w:val="00B050"/>
          <w:sz w:val="20"/>
          <w:szCs w:val="20"/>
        </w:rPr>
      </w:pPr>
      <w:r w:rsidRPr="002A059C">
        <w:rPr>
          <w:rFonts w:ascii="Times New Roman" w:eastAsia="Times New Roman" w:hAnsi="Times New Roman" w:cs="Times New Roman"/>
          <w:color w:val="00B050"/>
          <w:sz w:val="20"/>
          <w:szCs w:val="20"/>
        </w:rPr>
        <w:t>Ethical Approval:</w:t>
      </w:r>
    </w:p>
    <w:p w14:paraId="14BE83A1" w14:textId="77777777" w:rsidR="002A059C" w:rsidRPr="002A059C" w:rsidRDefault="002A059C" w:rsidP="002A059C">
      <w:pPr>
        <w:spacing w:after="0" w:line="240" w:lineRule="auto"/>
        <w:jc w:val="both"/>
        <w:rPr>
          <w:rFonts w:ascii="Times New Roman" w:eastAsia="Times New Roman" w:hAnsi="Times New Roman" w:cs="Times New Roman"/>
          <w:color w:val="00B050"/>
          <w:sz w:val="20"/>
          <w:szCs w:val="20"/>
        </w:rPr>
      </w:pPr>
    </w:p>
    <w:p w14:paraId="794E9AEA" w14:textId="6BCC832A" w:rsidR="002A059C" w:rsidRPr="006A7D76" w:rsidRDefault="002A059C" w:rsidP="002A059C">
      <w:pPr>
        <w:spacing w:after="0" w:line="240" w:lineRule="auto"/>
        <w:jc w:val="both"/>
        <w:rPr>
          <w:rFonts w:ascii="Times New Roman" w:eastAsia="Times New Roman" w:hAnsi="Times New Roman" w:cs="Times New Roman"/>
          <w:color w:val="00B050"/>
          <w:sz w:val="20"/>
          <w:szCs w:val="20"/>
        </w:rPr>
      </w:pPr>
      <w:r w:rsidRPr="002A059C">
        <w:rPr>
          <w:rFonts w:ascii="Times New Roman" w:eastAsia="Times New Roman" w:hAnsi="Times New Roman" w:cs="Times New Roman"/>
          <w:color w:val="00B050"/>
          <w:sz w:val="20"/>
          <w:szCs w:val="20"/>
        </w:rPr>
        <w:t>As per international standards or university standards written ethical approval has been collected and preserved by the author(s).</w:t>
      </w:r>
    </w:p>
    <w:p w14:paraId="36B3C008" w14:textId="77777777" w:rsidR="006C0CB7" w:rsidRPr="00B01E80" w:rsidRDefault="006C0CB7" w:rsidP="006C0CB7">
      <w:pPr>
        <w:pStyle w:val="Heading2"/>
        <w:shd w:val="clear" w:color="auto" w:fill="FFFFFF"/>
        <w:spacing w:before="0" w:beforeAutospacing="0" w:after="0" w:afterAutospacing="0"/>
        <w:jc w:val="both"/>
        <w:rPr>
          <w:color w:val="0F1115"/>
          <w:sz w:val="20"/>
          <w:szCs w:val="20"/>
        </w:rPr>
      </w:pPr>
    </w:p>
    <w:p w14:paraId="28DAC567" w14:textId="77777777" w:rsidR="006C0CB7" w:rsidRPr="00B47ACD" w:rsidRDefault="006C0CB7" w:rsidP="006C0CB7">
      <w:pPr>
        <w:pStyle w:val="Heading2"/>
        <w:shd w:val="clear" w:color="auto" w:fill="FFFFFF"/>
        <w:spacing w:before="0" w:beforeAutospacing="0" w:after="0" w:afterAutospacing="0"/>
        <w:jc w:val="both"/>
        <w:rPr>
          <w:b w:val="0"/>
          <w:sz w:val="22"/>
          <w:szCs w:val="22"/>
          <w:shd w:val="clear" w:color="auto" w:fill="FFFFFF"/>
        </w:rPr>
      </w:pPr>
      <w:r w:rsidRPr="00E552C2">
        <w:rPr>
          <w:sz w:val="22"/>
          <w:szCs w:val="22"/>
          <w:shd w:val="clear" w:color="auto" w:fill="FFFFFF"/>
        </w:rPr>
        <w:t>Disclaimer (Artificial Intelligence)</w:t>
      </w:r>
      <w:r>
        <w:rPr>
          <w:b w:val="0"/>
          <w:sz w:val="22"/>
          <w:szCs w:val="22"/>
          <w:shd w:val="clear" w:color="auto" w:fill="FFFFFF"/>
        </w:rPr>
        <w:t xml:space="preserve">: </w:t>
      </w:r>
      <w:r w:rsidRPr="00B47ACD">
        <w:rPr>
          <w:b w:val="0"/>
          <w:sz w:val="22"/>
          <w:szCs w:val="22"/>
          <w:shd w:val="clear" w:color="auto" w:fill="FFFFFF"/>
        </w:rPr>
        <w:t xml:space="preserve">Author(s)  hereby  declare  that  NO  generative  AI  technologies  such  as  Large  Language  Models  (ChatGPT, COPILOT, etc) and text-to-image generators have been used during writing or editing of this manuscript. </w:t>
      </w:r>
    </w:p>
    <w:p w14:paraId="6BD3D9BB" w14:textId="77777777" w:rsidR="006C0CB7" w:rsidRPr="00B47ACD" w:rsidRDefault="006C0CB7" w:rsidP="006C0CB7">
      <w:pPr>
        <w:pStyle w:val="Heading2"/>
        <w:shd w:val="clear" w:color="auto" w:fill="FFFFFF"/>
        <w:spacing w:before="0" w:beforeAutospacing="0" w:after="0" w:afterAutospacing="0"/>
        <w:jc w:val="both"/>
        <w:rPr>
          <w:sz w:val="22"/>
          <w:szCs w:val="22"/>
          <w:shd w:val="clear" w:color="auto" w:fill="FFFFFF"/>
        </w:rPr>
      </w:pPr>
    </w:p>
    <w:p w14:paraId="3954C88E" w14:textId="77777777" w:rsidR="006C0CB7" w:rsidRPr="004D5B4F" w:rsidRDefault="006C0CB7" w:rsidP="006C0CB7">
      <w:pPr>
        <w:pStyle w:val="Heading2"/>
        <w:shd w:val="clear" w:color="auto" w:fill="FFFFFF"/>
        <w:spacing w:after="0"/>
        <w:jc w:val="both"/>
        <w:rPr>
          <w:sz w:val="22"/>
          <w:szCs w:val="22"/>
          <w:shd w:val="clear" w:color="auto" w:fill="FFFFFF"/>
        </w:rPr>
      </w:pPr>
      <w:r w:rsidRPr="004D5B4F">
        <w:rPr>
          <w:sz w:val="22"/>
          <w:szCs w:val="22"/>
          <w:shd w:val="clear" w:color="auto" w:fill="FFFFFF"/>
        </w:rPr>
        <w:t>COMPETING INTERESTS DISCLAIMER:</w:t>
      </w:r>
    </w:p>
    <w:p w14:paraId="049EBF8A" w14:textId="77777777" w:rsidR="006C0CB7" w:rsidRDefault="006C0CB7" w:rsidP="006C0CB7">
      <w:pPr>
        <w:pStyle w:val="Heading2"/>
        <w:shd w:val="clear" w:color="auto" w:fill="FFFFFF"/>
        <w:spacing w:before="0" w:beforeAutospacing="0" w:after="0" w:afterAutospacing="0"/>
        <w:jc w:val="both"/>
        <w:rPr>
          <w:sz w:val="22"/>
          <w:szCs w:val="22"/>
          <w:shd w:val="clear" w:color="auto" w:fill="FFFFFF"/>
        </w:rPr>
      </w:pPr>
      <w:r w:rsidRPr="004D5B4F">
        <w:rPr>
          <w:sz w:val="22"/>
          <w:szCs w:val="22"/>
          <w:shd w:val="clear" w:color="auto" w:fill="FFFFFF"/>
        </w:rPr>
        <w:t>Authors have declared that they have no known competing financial interests OR non-financial interests OR personal relationships that could have appeared to influence the work reported in this paper.</w:t>
      </w:r>
    </w:p>
    <w:p w14:paraId="5926BD57" w14:textId="77777777" w:rsidR="006C0CB7" w:rsidRDefault="006C0CB7" w:rsidP="006C0CB7">
      <w:pPr>
        <w:pStyle w:val="Heading2"/>
        <w:shd w:val="clear" w:color="auto" w:fill="FFFFFF"/>
        <w:spacing w:before="0" w:beforeAutospacing="0" w:after="0" w:afterAutospacing="0"/>
        <w:jc w:val="both"/>
        <w:rPr>
          <w:color w:val="0F1115"/>
          <w:sz w:val="20"/>
          <w:szCs w:val="20"/>
        </w:rPr>
      </w:pPr>
    </w:p>
    <w:p w14:paraId="3E3A92E4" w14:textId="77777777" w:rsidR="006C0CB7" w:rsidRPr="00B01E80" w:rsidRDefault="006C0CB7" w:rsidP="006C0CB7">
      <w:pPr>
        <w:pStyle w:val="Heading2"/>
        <w:shd w:val="clear" w:color="auto" w:fill="FFFFFF"/>
        <w:spacing w:before="0" w:beforeAutospacing="0" w:after="0" w:afterAutospacing="0"/>
        <w:jc w:val="both"/>
        <w:rPr>
          <w:color w:val="0F1115"/>
          <w:sz w:val="20"/>
          <w:szCs w:val="20"/>
        </w:rPr>
      </w:pPr>
      <w:r w:rsidRPr="00B01E80">
        <w:rPr>
          <w:color w:val="0F1115"/>
          <w:sz w:val="20"/>
          <w:szCs w:val="20"/>
        </w:rPr>
        <w:t>References</w:t>
      </w:r>
    </w:p>
    <w:p w14:paraId="6821F7F6"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Abdelrahim, S. S., Hassuna, N. A., Waly, N. G. F. M., Kotb, D. N., Abdelhamid, H., &amp; Zaki, S. (2024). Coexistence of plasmid-mediated quinolone resistance (PMQR) and extended-spectrum beta-lactamase (ESBL) genes among clinical </w:t>
      </w:r>
      <w:r w:rsidRPr="006E5A24">
        <w:rPr>
          <w:rStyle w:val="Emphasis"/>
          <w:color w:val="0F1115"/>
          <w:sz w:val="22"/>
          <w:szCs w:val="22"/>
        </w:rPr>
        <w:t>Pseudomonas aeruginosa</w:t>
      </w:r>
      <w:r w:rsidRPr="006E5A24">
        <w:rPr>
          <w:color w:val="0F1115"/>
          <w:sz w:val="22"/>
          <w:szCs w:val="22"/>
        </w:rPr>
        <w:t> isolates in Egypt. </w:t>
      </w:r>
      <w:r w:rsidRPr="006E5A24">
        <w:rPr>
          <w:rStyle w:val="Emphasis"/>
          <w:color w:val="0F1115"/>
          <w:sz w:val="22"/>
          <w:szCs w:val="22"/>
        </w:rPr>
        <w:t>BMC Microbiology</w:t>
      </w:r>
      <w:r w:rsidRPr="006E5A24">
        <w:rPr>
          <w:color w:val="0F1115"/>
          <w:sz w:val="22"/>
          <w:szCs w:val="22"/>
        </w:rPr>
        <w:t>, 24(1), 175. </w:t>
      </w:r>
      <w:hyperlink r:id="rId8" w:tgtFrame="_blank" w:history="1">
        <w:r w:rsidRPr="006E5A24">
          <w:rPr>
            <w:rStyle w:val="Hyperlink"/>
            <w:sz w:val="22"/>
            <w:szCs w:val="22"/>
          </w:rPr>
          <w:t>https://doi.org/10.1186/s12866-024-03323-3</w:t>
        </w:r>
      </w:hyperlink>
    </w:p>
    <w:p w14:paraId="7A328EFA"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Abdi, S. N., Ghotaslou, R., Ganbarov, K., Mobed, A., Tanomand, A., Yousefi, M., Asgharzadeh, M., &amp; Samadi Kafil, H. (2020). </w:t>
      </w:r>
      <w:r w:rsidRPr="006E5A24">
        <w:rPr>
          <w:rStyle w:val="Emphasis"/>
          <w:color w:val="0F1115"/>
          <w:sz w:val="22"/>
          <w:szCs w:val="22"/>
        </w:rPr>
        <w:t>Acinetobacter baumannii</w:t>
      </w:r>
      <w:r w:rsidRPr="006E5A24">
        <w:rPr>
          <w:color w:val="0F1115"/>
          <w:sz w:val="22"/>
          <w:szCs w:val="22"/>
        </w:rPr>
        <w:t> efflux pumps and antibiotic resistance. </w:t>
      </w:r>
      <w:r w:rsidRPr="006E5A24">
        <w:rPr>
          <w:rStyle w:val="Emphasis"/>
          <w:color w:val="0F1115"/>
          <w:sz w:val="22"/>
          <w:szCs w:val="22"/>
        </w:rPr>
        <w:t>Infection and Drug Resistance</w:t>
      </w:r>
      <w:r w:rsidRPr="006E5A24">
        <w:rPr>
          <w:color w:val="0F1115"/>
          <w:sz w:val="22"/>
          <w:szCs w:val="22"/>
        </w:rPr>
        <w:t>, 13, 423-434. </w:t>
      </w:r>
      <w:hyperlink r:id="rId9" w:tgtFrame="_blank" w:history="1">
        <w:r w:rsidRPr="006E5A24">
          <w:rPr>
            <w:rStyle w:val="Hyperlink"/>
            <w:sz w:val="22"/>
            <w:szCs w:val="22"/>
          </w:rPr>
          <w:t>https://doi.org/10.2147/IDR.S228089</w:t>
        </w:r>
      </w:hyperlink>
    </w:p>
    <w:p w14:paraId="00A3FB45"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Agwu, F. O., Iroha, C. S., Edemekong, C. I., Peter, I. U., &amp; Iroha, I. R. (2026). Prevalence of QnrA gene in phenotypic ESBL-producing </w:t>
      </w:r>
      <w:r w:rsidRPr="006E5A24">
        <w:rPr>
          <w:rStyle w:val="Emphasis"/>
          <w:color w:val="0F1115"/>
          <w:sz w:val="22"/>
          <w:szCs w:val="22"/>
        </w:rPr>
        <w:t>Acinetobacter baumannii</w:t>
      </w:r>
      <w:r w:rsidRPr="006E5A24">
        <w:rPr>
          <w:color w:val="0F1115"/>
          <w:sz w:val="22"/>
          <w:szCs w:val="22"/>
        </w:rPr>
        <w:t> from high vaginal swabs in selected wards of a Nigerian tertiary hospital. </w:t>
      </w:r>
      <w:r w:rsidRPr="006E5A24">
        <w:rPr>
          <w:rStyle w:val="Emphasis"/>
          <w:color w:val="0F1115"/>
          <w:sz w:val="22"/>
          <w:szCs w:val="22"/>
        </w:rPr>
        <w:t>World Journal of Biology Pharmacy and Health Sciences</w:t>
      </w:r>
      <w:r w:rsidRPr="006E5A24">
        <w:rPr>
          <w:color w:val="0F1115"/>
          <w:sz w:val="22"/>
          <w:szCs w:val="22"/>
        </w:rPr>
        <w:t>, 26(1), 51-60. </w:t>
      </w:r>
      <w:hyperlink r:id="rId10" w:tgtFrame="_blank" w:history="1">
        <w:r w:rsidRPr="006E5A24">
          <w:rPr>
            <w:rStyle w:val="Hyperlink"/>
            <w:sz w:val="22"/>
            <w:szCs w:val="22"/>
          </w:rPr>
          <w:t>https://doi.org/10.30574/wjbphs.2026.26.1.0175</w:t>
        </w:r>
      </w:hyperlink>
    </w:p>
    <w:p w14:paraId="2DEB2FA7"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Agwu, F. O., Iroha, C. S., Onoura, A. L., Peter, I. U., &amp; Iroha, I. R. (2026). Gender-based differences in antibiotic resistance profiles of multidrug-resistant </w:t>
      </w:r>
      <w:r w:rsidRPr="006E5A24">
        <w:rPr>
          <w:rStyle w:val="Emphasis"/>
          <w:color w:val="0F1115"/>
          <w:sz w:val="22"/>
          <w:szCs w:val="22"/>
        </w:rPr>
        <w:t>Pseudomonas aeruginosa</w:t>
      </w:r>
      <w:r w:rsidRPr="006E5A24">
        <w:rPr>
          <w:color w:val="0F1115"/>
          <w:sz w:val="22"/>
          <w:szCs w:val="22"/>
        </w:rPr>
        <w:t> isolates from a Nigerian tertiary hospital: A comparative statistical analysis. </w:t>
      </w:r>
      <w:r w:rsidRPr="006E5A24">
        <w:rPr>
          <w:rStyle w:val="Emphasis"/>
          <w:color w:val="0F1115"/>
          <w:sz w:val="22"/>
          <w:szCs w:val="22"/>
        </w:rPr>
        <w:t>Journal of International Research in Medical and Pharmaceutical Sciences</w:t>
      </w:r>
      <w:r w:rsidRPr="006E5A24">
        <w:rPr>
          <w:color w:val="0F1115"/>
          <w:sz w:val="22"/>
          <w:szCs w:val="22"/>
        </w:rPr>
        <w:t>, 21(2), 171-182.</w:t>
      </w:r>
    </w:p>
    <w:p w14:paraId="328FEC3E"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Agwu, F. O., Iroha, C. S., Onoura, A. L., Peter, I. U., &amp; Iroha, I. R. (2026). Gender-based differences in antibiotic resistance profiles of multidrug-resistant </w:t>
      </w:r>
      <w:r w:rsidRPr="006E5A24">
        <w:rPr>
          <w:rStyle w:val="Emphasis"/>
          <w:color w:val="0F1115"/>
          <w:sz w:val="22"/>
          <w:szCs w:val="22"/>
        </w:rPr>
        <w:t>Pseudomonas aeruginosa</w:t>
      </w:r>
      <w:r w:rsidRPr="006E5A24">
        <w:rPr>
          <w:color w:val="0F1115"/>
          <w:sz w:val="22"/>
          <w:szCs w:val="22"/>
        </w:rPr>
        <w:t> isolates from a Nigerian tertiary hospital: A comparative statistical analysis. </w:t>
      </w:r>
      <w:r w:rsidRPr="006E5A24">
        <w:rPr>
          <w:rStyle w:val="Emphasis"/>
          <w:color w:val="0F1115"/>
          <w:sz w:val="22"/>
          <w:szCs w:val="22"/>
        </w:rPr>
        <w:t>Journal of International Research in Medical and Pharmaceutical Sciences</w:t>
      </w:r>
      <w:r w:rsidRPr="006E5A24">
        <w:rPr>
          <w:color w:val="0F1115"/>
          <w:sz w:val="22"/>
          <w:szCs w:val="22"/>
        </w:rPr>
        <w:t>, 21(2), 171-182. </w:t>
      </w:r>
      <w:r w:rsidRPr="006E5A24">
        <w:rPr>
          <w:rStyle w:val="Emphasis"/>
          <w:color w:val="0F1115"/>
          <w:sz w:val="22"/>
          <w:szCs w:val="22"/>
        </w:rPr>
        <w:t>(Duplicate of #76)</w:t>
      </w:r>
    </w:p>
    <w:p w14:paraId="5666CBF2"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Agyepong, N., Govinden, U., Owusu-Ofori, A., &amp; Essack, S. Y. (2018). Multidrug-resistant gram-negative bacterial infections in a teaching hospital in Ghana. </w:t>
      </w:r>
      <w:r w:rsidRPr="006E5A24">
        <w:rPr>
          <w:rStyle w:val="Emphasis"/>
          <w:color w:val="0F1115"/>
          <w:sz w:val="22"/>
          <w:szCs w:val="22"/>
        </w:rPr>
        <w:t>Antimicrobial Resistance and Infection Control</w:t>
      </w:r>
      <w:r w:rsidRPr="006E5A24">
        <w:rPr>
          <w:color w:val="0F1115"/>
          <w:sz w:val="22"/>
          <w:szCs w:val="22"/>
        </w:rPr>
        <w:t>, 7, 37. </w:t>
      </w:r>
      <w:hyperlink r:id="rId11" w:tgtFrame="_blank" w:history="1">
        <w:r w:rsidRPr="006E5A24">
          <w:rPr>
            <w:rStyle w:val="Hyperlink"/>
            <w:sz w:val="22"/>
            <w:szCs w:val="22"/>
          </w:rPr>
          <w:t>https://doi.org/10.1186/s13756-018-0324-2</w:t>
        </w:r>
      </w:hyperlink>
    </w:p>
    <w:p w14:paraId="40AAD4B3"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Ajayi, A., Chukwu, E., Essiet, U. U., Yisau, J., Osuolale, K., Abubakar, R., </w:t>
      </w:r>
      <w:r w:rsidRPr="00B77CFF">
        <w:rPr>
          <w:i/>
          <w:color w:val="0F1115"/>
          <w:sz w:val="22"/>
          <w:szCs w:val="22"/>
        </w:rPr>
        <w:t>et al</w:t>
      </w:r>
      <w:r w:rsidRPr="006E5A24">
        <w:rPr>
          <w:color w:val="0F1115"/>
          <w:sz w:val="22"/>
          <w:szCs w:val="22"/>
        </w:rPr>
        <w:t>. (2025). Assessment of antimicrobial resistant bacteria and antimicrobial resistance genes in hospital, pharmaceutical and agricultural settings in Lagos state, Nigeria. </w:t>
      </w:r>
      <w:r w:rsidRPr="006E5A24">
        <w:rPr>
          <w:rStyle w:val="Emphasis"/>
          <w:color w:val="0F1115"/>
          <w:sz w:val="22"/>
          <w:szCs w:val="22"/>
        </w:rPr>
        <w:t>Minerva Biotechnology and Biomolecular Research</w:t>
      </w:r>
      <w:r w:rsidRPr="006E5A24">
        <w:rPr>
          <w:color w:val="0F1115"/>
          <w:sz w:val="22"/>
          <w:szCs w:val="22"/>
        </w:rPr>
        <w:t>, 37(3), 123-132.</w:t>
      </w:r>
    </w:p>
    <w:p w14:paraId="74AEA7A6"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Ajoseh, S. O., Anjorin, A.-A. A., Salami, W. O., Brangsch, H., Neubauer, H., Wareth, G., &amp; Akinyemi, K. O. (2025). Comprehensive molecular epidemiology of </w:t>
      </w:r>
      <w:r w:rsidRPr="006E5A24">
        <w:rPr>
          <w:rStyle w:val="Emphasis"/>
          <w:color w:val="0F1115"/>
          <w:sz w:val="22"/>
          <w:szCs w:val="22"/>
        </w:rPr>
        <w:t>Acinetobacter baumannii</w:t>
      </w:r>
      <w:r w:rsidRPr="006E5A24">
        <w:rPr>
          <w:color w:val="0F1115"/>
          <w:sz w:val="22"/>
          <w:szCs w:val="22"/>
        </w:rPr>
        <w:t> from diverse sources in Nigeria. </w:t>
      </w:r>
      <w:r w:rsidRPr="006E5A24">
        <w:rPr>
          <w:rStyle w:val="Emphasis"/>
          <w:color w:val="0F1115"/>
          <w:sz w:val="22"/>
          <w:szCs w:val="22"/>
        </w:rPr>
        <w:t>BMC Microbiology</w:t>
      </w:r>
      <w:r w:rsidRPr="006E5A24">
        <w:rPr>
          <w:color w:val="0F1115"/>
          <w:sz w:val="22"/>
          <w:szCs w:val="22"/>
        </w:rPr>
        <w:t>, 25, 178. </w:t>
      </w:r>
      <w:hyperlink r:id="rId12" w:tgtFrame="_blank" w:history="1">
        <w:r w:rsidRPr="006E5A24">
          <w:rPr>
            <w:rStyle w:val="Hyperlink"/>
            <w:sz w:val="22"/>
            <w:szCs w:val="22"/>
          </w:rPr>
          <w:t>https://doi.org/10.1186/s12866-025-03917-5</w:t>
        </w:r>
      </w:hyperlink>
    </w:p>
    <w:p w14:paraId="6B62763A"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Alharbi, M. S., Moursi, S. A., Alshammari, A., Aboras, R., Rakha, E., Hossain, A., Alshubrumi, S., Alnazha, K., Syed Khaja, A. S., &amp; Saleem, M. (2025). Multidrug-resistant </w:t>
      </w:r>
      <w:r w:rsidRPr="006E5A24">
        <w:rPr>
          <w:rStyle w:val="Emphasis"/>
          <w:color w:val="0F1115"/>
          <w:sz w:val="22"/>
          <w:szCs w:val="22"/>
        </w:rPr>
        <w:t>Pseudomonas aeruginosa</w:t>
      </w:r>
      <w:r w:rsidRPr="006E5A24">
        <w:rPr>
          <w:color w:val="0F1115"/>
          <w:sz w:val="22"/>
          <w:szCs w:val="22"/>
        </w:rPr>
        <w:t>: Pathogenesis, resistance mechanisms, and novel therapeutic strategies. </w:t>
      </w:r>
      <w:r w:rsidRPr="006E5A24">
        <w:rPr>
          <w:rStyle w:val="Emphasis"/>
          <w:color w:val="0F1115"/>
          <w:sz w:val="22"/>
          <w:szCs w:val="22"/>
        </w:rPr>
        <w:t>Virulence</w:t>
      </w:r>
      <w:r w:rsidRPr="006E5A24">
        <w:rPr>
          <w:color w:val="0F1115"/>
          <w:sz w:val="22"/>
          <w:szCs w:val="22"/>
        </w:rPr>
        <w:t>, 16(1), 23-56. </w:t>
      </w:r>
      <w:hyperlink r:id="rId13" w:tgtFrame="_blank" w:history="1">
        <w:r w:rsidRPr="006E5A24">
          <w:rPr>
            <w:rStyle w:val="Hyperlink"/>
            <w:sz w:val="22"/>
            <w:szCs w:val="22"/>
          </w:rPr>
          <w:t>https://doi.org/10.1080/21505594.2025.2580160</w:t>
        </w:r>
      </w:hyperlink>
    </w:p>
    <w:p w14:paraId="3B5E70B4"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Asadollahi, P., Akbari, M., Soroush, S., Taherikalani, M., Asadollahi, K., Sayehmiri, K., </w:t>
      </w:r>
      <w:r w:rsidRPr="00B77CFF">
        <w:rPr>
          <w:i/>
          <w:color w:val="0F1115"/>
          <w:sz w:val="22"/>
          <w:szCs w:val="22"/>
        </w:rPr>
        <w:t>et al</w:t>
      </w:r>
      <w:r w:rsidRPr="006E5A24">
        <w:rPr>
          <w:color w:val="0F1115"/>
          <w:sz w:val="22"/>
          <w:szCs w:val="22"/>
        </w:rPr>
        <w:t>. (2012). Antimicrobial resistance patterns and their encoding genes among </w:t>
      </w:r>
      <w:r w:rsidRPr="006E5A24">
        <w:rPr>
          <w:rStyle w:val="Emphasis"/>
          <w:color w:val="0F1115"/>
          <w:sz w:val="22"/>
          <w:szCs w:val="22"/>
        </w:rPr>
        <w:t>Acinetobacter baumannii</w:t>
      </w:r>
      <w:r w:rsidRPr="006E5A24">
        <w:rPr>
          <w:color w:val="0F1115"/>
          <w:sz w:val="22"/>
          <w:szCs w:val="22"/>
        </w:rPr>
        <w:t> strains isolated from burned patients. </w:t>
      </w:r>
      <w:r w:rsidRPr="006E5A24">
        <w:rPr>
          <w:rStyle w:val="Emphasis"/>
          <w:color w:val="0F1115"/>
          <w:sz w:val="22"/>
          <w:szCs w:val="22"/>
        </w:rPr>
        <w:t>Burns</w:t>
      </w:r>
      <w:r w:rsidRPr="006E5A24">
        <w:rPr>
          <w:color w:val="0F1115"/>
          <w:sz w:val="22"/>
          <w:szCs w:val="22"/>
        </w:rPr>
        <w:t>, 38(8), 1198-1203. </w:t>
      </w:r>
      <w:hyperlink r:id="rId14" w:tgtFrame="_blank" w:history="1">
        <w:r w:rsidRPr="006E5A24">
          <w:rPr>
            <w:rStyle w:val="Hyperlink"/>
            <w:sz w:val="22"/>
            <w:szCs w:val="22"/>
          </w:rPr>
          <w:t>https://doi.org/10.1016/j.burns.2012.07.006</w:t>
        </w:r>
      </w:hyperlink>
    </w:p>
    <w:p w14:paraId="311676F1"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lastRenderedPageBreak/>
        <w:t>Asaduzzaman, M., Rodland, E. K., &amp; Mekonnen, Z. (2022). Understanding transmission pathways and integrated digital surveillance potential of antimicrobial resistance in Ethiopia in a One Health approach: a mixed-method study protocol. </w:t>
      </w:r>
      <w:r w:rsidRPr="006E5A24">
        <w:rPr>
          <w:rStyle w:val="Emphasis"/>
          <w:color w:val="0F1115"/>
          <w:sz w:val="22"/>
          <w:szCs w:val="22"/>
        </w:rPr>
        <w:t>BMJ Open</w:t>
      </w:r>
      <w:r w:rsidRPr="006E5A24">
        <w:rPr>
          <w:color w:val="0F1115"/>
          <w:sz w:val="22"/>
          <w:szCs w:val="22"/>
        </w:rPr>
        <w:t>, 12, e051022.</w:t>
      </w:r>
    </w:p>
    <w:p w14:paraId="45DDD551"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Ayobola, E. D., Oscar, W. O., &amp; Ejovwokoghene, E. F. (2021). Occurrence of plasmid mediated fluoroquinolone resistance genes amongst enteric bacteria isolated from human and animal sources in Delta State, Nigeria. </w:t>
      </w:r>
      <w:r w:rsidRPr="006E5A24">
        <w:rPr>
          <w:rStyle w:val="Emphasis"/>
          <w:color w:val="0F1115"/>
          <w:sz w:val="22"/>
          <w:szCs w:val="22"/>
        </w:rPr>
        <w:t>AIMS Microbiology</w:t>
      </w:r>
      <w:r w:rsidRPr="006E5A24">
        <w:rPr>
          <w:color w:val="0F1115"/>
          <w:sz w:val="22"/>
          <w:szCs w:val="22"/>
        </w:rPr>
        <w:t>, 7(1), 75-95.</w:t>
      </w:r>
    </w:p>
    <w:p w14:paraId="6A4D4F21"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Bashetti, N. R., Vernekar, R., Devaraju, S., &amp; Hiremath, M. B. (2024). Incidence of bacterial uropathogens and their antibiotic susceptibility pattern isolated from urinary tract infection in female patients. </w:t>
      </w:r>
      <w:r w:rsidRPr="006E5A24">
        <w:rPr>
          <w:rStyle w:val="Emphasis"/>
          <w:color w:val="0F1115"/>
          <w:sz w:val="22"/>
          <w:szCs w:val="22"/>
        </w:rPr>
        <w:t>Journal of Pure and Applied Microbiology</w:t>
      </w:r>
      <w:r w:rsidRPr="006E5A24">
        <w:rPr>
          <w:color w:val="0F1115"/>
          <w:sz w:val="22"/>
          <w:szCs w:val="22"/>
        </w:rPr>
        <w:t>, 18(2), 1265-1278. </w:t>
      </w:r>
      <w:hyperlink r:id="rId15" w:tgtFrame="_blank" w:history="1">
        <w:r w:rsidRPr="006E5A24">
          <w:rPr>
            <w:rStyle w:val="Hyperlink"/>
            <w:sz w:val="22"/>
            <w:szCs w:val="22"/>
          </w:rPr>
          <w:t>https://doi.org/10.22207/JPAM.18.2.47</w:t>
        </w:r>
      </w:hyperlink>
    </w:p>
    <w:p w14:paraId="32E18280"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Bassey, E. E., Mohammed, M., Ikpi, E. E., &amp; Alaribe, A. A. A. (2025). Antimicrobial resistance profile of bacterial uropathogens obtained from patients in tertiary healthcare facilities in Calabar, Southern Nigeria. </w:t>
      </w:r>
      <w:r w:rsidRPr="006E5A24">
        <w:rPr>
          <w:rStyle w:val="Emphasis"/>
          <w:color w:val="0F1115"/>
          <w:sz w:val="22"/>
          <w:szCs w:val="22"/>
        </w:rPr>
        <w:t>medRxiv</w:t>
      </w:r>
      <w:r w:rsidRPr="006E5A24">
        <w:rPr>
          <w:color w:val="0F1115"/>
          <w:sz w:val="22"/>
          <w:szCs w:val="22"/>
        </w:rPr>
        <w:t>, 2025.04.24.25326348.</w:t>
      </w:r>
    </w:p>
    <w:p w14:paraId="1058365B"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Bush, K., &amp; Bradford, P. A. (2019). Interplay between β-lactamases and new β-lactamase inhibitors. </w:t>
      </w:r>
      <w:r w:rsidRPr="006E5A24">
        <w:rPr>
          <w:rStyle w:val="Emphasis"/>
          <w:color w:val="0F1115"/>
          <w:sz w:val="22"/>
          <w:szCs w:val="22"/>
        </w:rPr>
        <w:t>Nature Reviews in Microbiology</w:t>
      </w:r>
      <w:r w:rsidRPr="006E5A24">
        <w:rPr>
          <w:color w:val="0F1115"/>
          <w:sz w:val="22"/>
          <w:szCs w:val="22"/>
        </w:rPr>
        <w:t>, 17(5), 295-306.</w:t>
      </w:r>
    </w:p>
    <w:p w14:paraId="2329E9F9"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Bush, K., &amp; </w:t>
      </w:r>
      <w:bookmarkStart w:id="1" w:name="_Hlk228974760"/>
      <w:r w:rsidRPr="006E5A24">
        <w:rPr>
          <w:color w:val="0F1115"/>
          <w:sz w:val="22"/>
          <w:szCs w:val="22"/>
        </w:rPr>
        <w:t>Fisher</w:t>
      </w:r>
      <w:bookmarkEnd w:id="1"/>
      <w:r w:rsidRPr="006E5A24">
        <w:rPr>
          <w:color w:val="0F1115"/>
          <w:sz w:val="22"/>
          <w:szCs w:val="22"/>
        </w:rPr>
        <w:t>, J. F. (2011). Epidemiological expansion, structural studies, and clinical challenges of new β-lactamases from Gram-negative bacteria. </w:t>
      </w:r>
      <w:r w:rsidRPr="006E5A24">
        <w:rPr>
          <w:rStyle w:val="Emphasis"/>
          <w:color w:val="0F1115"/>
          <w:sz w:val="22"/>
          <w:szCs w:val="22"/>
        </w:rPr>
        <w:t>Annual Review of Microbiology</w:t>
      </w:r>
      <w:r w:rsidRPr="006E5A24">
        <w:rPr>
          <w:color w:val="0F1115"/>
          <w:sz w:val="22"/>
          <w:szCs w:val="22"/>
        </w:rPr>
        <w:t>, 65, 455-478.</w:t>
      </w:r>
    </w:p>
    <w:p w14:paraId="1A01AFAE"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Cerceo, E., Deitelzweig, S. B., Sherman, B. M., &amp; Amin, A. N. (2016). Multidrug-resistant Gram-negative bacterial infections in the hospital setting: overview, implications for clinical practice, and emerging treatment options. </w:t>
      </w:r>
      <w:r w:rsidRPr="006E5A24">
        <w:rPr>
          <w:rStyle w:val="Emphasis"/>
          <w:color w:val="0F1115"/>
          <w:sz w:val="22"/>
          <w:szCs w:val="22"/>
        </w:rPr>
        <w:t>Microbial Drug Resistance</w:t>
      </w:r>
      <w:r w:rsidRPr="006E5A24">
        <w:rPr>
          <w:color w:val="0F1115"/>
          <w:sz w:val="22"/>
          <w:szCs w:val="22"/>
        </w:rPr>
        <w:t>, 22(5), 412-431.</w:t>
      </w:r>
    </w:p>
    <w:p w14:paraId="4DBD5EDB"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Cheesbrough, M. (2006). </w:t>
      </w:r>
      <w:r w:rsidRPr="006E5A24">
        <w:rPr>
          <w:rStyle w:val="Emphasis"/>
          <w:color w:val="0F1115"/>
          <w:sz w:val="22"/>
          <w:szCs w:val="22"/>
        </w:rPr>
        <w:t>District Laboratory Practice in Tropical Countries</w:t>
      </w:r>
      <w:r w:rsidRPr="006E5A24">
        <w:rPr>
          <w:color w:val="0F1115"/>
          <w:sz w:val="22"/>
          <w:szCs w:val="22"/>
        </w:rPr>
        <w:t> (2nd ed.). Cambridge University Press.</w:t>
      </w:r>
    </w:p>
    <w:p w14:paraId="74ECDDAF"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Clinical and Laboratory Standards Institute (CLSI). (2024). </w:t>
      </w:r>
      <w:r w:rsidRPr="006E5A24">
        <w:rPr>
          <w:rStyle w:val="Emphasis"/>
          <w:color w:val="0F1115"/>
          <w:sz w:val="22"/>
          <w:szCs w:val="22"/>
        </w:rPr>
        <w:t>Performance Standards for Antimicrobial Susceptibility Testing</w:t>
      </w:r>
      <w:r w:rsidRPr="006E5A24">
        <w:rPr>
          <w:color w:val="0F1115"/>
          <w:sz w:val="22"/>
          <w:szCs w:val="22"/>
        </w:rPr>
        <w:t> (34th ed.). CLSI Document M100.</w:t>
      </w:r>
    </w:p>
    <w:p w14:paraId="3E017284"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Coyne, S., Courvalin, P., &amp; Périchon, B. (2011). Efflux-mediated antibiotic resistance in </w:t>
      </w:r>
      <w:r w:rsidRPr="006E5A24">
        <w:rPr>
          <w:rStyle w:val="Emphasis"/>
          <w:color w:val="0F1115"/>
          <w:sz w:val="22"/>
          <w:szCs w:val="22"/>
        </w:rPr>
        <w:t>Acinetobacter</w:t>
      </w:r>
      <w:r w:rsidRPr="006E5A24">
        <w:rPr>
          <w:color w:val="0F1115"/>
          <w:sz w:val="22"/>
          <w:szCs w:val="22"/>
        </w:rPr>
        <w:t> spp. </w:t>
      </w:r>
      <w:r w:rsidRPr="006E5A24">
        <w:rPr>
          <w:rStyle w:val="Emphasis"/>
          <w:color w:val="0F1115"/>
          <w:sz w:val="22"/>
          <w:szCs w:val="22"/>
        </w:rPr>
        <w:t>Antimicrobial Agents and Chemotherapy</w:t>
      </w:r>
      <w:r w:rsidRPr="006E5A24">
        <w:rPr>
          <w:color w:val="0F1115"/>
          <w:sz w:val="22"/>
          <w:szCs w:val="22"/>
        </w:rPr>
        <w:t>, 55(3), 947-953. </w:t>
      </w:r>
      <w:hyperlink r:id="rId16" w:tgtFrame="_blank" w:history="1">
        <w:r w:rsidRPr="006E5A24">
          <w:rPr>
            <w:rStyle w:val="Hyperlink"/>
            <w:sz w:val="22"/>
            <w:szCs w:val="22"/>
          </w:rPr>
          <w:t>https://doi.org/10.1128/AAC.01388-10</w:t>
        </w:r>
      </w:hyperlink>
    </w:p>
    <w:p w14:paraId="58931A2D"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Czajkowski, K., Broś-Konopielko, M., &amp; Teliga-Czajkowska, J. (2021). Urinary tract infection in women. </w:t>
      </w:r>
      <w:r w:rsidRPr="006E5A24">
        <w:rPr>
          <w:rStyle w:val="Emphasis"/>
          <w:color w:val="0F1115"/>
          <w:sz w:val="22"/>
          <w:szCs w:val="22"/>
        </w:rPr>
        <w:t>Przegląd Menopauzalny</w:t>
      </w:r>
      <w:r w:rsidRPr="006E5A24">
        <w:rPr>
          <w:color w:val="0F1115"/>
          <w:sz w:val="22"/>
          <w:szCs w:val="22"/>
        </w:rPr>
        <w:t>, 20(1), 40-47. </w:t>
      </w:r>
      <w:hyperlink r:id="rId17" w:tgtFrame="_blank" w:history="1">
        <w:r w:rsidRPr="006E5A24">
          <w:rPr>
            <w:rStyle w:val="Hyperlink"/>
            <w:sz w:val="22"/>
            <w:szCs w:val="22"/>
          </w:rPr>
          <w:t>https://doi.org/10.5114/pm.2021.105382</w:t>
        </w:r>
      </w:hyperlink>
    </w:p>
    <w:p w14:paraId="1E602397"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Ding, R., Li, X., Zhang, X., Zhang, Z., &amp; Ma, X. (2019). The epidemiology of symptomatic catheter-associated urinary tract infections in the intensive care unit: A 4-year single center retrospective study. </w:t>
      </w:r>
      <w:r w:rsidRPr="006E5A24">
        <w:rPr>
          <w:rStyle w:val="Emphasis"/>
          <w:color w:val="0F1115"/>
          <w:sz w:val="22"/>
          <w:szCs w:val="22"/>
        </w:rPr>
        <w:t>Urology Journal</w:t>
      </w:r>
      <w:r w:rsidRPr="006E5A24">
        <w:rPr>
          <w:color w:val="0F1115"/>
          <w:sz w:val="22"/>
          <w:szCs w:val="22"/>
        </w:rPr>
        <w:t>, 16(4), 312-317.</w:t>
      </w:r>
    </w:p>
    <w:p w14:paraId="69421944"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Dönhöfer, A., Franckenberg, S., Wickles, S., Berninghausen, O., Beckmann, R., &amp; Wilson, D. N. (2012). Structural basis for TetM-mediated tetracycline resistance. </w:t>
      </w:r>
      <w:r w:rsidRPr="006E5A24">
        <w:rPr>
          <w:rStyle w:val="Emphasis"/>
          <w:color w:val="0F1115"/>
          <w:sz w:val="22"/>
          <w:szCs w:val="22"/>
        </w:rPr>
        <w:t>Proceedings of the National Academy of Sciences</w:t>
      </w:r>
      <w:r w:rsidRPr="006E5A24">
        <w:rPr>
          <w:color w:val="0F1115"/>
          <w:sz w:val="22"/>
          <w:szCs w:val="22"/>
        </w:rPr>
        <w:t>, 109(42), 16900-16905.</w:t>
      </w:r>
    </w:p>
    <w:p w14:paraId="27D0357F"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Ebenyi, I. J., Iroha, C. S., Ebenyi, O. C., Peter, I. U., Edemekong, C. I., &amp; Iroha, I. R. (2026). First report of high-risk rare blaSIM, blaSPM, and blaGIM metallo-β-lactamase genes in clinical </w:t>
      </w:r>
      <w:r w:rsidRPr="006E5A24">
        <w:rPr>
          <w:rStyle w:val="Emphasis"/>
          <w:color w:val="0F1115"/>
          <w:sz w:val="22"/>
          <w:szCs w:val="22"/>
        </w:rPr>
        <w:t>Pseudomonas aeruginosa</w:t>
      </w:r>
      <w:r w:rsidRPr="006E5A24">
        <w:rPr>
          <w:color w:val="0F1115"/>
          <w:sz w:val="22"/>
          <w:szCs w:val="22"/>
        </w:rPr>
        <w:t> isolates from Nigeria. </w:t>
      </w:r>
      <w:r w:rsidRPr="006E5A24">
        <w:rPr>
          <w:rStyle w:val="Emphasis"/>
          <w:color w:val="0F1115"/>
          <w:sz w:val="22"/>
          <w:szCs w:val="22"/>
        </w:rPr>
        <w:t>World Journal of Advanced Pharmaceutical and Medical Research</w:t>
      </w:r>
      <w:r w:rsidRPr="006E5A24">
        <w:rPr>
          <w:color w:val="0F1115"/>
          <w:sz w:val="22"/>
          <w:szCs w:val="22"/>
        </w:rPr>
        <w:t>, 10(2), 11-24. </w:t>
      </w:r>
      <w:hyperlink r:id="rId18" w:tgtFrame="_blank" w:history="1">
        <w:r w:rsidRPr="006E5A24">
          <w:rPr>
            <w:rStyle w:val="Hyperlink"/>
            <w:sz w:val="22"/>
            <w:szCs w:val="22"/>
          </w:rPr>
          <w:t>https://doi.org/10.53346/wjapmr.2026.10.2.0013</w:t>
        </w:r>
      </w:hyperlink>
    </w:p>
    <w:p w14:paraId="79A12346"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Ebenyi, I. J., Iroha, C. S., Ebenyi, O. C., Peter, I. U., Nwankwo, F. M., Nnamdi, A. B., Okeh, O., Osuji, B. O., &amp; Iroha, I. R. (2026). Risk factors and antibiotic resistance patterns of MBL-producing </w:t>
      </w:r>
      <w:r w:rsidRPr="006E5A24">
        <w:rPr>
          <w:rStyle w:val="Emphasis"/>
          <w:color w:val="0F1115"/>
          <w:sz w:val="22"/>
          <w:szCs w:val="22"/>
        </w:rPr>
        <w:t>Pseudomonas aeruginosa</w:t>
      </w:r>
      <w:r w:rsidRPr="006E5A24">
        <w:rPr>
          <w:color w:val="0F1115"/>
          <w:sz w:val="22"/>
          <w:szCs w:val="22"/>
        </w:rPr>
        <w:t> in outpatients and inpatients in Southeast Nigeria. </w:t>
      </w:r>
      <w:r w:rsidRPr="006E5A24">
        <w:rPr>
          <w:rStyle w:val="Emphasis"/>
          <w:color w:val="0F1115"/>
          <w:sz w:val="22"/>
          <w:szCs w:val="22"/>
        </w:rPr>
        <w:t>Journal of Disease and Global Health</w:t>
      </w:r>
      <w:r w:rsidRPr="006E5A24">
        <w:rPr>
          <w:color w:val="0F1115"/>
          <w:sz w:val="22"/>
          <w:szCs w:val="22"/>
        </w:rPr>
        <w:t>, 19(1), 260-269.</w:t>
      </w:r>
    </w:p>
    <w:p w14:paraId="35D321FA"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Edemekong, C. I., Chukwujekwu, A. G., Okorie, M. E., Udenweze, E., Obodoechi, I. F., Ogbonna, I. P., &amp; Livinus, N. P. (2025). Evaluation of antibacterial activity of selected medicinal plant on extended spectrum β-lactamase producing </w:t>
      </w:r>
      <w:r w:rsidRPr="006E5A24">
        <w:rPr>
          <w:rStyle w:val="Emphasis"/>
          <w:color w:val="0F1115"/>
          <w:sz w:val="22"/>
          <w:szCs w:val="22"/>
        </w:rPr>
        <w:t>Salmonella enterica</w:t>
      </w:r>
      <w:r w:rsidRPr="006E5A24">
        <w:rPr>
          <w:color w:val="0F1115"/>
          <w:sz w:val="22"/>
          <w:szCs w:val="22"/>
        </w:rPr>
        <w:t> serovar Typhimurium. </w:t>
      </w:r>
      <w:r w:rsidRPr="006E5A24">
        <w:rPr>
          <w:rStyle w:val="Emphasis"/>
          <w:color w:val="0F1115"/>
          <w:sz w:val="22"/>
          <w:szCs w:val="22"/>
        </w:rPr>
        <w:t>UMYU Scientifica</w:t>
      </w:r>
      <w:r w:rsidRPr="006E5A24">
        <w:rPr>
          <w:color w:val="0F1115"/>
          <w:sz w:val="22"/>
          <w:szCs w:val="22"/>
        </w:rPr>
        <w:t>, 4(1), 28-36. </w:t>
      </w:r>
      <w:hyperlink r:id="rId19" w:tgtFrame="_blank" w:history="1">
        <w:r w:rsidRPr="006E5A24">
          <w:rPr>
            <w:rStyle w:val="Hyperlink"/>
            <w:sz w:val="22"/>
            <w:szCs w:val="22"/>
          </w:rPr>
          <w:t>https://doi.org/10.56919/usci.2541.003</w:t>
        </w:r>
      </w:hyperlink>
    </w:p>
    <w:p w14:paraId="7FCB3CDF"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Egwu, I. H., Iroha, I. R., Egwu-Ikechukwu, M. M., Nnabugwu, C. C., Okata-Nwali, D. O., Oke, O., </w:t>
      </w:r>
      <w:r w:rsidRPr="00B77CFF">
        <w:rPr>
          <w:i/>
          <w:color w:val="0F1115"/>
          <w:sz w:val="22"/>
          <w:szCs w:val="22"/>
        </w:rPr>
        <w:t>et al</w:t>
      </w:r>
      <w:r w:rsidRPr="006E5A24">
        <w:rPr>
          <w:color w:val="0F1115"/>
          <w:sz w:val="22"/>
          <w:szCs w:val="22"/>
        </w:rPr>
        <w:t xml:space="preserve">. (2021b). Phenotypic and genotypic characterization of extended spectrum beta-lactamases </w:t>
      </w:r>
      <w:r w:rsidRPr="006E5A24">
        <w:rPr>
          <w:color w:val="0F1115"/>
          <w:sz w:val="22"/>
          <w:szCs w:val="22"/>
        </w:rPr>
        <w:lastRenderedPageBreak/>
        <w:t>(ESBLs) genes in </w:t>
      </w:r>
      <w:r w:rsidRPr="006E5A24">
        <w:rPr>
          <w:rStyle w:val="Emphasis"/>
          <w:color w:val="0F1115"/>
          <w:sz w:val="22"/>
          <w:szCs w:val="22"/>
        </w:rPr>
        <w:t>Acinetobacter baumannii</w:t>
      </w:r>
      <w:r w:rsidRPr="006E5A24">
        <w:rPr>
          <w:color w:val="0F1115"/>
          <w:sz w:val="22"/>
          <w:szCs w:val="22"/>
        </w:rPr>
        <w:t> isolated from critically ill patients admitted in Alex Ekwueme Federal University Teaching Hospital Abakaliki, Nigeria. </w:t>
      </w:r>
      <w:r w:rsidRPr="006E5A24">
        <w:rPr>
          <w:rStyle w:val="Emphasis"/>
          <w:color w:val="0F1115"/>
          <w:sz w:val="22"/>
          <w:szCs w:val="22"/>
        </w:rPr>
        <w:t>Journal of Microbiology and Antimicrobials</w:t>
      </w:r>
      <w:r w:rsidRPr="006E5A24">
        <w:rPr>
          <w:color w:val="0F1115"/>
          <w:sz w:val="22"/>
          <w:szCs w:val="22"/>
        </w:rPr>
        <w:t>, 13(3), 23-34.</w:t>
      </w:r>
    </w:p>
    <w:p w14:paraId="32EB3B09"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Egwu, I. H., Iroha, I. R., Egwu-Ikechukwu, M. M., Peter, I. U., Nnabugwu, C. C., Ali, C. M., </w:t>
      </w:r>
      <w:r w:rsidRPr="00B77CFF">
        <w:rPr>
          <w:i/>
          <w:color w:val="0F1115"/>
          <w:sz w:val="22"/>
          <w:szCs w:val="22"/>
        </w:rPr>
        <w:t>et al</w:t>
      </w:r>
      <w:r w:rsidRPr="006E5A24">
        <w:rPr>
          <w:color w:val="0F1115"/>
          <w:sz w:val="22"/>
          <w:szCs w:val="22"/>
        </w:rPr>
        <w:t>. (2021a). Antimicrobial susceptibility pattern and molecular identification of </w:t>
      </w:r>
      <w:r w:rsidRPr="006E5A24">
        <w:rPr>
          <w:rStyle w:val="Emphasis"/>
          <w:color w:val="0F1115"/>
          <w:sz w:val="22"/>
          <w:szCs w:val="22"/>
        </w:rPr>
        <w:t>Acinetobacter baumannii</w:t>
      </w:r>
      <w:r w:rsidRPr="006E5A24">
        <w:rPr>
          <w:color w:val="0F1115"/>
          <w:sz w:val="22"/>
          <w:szCs w:val="22"/>
        </w:rPr>
        <w:t> in Alex Ekwueme-Federal University Teaching Hospital Abakaliki, Nigeria. </w:t>
      </w:r>
      <w:r w:rsidRPr="006E5A24">
        <w:rPr>
          <w:rStyle w:val="Emphasis"/>
          <w:color w:val="0F1115"/>
          <w:sz w:val="22"/>
          <w:szCs w:val="22"/>
        </w:rPr>
        <w:t>Journal of Pharmaceutical Research International</w:t>
      </w:r>
      <w:r w:rsidRPr="006E5A24">
        <w:rPr>
          <w:color w:val="0F1115"/>
          <w:sz w:val="22"/>
          <w:szCs w:val="22"/>
        </w:rPr>
        <w:t>, 33(44B), 409-419.</w:t>
      </w:r>
    </w:p>
    <w:p w14:paraId="0544A436"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Ejikeugwu, P. C., Nkechukwu, M. I., Ugwu, C. M., Iroha, I. R., &amp; Esimone, C. O. (2012). Extended spectrum β-lactamase producing </w:t>
      </w:r>
      <w:r w:rsidRPr="006E5A24">
        <w:rPr>
          <w:rStyle w:val="Emphasis"/>
          <w:color w:val="0F1115"/>
          <w:sz w:val="22"/>
          <w:szCs w:val="22"/>
        </w:rPr>
        <w:t>Escherichia coli</w:t>
      </w:r>
      <w:r w:rsidRPr="006E5A24">
        <w:rPr>
          <w:color w:val="0F1115"/>
          <w:sz w:val="22"/>
          <w:szCs w:val="22"/>
        </w:rPr>
        <w:t> isolates from suspected community acquired urinary tract infections. </w:t>
      </w:r>
      <w:r w:rsidRPr="006E5A24">
        <w:rPr>
          <w:rStyle w:val="Emphasis"/>
          <w:color w:val="0F1115"/>
          <w:sz w:val="22"/>
          <w:szCs w:val="22"/>
        </w:rPr>
        <w:t>European Journal of Scientific Research</w:t>
      </w:r>
      <w:r w:rsidRPr="006E5A24">
        <w:rPr>
          <w:color w:val="0F1115"/>
          <w:sz w:val="22"/>
          <w:szCs w:val="22"/>
        </w:rPr>
        <w:t>, 84(4), 565-571.</w:t>
      </w:r>
    </w:p>
    <w:p w14:paraId="355C5A39"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El-far, S. W., &amp; Abukhatwah, M. W. (2023). Prevalence of aminoglycoside resistance genes in clinical isolates of </w:t>
      </w:r>
      <w:r w:rsidRPr="006E5A24">
        <w:rPr>
          <w:rStyle w:val="Emphasis"/>
          <w:color w:val="0F1115"/>
          <w:sz w:val="22"/>
          <w:szCs w:val="22"/>
        </w:rPr>
        <w:t>Pseudomonas aeruginosa</w:t>
      </w:r>
      <w:r w:rsidRPr="006E5A24">
        <w:rPr>
          <w:color w:val="0F1115"/>
          <w:sz w:val="22"/>
          <w:szCs w:val="22"/>
        </w:rPr>
        <w:t> from Taif, Saudi Arabia: An emergence indicative study. </w:t>
      </w:r>
      <w:r w:rsidRPr="006E5A24">
        <w:rPr>
          <w:rStyle w:val="Emphasis"/>
          <w:color w:val="0F1115"/>
          <w:sz w:val="22"/>
          <w:szCs w:val="22"/>
        </w:rPr>
        <w:t>Microorganisms</w:t>
      </w:r>
      <w:r w:rsidRPr="006E5A24">
        <w:rPr>
          <w:color w:val="0F1115"/>
          <w:sz w:val="22"/>
          <w:szCs w:val="22"/>
        </w:rPr>
        <w:t>, 11(9), 2293.</w:t>
      </w:r>
    </w:p>
    <w:p w14:paraId="32FE15CC"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Ezeh, P. A., Tende, M., Bolaji, R. O., Olayinka, B. O., &amp; Menegbe, B. Y. (2017). Prevalence of *</w:t>
      </w:r>
      <w:proofErr w:type="gramStart"/>
      <w:r w:rsidRPr="006E5A24">
        <w:rPr>
          <w:color w:val="0F1115"/>
          <w:sz w:val="22"/>
          <w:szCs w:val="22"/>
        </w:rPr>
        <w:t>Aac(</w:t>
      </w:r>
      <w:proofErr w:type="gramEnd"/>
      <w:r w:rsidRPr="006E5A24">
        <w:rPr>
          <w:color w:val="0F1115"/>
          <w:sz w:val="22"/>
          <w:szCs w:val="22"/>
        </w:rPr>
        <w:t>6')-Ib-Cr* and QepA genes among quinolone resistant uropathogens isolated from asymptomatic female students of a northern university in Nigeria. </w:t>
      </w:r>
      <w:r w:rsidRPr="006E5A24">
        <w:rPr>
          <w:rStyle w:val="Emphasis"/>
          <w:color w:val="0F1115"/>
          <w:sz w:val="22"/>
          <w:szCs w:val="22"/>
        </w:rPr>
        <w:t>Clinical Microbiology</w:t>
      </w:r>
      <w:r w:rsidRPr="006E5A24">
        <w:rPr>
          <w:color w:val="0F1115"/>
          <w:sz w:val="22"/>
          <w:szCs w:val="22"/>
        </w:rPr>
        <w:t>, 6(6), 298.</w:t>
      </w:r>
    </w:p>
    <w:p w14:paraId="58970BD3"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Fan, R., Li, C., Duan, R., Qin, S., Liang, J., Xiao, M., Lv, D., Jing, H., &amp; Wang, X. (2020). Retrospective screening and analysis of mcr-1 and blaNDM in Gram-negative bacteria in China, 2010-2019. </w:t>
      </w:r>
      <w:r w:rsidRPr="006E5A24">
        <w:rPr>
          <w:rStyle w:val="Emphasis"/>
          <w:color w:val="0F1115"/>
          <w:sz w:val="22"/>
          <w:szCs w:val="22"/>
        </w:rPr>
        <w:t>Frontiers in Microbiology</w:t>
      </w:r>
      <w:r w:rsidRPr="006E5A24">
        <w:rPr>
          <w:color w:val="0F1115"/>
          <w:sz w:val="22"/>
          <w:szCs w:val="22"/>
        </w:rPr>
        <w:t>, 11, 121.</w:t>
      </w:r>
    </w:p>
    <w:p w14:paraId="35AD79E4"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Foong, W. E., Wilhelm, J., Tam, H. K., &amp; Pos, K. M. (2020). Tigecycline efflux in </w:t>
      </w:r>
      <w:r w:rsidRPr="006E5A24">
        <w:rPr>
          <w:rStyle w:val="Emphasis"/>
          <w:color w:val="0F1115"/>
          <w:sz w:val="22"/>
          <w:szCs w:val="22"/>
        </w:rPr>
        <w:t>Acinetobacter baumannii</w:t>
      </w:r>
      <w:r w:rsidRPr="006E5A24">
        <w:rPr>
          <w:color w:val="0F1115"/>
          <w:sz w:val="22"/>
          <w:szCs w:val="22"/>
        </w:rPr>
        <w:t> is mediated by TetA in synergy with RND-type efflux transporters. </w:t>
      </w:r>
      <w:r w:rsidRPr="006E5A24">
        <w:rPr>
          <w:rStyle w:val="Emphasis"/>
          <w:color w:val="0F1115"/>
          <w:sz w:val="22"/>
          <w:szCs w:val="22"/>
        </w:rPr>
        <w:t>Journal of Antimicrobial Chemotherapy</w:t>
      </w:r>
      <w:r w:rsidRPr="006E5A24">
        <w:rPr>
          <w:color w:val="0F1115"/>
          <w:sz w:val="22"/>
          <w:szCs w:val="22"/>
        </w:rPr>
        <w:t>, 75(5), 1135-1139. </w:t>
      </w:r>
      <w:hyperlink r:id="rId20" w:tgtFrame="_blank" w:history="1">
        <w:r w:rsidRPr="006E5A24">
          <w:rPr>
            <w:rStyle w:val="Hyperlink"/>
            <w:sz w:val="22"/>
            <w:szCs w:val="22"/>
          </w:rPr>
          <w:t>https://doi.org/10.1093/jac/dkaa015</w:t>
        </w:r>
      </w:hyperlink>
    </w:p>
    <w:p w14:paraId="5B29EA4E"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Gedefie, A., Debash, H., Alemayehu, E., Mohammed, O., Weldehanna, D. G., Etaphaim, H., Tilahun, M., &amp; Belete, M. A. (2025). Extended spectrum beta-lactamase and carbapenemase-producing </w:t>
      </w:r>
      <w:r w:rsidRPr="006E5A24">
        <w:rPr>
          <w:rStyle w:val="Emphasis"/>
          <w:color w:val="0F1115"/>
          <w:sz w:val="22"/>
          <w:szCs w:val="22"/>
        </w:rPr>
        <w:t>Acinetobacter</w:t>
      </w:r>
      <w:r w:rsidRPr="006E5A24">
        <w:rPr>
          <w:color w:val="0F1115"/>
          <w:sz w:val="22"/>
          <w:szCs w:val="22"/>
        </w:rPr>
        <w:t> species and </w:t>
      </w:r>
      <w:r w:rsidRPr="006E5A24">
        <w:rPr>
          <w:rStyle w:val="Emphasis"/>
          <w:color w:val="0F1115"/>
          <w:sz w:val="22"/>
          <w:szCs w:val="22"/>
        </w:rPr>
        <w:t>Pseudomonas aeruginosa</w:t>
      </w:r>
      <w:r w:rsidRPr="006E5A24">
        <w:rPr>
          <w:color w:val="0F1115"/>
          <w:sz w:val="22"/>
          <w:szCs w:val="22"/>
        </w:rPr>
        <w:t> in Ethiopia: A systematic review and meta-analysis. </w:t>
      </w:r>
      <w:r w:rsidRPr="006E5A24">
        <w:rPr>
          <w:rStyle w:val="Emphasis"/>
          <w:color w:val="0F1115"/>
          <w:sz w:val="22"/>
          <w:szCs w:val="22"/>
        </w:rPr>
        <w:t>BMC Infectious Diseases</w:t>
      </w:r>
      <w:r w:rsidRPr="006E5A24">
        <w:rPr>
          <w:color w:val="0F1115"/>
          <w:sz w:val="22"/>
          <w:szCs w:val="22"/>
        </w:rPr>
        <w:t>, 25(1), 1323.</w:t>
      </w:r>
    </w:p>
    <w:p w14:paraId="720EA14D"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Giwa, F. J., Ige, O. T., Haruna, D. M., Yaqub, Y., Lamido, T. Z., &amp; Usman, S. Y. (2018). Extended-spectrum beta-lactamase production and antimicrobial susceptibility pattern of uropathogens in a tertiary hospital in Northwestern Nigeria. </w:t>
      </w:r>
      <w:r w:rsidRPr="006E5A24">
        <w:rPr>
          <w:rStyle w:val="Emphasis"/>
          <w:color w:val="0F1115"/>
          <w:sz w:val="22"/>
          <w:szCs w:val="22"/>
        </w:rPr>
        <w:t>Annals of Tropical Pathology</w:t>
      </w:r>
      <w:r w:rsidRPr="006E5A24">
        <w:rPr>
          <w:color w:val="0F1115"/>
          <w:sz w:val="22"/>
          <w:szCs w:val="22"/>
        </w:rPr>
        <w:t>, 9, 11-16.</w:t>
      </w:r>
    </w:p>
    <w:p w14:paraId="364F078D"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Godeux, A. S., Svedholm, E., Barreto, S., Potron, A., Venner, S., Charpentier, X., &amp; Laaberki, M. H. (2022). Interbacterial transfer of carbapenem resistance and large antibiotic resistance islands by natural transformation in pathogenic </w:t>
      </w:r>
      <w:r w:rsidRPr="006E5A24">
        <w:rPr>
          <w:rStyle w:val="Emphasis"/>
          <w:color w:val="0F1115"/>
          <w:sz w:val="22"/>
          <w:szCs w:val="22"/>
        </w:rPr>
        <w:t>Acinetobacter</w:t>
      </w:r>
      <w:r w:rsidRPr="006E5A24">
        <w:rPr>
          <w:color w:val="0F1115"/>
          <w:sz w:val="22"/>
          <w:szCs w:val="22"/>
        </w:rPr>
        <w:t>. </w:t>
      </w:r>
      <w:r w:rsidRPr="006E5A24">
        <w:rPr>
          <w:rStyle w:val="Emphasis"/>
          <w:color w:val="0F1115"/>
          <w:sz w:val="22"/>
          <w:szCs w:val="22"/>
        </w:rPr>
        <w:t>mBio</w:t>
      </w:r>
      <w:r w:rsidRPr="006E5A24">
        <w:rPr>
          <w:color w:val="0F1115"/>
          <w:sz w:val="22"/>
          <w:szCs w:val="22"/>
        </w:rPr>
        <w:t>, 13, e02631-21.</w:t>
      </w:r>
    </w:p>
    <w:p w14:paraId="10E17A60"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Haque, T. A., Urmi, U. L., Islam, A. B. M. M. K., Ara, B., Nahar, S., Mosaddek, A. S. M., </w:t>
      </w:r>
      <w:r w:rsidRPr="00B77CFF">
        <w:rPr>
          <w:i/>
          <w:color w:val="0F1115"/>
          <w:sz w:val="22"/>
          <w:szCs w:val="22"/>
        </w:rPr>
        <w:t>et al</w:t>
      </w:r>
      <w:r w:rsidRPr="006E5A24">
        <w:rPr>
          <w:color w:val="0F1115"/>
          <w:sz w:val="22"/>
          <w:szCs w:val="22"/>
        </w:rPr>
        <w:t>. (2022). Detection of qnr genes and gyrA mutation to quinolone phenotypic resistance of UTI pathogens in Bangladesh and the implications. </w:t>
      </w:r>
      <w:r w:rsidRPr="006E5A24">
        <w:rPr>
          <w:rStyle w:val="Emphasis"/>
          <w:color w:val="0F1115"/>
          <w:sz w:val="22"/>
          <w:szCs w:val="22"/>
        </w:rPr>
        <w:t>Journal of Applied Pharmaceutical Science</w:t>
      </w:r>
      <w:r w:rsidRPr="006E5A24">
        <w:rPr>
          <w:color w:val="0F1115"/>
          <w:sz w:val="22"/>
          <w:szCs w:val="22"/>
        </w:rPr>
        <w:t>, 12(4), 185-198.</w:t>
      </w:r>
    </w:p>
    <w:p w14:paraId="352079A9"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Hujer, K. M., Hujer, A. M., Endimiani, A., Thomson, J. M., Adams, M. D., Goglin, K., </w:t>
      </w:r>
      <w:r w:rsidRPr="00B77CFF">
        <w:rPr>
          <w:i/>
          <w:color w:val="0F1115"/>
          <w:sz w:val="22"/>
          <w:szCs w:val="22"/>
        </w:rPr>
        <w:t>et al</w:t>
      </w:r>
      <w:r w:rsidRPr="006E5A24">
        <w:rPr>
          <w:color w:val="0F1115"/>
          <w:sz w:val="22"/>
          <w:szCs w:val="22"/>
        </w:rPr>
        <w:t>. (2009). Rapid determination of quinolone resistance in </w:t>
      </w:r>
      <w:r w:rsidRPr="006E5A24">
        <w:rPr>
          <w:rStyle w:val="Emphasis"/>
          <w:color w:val="0F1115"/>
          <w:sz w:val="22"/>
          <w:szCs w:val="22"/>
        </w:rPr>
        <w:t>Acinetobacter</w:t>
      </w:r>
      <w:r w:rsidRPr="006E5A24">
        <w:rPr>
          <w:color w:val="0F1115"/>
          <w:sz w:val="22"/>
          <w:szCs w:val="22"/>
        </w:rPr>
        <w:t> spp. </w:t>
      </w:r>
      <w:r w:rsidRPr="006E5A24">
        <w:rPr>
          <w:rStyle w:val="Emphasis"/>
          <w:color w:val="0F1115"/>
          <w:sz w:val="22"/>
          <w:szCs w:val="22"/>
        </w:rPr>
        <w:t>Journal of Clinical Microbiology</w:t>
      </w:r>
      <w:r w:rsidRPr="006E5A24">
        <w:rPr>
          <w:color w:val="0F1115"/>
          <w:sz w:val="22"/>
          <w:szCs w:val="22"/>
        </w:rPr>
        <w:t>, 47(5), 1436-1442. </w:t>
      </w:r>
      <w:hyperlink r:id="rId21" w:tgtFrame="_blank" w:history="1">
        <w:r w:rsidRPr="006E5A24">
          <w:rPr>
            <w:rStyle w:val="Hyperlink"/>
            <w:sz w:val="22"/>
            <w:szCs w:val="22"/>
          </w:rPr>
          <w:t>https://doi.org/10.1128/JCM.02380-08</w:t>
        </w:r>
      </w:hyperlink>
    </w:p>
    <w:p w14:paraId="39E8187E"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Husna, A., Rahman, M. M., Badruzzaman, A. T. M., Sikder, M. H., Islam, M. R., &amp; Rahman, M. T. (2023). Extended-spectrum β-lactamases (ESBL): Challenges and opportunities. </w:t>
      </w:r>
      <w:r w:rsidRPr="006E5A24">
        <w:rPr>
          <w:rStyle w:val="Emphasis"/>
          <w:color w:val="0F1115"/>
          <w:sz w:val="22"/>
          <w:szCs w:val="22"/>
        </w:rPr>
        <w:t>Biomedicines</w:t>
      </w:r>
      <w:r w:rsidRPr="006E5A24">
        <w:rPr>
          <w:color w:val="0F1115"/>
          <w:sz w:val="22"/>
          <w:szCs w:val="22"/>
        </w:rPr>
        <w:t>, 11(11), 2937.</w:t>
      </w:r>
    </w:p>
    <w:p w14:paraId="18007A49"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Hwang, W., &amp; Yoon, S. S. (2019). Virulence characteristics and an action mode of antibiotic resistance in multidrug-resistant </w:t>
      </w:r>
      <w:r w:rsidRPr="006E5A24">
        <w:rPr>
          <w:rStyle w:val="Emphasis"/>
          <w:color w:val="0F1115"/>
          <w:sz w:val="22"/>
          <w:szCs w:val="22"/>
        </w:rPr>
        <w:t>Pseudomonas aeruginosa</w:t>
      </w:r>
      <w:r w:rsidRPr="006E5A24">
        <w:rPr>
          <w:color w:val="0F1115"/>
          <w:sz w:val="22"/>
          <w:szCs w:val="22"/>
        </w:rPr>
        <w:t>. </w:t>
      </w:r>
      <w:r w:rsidRPr="006E5A24">
        <w:rPr>
          <w:rStyle w:val="Emphasis"/>
          <w:color w:val="0F1115"/>
          <w:sz w:val="22"/>
          <w:szCs w:val="22"/>
        </w:rPr>
        <w:t>Scientific Reports</w:t>
      </w:r>
      <w:r w:rsidRPr="006E5A24">
        <w:rPr>
          <w:color w:val="0F1115"/>
          <w:sz w:val="22"/>
          <w:szCs w:val="22"/>
        </w:rPr>
        <w:t>, 9, 487.</w:t>
      </w:r>
    </w:p>
    <w:p w14:paraId="655FF432"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Irek, E. O., Amupitan, A. A., Obadare, T. O., &amp; Aboderin, A. O. (2018). A systematic review of healthcare-associated infections in Africa: an antimicrobial resistance perspective. </w:t>
      </w:r>
      <w:r w:rsidRPr="006E5A24">
        <w:rPr>
          <w:rStyle w:val="Emphasis"/>
          <w:color w:val="0F1115"/>
          <w:sz w:val="22"/>
          <w:szCs w:val="22"/>
        </w:rPr>
        <w:t>African Journal of Laboratory Medicine</w:t>
      </w:r>
      <w:r w:rsidRPr="006E5A24">
        <w:rPr>
          <w:color w:val="0F1115"/>
          <w:sz w:val="22"/>
          <w:szCs w:val="22"/>
        </w:rPr>
        <w:t>, 7(2), 796.</w:t>
      </w:r>
    </w:p>
    <w:p w14:paraId="2D280C6A"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Iroha, I. R., Okoye, E., Osigwe, C. A., Moses, I. B., Ejikeugwu, C. P., &amp; Nwakaeze, A. E. (2017). Isolation, phenotypic characterization and prevalence of ESBL-producing </w:t>
      </w:r>
      <w:r w:rsidRPr="006E5A24">
        <w:rPr>
          <w:rStyle w:val="Emphasis"/>
          <w:color w:val="0F1115"/>
          <w:sz w:val="22"/>
          <w:szCs w:val="22"/>
        </w:rPr>
        <w:t>Escherichia coli</w:t>
      </w:r>
      <w:r w:rsidRPr="006E5A24">
        <w:rPr>
          <w:color w:val="0F1115"/>
          <w:sz w:val="22"/>
          <w:szCs w:val="22"/>
        </w:rPr>
        <w:t> and </w:t>
      </w:r>
      <w:r w:rsidRPr="006E5A24">
        <w:rPr>
          <w:rStyle w:val="Emphasis"/>
          <w:color w:val="0F1115"/>
          <w:sz w:val="22"/>
          <w:szCs w:val="22"/>
        </w:rPr>
        <w:t>Klebsiella</w:t>
      </w:r>
      <w:r w:rsidRPr="006E5A24">
        <w:rPr>
          <w:color w:val="0F1115"/>
          <w:sz w:val="22"/>
          <w:szCs w:val="22"/>
        </w:rPr>
        <w:t> species from orthopedic wounds in National Orthopedic Hospital Enugu (NOHE), South-East, Nigeria. </w:t>
      </w:r>
      <w:r w:rsidRPr="006E5A24">
        <w:rPr>
          <w:rStyle w:val="Emphasis"/>
          <w:color w:val="0F1115"/>
          <w:sz w:val="22"/>
          <w:szCs w:val="22"/>
        </w:rPr>
        <w:t>Journal of Pharmaceutical Care and Health Systems</w:t>
      </w:r>
      <w:r w:rsidRPr="006E5A24">
        <w:rPr>
          <w:color w:val="0F1115"/>
          <w:sz w:val="22"/>
          <w:szCs w:val="22"/>
        </w:rPr>
        <w:t>, 4(4), 1-5.</w:t>
      </w:r>
    </w:p>
    <w:p w14:paraId="747107B6"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lastRenderedPageBreak/>
        <w:t xml:space="preserve">Iroha, I. R., Orji, J. O., Onwa, N. C., Nwuzo, A. C., Okonkwo, E. C., Ibiam, E. O., </w:t>
      </w:r>
      <w:r w:rsidRPr="00B77CFF">
        <w:rPr>
          <w:i/>
          <w:color w:val="0F1115"/>
          <w:sz w:val="22"/>
          <w:szCs w:val="22"/>
        </w:rPr>
        <w:t>et al</w:t>
      </w:r>
      <w:r w:rsidRPr="006E5A24">
        <w:rPr>
          <w:color w:val="0F1115"/>
          <w:sz w:val="22"/>
          <w:szCs w:val="22"/>
        </w:rPr>
        <w:t>. (2019). </w:t>
      </w:r>
      <w:r w:rsidRPr="006E5A24">
        <w:rPr>
          <w:rStyle w:val="Emphasis"/>
          <w:color w:val="0F1115"/>
          <w:sz w:val="22"/>
          <w:szCs w:val="22"/>
        </w:rPr>
        <w:t>Microbiology Practical Handbook</w:t>
      </w:r>
      <w:r w:rsidRPr="006E5A24">
        <w:rPr>
          <w:color w:val="0F1115"/>
          <w:sz w:val="22"/>
          <w:szCs w:val="22"/>
        </w:rPr>
        <w:t> (O. Ogbu, Ed.) (1st ed.). Charlieteximage Africa (CiAfrica Press).</w:t>
      </w:r>
    </w:p>
    <w:p w14:paraId="2F41BCB7"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Jafari Sales, A., Naebi, S., Bannazadeh-Baghi, H., &amp; Saki, M. (2021). Antibiotic resistance pattern and prevalence of blaOXA-51, blaNDM, blaVIM, blaPER, blaVEB, blaCTX, tetA and tetB genes in </w:t>
      </w:r>
      <w:r w:rsidRPr="006E5A24">
        <w:rPr>
          <w:rStyle w:val="Emphasis"/>
          <w:color w:val="0F1115"/>
          <w:sz w:val="22"/>
          <w:szCs w:val="22"/>
        </w:rPr>
        <w:t>Acinetobacter baumannii</w:t>
      </w:r>
      <w:r w:rsidRPr="006E5A24">
        <w:rPr>
          <w:color w:val="0F1115"/>
          <w:sz w:val="22"/>
          <w:szCs w:val="22"/>
        </w:rPr>
        <w:t> isolated from clinical specimens of hospitals in Tabriz city, Iran. </w:t>
      </w:r>
      <w:r w:rsidRPr="006E5A24">
        <w:rPr>
          <w:rStyle w:val="Emphasis"/>
          <w:color w:val="0F1115"/>
          <w:sz w:val="22"/>
          <w:szCs w:val="22"/>
        </w:rPr>
        <w:t>Journal of Clinical Research in Paramedical Sciences</w:t>
      </w:r>
      <w:r w:rsidRPr="006E5A24">
        <w:rPr>
          <w:color w:val="0F1115"/>
          <w:sz w:val="22"/>
          <w:szCs w:val="22"/>
        </w:rPr>
        <w:t>, 10(2), e118521.</w:t>
      </w:r>
    </w:p>
    <w:p w14:paraId="07F18C07"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Jahantigh, M., Samadi, K., &amp; Dizaji, R. E. (2020). Antimicrobial resistance and prevalence of tetracycline resistance genes in </w:t>
      </w:r>
      <w:r w:rsidRPr="006E5A24">
        <w:rPr>
          <w:rStyle w:val="Emphasis"/>
          <w:color w:val="0F1115"/>
          <w:sz w:val="22"/>
          <w:szCs w:val="22"/>
        </w:rPr>
        <w:t>Escherichia coli</w:t>
      </w:r>
      <w:r w:rsidRPr="006E5A24">
        <w:rPr>
          <w:color w:val="0F1115"/>
          <w:sz w:val="22"/>
          <w:szCs w:val="22"/>
        </w:rPr>
        <w:t> isolated from lesions of colibacillosis in broiler chickens in Sistan, Iran. </w:t>
      </w:r>
      <w:r w:rsidRPr="006E5A24">
        <w:rPr>
          <w:rStyle w:val="Emphasis"/>
          <w:color w:val="0F1115"/>
          <w:sz w:val="22"/>
          <w:szCs w:val="22"/>
        </w:rPr>
        <w:t>BMC Veterinary Research</w:t>
      </w:r>
      <w:r w:rsidRPr="006E5A24">
        <w:rPr>
          <w:color w:val="0F1115"/>
          <w:sz w:val="22"/>
          <w:szCs w:val="22"/>
        </w:rPr>
        <w:t>, 16, 26.</w:t>
      </w:r>
    </w:p>
    <w:p w14:paraId="5895B053"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John-Onwe, B. N., Aniokete, U. C., Ibiam, F. A., Peter, I. U., Iroha, C. S., &amp; Iroha, I. R. (2023). Dissemination of multidrug-resistant, extensively drug resistant and pandrug-resistant </w:t>
      </w:r>
      <w:r w:rsidRPr="006E5A24">
        <w:rPr>
          <w:rStyle w:val="Emphasis"/>
          <w:color w:val="0F1115"/>
          <w:sz w:val="22"/>
          <w:szCs w:val="22"/>
        </w:rPr>
        <w:t>Pseudomonas aeruginosa</w:t>
      </w:r>
      <w:r w:rsidRPr="006E5A24">
        <w:rPr>
          <w:color w:val="0F1115"/>
          <w:sz w:val="22"/>
          <w:szCs w:val="22"/>
        </w:rPr>
        <w:t> isolates among in-patients and out-patients in a multi-profile health care setting. </w:t>
      </w:r>
      <w:r w:rsidRPr="006E5A24">
        <w:rPr>
          <w:rStyle w:val="Emphasis"/>
          <w:color w:val="0F1115"/>
          <w:sz w:val="22"/>
          <w:szCs w:val="22"/>
        </w:rPr>
        <w:t>Journal of Advances in Microbiology</w:t>
      </w:r>
      <w:r w:rsidRPr="006E5A24">
        <w:rPr>
          <w:color w:val="0F1115"/>
          <w:sz w:val="22"/>
          <w:szCs w:val="22"/>
        </w:rPr>
        <w:t>, 23(10), 109-115.</w:t>
      </w:r>
    </w:p>
    <w:p w14:paraId="019A3A72"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Joseph, I. S., Okolo, I. O., Udenweze, E. C., Nwankwo, C. E., Peter, I. U., Ogbonna, I. P., &amp; Iroha, I. R. (2023). Comparison of antibiotic-resistant pattern of extended spectrum beta-lactamase and carbapenem resistant </w:t>
      </w:r>
      <w:r w:rsidRPr="006E5A24">
        <w:rPr>
          <w:rStyle w:val="Emphasis"/>
          <w:color w:val="0F1115"/>
          <w:sz w:val="22"/>
          <w:szCs w:val="22"/>
        </w:rPr>
        <w:t>Escherichia coli</w:t>
      </w:r>
      <w:r w:rsidRPr="006E5A24">
        <w:rPr>
          <w:color w:val="0F1115"/>
          <w:sz w:val="22"/>
          <w:szCs w:val="22"/>
        </w:rPr>
        <w:t> isolates from clinical and non-clinical sources. </w:t>
      </w:r>
      <w:r w:rsidRPr="006E5A24">
        <w:rPr>
          <w:rStyle w:val="Emphasis"/>
          <w:color w:val="0F1115"/>
          <w:sz w:val="22"/>
          <w:szCs w:val="22"/>
        </w:rPr>
        <w:t>Journal of Drug Delivery and Therapeutics</w:t>
      </w:r>
      <w:r w:rsidRPr="006E5A24">
        <w:rPr>
          <w:color w:val="0F1115"/>
          <w:sz w:val="22"/>
          <w:szCs w:val="22"/>
        </w:rPr>
        <w:t>, 13(7), 107-118.</w:t>
      </w:r>
    </w:p>
    <w:p w14:paraId="14C0D62C"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Kindu, M., Derseh, L., Gelaw, B., &amp; Moges, F. (2020). Carbapenemase-producing non-glucose-fermenting Gram-negative bacilli in Africa, </w:t>
      </w:r>
      <w:r w:rsidRPr="006E5A24">
        <w:rPr>
          <w:rStyle w:val="Emphasis"/>
          <w:color w:val="0F1115"/>
          <w:sz w:val="22"/>
          <w:szCs w:val="22"/>
        </w:rPr>
        <w:t>Pseudomonas aeruginosa</w:t>
      </w:r>
      <w:r w:rsidRPr="006E5A24">
        <w:rPr>
          <w:color w:val="0F1115"/>
          <w:sz w:val="22"/>
          <w:szCs w:val="22"/>
        </w:rPr>
        <w:t> and </w:t>
      </w:r>
      <w:r w:rsidRPr="006E5A24">
        <w:rPr>
          <w:rStyle w:val="Emphasis"/>
          <w:color w:val="0F1115"/>
          <w:sz w:val="22"/>
          <w:szCs w:val="22"/>
        </w:rPr>
        <w:t>Acinetobacter baumannii</w:t>
      </w:r>
      <w:r w:rsidRPr="006E5A24">
        <w:rPr>
          <w:color w:val="0F1115"/>
          <w:sz w:val="22"/>
          <w:szCs w:val="22"/>
        </w:rPr>
        <w:t>: A systematic review and meta-analysis. </w:t>
      </w:r>
      <w:r w:rsidRPr="006E5A24">
        <w:rPr>
          <w:rStyle w:val="Emphasis"/>
          <w:color w:val="0F1115"/>
          <w:sz w:val="22"/>
          <w:szCs w:val="22"/>
        </w:rPr>
        <w:t>International Journal of Microbiology</w:t>
      </w:r>
      <w:r w:rsidRPr="006E5A24">
        <w:rPr>
          <w:color w:val="0F1115"/>
          <w:sz w:val="22"/>
          <w:szCs w:val="22"/>
        </w:rPr>
        <w:t>, 2020, 9461901.</w:t>
      </w:r>
    </w:p>
    <w:p w14:paraId="44E516A6"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Kumar, S., Sen, P., Gaind, R., Verma, P. K., Gupta, P., Suri, P. R., Nagpal, S., &amp; Rai, A. K. (2018). Prospective surveillance of device-associated health care-associated infection in an intensive care unit of a tertiary care hospital in New Delhi, India. </w:t>
      </w:r>
      <w:r w:rsidRPr="006E5A24">
        <w:rPr>
          <w:rStyle w:val="Emphasis"/>
          <w:color w:val="0F1115"/>
          <w:sz w:val="22"/>
          <w:szCs w:val="22"/>
        </w:rPr>
        <w:t>American Journal of Infection Control</w:t>
      </w:r>
      <w:r w:rsidRPr="006E5A24">
        <w:rPr>
          <w:color w:val="0F1115"/>
          <w:sz w:val="22"/>
          <w:szCs w:val="22"/>
        </w:rPr>
        <w:t>, 46(2), 202-206.</w:t>
      </w:r>
    </w:p>
    <w:p w14:paraId="23A2BA48"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Lerminiaux, N. A., &amp; Cameron, A. D. S. (2019). Horizontal transfer of antibiotic resistance genes in clinical environments. </w:t>
      </w:r>
      <w:r w:rsidRPr="006E5A24">
        <w:rPr>
          <w:rStyle w:val="Emphasis"/>
          <w:color w:val="0F1115"/>
          <w:sz w:val="22"/>
          <w:szCs w:val="22"/>
        </w:rPr>
        <w:t>Canadian Journal of Microbiology</w:t>
      </w:r>
      <w:r w:rsidRPr="006E5A24">
        <w:rPr>
          <w:color w:val="0F1115"/>
          <w:sz w:val="22"/>
          <w:szCs w:val="22"/>
        </w:rPr>
        <w:t>, 65(1), 34-44.</w:t>
      </w:r>
    </w:p>
    <w:p w14:paraId="34D12164"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 xml:space="preserve">Magill, S. S., O'Leary, E., Ray, S. M., Kallen, A. J., Evans, C. T., Bamberg, W. M., </w:t>
      </w:r>
      <w:r w:rsidRPr="00B77CFF">
        <w:rPr>
          <w:i/>
          <w:color w:val="0F1115"/>
          <w:sz w:val="22"/>
          <w:szCs w:val="22"/>
        </w:rPr>
        <w:t>et al</w:t>
      </w:r>
      <w:r w:rsidRPr="006E5A24">
        <w:rPr>
          <w:color w:val="0F1115"/>
          <w:sz w:val="22"/>
          <w:szCs w:val="22"/>
        </w:rPr>
        <w:t>. (2023). Changes in prevalence of health care-associated infections in U.S. hospitals. </w:t>
      </w:r>
      <w:r w:rsidRPr="006E5A24">
        <w:rPr>
          <w:rStyle w:val="Emphasis"/>
          <w:color w:val="0F1115"/>
          <w:sz w:val="22"/>
          <w:szCs w:val="22"/>
        </w:rPr>
        <w:t>The New England Journal of Medicine</w:t>
      </w:r>
      <w:r w:rsidRPr="006E5A24">
        <w:rPr>
          <w:color w:val="0F1115"/>
          <w:sz w:val="22"/>
          <w:szCs w:val="22"/>
        </w:rPr>
        <w:t>, 388(2), 143-153.</w:t>
      </w:r>
    </w:p>
    <w:p w14:paraId="55FACCDF"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Manikandan, S., Ganesapandian, S., Singh, M., &amp; Kumaraguru, A. K. (2011). Emerging of multidrug resistance human pathogens from urinary tract infections. </w:t>
      </w:r>
      <w:r w:rsidRPr="006E5A24">
        <w:rPr>
          <w:rStyle w:val="Emphasis"/>
          <w:color w:val="0F1115"/>
          <w:sz w:val="22"/>
          <w:szCs w:val="22"/>
        </w:rPr>
        <w:t>Current Research in Bacteriology</w:t>
      </w:r>
      <w:r w:rsidRPr="006E5A24">
        <w:rPr>
          <w:color w:val="0F1115"/>
          <w:sz w:val="22"/>
          <w:szCs w:val="22"/>
        </w:rPr>
        <w:t>, 4, 9-15. </w:t>
      </w:r>
      <w:hyperlink r:id="rId22" w:tgtFrame="_blank" w:history="1">
        <w:r w:rsidRPr="006E5A24">
          <w:rPr>
            <w:rStyle w:val="Hyperlink"/>
            <w:sz w:val="22"/>
            <w:szCs w:val="22"/>
          </w:rPr>
          <w:t>https://doi.org/10.3923/crb.2011.9.15</w:t>
        </w:r>
      </w:hyperlink>
    </w:p>
    <w:p w14:paraId="11927529"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Manyahi, J., Matee, M., Majigo, M., Moyo, S., Mshana, S. E., &amp; Lyamuya, E. F. (2014). Predominance of multi-drug resistant bacterial pathogens causing surgical site infections in Muhimbili National Hospital, Tanzania. </w:t>
      </w:r>
      <w:r w:rsidRPr="006E5A24">
        <w:rPr>
          <w:rStyle w:val="Emphasis"/>
          <w:color w:val="0F1115"/>
          <w:sz w:val="22"/>
          <w:szCs w:val="22"/>
        </w:rPr>
        <w:t>BMC Research Notes</w:t>
      </w:r>
      <w:r w:rsidRPr="006E5A24">
        <w:rPr>
          <w:color w:val="0F1115"/>
          <w:sz w:val="22"/>
          <w:szCs w:val="22"/>
        </w:rPr>
        <w:t>, 7, 500.</w:t>
      </w:r>
    </w:p>
    <w:p w14:paraId="3AA559D2"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Martínez-Trejo, A., Ruiz-Ruiz, J. M., Gonzalez-Avila, L. U., Saldaña-Padilla, A., Hernández-Cortez, C., Loyola-Cruz, M. A., Bello-López, J. M., &amp; Castro-Escarpulli, G. (2022). Evasion of antimicrobial activity in </w:t>
      </w:r>
      <w:r w:rsidRPr="006E5A24">
        <w:rPr>
          <w:rStyle w:val="Emphasis"/>
          <w:color w:val="0F1115"/>
          <w:sz w:val="22"/>
          <w:szCs w:val="22"/>
        </w:rPr>
        <w:t>Acinetobacter baumannii</w:t>
      </w:r>
      <w:r w:rsidRPr="006E5A24">
        <w:rPr>
          <w:color w:val="0F1115"/>
          <w:sz w:val="22"/>
          <w:szCs w:val="22"/>
        </w:rPr>
        <w:t> by target site modifications: An effective resistance mechanism. </w:t>
      </w:r>
      <w:r w:rsidRPr="006E5A24">
        <w:rPr>
          <w:rStyle w:val="Emphasis"/>
          <w:color w:val="0F1115"/>
          <w:sz w:val="22"/>
          <w:szCs w:val="22"/>
        </w:rPr>
        <w:t>International Journal of Molecular Sciences</w:t>
      </w:r>
      <w:r w:rsidRPr="006E5A24">
        <w:rPr>
          <w:color w:val="0F1115"/>
          <w:sz w:val="22"/>
          <w:szCs w:val="22"/>
        </w:rPr>
        <w:t>, 23(12), 6582. </w:t>
      </w:r>
      <w:hyperlink r:id="rId23" w:tgtFrame="_blank" w:history="1">
        <w:r w:rsidRPr="006E5A24">
          <w:rPr>
            <w:rStyle w:val="Hyperlink"/>
            <w:sz w:val="22"/>
            <w:szCs w:val="22"/>
          </w:rPr>
          <w:t>https://doi.org/10.3390/ijms23126582</w:t>
        </w:r>
      </w:hyperlink>
    </w:p>
    <w:p w14:paraId="7473A268"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McEwen, S. A., &amp; Collignon, P. J. (2018). Antimicrobial resistance: a one health perspective. </w:t>
      </w:r>
      <w:r w:rsidRPr="006E5A24">
        <w:rPr>
          <w:rStyle w:val="Emphasis"/>
          <w:color w:val="0F1115"/>
          <w:sz w:val="22"/>
          <w:szCs w:val="22"/>
        </w:rPr>
        <w:t>Microbiology Spectrum</w:t>
      </w:r>
      <w:r w:rsidRPr="006E5A24">
        <w:rPr>
          <w:color w:val="0F1115"/>
          <w:sz w:val="22"/>
          <w:szCs w:val="22"/>
        </w:rPr>
        <w:t>, 6(2).</w:t>
      </w:r>
    </w:p>
    <w:p w14:paraId="132A56D0"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Mohammed, M. A., Salim, M. T. A., Anwer, B. E., Aboshanab, K. M., &amp; Aboulwafa, M. M. (2021). Impact of target site mutations and plasmid associated resistance genes acquisition on resistance of </w:t>
      </w:r>
      <w:r w:rsidRPr="006E5A24">
        <w:rPr>
          <w:rStyle w:val="Emphasis"/>
          <w:color w:val="0F1115"/>
          <w:sz w:val="22"/>
          <w:szCs w:val="22"/>
        </w:rPr>
        <w:t>Acinetobacter baumannii</w:t>
      </w:r>
      <w:r w:rsidRPr="006E5A24">
        <w:rPr>
          <w:color w:val="0F1115"/>
          <w:sz w:val="22"/>
          <w:szCs w:val="22"/>
        </w:rPr>
        <w:t> to fluoroquinolones. </w:t>
      </w:r>
      <w:r w:rsidRPr="006E5A24">
        <w:rPr>
          <w:rStyle w:val="Emphasis"/>
          <w:color w:val="0F1115"/>
          <w:sz w:val="22"/>
          <w:szCs w:val="22"/>
        </w:rPr>
        <w:t>Scientific Reports</w:t>
      </w:r>
      <w:r w:rsidRPr="006E5A24">
        <w:rPr>
          <w:color w:val="0F1115"/>
          <w:sz w:val="22"/>
          <w:szCs w:val="22"/>
        </w:rPr>
        <w:t>, 11(1), 20136. </w:t>
      </w:r>
      <w:hyperlink r:id="rId24" w:tgtFrame="_blank" w:history="1">
        <w:r w:rsidRPr="006E5A24">
          <w:rPr>
            <w:rStyle w:val="Hyperlink"/>
            <w:sz w:val="22"/>
            <w:szCs w:val="22"/>
          </w:rPr>
          <w:t>https://doi.org/10.1038/s41598-021-99599-w</w:t>
        </w:r>
      </w:hyperlink>
    </w:p>
    <w:p w14:paraId="5A5113BF"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Mshelia, M. B., Zenoh, D. A., Fasogbon, I. V., Micheal, N. Y., Obi, C., Adam, M., &amp; Nuhu, T. (2024). Antibacterial resistance genes frequently detected in Nigeria. </w:t>
      </w:r>
      <w:r w:rsidRPr="006E5A24">
        <w:rPr>
          <w:rStyle w:val="Emphasis"/>
          <w:color w:val="0F1115"/>
          <w:sz w:val="22"/>
          <w:szCs w:val="22"/>
        </w:rPr>
        <w:t>African Journal of Biomedical Research</w:t>
      </w:r>
      <w:r w:rsidRPr="006E5A24">
        <w:rPr>
          <w:color w:val="0F1115"/>
          <w:sz w:val="22"/>
          <w:szCs w:val="22"/>
        </w:rPr>
        <w:t>, 27(2), 225-241.</w:t>
      </w:r>
    </w:p>
    <w:p w14:paraId="736F6A57"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lastRenderedPageBreak/>
        <w:t>Muhammad, Z., Adamu, M. T., Garba, L., Tawfiq, U. A., &amp; Yusuf, I. (2026). WHO priority pathogens, ESKAPE bacteria, and antimicrobial resistance surveillance in household wastewater, Gombe, Nigeria. </w:t>
      </w:r>
      <w:r w:rsidRPr="006E5A24">
        <w:rPr>
          <w:rStyle w:val="Emphasis"/>
          <w:color w:val="0F1115"/>
          <w:sz w:val="22"/>
          <w:szCs w:val="22"/>
        </w:rPr>
        <w:t>Access Microbiology</w:t>
      </w:r>
      <w:r w:rsidRPr="006E5A24">
        <w:rPr>
          <w:color w:val="0F1115"/>
          <w:sz w:val="22"/>
          <w:szCs w:val="22"/>
        </w:rPr>
        <w:t>, 8(1), 001100.</w:t>
      </w:r>
    </w:p>
    <w:p w14:paraId="144F7149"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Mutiu, W. B., Obe, O. A., Odulate, I. O., &amp; Akingbola, A. (2024). </w:t>
      </w:r>
      <w:r w:rsidRPr="006E5A24">
        <w:rPr>
          <w:rStyle w:val="Emphasis"/>
          <w:color w:val="0F1115"/>
          <w:sz w:val="22"/>
          <w:szCs w:val="22"/>
        </w:rPr>
        <w:t>Pseudomonas</w:t>
      </w:r>
      <w:r w:rsidRPr="006E5A24">
        <w:rPr>
          <w:color w:val="0F1115"/>
          <w:sz w:val="22"/>
          <w:szCs w:val="22"/>
        </w:rPr>
        <w:t> species and </w:t>
      </w:r>
      <w:r w:rsidRPr="006E5A24">
        <w:rPr>
          <w:rStyle w:val="Emphasis"/>
          <w:color w:val="0F1115"/>
          <w:sz w:val="22"/>
          <w:szCs w:val="22"/>
        </w:rPr>
        <w:t>Acinetobacter baumannii</w:t>
      </w:r>
      <w:r w:rsidRPr="006E5A24">
        <w:rPr>
          <w:color w:val="0F1115"/>
          <w:sz w:val="22"/>
          <w:szCs w:val="22"/>
        </w:rPr>
        <w:t> associated urinary tract infection: Antimicrobial resistance patterns and therapeutic alternatives. </w:t>
      </w:r>
      <w:r w:rsidRPr="006E5A24">
        <w:rPr>
          <w:rStyle w:val="Emphasis"/>
          <w:color w:val="0F1115"/>
          <w:sz w:val="22"/>
          <w:szCs w:val="22"/>
        </w:rPr>
        <w:t>International Journal of Pathogen Research</w:t>
      </w:r>
      <w:r w:rsidRPr="006E5A24">
        <w:rPr>
          <w:color w:val="0F1115"/>
          <w:sz w:val="22"/>
          <w:szCs w:val="22"/>
        </w:rPr>
        <w:t>, 13(6), 160-168.</w:t>
      </w:r>
    </w:p>
    <w:p w14:paraId="46B9C3BA"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Newman, J. N., Floyd, R. V., &amp; Fothergill, J. L. (2022). Invasion and diversity in </w:t>
      </w:r>
      <w:r w:rsidRPr="006E5A24">
        <w:rPr>
          <w:rStyle w:val="Emphasis"/>
          <w:color w:val="0F1115"/>
          <w:sz w:val="22"/>
          <w:szCs w:val="22"/>
        </w:rPr>
        <w:t>Pseudomonas aeruginosa</w:t>
      </w:r>
      <w:r w:rsidRPr="006E5A24">
        <w:rPr>
          <w:color w:val="0F1115"/>
          <w:sz w:val="22"/>
          <w:szCs w:val="22"/>
        </w:rPr>
        <w:t> urinary tract infections. </w:t>
      </w:r>
      <w:r w:rsidRPr="006E5A24">
        <w:rPr>
          <w:rStyle w:val="Emphasis"/>
          <w:color w:val="0F1115"/>
          <w:sz w:val="22"/>
          <w:szCs w:val="22"/>
        </w:rPr>
        <w:t>Journal of Medical Microbiology</w:t>
      </w:r>
      <w:r w:rsidRPr="006E5A24">
        <w:rPr>
          <w:color w:val="0F1115"/>
          <w:sz w:val="22"/>
          <w:szCs w:val="22"/>
        </w:rPr>
        <w:t>, 71(3), 001458.</w:t>
      </w:r>
    </w:p>
    <w:p w14:paraId="5F9697FA"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Nomeh, O. L., Peter, I. U., Ogba, R. C., Otu, Q., Mbafo, M., Ogobuchi, D., &amp; Nworie, O. (2026). Antibacterial efficacy of </w:t>
      </w:r>
      <w:r w:rsidRPr="006E5A24">
        <w:rPr>
          <w:rStyle w:val="Emphasis"/>
          <w:color w:val="0F1115"/>
          <w:sz w:val="22"/>
          <w:szCs w:val="22"/>
        </w:rPr>
        <w:t>Ficus ottoniifolia</w:t>
      </w:r>
      <w:r w:rsidRPr="006E5A24">
        <w:rPr>
          <w:color w:val="0F1115"/>
          <w:sz w:val="22"/>
          <w:szCs w:val="22"/>
        </w:rPr>
        <w:t> and </w:t>
      </w:r>
      <w:r w:rsidRPr="006E5A24">
        <w:rPr>
          <w:rStyle w:val="Emphasis"/>
          <w:color w:val="0F1115"/>
          <w:sz w:val="22"/>
          <w:szCs w:val="22"/>
        </w:rPr>
        <w:t>Zanthoxylum zanthoxyloides</w:t>
      </w:r>
      <w:r w:rsidRPr="006E5A24">
        <w:rPr>
          <w:color w:val="0F1115"/>
          <w:sz w:val="22"/>
          <w:szCs w:val="22"/>
        </w:rPr>
        <w:t> leaf extracts against bacterial isolates from contaminated drinking water sources in Ikwo South, Nigeria. </w:t>
      </w:r>
      <w:r w:rsidRPr="006E5A24">
        <w:rPr>
          <w:rStyle w:val="Emphasis"/>
          <w:color w:val="0F1115"/>
          <w:sz w:val="22"/>
          <w:szCs w:val="22"/>
        </w:rPr>
        <w:t>GSC Advanced Research and Reviews</w:t>
      </w:r>
      <w:r w:rsidRPr="006E5A24">
        <w:rPr>
          <w:color w:val="0F1115"/>
          <w:sz w:val="22"/>
          <w:szCs w:val="22"/>
        </w:rPr>
        <w:t>, 26(1), 94-109. </w:t>
      </w:r>
      <w:hyperlink r:id="rId25" w:tgtFrame="_blank" w:history="1">
        <w:r w:rsidRPr="006E5A24">
          <w:rPr>
            <w:rStyle w:val="Hyperlink"/>
            <w:sz w:val="22"/>
            <w:szCs w:val="22"/>
          </w:rPr>
          <w:t>https://doi.org/10.30574/gscarr.2026.26.1.0010</w:t>
        </w:r>
      </w:hyperlink>
    </w:p>
    <w:p w14:paraId="2F5130C1"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Nwode, V. F., Peter, I. U., Iroha, C. S., Edemekong, C. I., &amp; Iroha, I. R. (2026). Culture-based identification and molecular confirmation of vancomycin-resistant </w:t>
      </w:r>
      <w:r w:rsidRPr="006E5A24">
        <w:rPr>
          <w:rStyle w:val="Emphasis"/>
          <w:color w:val="0F1115"/>
          <w:sz w:val="22"/>
          <w:szCs w:val="22"/>
        </w:rPr>
        <w:t>Staphylococcus aureus</w:t>
      </w:r>
      <w:r w:rsidRPr="006E5A24">
        <w:rPr>
          <w:color w:val="0F1115"/>
          <w:sz w:val="22"/>
          <w:szCs w:val="22"/>
        </w:rPr>
        <w:t> (VRSA) from porcine rectal swabs in Ebonyi State, Nigeria. </w:t>
      </w:r>
      <w:r w:rsidRPr="006E5A24">
        <w:rPr>
          <w:rStyle w:val="Emphasis"/>
          <w:color w:val="0F1115"/>
          <w:sz w:val="22"/>
          <w:szCs w:val="22"/>
        </w:rPr>
        <w:t>Asian Journal of Microbiology and Biotechnology</w:t>
      </w:r>
      <w:r w:rsidRPr="006E5A24">
        <w:rPr>
          <w:color w:val="0F1115"/>
          <w:sz w:val="22"/>
          <w:szCs w:val="22"/>
        </w:rPr>
        <w:t>, 11(1), 97-106.</w:t>
      </w:r>
    </w:p>
    <w:p w14:paraId="58C83B45"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Nwojiji, E. C., Ugbala, D. E., Ogbonna, I. P., Aniokete, U. C., Awoke, O. O., Peter, I. U., &amp; Iroha, I. R. (2025). Phenotypic screening and antibiotic susceptibility patterns of AmpC β-lactamase-producing </w:t>
      </w:r>
      <w:r w:rsidRPr="006E5A24">
        <w:rPr>
          <w:rStyle w:val="Emphasis"/>
          <w:color w:val="0F1115"/>
          <w:sz w:val="22"/>
          <w:szCs w:val="22"/>
        </w:rPr>
        <w:t>Escherichia coli</w:t>
      </w:r>
      <w:r w:rsidRPr="006E5A24">
        <w:rPr>
          <w:color w:val="0F1115"/>
          <w:sz w:val="22"/>
          <w:szCs w:val="22"/>
        </w:rPr>
        <w:t> and </w:t>
      </w:r>
      <w:r w:rsidRPr="006E5A24">
        <w:rPr>
          <w:rStyle w:val="Emphasis"/>
          <w:color w:val="0F1115"/>
          <w:sz w:val="22"/>
          <w:szCs w:val="22"/>
        </w:rPr>
        <w:t>Klebsiella pneumoniae</w:t>
      </w:r>
      <w:r w:rsidRPr="006E5A24">
        <w:rPr>
          <w:color w:val="0F1115"/>
          <w:sz w:val="22"/>
          <w:szCs w:val="22"/>
        </w:rPr>
        <w:t> isolates obtained from wound samples. </w:t>
      </w:r>
      <w:r w:rsidRPr="006E5A24">
        <w:rPr>
          <w:rStyle w:val="Emphasis"/>
          <w:color w:val="0F1115"/>
          <w:sz w:val="22"/>
          <w:szCs w:val="22"/>
        </w:rPr>
        <w:t>International Journal of Advanced Research in Medicine</w:t>
      </w:r>
      <w:r w:rsidRPr="006E5A24">
        <w:rPr>
          <w:color w:val="0F1115"/>
          <w:sz w:val="22"/>
          <w:szCs w:val="22"/>
        </w:rPr>
        <w:t>, 5, 56-67.</w:t>
      </w:r>
    </w:p>
    <w:p w14:paraId="1496BA22"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Nwosu, U. O., Ibiam, F. A., Amadi-Ibiam, C. O., Iroha, C. S., Edemekong, C. I., Peter, I. U., &amp; Iroha, I. R. (2023). Fecal carriage of extended spectrum beta-lactamase and fluoroquinolone resistant gene in non-typhoidal </w:t>
      </w:r>
      <w:r w:rsidRPr="006E5A24">
        <w:rPr>
          <w:rStyle w:val="Emphasis"/>
          <w:color w:val="0F1115"/>
          <w:sz w:val="22"/>
          <w:szCs w:val="22"/>
        </w:rPr>
        <w:t>Salmonella enterica</w:t>
      </w:r>
      <w:r w:rsidRPr="006E5A24">
        <w:rPr>
          <w:color w:val="0F1115"/>
          <w:sz w:val="22"/>
          <w:szCs w:val="22"/>
        </w:rPr>
        <w:t> isolates from food producing animals and humans. </w:t>
      </w:r>
      <w:r w:rsidRPr="006E5A24">
        <w:rPr>
          <w:rStyle w:val="Emphasis"/>
          <w:color w:val="0F1115"/>
          <w:sz w:val="22"/>
          <w:szCs w:val="22"/>
        </w:rPr>
        <w:t>Journal of Drug Delivery and Therapeutics</w:t>
      </w:r>
      <w:r w:rsidRPr="006E5A24">
        <w:rPr>
          <w:color w:val="0F1115"/>
          <w:sz w:val="22"/>
          <w:szCs w:val="22"/>
        </w:rPr>
        <w:t>, 13(9), 128-134.</w:t>
      </w:r>
    </w:p>
    <w:p w14:paraId="756F6BB0"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Ogba, R. C., Akpu, P. O., Nwuzo, A. C., Peter, I. U., Nomeh, O. L., &amp; Iroha, I. R. (2022). Antibiotic susceptibility profile of clinical isolate of carbapenem resistant </w:t>
      </w:r>
      <w:r w:rsidRPr="006E5A24">
        <w:rPr>
          <w:rStyle w:val="Emphasis"/>
          <w:color w:val="0F1115"/>
          <w:sz w:val="22"/>
          <w:szCs w:val="22"/>
        </w:rPr>
        <w:t>Pseudomonas aeruginosa</w:t>
      </w:r>
      <w:r w:rsidRPr="006E5A24">
        <w:rPr>
          <w:color w:val="0F1115"/>
          <w:sz w:val="22"/>
          <w:szCs w:val="22"/>
        </w:rPr>
        <w:t>. </w:t>
      </w:r>
      <w:r w:rsidRPr="006E5A24">
        <w:rPr>
          <w:rStyle w:val="Emphasis"/>
          <w:color w:val="0F1115"/>
          <w:sz w:val="22"/>
          <w:szCs w:val="22"/>
        </w:rPr>
        <w:t>South Asian Journal of Research in Microbiology</w:t>
      </w:r>
      <w:r w:rsidRPr="006E5A24">
        <w:rPr>
          <w:color w:val="0F1115"/>
          <w:sz w:val="22"/>
          <w:szCs w:val="22"/>
        </w:rPr>
        <w:t>, 14(2), 14-23.</w:t>
      </w:r>
    </w:p>
    <w:p w14:paraId="4E8327C3"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Oke, B., Nomeh, O. L., Egwu, I. H., Edemekong, C. I., Nwiboko, M. C., Peter, I. U., &amp; Iroha, I. R. (2024). High prevalence of </w:t>
      </w:r>
      <w:r w:rsidRPr="006E5A24">
        <w:rPr>
          <w:rStyle w:val="Emphasis"/>
          <w:color w:val="0F1115"/>
          <w:sz w:val="22"/>
          <w:szCs w:val="22"/>
        </w:rPr>
        <w:t>Salmonella</w:t>
      </w:r>
      <w:r w:rsidRPr="006E5A24">
        <w:rPr>
          <w:color w:val="0F1115"/>
          <w:sz w:val="22"/>
          <w:szCs w:val="22"/>
        </w:rPr>
        <w:t> Typhi from well water harboring CTX-M and tetA resistance gene. </w:t>
      </w:r>
      <w:r w:rsidRPr="006E5A24">
        <w:rPr>
          <w:rStyle w:val="Emphasis"/>
          <w:color w:val="0F1115"/>
          <w:sz w:val="22"/>
          <w:szCs w:val="22"/>
        </w:rPr>
        <w:t>World Journal of Advanced Research and Reviews</w:t>
      </w:r>
      <w:r w:rsidRPr="006E5A24">
        <w:rPr>
          <w:color w:val="0F1115"/>
          <w:sz w:val="22"/>
          <w:szCs w:val="22"/>
        </w:rPr>
        <w:t>, 23(1), 2848-2857.</w:t>
      </w:r>
    </w:p>
    <w:p w14:paraId="1899422D"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Ombelet, S., Ronat, J. B., Walsh, T., Yansouni, C. P., Cox, J., &amp; Vlieghe, E. (2018). Clinical bacteriology in low-resource settings: today's solutions. </w:t>
      </w:r>
      <w:r w:rsidRPr="006E5A24">
        <w:rPr>
          <w:rStyle w:val="Emphasis"/>
          <w:color w:val="0F1115"/>
          <w:sz w:val="22"/>
          <w:szCs w:val="22"/>
        </w:rPr>
        <w:t>Lancet Infectious Diseases</w:t>
      </w:r>
      <w:r w:rsidRPr="006E5A24">
        <w:rPr>
          <w:color w:val="0F1115"/>
          <w:sz w:val="22"/>
          <w:szCs w:val="22"/>
        </w:rPr>
        <w:t>, 18(8), e248-e258.</w:t>
      </w:r>
    </w:p>
    <w:p w14:paraId="4A8C861F"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Osei Sekyere, J., &amp; Reta, M. A. (2020). Genomic and resistance epidemiology of Gram-negative bacteria in Africa: A systematic review and phylogenomic analyses from a One Health perspective. </w:t>
      </w:r>
      <w:r w:rsidRPr="006E5A24">
        <w:rPr>
          <w:rStyle w:val="Emphasis"/>
          <w:color w:val="0F1115"/>
          <w:sz w:val="22"/>
          <w:szCs w:val="22"/>
        </w:rPr>
        <w:t>mSystems</w:t>
      </w:r>
      <w:r w:rsidRPr="006E5A24">
        <w:rPr>
          <w:color w:val="0F1115"/>
          <w:sz w:val="22"/>
          <w:szCs w:val="22"/>
        </w:rPr>
        <w:t>, 5(5), e00897-20.</w:t>
      </w:r>
    </w:p>
    <w:p w14:paraId="0C0241EF"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Ounoussa Tapha, A., Yacouba, A., Degbey, C., Mamoudou Issa Koukou, N., Abass Albana, I., Moussa Saley, S., Hanki, Y., Mounkaila, B., Doutchi, M., Brah, S., &amp; Mamadou, S. (2025). Antibiotic resistance of non-fermenting Gram-negative bacilli in a tertiary hospital in Niger: a prospective cross-sectional study. </w:t>
      </w:r>
      <w:r w:rsidRPr="006E5A24">
        <w:rPr>
          <w:rStyle w:val="Emphasis"/>
          <w:color w:val="0F1115"/>
          <w:sz w:val="22"/>
          <w:szCs w:val="22"/>
        </w:rPr>
        <w:t>BMJ Open</w:t>
      </w:r>
      <w:r w:rsidRPr="006E5A24">
        <w:rPr>
          <w:color w:val="0F1115"/>
          <w:sz w:val="22"/>
          <w:szCs w:val="22"/>
        </w:rPr>
        <w:t>, 15(7), e092753. </w:t>
      </w:r>
      <w:hyperlink r:id="rId26" w:tgtFrame="_blank" w:history="1">
        <w:r w:rsidRPr="006E5A24">
          <w:rPr>
            <w:rStyle w:val="Hyperlink"/>
            <w:sz w:val="22"/>
            <w:szCs w:val="22"/>
          </w:rPr>
          <w:t>https://doi.org/10.1136/bmjopen-2024-092753</w:t>
        </w:r>
      </w:hyperlink>
    </w:p>
    <w:p w14:paraId="4DA82C2A"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Peter, I. U., Obike, O. C., Ngwu, J. N., Emeruwa, A. P., Okolo, I. O., &amp; Mohammed, I. D. (2025). Prevalence of biofilm-forming and carbapenemase-producing Gram-negative bacilli colonizing indwelling urinary catheters of patients. </w:t>
      </w:r>
      <w:r w:rsidRPr="006E5A24">
        <w:rPr>
          <w:rStyle w:val="Emphasis"/>
          <w:color w:val="0F1115"/>
          <w:sz w:val="22"/>
          <w:szCs w:val="22"/>
        </w:rPr>
        <w:t>UMYU Scientifica</w:t>
      </w:r>
      <w:r w:rsidRPr="006E5A24">
        <w:rPr>
          <w:color w:val="0F1115"/>
          <w:sz w:val="22"/>
          <w:szCs w:val="22"/>
        </w:rPr>
        <w:t>, 4(2), 270-284. </w:t>
      </w:r>
      <w:hyperlink r:id="rId27" w:tgtFrame="_blank" w:history="1">
        <w:r w:rsidRPr="006E5A24">
          <w:rPr>
            <w:rStyle w:val="Hyperlink"/>
            <w:sz w:val="22"/>
            <w:szCs w:val="22"/>
          </w:rPr>
          <w:t>https://doi.org/10.56919/usci.2542.027</w:t>
        </w:r>
      </w:hyperlink>
    </w:p>
    <w:p w14:paraId="47B325E4"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Pfeifer, Y., Cullik, A., &amp; Witte, W. (2010). Resistance to cephalosporins and carbapenems in Gram-negative bacterial pathogens. </w:t>
      </w:r>
      <w:r w:rsidRPr="006E5A24">
        <w:rPr>
          <w:rStyle w:val="Emphasis"/>
          <w:color w:val="0F1115"/>
          <w:sz w:val="22"/>
          <w:szCs w:val="22"/>
        </w:rPr>
        <w:t>International Journal of Medical Microbiology</w:t>
      </w:r>
      <w:r w:rsidRPr="006E5A24">
        <w:rPr>
          <w:color w:val="0F1115"/>
          <w:sz w:val="22"/>
          <w:szCs w:val="22"/>
        </w:rPr>
        <w:t>, 300(6), 371-379.</w:t>
      </w:r>
    </w:p>
    <w:p w14:paraId="3EC1857A"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Saeli, N., Jafari-Ramedani, S., &amp; Ramazanzadeh, R. (2024). Prevalence and mechanisms of aminoglycoside resistance among drug-resistant </w:t>
      </w:r>
      <w:r w:rsidRPr="006E5A24">
        <w:rPr>
          <w:rStyle w:val="Emphasis"/>
          <w:color w:val="0F1115"/>
          <w:sz w:val="22"/>
          <w:szCs w:val="22"/>
        </w:rPr>
        <w:t>Pseudomonas aeruginosa</w:t>
      </w:r>
      <w:r w:rsidRPr="006E5A24">
        <w:rPr>
          <w:color w:val="0F1115"/>
          <w:sz w:val="22"/>
          <w:szCs w:val="22"/>
        </w:rPr>
        <w:t> clinical isolates in Iran. </w:t>
      </w:r>
      <w:r w:rsidRPr="006E5A24">
        <w:rPr>
          <w:rStyle w:val="Emphasis"/>
          <w:color w:val="0F1115"/>
          <w:sz w:val="22"/>
          <w:szCs w:val="22"/>
        </w:rPr>
        <w:t>BMC Infectious Diseases</w:t>
      </w:r>
      <w:r w:rsidRPr="006E5A24">
        <w:rPr>
          <w:color w:val="0F1115"/>
          <w:sz w:val="22"/>
          <w:szCs w:val="22"/>
        </w:rPr>
        <w:t>, 24, 680.</w:t>
      </w:r>
    </w:p>
    <w:p w14:paraId="212A7782"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lastRenderedPageBreak/>
        <w:t>Sah, A. K., &amp; Feglo, P. K. (2022). Plasmid-mediated quinolone resistance determinants in clinical bacterial pathogens isolated from the Western Region of Ghana: a cross-sectional study. </w:t>
      </w:r>
      <w:r w:rsidRPr="006E5A24">
        <w:rPr>
          <w:rStyle w:val="Emphasis"/>
          <w:color w:val="0F1115"/>
          <w:sz w:val="22"/>
          <w:szCs w:val="22"/>
        </w:rPr>
        <w:t>Pan African Medical Journal</w:t>
      </w:r>
      <w:r w:rsidRPr="006E5A24">
        <w:rPr>
          <w:color w:val="0F1115"/>
          <w:sz w:val="22"/>
          <w:szCs w:val="22"/>
        </w:rPr>
        <w:t>, 43, 207.</w:t>
      </w:r>
    </w:p>
    <w:p w14:paraId="75377610"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Solomon, F. B., Wadilo, F., Tufa, E. G., &amp; Mitiku, M. (2017). Extended spectrum and metallo-beta-lactamase producing airborne </w:t>
      </w:r>
      <w:r w:rsidRPr="006E5A24">
        <w:rPr>
          <w:rStyle w:val="Emphasis"/>
          <w:color w:val="0F1115"/>
          <w:sz w:val="22"/>
          <w:szCs w:val="22"/>
        </w:rPr>
        <w:t>Pseudomonas aeruginosa</w:t>
      </w:r>
      <w:r w:rsidRPr="006E5A24">
        <w:rPr>
          <w:color w:val="0F1115"/>
          <w:sz w:val="22"/>
          <w:szCs w:val="22"/>
        </w:rPr>
        <w:t> and </w:t>
      </w:r>
      <w:r w:rsidRPr="006E5A24">
        <w:rPr>
          <w:rStyle w:val="Emphasis"/>
          <w:color w:val="0F1115"/>
          <w:sz w:val="22"/>
          <w:szCs w:val="22"/>
        </w:rPr>
        <w:t>Acinetobacter baumannii</w:t>
      </w:r>
      <w:r w:rsidRPr="006E5A24">
        <w:rPr>
          <w:color w:val="0F1115"/>
          <w:sz w:val="22"/>
          <w:szCs w:val="22"/>
        </w:rPr>
        <w:t> in restricted settings of a referral hospital: A neglected condition. </w:t>
      </w:r>
      <w:r w:rsidRPr="006E5A24">
        <w:rPr>
          <w:rStyle w:val="Emphasis"/>
          <w:color w:val="0F1115"/>
          <w:sz w:val="22"/>
          <w:szCs w:val="22"/>
        </w:rPr>
        <w:t>Antimicrobial Resistance and Infection Control</w:t>
      </w:r>
      <w:r w:rsidRPr="006E5A24">
        <w:rPr>
          <w:color w:val="0F1115"/>
          <w:sz w:val="22"/>
          <w:szCs w:val="22"/>
        </w:rPr>
        <w:t>, 6, 106.</w:t>
      </w:r>
    </w:p>
    <w:p w14:paraId="6BB93AB9"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Tacconelli, E., Carrara, E., Savoldi, A., Harbarth, S., Mendelson, M., Monnet, D. L., Pulcini, C., Kahlmeter, G., Kluytmans, J., Carmeli, Y., Ouellette, M., Outterson, K., Patel, J., Cavaleri, M., Cox, E. M., Houchens, C. R., Grayson, M. L., Hansen, P., Singh, N., Theuretzbacher, U., &amp; Magrini, N. (WHO Pathogens Priority List Working Group). (2018). Discovery, research, and development of new antibiotics: the WHO priority list of antibiotic-resistant bacteria and tuberculosis. </w:t>
      </w:r>
      <w:r w:rsidRPr="006E5A24">
        <w:rPr>
          <w:rStyle w:val="Emphasis"/>
          <w:color w:val="0F1115"/>
          <w:sz w:val="22"/>
          <w:szCs w:val="22"/>
        </w:rPr>
        <w:t>Lancet Infectious Diseases</w:t>
      </w:r>
      <w:r w:rsidRPr="006E5A24">
        <w:rPr>
          <w:color w:val="0F1115"/>
          <w:sz w:val="22"/>
          <w:szCs w:val="22"/>
        </w:rPr>
        <w:t>, 18(3), 318-327. </w:t>
      </w:r>
      <w:hyperlink r:id="rId28" w:tgtFrame="_blank" w:history="1">
        <w:r w:rsidRPr="006E5A24">
          <w:rPr>
            <w:rStyle w:val="Hyperlink"/>
            <w:sz w:val="22"/>
            <w:szCs w:val="22"/>
          </w:rPr>
          <w:t>https://doi.org/10.1016/S1473-3099(17)30753-3</w:t>
        </w:r>
      </w:hyperlink>
    </w:p>
    <w:p w14:paraId="3C0EAF3D"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Ugbo, E. N., Afiukwa, F. N., Effendi, M. H., Darkwah, S., Odoom, A., &amp; Donkor, E. S. (2026). Multidrug-resistant pathogen clonal spread in Nigeria: A systematic review and meta-analysis. </w:t>
      </w:r>
      <w:r w:rsidRPr="006E5A24">
        <w:rPr>
          <w:rStyle w:val="Emphasis"/>
          <w:color w:val="0F1115"/>
          <w:sz w:val="22"/>
          <w:szCs w:val="22"/>
        </w:rPr>
        <w:t>Health Science Reports</w:t>
      </w:r>
      <w:r w:rsidRPr="006E5A24">
        <w:rPr>
          <w:color w:val="0F1115"/>
          <w:sz w:val="22"/>
          <w:szCs w:val="22"/>
        </w:rPr>
        <w:t>, 9(3), e71740.</w:t>
      </w:r>
    </w:p>
    <w:p w14:paraId="1A657D85"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Venkataramana, G. P., Lalitha, A. K. V., Mariappan, S., &amp; Sekar, U. (2022). Plasmid-mediated fluoroquinolone resistance in </w:t>
      </w:r>
      <w:r w:rsidRPr="006E5A24">
        <w:rPr>
          <w:rStyle w:val="Emphasis"/>
          <w:color w:val="0F1115"/>
          <w:sz w:val="22"/>
          <w:szCs w:val="22"/>
        </w:rPr>
        <w:t>Pseudomonas aeruginosa</w:t>
      </w:r>
      <w:r w:rsidRPr="006E5A24">
        <w:rPr>
          <w:color w:val="0F1115"/>
          <w:sz w:val="22"/>
          <w:szCs w:val="22"/>
        </w:rPr>
        <w:t> and </w:t>
      </w:r>
      <w:r w:rsidRPr="006E5A24">
        <w:rPr>
          <w:rStyle w:val="Emphasis"/>
          <w:color w:val="0F1115"/>
          <w:sz w:val="22"/>
          <w:szCs w:val="22"/>
        </w:rPr>
        <w:t>Acinetobacter baumannii</w:t>
      </w:r>
      <w:r w:rsidRPr="006E5A24">
        <w:rPr>
          <w:color w:val="0F1115"/>
          <w:sz w:val="22"/>
          <w:szCs w:val="22"/>
        </w:rPr>
        <w:t>. </w:t>
      </w:r>
      <w:r w:rsidRPr="006E5A24">
        <w:rPr>
          <w:rStyle w:val="Emphasis"/>
          <w:color w:val="0F1115"/>
          <w:sz w:val="22"/>
          <w:szCs w:val="22"/>
        </w:rPr>
        <w:t>Journal of Laboratory Physicians</w:t>
      </w:r>
      <w:r w:rsidRPr="006E5A24">
        <w:rPr>
          <w:color w:val="0F1115"/>
          <w:sz w:val="22"/>
          <w:szCs w:val="22"/>
        </w:rPr>
        <w:t>, 14(3), 271-277. </w:t>
      </w:r>
      <w:hyperlink r:id="rId29" w:tgtFrame="_blank" w:history="1">
        <w:r w:rsidRPr="006E5A24">
          <w:rPr>
            <w:rStyle w:val="Hyperlink"/>
            <w:sz w:val="22"/>
            <w:szCs w:val="22"/>
          </w:rPr>
          <w:t>https://doi.org/10.1055/s-0042-1742636</w:t>
        </w:r>
      </w:hyperlink>
    </w:p>
    <w:p w14:paraId="428D204C"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Vila, J., Ruiz, J., Goñi, P., &amp; Jimenez de Anta, T. (1997). Quinolone-resistance mutations in the topoisomerase IV parC gene of </w:t>
      </w:r>
      <w:r w:rsidRPr="006E5A24">
        <w:rPr>
          <w:rStyle w:val="Emphasis"/>
          <w:color w:val="0F1115"/>
          <w:sz w:val="22"/>
          <w:szCs w:val="22"/>
        </w:rPr>
        <w:t>Acinetobacter baumannii</w:t>
      </w:r>
      <w:r w:rsidRPr="006E5A24">
        <w:rPr>
          <w:color w:val="0F1115"/>
          <w:sz w:val="22"/>
          <w:szCs w:val="22"/>
        </w:rPr>
        <w:t>. </w:t>
      </w:r>
      <w:r w:rsidRPr="006E5A24">
        <w:rPr>
          <w:rStyle w:val="Emphasis"/>
          <w:color w:val="0F1115"/>
          <w:sz w:val="22"/>
          <w:szCs w:val="22"/>
        </w:rPr>
        <w:t>Journal of Antimicrobial Chemotherapy</w:t>
      </w:r>
      <w:r w:rsidRPr="006E5A24">
        <w:rPr>
          <w:color w:val="0F1115"/>
          <w:sz w:val="22"/>
          <w:szCs w:val="22"/>
        </w:rPr>
        <w:t>, 39(6), 757-762. </w:t>
      </w:r>
      <w:hyperlink r:id="rId30" w:tgtFrame="_blank" w:history="1">
        <w:r w:rsidRPr="006E5A24">
          <w:rPr>
            <w:rStyle w:val="Hyperlink"/>
            <w:sz w:val="22"/>
            <w:szCs w:val="22"/>
          </w:rPr>
          <w:t>https://doi.org/10.1093/jac/39.6.757</w:t>
        </w:r>
      </w:hyperlink>
    </w:p>
    <w:p w14:paraId="3B1CDA4D"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Vila, J., Ruiz, J., Goñi, P., Marcos, A., &amp; Jimenez de Anta, T. (1995). Mutation in the gyrA gene of quinolone-resistant clinical isolates of </w:t>
      </w:r>
      <w:r w:rsidRPr="006E5A24">
        <w:rPr>
          <w:rStyle w:val="Emphasis"/>
          <w:color w:val="0F1115"/>
          <w:sz w:val="22"/>
          <w:szCs w:val="22"/>
        </w:rPr>
        <w:t>Acinetobacter baumannii</w:t>
      </w:r>
      <w:r w:rsidRPr="006E5A24">
        <w:rPr>
          <w:color w:val="0F1115"/>
          <w:sz w:val="22"/>
          <w:szCs w:val="22"/>
        </w:rPr>
        <w:t>. </w:t>
      </w:r>
      <w:r w:rsidRPr="006E5A24">
        <w:rPr>
          <w:rStyle w:val="Emphasis"/>
          <w:color w:val="0F1115"/>
          <w:sz w:val="22"/>
          <w:szCs w:val="22"/>
        </w:rPr>
        <w:t>Antimicrobial Agents and Chemotherapy</w:t>
      </w:r>
      <w:r w:rsidRPr="006E5A24">
        <w:rPr>
          <w:color w:val="0F1115"/>
          <w:sz w:val="22"/>
          <w:szCs w:val="22"/>
        </w:rPr>
        <w:t>, 39(5), 1201-1203. </w:t>
      </w:r>
      <w:hyperlink r:id="rId31" w:tgtFrame="_blank" w:history="1">
        <w:r w:rsidRPr="006E5A24">
          <w:rPr>
            <w:rStyle w:val="Hyperlink"/>
            <w:sz w:val="22"/>
            <w:szCs w:val="22"/>
          </w:rPr>
          <w:t>https://doi.org/10.1128/AAC.39.5.1201</w:t>
        </w:r>
      </w:hyperlink>
    </w:p>
    <w:p w14:paraId="5CEF9BE1"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World Health Organization (WHO). (2021). </w:t>
      </w:r>
      <w:r w:rsidRPr="006E5A24">
        <w:rPr>
          <w:rStyle w:val="Emphasis"/>
          <w:color w:val="0F1115"/>
          <w:sz w:val="22"/>
          <w:szCs w:val="22"/>
        </w:rPr>
        <w:t>WHO priority pathogens list for R&amp;D of new antibiotics</w:t>
      </w:r>
      <w:r w:rsidRPr="006E5A24">
        <w:rPr>
          <w:color w:val="0F1115"/>
          <w:sz w:val="22"/>
          <w:szCs w:val="22"/>
        </w:rPr>
        <w:t>. World Health Organization.</w:t>
      </w:r>
    </w:p>
    <w:p w14:paraId="6F3BF3C2" w14:textId="77777777" w:rsidR="006C0CB7" w:rsidRPr="006E5A24" w:rsidRDefault="006C0CB7" w:rsidP="006C0CB7">
      <w:pPr>
        <w:pStyle w:val="ds-markdown-paragraph"/>
        <w:numPr>
          <w:ilvl w:val="0"/>
          <w:numId w:val="2"/>
        </w:numPr>
        <w:shd w:val="clear" w:color="auto" w:fill="FFFFFF"/>
        <w:spacing w:after="0" w:afterAutospacing="0"/>
        <w:jc w:val="both"/>
        <w:rPr>
          <w:color w:val="0F1115"/>
          <w:sz w:val="22"/>
          <w:szCs w:val="22"/>
        </w:rPr>
      </w:pPr>
      <w:r w:rsidRPr="006E5A24">
        <w:rPr>
          <w:color w:val="0F1115"/>
          <w:sz w:val="22"/>
          <w:szCs w:val="22"/>
        </w:rPr>
        <w:t>Yamane, K., Wachino, J., &amp; Suzuki, S. (2008). Plasmid-mediated qepA gene among </w:t>
      </w:r>
      <w:r w:rsidRPr="006E5A24">
        <w:rPr>
          <w:rStyle w:val="Emphasis"/>
          <w:color w:val="0F1115"/>
          <w:sz w:val="22"/>
          <w:szCs w:val="22"/>
        </w:rPr>
        <w:t>Escherichia coli</w:t>
      </w:r>
      <w:r w:rsidRPr="006E5A24">
        <w:rPr>
          <w:color w:val="0F1115"/>
          <w:sz w:val="22"/>
          <w:szCs w:val="22"/>
        </w:rPr>
        <w:t> clinical isolates from Japan. </w:t>
      </w:r>
      <w:r w:rsidRPr="006E5A24">
        <w:rPr>
          <w:rStyle w:val="Emphasis"/>
          <w:color w:val="0F1115"/>
          <w:sz w:val="22"/>
          <w:szCs w:val="22"/>
        </w:rPr>
        <w:t>Antimicrobial Agents and Chemotherapy</w:t>
      </w:r>
      <w:r w:rsidRPr="006E5A24">
        <w:rPr>
          <w:color w:val="0F1115"/>
          <w:sz w:val="22"/>
          <w:szCs w:val="22"/>
        </w:rPr>
        <w:t>, 52(4), 1564-1566. </w:t>
      </w:r>
      <w:hyperlink r:id="rId32" w:tgtFrame="_blank" w:history="1">
        <w:r w:rsidRPr="006E5A24">
          <w:rPr>
            <w:rStyle w:val="Hyperlink"/>
            <w:sz w:val="22"/>
            <w:szCs w:val="22"/>
          </w:rPr>
          <w:t>https://doi.org/10.1128/AAC.01137-07</w:t>
        </w:r>
      </w:hyperlink>
    </w:p>
    <w:p w14:paraId="6A033E54" w14:textId="77777777" w:rsidR="006C0CB7" w:rsidRPr="00B01E80" w:rsidRDefault="006C0CB7" w:rsidP="006C0CB7">
      <w:pPr>
        <w:pStyle w:val="ds-markdown-paragraph"/>
        <w:shd w:val="clear" w:color="auto" w:fill="FFFFFF"/>
        <w:spacing w:before="240" w:beforeAutospacing="0" w:after="0" w:afterAutospacing="0"/>
        <w:rPr>
          <w:color w:val="0F1115"/>
          <w:sz w:val="20"/>
          <w:szCs w:val="20"/>
        </w:rPr>
      </w:pPr>
    </w:p>
    <w:p w14:paraId="197B093D" w14:textId="77777777" w:rsidR="006C0CB7" w:rsidRPr="00B01E80" w:rsidRDefault="006C0CB7" w:rsidP="006C0CB7">
      <w:pPr>
        <w:spacing w:after="0"/>
        <w:jc w:val="both"/>
        <w:rPr>
          <w:rFonts w:ascii="Times New Roman" w:hAnsi="Times New Roman" w:cs="Times New Roman"/>
          <w:sz w:val="20"/>
          <w:szCs w:val="20"/>
        </w:rPr>
      </w:pPr>
    </w:p>
    <w:p w14:paraId="12B510B1" w14:textId="77777777" w:rsidR="007D70D5" w:rsidRPr="006C0CB7" w:rsidRDefault="007D70D5" w:rsidP="006C0CB7"/>
    <w:sectPr w:rsidR="007D70D5" w:rsidRPr="006C0CB7">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05070" w14:textId="77777777" w:rsidR="005C01D4" w:rsidRDefault="005C01D4" w:rsidP="00813903">
      <w:pPr>
        <w:spacing w:after="0" w:line="240" w:lineRule="auto"/>
      </w:pPr>
      <w:r>
        <w:separator/>
      </w:r>
    </w:p>
  </w:endnote>
  <w:endnote w:type="continuationSeparator" w:id="0">
    <w:p w14:paraId="24C3E65D" w14:textId="77777777" w:rsidR="005C01D4" w:rsidRDefault="005C01D4" w:rsidP="0081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144E3" w14:textId="77777777" w:rsidR="00813903" w:rsidRDefault="00813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FB150" w14:textId="77777777" w:rsidR="00813903" w:rsidRDefault="00813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04855" w14:textId="77777777" w:rsidR="00813903" w:rsidRDefault="00813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49DBC" w14:textId="77777777" w:rsidR="005C01D4" w:rsidRDefault="005C01D4" w:rsidP="00813903">
      <w:pPr>
        <w:spacing w:after="0" w:line="240" w:lineRule="auto"/>
      </w:pPr>
      <w:r>
        <w:separator/>
      </w:r>
    </w:p>
  </w:footnote>
  <w:footnote w:type="continuationSeparator" w:id="0">
    <w:p w14:paraId="0AB0F8C5" w14:textId="77777777" w:rsidR="005C01D4" w:rsidRDefault="005C01D4" w:rsidP="00813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93E06" w14:textId="56E7D440" w:rsidR="00813903" w:rsidRDefault="005C01D4">
    <w:pPr>
      <w:pStyle w:val="Header"/>
    </w:pPr>
    <w:r>
      <w:rPr>
        <w:noProof/>
      </w:rPr>
      <w:pict w14:anchorId="12AB7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095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8BC11" w14:textId="12BAEC74" w:rsidR="00813903" w:rsidRDefault="005C01D4">
    <w:pPr>
      <w:pStyle w:val="Header"/>
    </w:pPr>
    <w:r>
      <w:rPr>
        <w:noProof/>
      </w:rPr>
      <w:pict w14:anchorId="1303C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095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D0EAD" w14:textId="2B4DC19F" w:rsidR="00813903" w:rsidRDefault="005C01D4">
    <w:pPr>
      <w:pStyle w:val="Header"/>
    </w:pPr>
    <w:r>
      <w:rPr>
        <w:noProof/>
      </w:rPr>
      <w:pict w14:anchorId="5A813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095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709"/>
    <w:multiLevelType w:val="multilevel"/>
    <w:tmpl w:val="EC1CA4C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45D2C"/>
    <w:multiLevelType w:val="multilevel"/>
    <w:tmpl w:val="7AF6915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6A26AD"/>
    <w:multiLevelType w:val="multilevel"/>
    <w:tmpl w:val="F208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8D55D6"/>
    <w:multiLevelType w:val="hybridMultilevel"/>
    <w:tmpl w:val="96803D0A"/>
    <w:lvl w:ilvl="0" w:tplc="6D62B00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C5867"/>
    <w:multiLevelType w:val="multilevel"/>
    <w:tmpl w:val="5A141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042A58"/>
    <w:multiLevelType w:val="multilevel"/>
    <w:tmpl w:val="384C305A"/>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C6473F"/>
    <w:multiLevelType w:val="multilevel"/>
    <w:tmpl w:val="0604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023F8"/>
    <w:multiLevelType w:val="multilevel"/>
    <w:tmpl w:val="349CC9D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5C02EA"/>
    <w:multiLevelType w:val="hybridMultilevel"/>
    <w:tmpl w:val="EA242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A41FF4"/>
    <w:multiLevelType w:val="multilevel"/>
    <w:tmpl w:val="1116BA9E"/>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4"/>
  </w:num>
  <w:num w:numId="4">
    <w:abstractNumId w:val="2"/>
  </w:num>
  <w:num w:numId="5">
    <w:abstractNumId w:val="1"/>
  </w:num>
  <w:num w:numId="6">
    <w:abstractNumId w:val="0"/>
  </w:num>
  <w:num w:numId="7">
    <w:abstractNumId w:val="7"/>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6F"/>
    <w:rsid w:val="00001373"/>
    <w:rsid w:val="00004458"/>
    <w:rsid w:val="0000536F"/>
    <w:rsid w:val="00006587"/>
    <w:rsid w:val="00015D7C"/>
    <w:rsid w:val="00025160"/>
    <w:rsid w:val="00044A09"/>
    <w:rsid w:val="00047D84"/>
    <w:rsid w:val="00055BA5"/>
    <w:rsid w:val="00060782"/>
    <w:rsid w:val="00061C9E"/>
    <w:rsid w:val="00097F2D"/>
    <w:rsid w:val="000A5112"/>
    <w:rsid w:val="000A6C6D"/>
    <w:rsid w:val="000A72A1"/>
    <w:rsid w:val="000B1088"/>
    <w:rsid w:val="000C3535"/>
    <w:rsid w:val="000C6834"/>
    <w:rsid w:val="000F5F82"/>
    <w:rsid w:val="00106241"/>
    <w:rsid w:val="001305B1"/>
    <w:rsid w:val="0013708C"/>
    <w:rsid w:val="001B170D"/>
    <w:rsid w:val="001B4C9F"/>
    <w:rsid w:val="001D201A"/>
    <w:rsid w:val="001E671B"/>
    <w:rsid w:val="001F1151"/>
    <w:rsid w:val="00224FA8"/>
    <w:rsid w:val="002264A1"/>
    <w:rsid w:val="00254479"/>
    <w:rsid w:val="00260A44"/>
    <w:rsid w:val="00260B6C"/>
    <w:rsid w:val="002850D5"/>
    <w:rsid w:val="00290640"/>
    <w:rsid w:val="00291461"/>
    <w:rsid w:val="002918B7"/>
    <w:rsid w:val="002A059C"/>
    <w:rsid w:val="002A5D50"/>
    <w:rsid w:val="002B59D7"/>
    <w:rsid w:val="002D00BA"/>
    <w:rsid w:val="002D5F07"/>
    <w:rsid w:val="002E0B99"/>
    <w:rsid w:val="00302787"/>
    <w:rsid w:val="003106C6"/>
    <w:rsid w:val="00331452"/>
    <w:rsid w:val="0033370E"/>
    <w:rsid w:val="00343227"/>
    <w:rsid w:val="0035110C"/>
    <w:rsid w:val="00373AA2"/>
    <w:rsid w:val="00374C36"/>
    <w:rsid w:val="0037580B"/>
    <w:rsid w:val="003B7AC2"/>
    <w:rsid w:val="003C3FEA"/>
    <w:rsid w:val="003C5D85"/>
    <w:rsid w:val="003D14E3"/>
    <w:rsid w:val="003D33AC"/>
    <w:rsid w:val="003E3D6F"/>
    <w:rsid w:val="0040374A"/>
    <w:rsid w:val="00403CDE"/>
    <w:rsid w:val="0040592F"/>
    <w:rsid w:val="00414034"/>
    <w:rsid w:val="0042565D"/>
    <w:rsid w:val="004256BF"/>
    <w:rsid w:val="00431F10"/>
    <w:rsid w:val="00471E75"/>
    <w:rsid w:val="00487D56"/>
    <w:rsid w:val="004946C8"/>
    <w:rsid w:val="004A2DD7"/>
    <w:rsid w:val="004C3628"/>
    <w:rsid w:val="004C6538"/>
    <w:rsid w:val="004C7942"/>
    <w:rsid w:val="004D3F92"/>
    <w:rsid w:val="004D5B4F"/>
    <w:rsid w:val="004D7359"/>
    <w:rsid w:val="004F0479"/>
    <w:rsid w:val="00506346"/>
    <w:rsid w:val="00510630"/>
    <w:rsid w:val="005220D2"/>
    <w:rsid w:val="00523EFA"/>
    <w:rsid w:val="00543338"/>
    <w:rsid w:val="0057177C"/>
    <w:rsid w:val="0058325A"/>
    <w:rsid w:val="0059531B"/>
    <w:rsid w:val="005A4EB3"/>
    <w:rsid w:val="005C01D4"/>
    <w:rsid w:val="005D3C65"/>
    <w:rsid w:val="00607D9A"/>
    <w:rsid w:val="0062402A"/>
    <w:rsid w:val="00631064"/>
    <w:rsid w:val="00644B35"/>
    <w:rsid w:val="0065591C"/>
    <w:rsid w:val="006775BC"/>
    <w:rsid w:val="006A4421"/>
    <w:rsid w:val="006C0CB7"/>
    <w:rsid w:val="006E391C"/>
    <w:rsid w:val="006E49D0"/>
    <w:rsid w:val="006E5A24"/>
    <w:rsid w:val="006F0587"/>
    <w:rsid w:val="00716361"/>
    <w:rsid w:val="007176F7"/>
    <w:rsid w:val="00725290"/>
    <w:rsid w:val="00735E43"/>
    <w:rsid w:val="00753603"/>
    <w:rsid w:val="007805F9"/>
    <w:rsid w:val="007864BC"/>
    <w:rsid w:val="007B0431"/>
    <w:rsid w:val="007B4CD6"/>
    <w:rsid w:val="007B76F2"/>
    <w:rsid w:val="007C2E98"/>
    <w:rsid w:val="007D44F1"/>
    <w:rsid w:val="007D70D5"/>
    <w:rsid w:val="00813903"/>
    <w:rsid w:val="00823745"/>
    <w:rsid w:val="00827110"/>
    <w:rsid w:val="008416CE"/>
    <w:rsid w:val="00853A38"/>
    <w:rsid w:val="008646E7"/>
    <w:rsid w:val="00871C17"/>
    <w:rsid w:val="008877F2"/>
    <w:rsid w:val="00897B69"/>
    <w:rsid w:val="008A16F0"/>
    <w:rsid w:val="008A7C24"/>
    <w:rsid w:val="008C0D19"/>
    <w:rsid w:val="008F6151"/>
    <w:rsid w:val="00907CF0"/>
    <w:rsid w:val="00930F35"/>
    <w:rsid w:val="00932F71"/>
    <w:rsid w:val="0095007F"/>
    <w:rsid w:val="00953DA2"/>
    <w:rsid w:val="00961F45"/>
    <w:rsid w:val="00963068"/>
    <w:rsid w:val="0096694B"/>
    <w:rsid w:val="00983C64"/>
    <w:rsid w:val="00984023"/>
    <w:rsid w:val="00985CCF"/>
    <w:rsid w:val="009B0727"/>
    <w:rsid w:val="009B077A"/>
    <w:rsid w:val="009C0C52"/>
    <w:rsid w:val="009E4961"/>
    <w:rsid w:val="009F4A5D"/>
    <w:rsid w:val="009F507E"/>
    <w:rsid w:val="00A23084"/>
    <w:rsid w:val="00A304EE"/>
    <w:rsid w:val="00A338F4"/>
    <w:rsid w:val="00A43AA2"/>
    <w:rsid w:val="00AD3580"/>
    <w:rsid w:val="00AE5C9B"/>
    <w:rsid w:val="00B01E80"/>
    <w:rsid w:val="00B0753C"/>
    <w:rsid w:val="00B31529"/>
    <w:rsid w:val="00B46538"/>
    <w:rsid w:val="00B47ACD"/>
    <w:rsid w:val="00B56C48"/>
    <w:rsid w:val="00B77CFF"/>
    <w:rsid w:val="00B82D1D"/>
    <w:rsid w:val="00B90884"/>
    <w:rsid w:val="00B91535"/>
    <w:rsid w:val="00BB4FCB"/>
    <w:rsid w:val="00BD5E1C"/>
    <w:rsid w:val="00BF4C2B"/>
    <w:rsid w:val="00C231D8"/>
    <w:rsid w:val="00C63953"/>
    <w:rsid w:val="00C748D8"/>
    <w:rsid w:val="00CB39B7"/>
    <w:rsid w:val="00CB7510"/>
    <w:rsid w:val="00CC2B41"/>
    <w:rsid w:val="00CD171D"/>
    <w:rsid w:val="00CE2C6D"/>
    <w:rsid w:val="00D25636"/>
    <w:rsid w:val="00D5195B"/>
    <w:rsid w:val="00D5322A"/>
    <w:rsid w:val="00D676F8"/>
    <w:rsid w:val="00D7032C"/>
    <w:rsid w:val="00D8047B"/>
    <w:rsid w:val="00D81FB5"/>
    <w:rsid w:val="00D906C0"/>
    <w:rsid w:val="00DA3E3C"/>
    <w:rsid w:val="00DC0CAF"/>
    <w:rsid w:val="00E003AB"/>
    <w:rsid w:val="00E06655"/>
    <w:rsid w:val="00E27FD3"/>
    <w:rsid w:val="00E300EB"/>
    <w:rsid w:val="00E4535E"/>
    <w:rsid w:val="00E552C2"/>
    <w:rsid w:val="00E55A64"/>
    <w:rsid w:val="00E80887"/>
    <w:rsid w:val="00E90E75"/>
    <w:rsid w:val="00EA3C17"/>
    <w:rsid w:val="00EA7B0C"/>
    <w:rsid w:val="00EE5FAC"/>
    <w:rsid w:val="00EF440F"/>
    <w:rsid w:val="00EF6AC7"/>
    <w:rsid w:val="00F27D06"/>
    <w:rsid w:val="00F43FAB"/>
    <w:rsid w:val="00F55300"/>
    <w:rsid w:val="00F64C8A"/>
    <w:rsid w:val="00F721CE"/>
    <w:rsid w:val="00F91BBF"/>
    <w:rsid w:val="00FD6104"/>
    <w:rsid w:val="00FE6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E80F6B"/>
  <w15:chartTrackingRefBased/>
  <w15:docId w15:val="{3CEC8729-C25E-4967-82F5-80827337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CB7"/>
  </w:style>
  <w:style w:type="paragraph" w:styleId="Heading1">
    <w:name w:val="heading 1"/>
    <w:basedOn w:val="Normal"/>
    <w:next w:val="Normal"/>
    <w:link w:val="Heading1Char"/>
    <w:uiPriority w:val="9"/>
    <w:qFormat/>
    <w:rsid w:val="007163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465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00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53A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5290"/>
    <w:rPr>
      <w:b/>
      <w:bCs/>
    </w:rPr>
  </w:style>
  <w:style w:type="character" w:styleId="Emphasis">
    <w:name w:val="Emphasis"/>
    <w:basedOn w:val="DefaultParagraphFont"/>
    <w:uiPriority w:val="20"/>
    <w:qFormat/>
    <w:rsid w:val="00725290"/>
    <w:rPr>
      <w:i/>
      <w:iCs/>
    </w:rPr>
  </w:style>
  <w:style w:type="character" w:customStyle="1" w:styleId="Heading2Char">
    <w:name w:val="Heading 2 Char"/>
    <w:basedOn w:val="DefaultParagraphFont"/>
    <w:link w:val="Heading2"/>
    <w:uiPriority w:val="9"/>
    <w:rsid w:val="00B46538"/>
    <w:rPr>
      <w:rFonts w:ascii="Times New Roman" w:eastAsia="Times New Roman" w:hAnsi="Times New Roman" w:cs="Times New Roman"/>
      <w:b/>
      <w:bCs/>
      <w:sz w:val="36"/>
      <w:szCs w:val="36"/>
    </w:rPr>
  </w:style>
  <w:style w:type="paragraph" w:customStyle="1" w:styleId="ds-markdown-paragraph">
    <w:name w:val="ds-markdown-paragraph"/>
    <w:basedOn w:val="Normal"/>
    <w:rsid w:val="00B465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500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53A38"/>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40374A"/>
    <w:rPr>
      <w:color w:val="0000FF"/>
      <w:u w:val="single"/>
    </w:rPr>
  </w:style>
  <w:style w:type="character" w:customStyle="1" w:styleId="Heading1Char">
    <w:name w:val="Heading 1 Char"/>
    <w:basedOn w:val="DefaultParagraphFont"/>
    <w:link w:val="Heading1"/>
    <w:uiPriority w:val="9"/>
    <w:rsid w:val="00716361"/>
    <w:rPr>
      <w:rFonts w:asciiTheme="majorHAnsi" w:eastAsiaTheme="majorEastAsia" w:hAnsiTheme="majorHAnsi" w:cstheme="majorBidi"/>
      <w:color w:val="2E74B5" w:themeColor="accent1" w:themeShade="BF"/>
      <w:sz w:val="32"/>
      <w:szCs w:val="32"/>
    </w:rPr>
  </w:style>
  <w:style w:type="character" w:customStyle="1" w:styleId="period">
    <w:name w:val="period"/>
    <w:basedOn w:val="DefaultParagraphFont"/>
    <w:rsid w:val="00716361"/>
  </w:style>
  <w:style w:type="character" w:customStyle="1" w:styleId="cit">
    <w:name w:val="cit"/>
    <w:basedOn w:val="DefaultParagraphFont"/>
    <w:rsid w:val="00716361"/>
  </w:style>
  <w:style w:type="character" w:customStyle="1" w:styleId="citation-doi">
    <w:name w:val="citation-doi"/>
    <w:basedOn w:val="DefaultParagraphFont"/>
    <w:rsid w:val="00716361"/>
  </w:style>
  <w:style w:type="character" w:customStyle="1" w:styleId="authors-list-item">
    <w:name w:val="authors-list-item"/>
    <w:basedOn w:val="DefaultParagraphFont"/>
    <w:rsid w:val="00716361"/>
  </w:style>
  <w:style w:type="character" w:customStyle="1" w:styleId="author-sup-separator">
    <w:name w:val="author-sup-separator"/>
    <w:basedOn w:val="DefaultParagraphFont"/>
    <w:rsid w:val="00716361"/>
  </w:style>
  <w:style w:type="character" w:customStyle="1" w:styleId="comma">
    <w:name w:val="comma"/>
    <w:basedOn w:val="DefaultParagraphFont"/>
    <w:rsid w:val="00716361"/>
  </w:style>
  <w:style w:type="character" w:customStyle="1" w:styleId="name">
    <w:name w:val="name"/>
    <w:basedOn w:val="DefaultParagraphFont"/>
    <w:rsid w:val="001B4C9F"/>
  </w:style>
  <w:style w:type="paragraph" w:styleId="ListParagraph">
    <w:name w:val="List Paragraph"/>
    <w:basedOn w:val="Normal"/>
    <w:uiPriority w:val="34"/>
    <w:qFormat/>
    <w:rsid w:val="001B4C9F"/>
    <w:pPr>
      <w:ind w:left="720"/>
      <w:contextualSpacing/>
    </w:pPr>
  </w:style>
  <w:style w:type="character" w:customStyle="1" w:styleId="semicolon">
    <w:name w:val="semicolon"/>
    <w:basedOn w:val="DefaultParagraphFont"/>
    <w:rsid w:val="000F5F82"/>
  </w:style>
  <w:style w:type="character" w:customStyle="1" w:styleId="secondary-date">
    <w:name w:val="secondary-date"/>
    <w:basedOn w:val="DefaultParagraphFont"/>
    <w:rsid w:val="000F5F82"/>
  </w:style>
  <w:style w:type="character" w:customStyle="1" w:styleId="UnresolvedMention1">
    <w:name w:val="Unresolved Mention1"/>
    <w:basedOn w:val="DefaultParagraphFont"/>
    <w:uiPriority w:val="99"/>
    <w:semiHidden/>
    <w:unhideWhenUsed/>
    <w:rsid w:val="003D14E3"/>
    <w:rPr>
      <w:color w:val="605E5C"/>
      <w:shd w:val="clear" w:color="auto" w:fill="E1DFDD"/>
    </w:rPr>
  </w:style>
  <w:style w:type="paragraph" w:styleId="Header">
    <w:name w:val="header"/>
    <w:basedOn w:val="Normal"/>
    <w:link w:val="HeaderChar"/>
    <w:uiPriority w:val="99"/>
    <w:unhideWhenUsed/>
    <w:rsid w:val="00813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903"/>
  </w:style>
  <w:style w:type="paragraph" w:styleId="Footer">
    <w:name w:val="footer"/>
    <w:basedOn w:val="Normal"/>
    <w:link w:val="FooterChar"/>
    <w:uiPriority w:val="99"/>
    <w:unhideWhenUsed/>
    <w:rsid w:val="00813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903"/>
  </w:style>
  <w:style w:type="character" w:styleId="CommentReference">
    <w:name w:val="annotation reference"/>
    <w:basedOn w:val="DefaultParagraphFont"/>
    <w:uiPriority w:val="99"/>
    <w:semiHidden/>
    <w:unhideWhenUsed/>
    <w:rsid w:val="006C0CB7"/>
    <w:rPr>
      <w:sz w:val="16"/>
      <w:szCs w:val="16"/>
    </w:rPr>
  </w:style>
  <w:style w:type="paragraph" w:styleId="CommentText">
    <w:name w:val="annotation text"/>
    <w:basedOn w:val="Normal"/>
    <w:link w:val="CommentTextChar"/>
    <w:uiPriority w:val="99"/>
    <w:semiHidden/>
    <w:unhideWhenUsed/>
    <w:rsid w:val="006C0CB7"/>
    <w:pPr>
      <w:spacing w:line="240" w:lineRule="auto"/>
    </w:pPr>
    <w:rPr>
      <w:sz w:val="20"/>
      <w:szCs w:val="20"/>
    </w:rPr>
  </w:style>
  <w:style w:type="character" w:customStyle="1" w:styleId="CommentTextChar">
    <w:name w:val="Comment Text Char"/>
    <w:basedOn w:val="DefaultParagraphFont"/>
    <w:link w:val="CommentText"/>
    <w:uiPriority w:val="99"/>
    <w:semiHidden/>
    <w:rsid w:val="006C0CB7"/>
    <w:rPr>
      <w:sz w:val="20"/>
      <w:szCs w:val="20"/>
    </w:rPr>
  </w:style>
  <w:style w:type="paragraph" w:styleId="CommentSubject">
    <w:name w:val="annotation subject"/>
    <w:basedOn w:val="CommentText"/>
    <w:next w:val="CommentText"/>
    <w:link w:val="CommentSubjectChar"/>
    <w:uiPriority w:val="99"/>
    <w:semiHidden/>
    <w:unhideWhenUsed/>
    <w:rsid w:val="006C0CB7"/>
    <w:rPr>
      <w:b/>
      <w:bCs/>
    </w:rPr>
  </w:style>
  <w:style w:type="character" w:customStyle="1" w:styleId="CommentSubjectChar">
    <w:name w:val="Comment Subject Char"/>
    <w:basedOn w:val="CommentTextChar"/>
    <w:link w:val="CommentSubject"/>
    <w:uiPriority w:val="99"/>
    <w:semiHidden/>
    <w:rsid w:val="006C0CB7"/>
    <w:rPr>
      <w:b/>
      <w:bCs/>
      <w:sz w:val="20"/>
      <w:szCs w:val="20"/>
    </w:rPr>
  </w:style>
  <w:style w:type="paragraph" w:styleId="BalloonText">
    <w:name w:val="Balloon Text"/>
    <w:basedOn w:val="Normal"/>
    <w:link w:val="BalloonTextChar"/>
    <w:uiPriority w:val="99"/>
    <w:semiHidden/>
    <w:unhideWhenUsed/>
    <w:rsid w:val="006C0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CB7"/>
    <w:rPr>
      <w:rFonts w:ascii="Segoe UI" w:hAnsi="Segoe UI" w:cs="Segoe UI"/>
      <w:sz w:val="18"/>
      <w:szCs w:val="18"/>
    </w:rPr>
  </w:style>
  <w:style w:type="paragraph" w:styleId="Revision">
    <w:name w:val="Revision"/>
    <w:hidden/>
    <w:uiPriority w:val="99"/>
    <w:semiHidden/>
    <w:rsid w:val="006C0C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336">
      <w:bodyDiv w:val="1"/>
      <w:marLeft w:val="0"/>
      <w:marRight w:val="0"/>
      <w:marTop w:val="0"/>
      <w:marBottom w:val="0"/>
      <w:divBdr>
        <w:top w:val="none" w:sz="0" w:space="0" w:color="auto"/>
        <w:left w:val="none" w:sz="0" w:space="0" w:color="auto"/>
        <w:bottom w:val="none" w:sz="0" w:space="0" w:color="auto"/>
        <w:right w:val="none" w:sz="0" w:space="0" w:color="auto"/>
      </w:divBdr>
    </w:div>
    <w:div w:id="255721922">
      <w:bodyDiv w:val="1"/>
      <w:marLeft w:val="0"/>
      <w:marRight w:val="0"/>
      <w:marTop w:val="0"/>
      <w:marBottom w:val="0"/>
      <w:divBdr>
        <w:top w:val="none" w:sz="0" w:space="0" w:color="auto"/>
        <w:left w:val="none" w:sz="0" w:space="0" w:color="auto"/>
        <w:bottom w:val="none" w:sz="0" w:space="0" w:color="auto"/>
        <w:right w:val="none" w:sz="0" w:space="0" w:color="auto"/>
      </w:divBdr>
    </w:div>
    <w:div w:id="260649084">
      <w:bodyDiv w:val="1"/>
      <w:marLeft w:val="0"/>
      <w:marRight w:val="0"/>
      <w:marTop w:val="0"/>
      <w:marBottom w:val="0"/>
      <w:divBdr>
        <w:top w:val="none" w:sz="0" w:space="0" w:color="auto"/>
        <w:left w:val="none" w:sz="0" w:space="0" w:color="auto"/>
        <w:bottom w:val="none" w:sz="0" w:space="0" w:color="auto"/>
        <w:right w:val="none" w:sz="0" w:space="0" w:color="auto"/>
      </w:divBdr>
      <w:divsChild>
        <w:div w:id="936714413">
          <w:marLeft w:val="0"/>
          <w:marRight w:val="0"/>
          <w:marTop w:val="0"/>
          <w:marBottom w:val="0"/>
          <w:divBdr>
            <w:top w:val="none" w:sz="0" w:space="0" w:color="auto"/>
            <w:left w:val="none" w:sz="0" w:space="0" w:color="auto"/>
            <w:bottom w:val="none" w:sz="0" w:space="0" w:color="auto"/>
            <w:right w:val="none" w:sz="0" w:space="0" w:color="auto"/>
          </w:divBdr>
          <w:divsChild>
            <w:div w:id="804391654">
              <w:marLeft w:val="0"/>
              <w:marRight w:val="0"/>
              <w:marTop w:val="0"/>
              <w:marBottom w:val="0"/>
              <w:divBdr>
                <w:top w:val="none" w:sz="0" w:space="0" w:color="auto"/>
                <w:left w:val="none" w:sz="0" w:space="0" w:color="auto"/>
                <w:bottom w:val="none" w:sz="0" w:space="0" w:color="auto"/>
                <w:right w:val="none" w:sz="0" w:space="0" w:color="auto"/>
              </w:divBdr>
            </w:div>
          </w:divsChild>
        </w:div>
        <w:div w:id="1364133689">
          <w:marLeft w:val="0"/>
          <w:marRight w:val="0"/>
          <w:marTop w:val="0"/>
          <w:marBottom w:val="0"/>
          <w:divBdr>
            <w:top w:val="none" w:sz="0" w:space="0" w:color="auto"/>
            <w:left w:val="none" w:sz="0" w:space="0" w:color="auto"/>
            <w:bottom w:val="none" w:sz="0" w:space="0" w:color="auto"/>
            <w:right w:val="none" w:sz="0" w:space="0" w:color="auto"/>
          </w:divBdr>
          <w:divsChild>
            <w:div w:id="69187715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02748184">
      <w:bodyDiv w:val="1"/>
      <w:marLeft w:val="0"/>
      <w:marRight w:val="0"/>
      <w:marTop w:val="0"/>
      <w:marBottom w:val="0"/>
      <w:divBdr>
        <w:top w:val="none" w:sz="0" w:space="0" w:color="auto"/>
        <w:left w:val="none" w:sz="0" w:space="0" w:color="auto"/>
        <w:bottom w:val="none" w:sz="0" w:space="0" w:color="auto"/>
        <w:right w:val="none" w:sz="0" w:space="0" w:color="auto"/>
      </w:divBdr>
      <w:divsChild>
        <w:div w:id="108356305">
          <w:marLeft w:val="0"/>
          <w:marRight w:val="0"/>
          <w:marTop w:val="0"/>
          <w:marBottom w:val="0"/>
          <w:divBdr>
            <w:top w:val="none" w:sz="0" w:space="0" w:color="auto"/>
            <w:left w:val="none" w:sz="0" w:space="0" w:color="auto"/>
            <w:bottom w:val="none" w:sz="0" w:space="0" w:color="auto"/>
            <w:right w:val="none" w:sz="0" w:space="0" w:color="auto"/>
          </w:divBdr>
        </w:div>
      </w:divsChild>
    </w:div>
    <w:div w:id="564680535">
      <w:bodyDiv w:val="1"/>
      <w:marLeft w:val="0"/>
      <w:marRight w:val="0"/>
      <w:marTop w:val="0"/>
      <w:marBottom w:val="0"/>
      <w:divBdr>
        <w:top w:val="none" w:sz="0" w:space="0" w:color="auto"/>
        <w:left w:val="none" w:sz="0" w:space="0" w:color="auto"/>
        <w:bottom w:val="none" w:sz="0" w:space="0" w:color="auto"/>
        <w:right w:val="none" w:sz="0" w:space="0" w:color="auto"/>
      </w:divBdr>
    </w:div>
    <w:div w:id="689525564">
      <w:bodyDiv w:val="1"/>
      <w:marLeft w:val="0"/>
      <w:marRight w:val="0"/>
      <w:marTop w:val="0"/>
      <w:marBottom w:val="0"/>
      <w:divBdr>
        <w:top w:val="none" w:sz="0" w:space="0" w:color="auto"/>
        <w:left w:val="none" w:sz="0" w:space="0" w:color="auto"/>
        <w:bottom w:val="none" w:sz="0" w:space="0" w:color="auto"/>
        <w:right w:val="none" w:sz="0" w:space="0" w:color="auto"/>
      </w:divBdr>
    </w:div>
    <w:div w:id="836723373">
      <w:bodyDiv w:val="1"/>
      <w:marLeft w:val="0"/>
      <w:marRight w:val="0"/>
      <w:marTop w:val="0"/>
      <w:marBottom w:val="0"/>
      <w:divBdr>
        <w:top w:val="none" w:sz="0" w:space="0" w:color="auto"/>
        <w:left w:val="none" w:sz="0" w:space="0" w:color="auto"/>
        <w:bottom w:val="none" w:sz="0" w:space="0" w:color="auto"/>
        <w:right w:val="none" w:sz="0" w:space="0" w:color="auto"/>
      </w:divBdr>
    </w:div>
    <w:div w:id="931818084">
      <w:bodyDiv w:val="1"/>
      <w:marLeft w:val="0"/>
      <w:marRight w:val="0"/>
      <w:marTop w:val="0"/>
      <w:marBottom w:val="0"/>
      <w:divBdr>
        <w:top w:val="none" w:sz="0" w:space="0" w:color="auto"/>
        <w:left w:val="none" w:sz="0" w:space="0" w:color="auto"/>
        <w:bottom w:val="none" w:sz="0" w:space="0" w:color="auto"/>
        <w:right w:val="none" w:sz="0" w:space="0" w:color="auto"/>
      </w:divBdr>
    </w:div>
    <w:div w:id="941957740">
      <w:bodyDiv w:val="1"/>
      <w:marLeft w:val="0"/>
      <w:marRight w:val="0"/>
      <w:marTop w:val="0"/>
      <w:marBottom w:val="0"/>
      <w:divBdr>
        <w:top w:val="none" w:sz="0" w:space="0" w:color="auto"/>
        <w:left w:val="none" w:sz="0" w:space="0" w:color="auto"/>
        <w:bottom w:val="none" w:sz="0" w:space="0" w:color="auto"/>
        <w:right w:val="none" w:sz="0" w:space="0" w:color="auto"/>
      </w:divBdr>
      <w:divsChild>
        <w:div w:id="975376954">
          <w:marLeft w:val="0"/>
          <w:marRight w:val="0"/>
          <w:marTop w:val="0"/>
          <w:marBottom w:val="0"/>
          <w:divBdr>
            <w:top w:val="none" w:sz="0" w:space="0" w:color="auto"/>
            <w:left w:val="none" w:sz="0" w:space="0" w:color="auto"/>
            <w:bottom w:val="none" w:sz="0" w:space="0" w:color="auto"/>
            <w:right w:val="none" w:sz="0" w:space="0" w:color="auto"/>
          </w:divBdr>
        </w:div>
      </w:divsChild>
    </w:div>
    <w:div w:id="946472669">
      <w:bodyDiv w:val="1"/>
      <w:marLeft w:val="0"/>
      <w:marRight w:val="0"/>
      <w:marTop w:val="0"/>
      <w:marBottom w:val="0"/>
      <w:divBdr>
        <w:top w:val="none" w:sz="0" w:space="0" w:color="auto"/>
        <w:left w:val="none" w:sz="0" w:space="0" w:color="auto"/>
        <w:bottom w:val="none" w:sz="0" w:space="0" w:color="auto"/>
        <w:right w:val="none" w:sz="0" w:space="0" w:color="auto"/>
      </w:divBdr>
    </w:div>
    <w:div w:id="957370082">
      <w:bodyDiv w:val="1"/>
      <w:marLeft w:val="0"/>
      <w:marRight w:val="0"/>
      <w:marTop w:val="0"/>
      <w:marBottom w:val="0"/>
      <w:divBdr>
        <w:top w:val="none" w:sz="0" w:space="0" w:color="auto"/>
        <w:left w:val="none" w:sz="0" w:space="0" w:color="auto"/>
        <w:bottom w:val="none" w:sz="0" w:space="0" w:color="auto"/>
        <w:right w:val="none" w:sz="0" w:space="0" w:color="auto"/>
      </w:divBdr>
    </w:div>
    <w:div w:id="961612371">
      <w:bodyDiv w:val="1"/>
      <w:marLeft w:val="0"/>
      <w:marRight w:val="0"/>
      <w:marTop w:val="0"/>
      <w:marBottom w:val="0"/>
      <w:divBdr>
        <w:top w:val="none" w:sz="0" w:space="0" w:color="auto"/>
        <w:left w:val="none" w:sz="0" w:space="0" w:color="auto"/>
        <w:bottom w:val="none" w:sz="0" w:space="0" w:color="auto"/>
        <w:right w:val="none" w:sz="0" w:space="0" w:color="auto"/>
      </w:divBdr>
      <w:divsChild>
        <w:div w:id="1493525002">
          <w:marLeft w:val="0"/>
          <w:marRight w:val="0"/>
          <w:marTop w:val="0"/>
          <w:marBottom w:val="0"/>
          <w:divBdr>
            <w:top w:val="none" w:sz="0" w:space="0" w:color="auto"/>
            <w:left w:val="none" w:sz="0" w:space="0" w:color="auto"/>
            <w:bottom w:val="none" w:sz="0" w:space="0" w:color="auto"/>
            <w:right w:val="none" w:sz="0" w:space="0" w:color="auto"/>
          </w:divBdr>
        </w:div>
      </w:divsChild>
    </w:div>
    <w:div w:id="1319071114">
      <w:bodyDiv w:val="1"/>
      <w:marLeft w:val="0"/>
      <w:marRight w:val="0"/>
      <w:marTop w:val="0"/>
      <w:marBottom w:val="0"/>
      <w:divBdr>
        <w:top w:val="none" w:sz="0" w:space="0" w:color="auto"/>
        <w:left w:val="none" w:sz="0" w:space="0" w:color="auto"/>
        <w:bottom w:val="none" w:sz="0" w:space="0" w:color="auto"/>
        <w:right w:val="none" w:sz="0" w:space="0" w:color="auto"/>
      </w:divBdr>
    </w:div>
    <w:div w:id="1411388179">
      <w:bodyDiv w:val="1"/>
      <w:marLeft w:val="0"/>
      <w:marRight w:val="0"/>
      <w:marTop w:val="0"/>
      <w:marBottom w:val="0"/>
      <w:divBdr>
        <w:top w:val="none" w:sz="0" w:space="0" w:color="auto"/>
        <w:left w:val="none" w:sz="0" w:space="0" w:color="auto"/>
        <w:bottom w:val="none" w:sz="0" w:space="0" w:color="auto"/>
        <w:right w:val="none" w:sz="0" w:space="0" w:color="auto"/>
      </w:divBdr>
    </w:div>
    <w:div w:id="1432774924">
      <w:bodyDiv w:val="1"/>
      <w:marLeft w:val="0"/>
      <w:marRight w:val="0"/>
      <w:marTop w:val="0"/>
      <w:marBottom w:val="0"/>
      <w:divBdr>
        <w:top w:val="none" w:sz="0" w:space="0" w:color="auto"/>
        <w:left w:val="none" w:sz="0" w:space="0" w:color="auto"/>
        <w:bottom w:val="none" w:sz="0" w:space="0" w:color="auto"/>
        <w:right w:val="none" w:sz="0" w:space="0" w:color="auto"/>
      </w:divBdr>
      <w:divsChild>
        <w:div w:id="10959862">
          <w:marLeft w:val="0"/>
          <w:marRight w:val="0"/>
          <w:marTop w:val="0"/>
          <w:marBottom w:val="0"/>
          <w:divBdr>
            <w:top w:val="none" w:sz="0" w:space="0" w:color="auto"/>
            <w:left w:val="none" w:sz="0" w:space="0" w:color="auto"/>
            <w:bottom w:val="none" w:sz="0" w:space="0" w:color="auto"/>
            <w:right w:val="none" w:sz="0" w:space="0" w:color="auto"/>
          </w:divBdr>
        </w:div>
      </w:divsChild>
    </w:div>
    <w:div w:id="1446122986">
      <w:bodyDiv w:val="1"/>
      <w:marLeft w:val="0"/>
      <w:marRight w:val="0"/>
      <w:marTop w:val="0"/>
      <w:marBottom w:val="0"/>
      <w:divBdr>
        <w:top w:val="none" w:sz="0" w:space="0" w:color="auto"/>
        <w:left w:val="none" w:sz="0" w:space="0" w:color="auto"/>
        <w:bottom w:val="none" w:sz="0" w:space="0" w:color="auto"/>
        <w:right w:val="none" w:sz="0" w:space="0" w:color="auto"/>
      </w:divBdr>
    </w:div>
    <w:div w:id="1514956497">
      <w:bodyDiv w:val="1"/>
      <w:marLeft w:val="0"/>
      <w:marRight w:val="0"/>
      <w:marTop w:val="0"/>
      <w:marBottom w:val="0"/>
      <w:divBdr>
        <w:top w:val="none" w:sz="0" w:space="0" w:color="auto"/>
        <w:left w:val="none" w:sz="0" w:space="0" w:color="auto"/>
        <w:bottom w:val="none" w:sz="0" w:space="0" w:color="auto"/>
        <w:right w:val="none" w:sz="0" w:space="0" w:color="auto"/>
      </w:divBdr>
    </w:div>
    <w:div w:id="1560629059">
      <w:bodyDiv w:val="1"/>
      <w:marLeft w:val="0"/>
      <w:marRight w:val="0"/>
      <w:marTop w:val="0"/>
      <w:marBottom w:val="0"/>
      <w:divBdr>
        <w:top w:val="none" w:sz="0" w:space="0" w:color="auto"/>
        <w:left w:val="none" w:sz="0" w:space="0" w:color="auto"/>
        <w:bottom w:val="none" w:sz="0" w:space="0" w:color="auto"/>
        <w:right w:val="none" w:sz="0" w:space="0" w:color="auto"/>
      </w:divBdr>
    </w:div>
    <w:div w:id="1746493083">
      <w:bodyDiv w:val="1"/>
      <w:marLeft w:val="0"/>
      <w:marRight w:val="0"/>
      <w:marTop w:val="0"/>
      <w:marBottom w:val="0"/>
      <w:divBdr>
        <w:top w:val="none" w:sz="0" w:space="0" w:color="auto"/>
        <w:left w:val="none" w:sz="0" w:space="0" w:color="auto"/>
        <w:bottom w:val="none" w:sz="0" w:space="0" w:color="auto"/>
        <w:right w:val="none" w:sz="0" w:space="0" w:color="auto"/>
      </w:divBdr>
    </w:div>
    <w:div w:id="1768505617">
      <w:bodyDiv w:val="1"/>
      <w:marLeft w:val="0"/>
      <w:marRight w:val="0"/>
      <w:marTop w:val="0"/>
      <w:marBottom w:val="0"/>
      <w:divBdr>
        <w:top w:val="none" w:sz="0" w:space="0" w:color="auto"/>
        <w:left w:val="none" w:sz="0" w:space="0" w:color="auto"/>
        <w:bottom w:val="none" w:sz="0" w:space="0" w:color="auto"/>
        <w:right w:val="none" w:sz="0" w:space="0" w:color="auto"/>
      </w:divBdr>
    </w:div>
    <w:div w:id="1776752332">
      <w:bodyDiv w:val="1"/>
      <w:marLeft w:val="0"/>
      <w:marRight w:val="0"/>
      <w:marTop w:val="0"/>
      <w:marBottom w:val="0"/>
      <w:divBdr>
        <w:top w:val="none" w:sz="0" w:space="0" w:color="auto"/>
        <w:left w:val="none" w:sz="0" w:space="0" w:color="auto"/>
        <w:bottom w:val="none" w:sz="0" w:space="0" w:color="auto"/>
        <w:right w:val="none" w:sz="0" w:space="0" w:color="auto"/>
      </w:divBdr>
      <w:divsChild>
        <w:div w:id="572815656">
          <w:marLeft w:val="0"/>
          <w:marRight w:val="0"/>
          <w:marTop w:val="0"/>
          <w:marBottom w:val="0"/>
          <w:divBdr>
            <w:top w:val="none" w:sz="0" w:space="0" w:color="auto"/>
            <w:left w:val="none" w:sz="0" w:space="0" w:color="auto"/>
            <w:bottom w:val="none" w:sz="0" w:space="0" w:color="auto"/>
            <w:right w:val="none" w:sz="0" w:space="0" w:color="auto"/>
          </w:divBdr>
          <w:divsChild>
            <w:div w:id="1273897043">
              <w:marLeft w:val="0"/>
              <w:marRight w:val="0"/>
              <w:marTop w:val="0"/>
              <w:marBottom w:val="0"/>
              <w:divBdr>
                <w:top w:val="none" w:sz="0" w:space="0" w:color="auto"/>
                <w:left w:val="none" w:sz="0" w:space="0" w:color="auto"/>
                <w:bottom w:val="none" w:sz="0" w:space="0" w:color="auto"/>
                <w:right w:val="none" w:sz="0" w:space="0" w:color="auto"/>
              </w:divBdr>
              <w:divsChild>
                <w:div w:id="1115753818">
                  <w:marLeft w:val="0"/>
                  <w:marRight w:val="0"/>
                  <w:marTop w:val="0"/>
                  <w:marBottom w:val="0"/>
                  <w:divBdr>
                    <w:top w:val="none" w:sz="0" w:space="0" w:color="auto"/>
                    <w:left w:val="none" w:sz="0" w:space="0" w:color="auto"/>
                    <w:bottom w:val="none" w:sz="0" w:space="0" w:color="auto"/>
                    <w:right w:val="none" w:sz="0" w:space="0" w:color="auto"/>
                  </w:divBdr>
                  <w:divsChild>
                    <w:div w:id="3177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58614">
          <w:marLeft w:val="0"/>
          <w:marRight w:val="0"/>
          <w:marTop w:val="0"/>
          <w:marBottom w:val="0"/>
          <w:divBdr>
            <w:top w:val="none" w:sz="0" w:space="0" w:color="auto"/>
            <w:left w:val="none" w:sz="0" w:space="0" w:color="auto"/>
            <w:bottom w:val="none" w:sz="0" w:space="0" w:color="auto"/>
            <w:right w:val="none" w:sz="0" w:space="0" w:color="auto"/>
          </w:divBdr>
          <w:divsChild>
            <w:div w:id="298416354">
              <w:marLeft w:val="0"/>
              <w:marRight w:val="0"/>
              <w:marTop w:val="0"/>
              <w:marBottom w:val="0"/>
              <w:divBdr>
                <w:top w:val="none" w:sz="0" w:space="0" w:color="auto"/>
                <w:left w:val="none" w:sz="0" w:space="0" w:color="auto"/>
                <w:bottom w:val="none" w:sz="0" w:space="0" w:color="auto"/>
                <w:right w:val="none" w:sz="0" w:space="0" w:color="auto"/>
              </w:divBdr>
              <w:divsChild>
                <w:div w:id="5831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78862">
      <w:bodyDiv w:val="1"/>
      <w:marLeft w:val="0"/>
      <w:marRight w:val="0"/>
      <w:marTop w:val="0"/>
      <w:marBottom w:val="0"/>
      <w:divBdr>
        <w:top w:val="none" w:sz="0" w:space="0" w:color="auto"/>
        <w:left w:val="none" w:sz="0" w:space="0" w:color="auto"/>
        <w:bottom w:val="none" w:sz="0" w:space="0" w:color="auto"/>
        <w:right w:val="none" w:sz="0" w:space="0" w:color="auto"/>
      </w:divBdr>
    </w:div>
    <w:div w:id="1790471256">
      <w:bodyDiv w:val="1"/>
      <w:marLeft w:val="0"/>
      <w:marRight w:val="0"/>
      <w:marTop w:val="0"/>
      <w:marBottom w:val="0"/>
      <w:divBdr>
        <w:top w:val="none" w:sz="0" w:space="0" w:color="auto"/>
        <w:left w:val="none" w:sz="0" w:space="0" w:color="auto"/>
        <w:bottom w:val="none" w:sz="0" w:space="0" w:color="auto"/>
        <w:right w:val="none" w:sz="0" w:space="0" w:color="auto"/>
      </w:divBdr>
      <w:divsChild>
        <w:div w:id="1073817245">
          <w:marLeft w:val="0"/>
          <w:marRight w:val="0"/>
          <w:marTop w:val="0"/>
          <w:marBottom w:val="0"/>
          <w:divBdr>
            <w:top w:val="none" w:sz="0" w:space="0" w:color="auto"/>
            <w:left w:val="none" w:sz="0" w:space="0" w:color="auto"/>
            <w:bottom w:val="none" w:sz="0" w:space="0" w:color="auto"/>
            <w:right w:val="none" w:sz="0" w:space="0" w:color="auto"/>
          </w:divBdr>
        </w:div>
      </w:divsChild>
    </w:div>
    <w:div w:id="1959870003">
      <w:bodyDiv w:val="1"/>
      <w:marLeft w:val="0"/>
      <w:marRight w:val="0"/>
      <w:marTop w:val="0"/>
      <w:marBottom w:val="0"/>
      <w:divBdr>
        <w:top w:val="none" w:sz="0" w:space="0" w:color="auto"/>
        <w:left w:val="none" w:sz="0" w:space="0" w:color="auto"/>
        <w:bottom w:val="none" w:sz="0" w:space="0" w:color="auto"/>
        <w:right w:val="none" w:sz="0" w:space="0" w:color="auto"/>
      </w:divBdr>
    </w:div>
    <w:div w:id="1986078909">
      <w:bodyDiv w:val="1"/>
      <w:marLeft w:val="0"/>
      <w:marRight w:val="0"/>
      <w:marTop w:val="0"/>
      <w:marBottom w:val="0"/>
      <w:divBdr>
        <w:top w:val="none" w:sz="0" w:space="0" w:color="auto"/>
        <w:left w:val="none" w:sz="0" w:space="0" w:color="auto"/>
        <w:bottom w:val="none" w:sz="0" w:space="0" w:color="auto"/>
        <w:right w:val="none" w:sz="0" w:space="0" w:color="auto"/>
      </w:divBdr>
    </w:div>
    <w:div w:id="1986273155">
      <w:bodyDiv w:val="1"/>
      <w:marLeft w:val="0"/>
      <w:marRight w:val="0"/>
      <w:marTop w:val="0"/>
      <w:marBottom w:val="0"/>
      <w:divBdr>
        <w:top w:val="none" w:sz="0" w:space="0" w:color="auto"/>
        <w:left w:val="none" w:sz="0" w:space="0" w:color="auto"/>
        <w:bottom w:val="none" w:sz="0" w:space="0" w:color="auto"/>
        <w:right w:val="none" w:sz="0" w:space="0" w:color="auto"/>
      </w:divBdr>
    </w:div>
    <w:div w:id="2066373885">
      <w:bodyDiv w:val="1"/>
      <w:marLeft w:val="0"/>
      <w:marRight w:val="0"/>
      <w:marTop w:val="0"/>
      <w:marBottom w:val="0"/>
      <w:divBdr>
        <w:top w:val="none" w:sz="0" w:space="0" w:color="auto"/>
        <w:left w:val="none" w:sz="0" w:space="0" w:color="auto"/>
        <w:bottom w:val="none" w:sz="0" w:space="0" w:color="auto"/>
        <w:right w:val="none" w:sz="0" w:space="0" w:color="auto"/>
      </w:divBdr>
    </w:div>
    <w:div w:id="2132237612">
      <w:bodyDiv w:val="1"/>
      <w:marLeft w:val="0"/>
      <w:marRight w:val="0"/>
      <w:marTop w:val="0"/>
      <w:marBottom w:val="0"/>
      <w:divBdr>
        <w:top w:val="none" w:sz="0" w:space="0" w:color="auto"/>
        <w:left w:val="none" w:sz="0" w:space="0" w:color="auto"/>
        <w:bottom w:val="none" w:sz="0" w:space="0" w:color="auto"/>
        <w:right w:val="none" w:sz="0" w:space="0" w:color="auto"/>
      </w:divBdr>
      <w:divsChild>
        <w:div w:id="2525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21505594.2025.2580160" TargetMode="External"/><Relationship Id="rId18" Type="http://schemas.openxmlformats.org/officeDocument/2006/relationships/hyperlink" Target="https://doi.org/10.53346/wjapmr.2026.10.2.0013" TargetMode="External"/><Relationship Id="rId26" Type="http://schemas.openxmlformats.org/officeDocument/2006/relationships/hyperlink" Target="https://doi.org/10.1136/bmjopen-2024-092753" TargetMode="External"/><Relationship Id="rId39" Type="http://schemas.openxmlformats.org/officeDocument/2006/relationships/fontTable" Target="fontTable.xml"/><Relationship Id="rId21" Type="http://schemas.openxmlformats.org/officeDocument/2006/relationships/hyperlink" Target="https://doi.org/10.1128/JCM.02380-08"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186/s12866-025-03917-5" TargetMode="External"/><Relationship Id="rId17" Type="http://schemas.openxmlformats.org/officeDocument/2006/relationships/hyperlink" Target="https://doi.org/10.5114/pm.2021.105382" TargetMode="External"/><Relationship Id="rId25" Type="http://schemas.openxmlformats.org/officeDocument/2006/relationships/hyperlink" Target="https://doi.org/10.30574/gscarr.2026.26.1.0010"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28/AAC.01388-10" TargetMode="External"/><Relationship Id="rId20" Type="http://schemas.openxmlformats.org/officeDocument/2006/relationships/hyperlink" Target="https://doi.org/10.1093/jac/dkaa015" TargetMode="External"/><Relationship Id="rId29" Type="http://schemas.openxmlformats.org/officeDocument/2006/relationships/hyperlink" Target="https://doi.org/10.1055/s-0042-17426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3756-018-0324-2" TargetMode="External"/><Relationship Id="rId24" Type="http://schemas.openxmlformats.org/officeDocument/2006/relationships/hyperlink" Target="https://doi.org/10.1038/s41598-021-99599-w" TargetMode="External"/><Relationship Id="rId32" Type="http://schemas.openxmlformats.org/officeDocument/2006/relationships/hyperlink" Target="https://doi.org/10.1128/AAC.01137-07"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2207/JPAM.18.2.47" TargetMode="External"/><Relationship Id="rId23" Type="http://schemas.openxmlformats.org/officeDocument/2006/relationships/hyperlink" Target="https://doi.org/10.3390/ijms23126582" TargetMode="External"/><Relationship Id="rId28" Type="http://schemas.openxmlformats.org/officeDocument/2006/relationships/hyperlink" Target="https://doi.org/10.1016/S1473-3099(17)30753-3" TargetMode="External"/><Relationship Id="rId36" Type="http://schemas.openxmlformats.org/officeDocument/2006/relationships/footer" Target="footer2.xml"/><Relationship Id="rId10" Type="http://schemas.openxmlformats.org/officeDocument/2006/relationships/hyperlink" Target="https://doi.org/10.30574/wjbphs.2026.26.1.0175" TargetMode="External"/><Relationship Id="rId19" Type="http://schemas.openxmlformats.org/officeDocument/2006/relationships/hyperlink" Target="https://doi.org/10.56919/usci.2541.003" TargetMode="External"/><Relationship Id="rId31" Type="http://schemas.openxmlformats.org/officeDocument/2006/relationships/hyperlink" Target="https://doi.org/10.1128/AAC.39.5.1201" TargetMode="External"/><Relationship Id="rId4" Type="http://schemas.openxmlformats.org/officeDocument/2006/relationships/settings" Target="settings.xml"/><Relationship Id="rId9" Type="http://schemas.openxmlformats.org/officeDocument/2006/relationships/hyperlink" Target="https://doi.org/10.2147/IDR.S228089" TargetMode="External"/><Relationship Id="rId14" Type="http://schemas.openxmlformats.org/officeDocument/2006/relationships/hyperlink" Target="https://doi.org/10.1016/j.burns.2012.07.006" TargetMode="External"/><Relationship Id="rId22" Type="http://schemas.openxmlformats.org/officeDocument/2006/relationships/hyperlink" Target="https://doi.org/10.3923/crb.2011.9.15" TargetMode="External"/><Relationship Id="rId27" Type="http://schemas.openxmlformats.org/officeDocument/2006/relationships/hyperlink" Target="https://doi.org/10.56919/usci.2542.027" TargetMode="External"/><Relationship Id="rId30" Type="http://schemas.openxmlformats.org/officeDocument/2006/relationships/hyperlink" Target="https://doi.org/10.1093/jac/39.6.757" TargetMode="External"/><Relationship Id="rId35" Type="http://schemas.openxmlformats.org/officeDocument/2006/relationships/footer" Target="footer1.xml"/><Relationship Id="rId8" Type="http://schemas.openxmlformats.org/officeDocument/2006/relationships/hyperlink" Target="https://doi.org/10.1186/s12866-024-03323-3"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2AA60-E742-4749-869B-3D96DEF5B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16</Pages>
  <Words>10031</Words>
  <Characters>57182</Characters>
  <Application>Microsoft Office Word</Application>
  <DocSecurity>0</DocSecurity>
  <Lines>476</Lines>
  <Paragraphs>134</Paragraphs>
  <ScaleCrop>false</ScaleCrop>
  <Company/>
  <LinksUpToDate>false</LinksUpToDate>
  <CharactersWithSpaces>67079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157</cp:revision>
  <dcterms:created xsi:type="dcterms:W3CDTF">2026-04-15T10:34:00Z</dcterms:created>
  <dcterms:modified xsi:type="dcterms:W3CDTF">2026-05-12T07:04:00Z</dcterms:modified>
</cp:coreProperties>
</file>