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FED7" w14:textId="1246F7AC" w:rsidR="001A5E43" w:rsidRPr="00D76CDE" w:rsidRDefault="001A5E43" w:rsidP="001A5E43">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6CDE">
        <w:rPr>
          <w:rFonts w:ascii="Times New Roman" w:eastAsia="Times New Roman" w:hAnsi="Times New Roman" w:cs="Times New Roman"/>
          <w:b/>
          <w:bCs/>
          <w:kern w:val="36"/>
          <w:sz w:val="24"/>
          <w:szCs w:val="24"/>
          <w14:ligatures w14:val="none"/>
        </w:rPr>
        <w:t>Planning the Unplanned: Integrating the Informal Sector into Chinhoyi</w:t>
      </w:r>
      <w:r w:rsidR="006945E9">
        <w:rPr>
          <w:rFonts w:ascii="Times New Roman" w:eastAsia="Times New Roman" w:hAnsi="Times New Roman" w:cs="Times New Roman"/>
          <w:b/>
          <w:bCs/>
          <w:kern w:val="36"/>
          <w:sz w:val="24"/>
          <w:szCs w:val="24"/>
          <w14:ligatures w14:val="none"/>
        </w:rPr>
        <w:t xml:space="preserve"> Municipality</w:t>
      </w:r>
      <w:r w:rsidR="006945E9" w:rsidRPr="00D76CDE">
        <w:rPr>
          <w:rFonts w:ascii="Times New Roman" w:eastAsia="Times New Roman" w:hAnsi="Times New Roman" w:cs="Times New Roman"/>
          <w:b/>
          <w:bCs/>
          <w:kern w:val="36"/>
          <w:sz w:val="24"/>
          <w:szCs w:val="24"/>
          <w14:ligatures w14:val="none"/>
        </w:rPr>
        <w:t>’s</w:t>
      </w:r>
      <w:r w:rsidRPr="00D76CDE">
        <w:rPr>
          <w:rFonts w:ascii="Times New Roman" w:eastAsia="Times New Roman" w:hAnsi="Times New Roman" w:cs="Times New Roman"/>
          <w:b/>
          <w:bCs/>
          <w:kern w:val="36"/>
          <w:sz w:val="24"/>
          <w:szCs w:val="24"/>
          <w14:ligatures w14:val="none"/>
        </w:rPr>
        <w:t xml:space="preserve"> Urban Development Strategies</w:t>
      </w:r>
    </w:p>
    <w:p w14:paraId="2DF5C090" w14:textId="77777777" w:rsidR="001543A4" w:rsidRDefault="001543A4" w:rsidP="008D75BC">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p>
    <w:p w14:paraId="55D91425" w14:textId="77777777" w:rsidR="001543A4" w:rsidRDefault="001543A4" w:rsidP="008D75BC">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p>
    <w:p w14:paraId="77CACE38" w14:textId="47E92263" w:rsidR="008D75BC" w:rsidRPr="008D75BC" w:rsidRDefault="008D75BC" w:rsidP="008D75BC">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D75BC">
        <w:rPr>
          <w:rFonts w:ascii="Times New Roman" w:eastAsia="Times New Roman" w:hAnsi="Times New Roman" w:cs="Times New Roman"/>
          <w:b/>
          <w:bCs/>
          <w:kern w:val="0"/>
          <w:sz w:val="24"/>
          <w:szCs w:val="24"/>
          <w:lang w:eastAsia="zh-CN"/>
          <w14:ligatures w14:val="none"/>
        </w:rPr>
        <w:t>Abstract</w:t>
      </w:r>
    </w:p>
    <w:p w14:paraId="0BCC9569" w14:textId="1DE2D16A" w:rsidR="008D75BC" w:rsidRPr="008D75BC" w:rsidRDefault="008D75BC" w:rsidP="008D75BC">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7920F0">
        <w:rPr>
          <w:rFonts w:ascii="Times New Roman" w:eastAsia="Times New Roman" w:hAnsi="Times New Roman" w:cs="Times New Roman"/>
          <w:kern w:val="0"/>
          <w:sz w:val="24"/>
          <w:szCs w:val="24"/>
          <w:highlight w:val="yellow"/>
          <w:lang w:eastAsia="zh-CN"/>
          <w14:ligatures w14:val="none"/>
        </w:rPr>
        <w:t>Urban informality constitutes a structural and enduring feature of cities in the Global South, yet dominant planning paradigms continue to marginalise it. In Zimbabwe’s secondary cities, including Chinhoyi</w:t>
      </w:r>
      <w:r w:rsidR="006945E9" w:rsidRPr="007920F0">
        <w:rPr>
          <w:rFonts w:ascii="Times New Roman" w:eastAsia="Times New Roman" w:hAnsi="Times New Roman" w:cs="Times New Roman"/>
          <w:kern w:val="0"/>
          <w:sz w:val="24"/>
          <w:szCs w:val="24"/>
          <w:highlight w:val="yellow"/>
          <w:lang w:eastAsia="zh-CN"/>
          <w14:ligatures w14:val="none"/>
        </w:rPr>
        <w:t xml:space="preserve"> Municipality</w:t>
      </w:r>
      <w:r w:rsidRPr="007920F0">
        <w:rPr>
          <w:rFonts w:ascii="Times New Roman" w:eastAsia="Times New Roman" w:hAnsi="Times New Roman" w:cs="Times New Roman"/>
          <w:kern w:val="0"/>
          <w:sz w:val="24"/>
          <w:szCs w:val="24"/>
          <w:highlight w:val="yellow"/>
          <w:lang w:eastAsia="zh-CN"/>
          <w14:ligatures w14:val="none"/>
        </w:rPr>
        <w:t xml:space="preserve">, this disjuncture is particularly acute, reflecting inherited regulatory rigidities and limited institutional capacity. Existing literature increasingly reframes informality as integral to urban resilience, but practical integration within planning systems remains uneven and under-theorised in intermediate urban contexts. Therefore, this study employs a convergent mixed-methods design, combining policy and by-law analysis with semi-structured interviews, focus group discussions, and a survey of informal operators, complemented by spatial mapping of economic activities. This approach enables triangulation of governance, socio-economic, and spatial dimensions of informality. Findings reveal that exclusionary planning frameworks undermine both economic productivity and governance legitimacy, perpetuating spatial injustice and institutional distrust. Despite contributing significantly to employment and service provision, informal actors remain weakly integrated into fiscal and spatial systems. However, evidence indicates strong stakeholder convergence around participatory and adaptive planning approaches. Mechanisms such as flexible zoning, incremental upgrading, and co-production demonstrate potential to reconcile regulatory order with livelihood imperatives. The study critically engages with prevailing theoretical frameworks, arguing that neither regulatory formalisation nor laissez-faire tolerance adequately addresses the complexity of informality. Instead, it advances a hybrid governance model grounded in spatial justice, adaptive regulation, and institutional co-production. This model challenges binary formal–informal dichotomies, proposing an iterative integration continuum responsive to local socio-political dynamics. Integrating informality into urban development is not optional but foundational to achieving inclusive, resilient, and sustainable urbanisation in </w:t>
      </w:r>
      <w:r w:rsidR="006945E9" w:rsidRPr="007920F0">
        <w:rPr>
          <w:rFonts w:ascii="Times New Roman" w:eastAsia="Times New Roman" w:hAnsi="Times New Roman" w:cs="Times New Roman"/>
          <w:kern w:val="0"/>
          <w:sz w:val="24"/>
          <w:szCs w:val="24"/>
          <w:highlight w:val="yellow"/>
          <w:lang w:eastAsia="zh-CN"/>
          <w14:ligatures w14:val="none"/>
        </w:rPr>
        <w:t xml:space="preserve">Chinhoyi Municipality </w:t>
      </w:r>
      <w:r w:rsidRPr="007920F0">
        <w:rPr>
          <w:rFonts w:ascii="Times New Roman" w:eastAsia="Times New Roman" w:hAnsi="Times New Roman" w:cs="Times New Roman"/>
          <w:kern w:val="0"/>
          <w:sz w:val="24"/>
          <w:szCs w:val="24"/>
          <w:highlight w:val="yellow"/>
          <w:lang w:eastAsia="zh-CN"/>
          <w14:ligatures w14:val="none"/>
        </w:rPr>
        <w:t>and comparable secondary cities.</w:t>
      </w:r>
    </w:p>
    <w:p w14:paraId="55FAE0B1" w14:textId="4FCFB8EF" w:rsidR="008D75BC" w:rsidRPr="008D75BC" w:rsidRDefault="008D75BC" w:rsidP="008D75B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D75BC">
        <w:rPr>
          <w:rFonts w:ascii="Times New Roman" w:eastAsia="Times New Roman" w:hAnsi="Times New Roman" w:cs="Times New Roman"/>
          <w:b/>
          <w:bCs/>
          <w:kern w:val="0"/>
          <w:sz w:val="24"/>
          <w:szCs w:val="24"/>
          <w14:ligatures w14:val="none"/>
        </w:rPr>
        <w:t>Keywords:</w:t>
      </w:r>
      <w:r w:rsidRPr="008D75BC">
        <w:rPr>
          <w:rFonts w:ascii="Times New Roman" w:eastAsia="Times New Roman" w:hAnsi="Times New Roman" w:cs="Times New Roman"/>
          <w:kern w:val="0"/>
          <w:sz w:val="24"/>
          <w:szCs w:val="24"/>
          <w14:ligatures w14:val="none"/>
        </w:rPr>
        <w:t xml:space="preserve"> urban informality; inclusive planning; spatial justice; participatory governance; SDG 11; </w:t>
      </w:r>
      <w:r>
        <w:rPr>
          <w:rFonts w:ascii="Times New Roman" w:eastAsia="Times New Roman" w:hAnsi="Times New Roman" w:cs="Times New Roman"/>
          <w:kern w:val="0"/>
          <w:sz w:val="24"/>
          <w:szCs w:val="24"/>
          <w14:ligatures w14:val="none"/>
        </w:rPr>
        <w:t xml:space="preserve">Chinhoyi, </w:t>
      </w:r>
      <w:r w:rsidRPr="008D75BC">
        <w:rPr>
          <w:rFonts w:ascii="Times New Roman" w:eastAsia="Times New Roman" w:hAnsi="Times New Roman" w:cs="Times New Roman"/>
          <w:kern w:val="0"/>
          <w:sz w:val="24"/>
          <w:szCs w:val="24"/>
          <w14:ligatures w14:val="none"/>
        </w:rPr>
        <w:t>Zimbabwe; informal economy</w:t>
      </w:r>
    </w:p>
    <w:p w14:paraId="428C9F3B" w14:textId="77777777" w:rsidR="008D75BC" w:rsidRPr="008D75BC" w:rsidRDefault="008D75BC" w:rsidP="008D75BC">
      <w:pPr>
        <w:pBdr>
          <w:bottom w:val="single" w:sz="6" w:space="1" w:color="auto"/>
        </w:pBdr>
        <w:spacing w:after="0" w:line="240" w:lineRule="auto"/>
        <w:rPr>
          <w:rFonts w:ascii="Arial" w:eastAsia="Times New Roman" w:hAnsi="Arial" w:cs="Arial"/>
          <w:vanish/>
          <w:kern w:val="0"/>
          <w:sz w:val="16"/>
          <w:szCs w:val="16"/>
          <w:lang w:eastAsia="zh-CN"/>
          <w14:ligatures w14:val="none"/>
        </w:rPr>
      </w:pPr>
      <w:r w:rsidRPr="008D75BC">
        <w:rPr>
          <w:rFonts w:ascii="Arial" w:eastAsia="Times New Roman" w:hAnsi="Arial" w:cs="Arial"/>
          <w:vanish/>
          <w:kern w:val="0"/>
          <w:sz w:val="16"/>
          <w:szCs w:val="16"/>
          <w:lang w:eastAsia="zh-CN"/>
          <w14:ligatures w14:val="none"/>
        </w:rPr>
        <w:t>Top of Form</w:t>
      </w:r>
    </w:p>
    <w:p w14:paraId="27C57C38" w14:textId="77777777" w:rsidR="008D75BC" w:rsidRPr="008D75BC" w:rsidRDefault="008D75BC" w:rsidP="008D75BC">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p w14:paraId="5E3B2564" w14:textId="77777777" w:rsidR="008D75BC" w:rsidRPr="008D75BC" w:rsidRDefault="008D75BC" w:rsidP="008D75BC">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8D75BC">
        <w:rPr>
          <w:rFonts w:ascii="Arial" w:eastAsia="Times New Roman" w:hAnsi="Arial" w:cs="Arial"/>
          <w:vanish/>
          <w:kern w:val="0"/>
          <w:sz w:val="16"/>
          <w:szCs w:val="16"/>
          <w:lang w:eastAsia="zh-CN"/>
          <w14:ligatures w14:val="none"/>
        </w:rPr>
        <w:t>Bottom of Form</w:t>
      </w:r>
    </w:p>
    <w:p w14:paraId="250D1100" w14:textId="77777777" w:rsidR="001A5E43" w:rsidRPr="001A5E43" w:rsidRDefault="001A5E43" w:rsidP="001A5E4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D07CC6E" w14:textId="77777777" w:rsidR="00266379" w:rsidRDefault="00266379" w:rsidP="00266379">
      <w:pPr>
        <w:pStyle w:val="NormalWeb"/>
      </w:pPr>
      <w:r>
        <w:rPr>
          <w:rStyle w:val="Strong"/>
        </w:rPr>
        <w:t>1.0 Introduction</w:t>
      </w:r>
    </w:p>
    <w:p w14:paraId="0F3A7A1F" w14:textId="7EE8F96B" w:rsidR="00266379" w:rsidRDefault="00266379" w:rsidP="00266379">
      <w:pPr>
        <w:pStyle w:val="NormalWeb"/>
        <w:spacing w:line="360" w:lineRule="auto"/>
        <w:jc w:val="both"/>
      </w:pPr>
      <w:r>
        <w:t>Urbanisation in the Global South is increasingly characterised by the rapid expansion of informal economic activities and unplanned settlements, reflecting deep structural imbalances in labour markets, housing provision, and urban governance systems</w:t>
      </w:r>
      <w:r w:rsidR="00914773">
        <w:t xml:space="preserve"> (</w:t>
      </w:r>
      <w:r w:rsidR="00B250E9">
        <w:t xml:space="preserve">Munyoro and Nyamushamba, 2016; </w:t>
      </w:r>
      <w:r w:rsidR="006945E9">
        <w:t>Fox &amp; Goodfellow, 2021; Satterthwaite et al., 2023</w:t>
      </w:r>
      <w:r w:rsidR="00914773">
        <w:t>).</w:t>
      </w:r>
      <w:r>
        <w:t xml:space="preserve"> Across sub-Saharan Africa, urban population growth continues to outpace the capacity of formal </w:t>
      </w:r>
      <w:r>
        <w:lastRenderedPageBreak/>
        <w:t>institutions to provide adequate employment opportunities and serviced land, resulting in the proliferation of informal settlements marked by insecure tenure, infrastructural deficits, and regulatory exclusion (</w:t>
      </w:r>
      <w:r w:rsidR="00B250E9">
        <w:t xml:space="preserve">Munyoro and Nyamushamba, 2016; </w:t>
      </w:r>
      <w:r>
        <w:t>UN-Habitat, 2022; World Bank, 2023). Within these contexts, informal enterprises constitute a critical component of urban economies, sustaining livelihoods, enhancing economic resilience, and facilitating access to affordable goods and services for low-income populations (</w:t>
      </w:r>
      <w:r w:rsidR="00B250E9">
        <w:t xml:space="preserve">Munyoro and Nyamushamba, 2016; </w:t>
      </w:r>
      <w:r>
        <w:t>ILO, 2023; Skinner &amp; Watson, 2020). However, despite their centrality, such enterprises remain largely excluded from formal regulatory frameworks, constraining their access to finance, institutional support, and basic infrastructure, while perpetuating cycles of vulnerability and marginalisation (</w:t>
      </w:r>
      <w:r w:rsidR="00B250E9">
        <w:t xml:space="preserve">Munyoro and Nyamushamba, 2016; </w:t>
      </w:r>
      <w:r>
        <w:t>OECD, 2021; World Bank, 2023).</w:t>
      </w:r>
    </w:p>
    <w:p w14:paraId="516BA8CA" w14:textId="6E1BC746" w:rsidR="00266379" w:rsidRDefault="008A2915" w:rsidP="00266379">
      <w:pPr>
        <w:pStyle w:val="NormalWeb"/>
        <w:spacing w:line="360" w:lineRule="auto"/>
        <w:jc w:val="both"/>
      </w:pPr>
      <w:r>
        <w:t xml:space="preserve">Actually, </w:t>
      </w:r>
      <w:r w:rsidR="00266379">
        <w:t>Zimbabwe presents a particularly acute manifestation of entrenched urban informality, driven by prolonged macroeconomic instability, deindustrialisation, and limited formal employment absorption capacity</w:t>
      </w:r>
      <w:r>
        <w:t xml:space="preserve"> (</w:t>
      </w:r>
      <w:r w:rsidR="00B250E9">
        <w:t xml:space="preserve">Munyoro and Nyamushamba, 2016; </w:t>
      </w:r>
      <w:r w:rsidR="006945E9">
        <w:t>Raftopoulos &amp; Mlambo, 2022; World Bank, 2023</w:t>
      </w:r>
      <w:r>
        <w:t>)</w:t>
      </w:r>
      <w:r w:rsidR="00266379">
        <w:t>. Current estimates suggest that a substantial proportion of the urban labour force is engaged in informal economic activities, positioning informality not as a residual sector but as the dominant mode of economic participation (</w:t>
      </w:r>
      <w:r w:rsidR="00B250E9">
        <w:t xml:space="preserve">Munyoro and Nyamushamba, 2016; </w:t>
      </w:r>
      <w:r w:rsidR="00266379">
        <w:t>Medina &amp; Schneider, 2019; ILO, 2023</w:t>
      </w:r>
      <w:r>
        <w:t>; Munyoro et al, 2026</w:t>
      </w:r>
      <w:r w:rsidR="00266379">
        <w:t>). In major urban centres such as Harare, informal enterprises have evolved into adaptive livelihood strategies amid persistent economic volatility and governance constraints (</w:t>
      </w:r>
      <w:r w:rsidR="00D04873">
        <w:t xml:space="preserve">Chirisa et al., 2015; </w:t>
      </w:r>
      <w:r w:rsidR="00B250E9">
        <w:t xml:space="preserve">Munyoro and Nyamushamba, 2016; </w:t>
      </w:r>
      <w:r w:rsidR="00266379">
        <w:t>Kamete, 2018). Nonetheless, prevailing urban planning paradigms have historically framed informality as aberrant or transitory, resulting in policy approaches characterised by regulation, displacement, and exclusion (Dube &amp; Chirisa, 2012; Mhone, 2020</w:t>
      </w:r>
      <w:r>
        <w:t>; Munyoro et al, 2026</w:t>
      </w:r>
      <w:r w:rsidR="00266379">
        <w:t>). Such approaches not only undermine the productivity and sustainability of informal enterprises but also erode trust between state institutions and urban residents, limiting prospects for inclusive urban governance</w:t>
      </w:r>
      <w:r>
        <w:t xml:space="preserve"> (Munyoro et al, 2026)</w:t>
      </w:r>
      <w:r w:rsidR="00266379">
        <w:t>.</w:t>
      </w:r>
    </w:p>
    <w:p w14:paraId="2A3729B2" w14:textId="2AE86047" w:rsidR="00266379" w:rsidRDefault="00266379" w:rsidP="00266379">
      <w:pPr>
        <w:pStyle w:val="NormalWeb"/>
        <w:spacing w:line="360" w:lineRule="auto"/>
        <w:jc w:val="both"/>
      </w:pPr>
      <w:r w:rsidRPr="007920F0">
        <w:rPr>
          <w:highlight w:val="yellow"/>
        </w:rPr>
        <w:t>While existing scholarship has extensively examined informality in primary cities, there remains a significant empirical and conceptual gap in understanding how these dynamics unfold within secondary cities, where institutional capacities are often weaker and planning systems less adaptive</w:t>
      </w:r>
      <w:r w:rsidR="008A2915" w:rsidRPr="007920F0">
        <w:rPr>
          <w:highlight w:val="yellow"/>
        </w:rPr>
        <w:t xml:space="preserve"> (</w:t>
      </w:r>
      <w:r w:rsidR="006945E9" w:rsidRPr="007920F0">
        <w:rPr>
          <w:highlight w:val="yellow"/>
        </w:rPr>
        <w:t>Roberts, 2019; Satterthwaite et al., 2023</w:t>
      </w:r>
      <w:r w:rsidR="008A2915" w:rsidRPr="007920F0">
        <w:rPr>
          <w:highlight w:val="yellow"/>
        </w:rPr>
        <w:t>)</w:t>
      </w:r>
      <w:r w:rsidRPr="007920F0">
        <w:rPr>
          <w:highlight w:val="yellow"/>
        </w:rPr>
        <w:t>. Chinhoyi</w:t>
      </w:r>
      <w:r w:rsidR="006945E9" w:rsidRPr="007920F0">
        <w:rPr>
          <w:highlight w:val="yellow"/>
        </w:rPr>
        <w:t xml:space="preserve"> Municipality</w:t>
      </w:r>
      <w:r w:rsidRPr="007920F0">
        <w:rPr>
          <w:highlight w:val="yellow"/>
        </w:rPr>
        <w:t>, as a rapidly growing secondary city, exemplifies the spatial and economic transformations associated with deepening informality</w:t>
      </w:r>
      <w:r w:rsidR="008A2915" w:rsidRPr="007920F0">
        <w:rPr>
          <w:highlight w:val="yellow"/>
        </w:rPr>
        <w:t xml:space="preserve"> (</w:t>
      </w:r>
      <w:r w:rsidR="006945E9" w:rsidRPr="007920F0">
        <w:rPr>
          <w:highlight w:val="yellow"/>
        </w:rPr>
        <w:t>ZIMSTAT, 2022; Munyoro et al., 2026</w:t>
      </w:r>
      <w:r w:rsidR="008A2915" w:rsidRPr="007920F0">
        <w:rPr>
          <w:highlight w:val="yellow"/>
        </w:rPr>
        <w:t>)</w:t>
      </w:r>
      <w:r w:rsidRPr="007920F0">
        <w:rPr>
          <w:highlight w:val="yellow"/>
        </w:rPr>
        <w:t xml:space="preserve">. Informal </w:t>
      </w:r>
      <w:r w:rsidRPr="007920F0">
        <w:rPr>
          <w:highlight w:val="yellow"/>
        </w:rPr>
        <w:lastRenderedPageBreak/>
        <w:t>enterprises increasingly dominate local economic activity, yet urban planning frameworks continue to marginalise these actors through rigid zoning regulations, inadequate infrastructure provision, and limited institutional engagement</w:t>
      </w:r>
      <w:r w:rsidR="008A2915" w:rsidRPr="007920F0">
        <w:rPr>
          <w:highlight w:val="yellow"/>
        </w:rPr>
        <w:t xml:space="preserve"> (Munyoro et al, 2026)</w:t>
      </w:r>
      <w:r w:rsidRPr="007920F0">
        <w:rPr>
          <w:highlight w:val="yellow"/>
        </w:rPr>
        <w:t>. This disconnect highlights a critical gap in both policy and research: the absence of context-specific, integrative planning models that recognise informality as a permanent and productive component of urban systems rather than a planning anomaly. Addressing this gap requires a paradigmatic shift from exclusionary control toward inclusive integration, grounded in a nuanced understanding of local socio-economic dynamics.</w:t>
      </w:r>
    </w:p>
    <w:p w14:paraId="0C815F5A" w14:textId="1B8C6519" w:rsidR="008B011F" w:rsidRDefault="008B011F" w:rsidP="008B011F">
      <w:pPr>
        <w:pStyle w:val="NormalWeb"/>
        <w:spacing w:line="360" w:lineRule="auto"/>
        <w:jc w:val="both"/>
      </w:pPr>
      <w:r w:rsidRPr="008B011F">
        <w:rPr>
          <w:highlight w:val="yellow"/>
        </w:rPr>
        <w:t xml:space="preserve">This </w:t>
      </w:r>
      <w:r w:rsidRPr="008B011F">
        <w:rPr>
          <w:highlight w:val="yellow"/>
        </w:rPr>
        <w:t>study</w:t>
      </w:r>
      <w:r w:rsidRPr="008B011F">
        <w:rPr>
          <w:highlight w:val="yellow"/>
        </w:rPr>
        <w:t xml:space="preserve"> is significant to the scientific community because it contributes to the growing body of scholarship on informality, urban governance, and sustainable urban development in the Global South. By focusing on secondary cities such as </w:t>
      </w:r>
      <w:r w:rsidRPr="008B011F">
        <w:rPr>
          <w:rStyle w:val="whitespace-normal"/>
          <w:highlight w:val="yellow"/>
        </w:rPr>
        <w:t>Chinhoyi</w:t>
      </w:r>
      <w:r w:rsidRPr="008B011F">
        <w:rPr>
          <w:highlight w:val="yellow"/>
        </w:rPr>
        <w:t>, the study expands existing urban studies literature, which has traditionally concentrated on major metropolitan centres, thereby addressing an important geographical and conceptual gap. The research also advances theoretical and empirical understanding of how informal enterprises shape urban development trajectories, livelihoods, and spatial inclusion within rapidly urbanising contexts.</w:t>
      </w:r>
      <w:r w:rsidRPr="008B011F">
        <w:rPr>
          <w:highlight w:val="yellow"/>
        </w:rPr>
        <w:t xml:space="preserve"> </w:t>
      </w:r>
      <w:r w:rsidRPr="008B011F">
        <w:rPr>
          <w:highlight w:val="yellow"/>
        </w:rPr>
        <w:t>Furthermore, the study provides a context-sensitive framework for integrating informal enterprises into urban planning and governance systems, offering practical and policy-relevant insights for scholars, planners, and policymakers. Its interdisciplinary approach strengthens debates on inclusive urbanisation, resilience, and sustainable city planning by demonstrating the need to rethink conventional planning models that marginalise informal economic actors. Ultimately, the manuscript contributes valuable evidence for developing more equitable and adaptive urban development strategies in African secondary cities and other regions characterised by pervasive informality.</w:t>
      </w:r>
    </w:p>
    <w:p w14:paraId="33004378" w14:textId="77777777" w:rsidR="00587C59" w:rsidRPr="00587C59" w:rsidRDefault="00587C59" w:rsidP="00F43EB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87C59">
        <w:rPr>
          <w:rFonts w:ascii="Times New Roman" w:eastAsia="Times New Roman" w:hAnsi="Times New Roman" w:cs="Times New Roman"/>
          <w:b/>
          <w:bCs/>
          <w:kern w:val="0"/>
          <w:sz w:val="24"/>
          <w:szCs w:val="24"/>
          <w:lang w:eastAsia="zh-CN"/>
          <w14:ligatures w14:val="none"/>
        </w:rPr>
        <w:t>2.0 Literature Review</w:t>
      </w:r>
    </w:p>
    <w:p w14:paraId="2498839D"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2.1 Conceptualising the Informal Sector in Urban Economies</w:t>
      </w:r>
    </w:p>
    <w:p w14:paraId="09FDDACE" w14:textId="565E80A2"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 xml:space="preserve">The informal sector has undergone a significant conceptual evolution, shifting from being viewed as a temporary or residual feature of underdeveloped economies to a permanent and structural component of urban systems (Chen, 2012; Meagher, 2021). Early modernisation theories assumed that informality would dissipate with industrial growth; however, contemporary evidence demonstrates its persistence and expansion, particularly in the Global South (Hart, 1973; Meagher, 2021). Recent estimates indicate that the informal economy </w:t>
      </w:r>
      <w:r w:rsidRPr="00F43EBC">
        <w:rPr>
          <w:rFonts w:ascii="Times New Roman" w:eastAsia="Times New Roman" w:hAnsi="Times New Roman" w:cs="Times New Roman"/>
          <w:kern w:val="0"/>
          <w:sz w:val="24"/>
          <w:szCs w:val="24"/>
          <w:lang w:eastAsia="zh-CN"/>
          <w14:ligatures w14:val="none"/>
        </w:rPr>
        <w:lastRenderedPageBreak/>
        <w:t>accounts for over 80% of non-agricultural employment in Sub-Saharan Africa, highlighting its central role in livelihoods, poverty alleviation, and urban economic resilience (ILO, 2023; Munyoro et al., 2026). This transformation in understanding has repositioned informality from the margins to the core of urban economic analysis (</w:t>
      </w:r>
      <w:r w:rsidR="00F43EBC" w:rsidRPr="00F43EBC">
        <w:rPr>
          <w:rFonts w:ascii="Times New Roman" w:eastAsia="Times New Roman" w:hAnsi="Times New Roman" w:cs="Times New Roman"/>
          <w:kern w:val="0"/>
          <w:sz w:val="24"/>
          <w:szCs w:val="24"/>
          <w:lang w:eastAsia="zh-CN"/>
          <w14:ligatures w14:val="none"/>
        </w:rPr>
        <w:t xml:space="preserve">Roy, 2005; </w:t>
      </w:r>
      <w:r w:rsidRPr="00F43EBC">
        <w:rPr>
          <w:rFonts w:ascii="Times New Roman" w:eastAsia="Times New Roman" w:hAnsi="Times New Roman" w:cs="Times New Roman"/>
          <w:kern w:val="0"/>
          <w:sz w:val="24"/>
          <w:szCs w:val="24"/>
          <w:lang w:eastAsia="zh-CN"/>
          <w14:ligatures w14:val="none"/>
        </w:rPr>
        <w:t>Chen, 2012). Scholars increasingly emphasise the multifunctional nature of the informal sector, recognizing its contributions not only to employment but also to service provision, innovation, and social stability (</w:t>
      </w:r>
      <w:r w:rsidR="00F43EBC" w:rsidRPr="00F43EBC">
        <w:rPr>
          <w:rFonts w:ascii="Times New Roman" w:eastAsia="Times New Roman" w:hAnsi="Times New Roman" w:cs="Times New Roman"/>
          <w:kern w:val="0"/>
          <w:sz w:val="24"/>
          <w:szCs w:val="24"/>
          <w:lang w:eastAsia="zh-CN"/>
          <w14:ligatures w14:val="none"/>
        </w:rPr>
        <w:t xml:space="preserve">Chen, 2012; </w:t>
      </w:r>
      <w:r w:rsidRPr="00F43EBC">
        <w:rPr>
          <w:rFonts w:ascii="Times New Roman" w:eastAsia="Times New Roman" w:hAnsi="Times New Roman" w:cs="Times New Roman"/>
          <w:kern w:val="0"/>
          <w:sz w:val="24"/>
          <w:szCs w:val="24"/>
          <w:lang w:eastAsia="zh-CN"/>
          <w14:ligatures w14:val="none"/>
        </w:rPr>
        <w:t>Meagher, 2021; Munyoro et al., 2026). However, despite this recognition, tensions persist between its economic significance and its marginalisation within formal planning systems (Watson, 2014; Kamete, 2017). This duality underscores the need for a more integrated analytical lens that situates informality within broader urban development processes rather than treating it as an anomaly.</w:t>
      </w:r>
    </w:p>
    <w:p w14:paraId="5BA40E2C"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2.2 Theoretical Perspectives on Informality</w:t>
      </w:r>
    </w:p>
    <w:p w14:paraId="3FC0844D" w14:textId="575383B5"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The literature on informality is anchored in three dominant theoretical perspectives: dualist, structuralist, and legalist frameworks. The dualist perspective conceptualizes the informal sector as a residual domain arising from insufficient formal employment opportunities, suggesting a natural transition toward formalisation with economic growth (Hart, 1973; Tokman, 2007; Munyoro &amp; Gwisai, 2020). While this view provides a foundational understanding, it has been criticised for oversimplifying the persistence of informality and ignoring its structural drivers. In contrast, the structuralist perspective situates informality within capitalist systems, arguing that it is actively produced through labour market segmentation and economic inequalities (Chen, 2012; Meagher, 2021). This approach highlights the interdependence between formal and informal economies, challenging the notion of their separation. The legalist perspective, advanced by De Soto (1989), attributes informality to excessive regulatory frameworks that constrain entrepreneurial activity (De Soto, 1989; Williams &amp; Kedir, 2018; Munyoro &amp; Gwisai, 2020). While influential in policy discourse, this perspective has been critiqued for overemphasizing deregulation without adequately addressing socio-economic inequalities (Williams &amp; Kedir, 2018; Munyoro &amp; Gwisai, 2020</w:t>
      </w:r>
      <w:r w:rsidR="000D60D7">
        <w:rPr>
          <w:rFonts w:ascii="Times New Roman" w:eastAsia="Times New Roman" w:hAnsi="Times New Roman" w:cs="Times New Roman"/>
          <w:kern w:val="0"/>
          <w:sz w:val="24"/>
          <w:szCs w:val="24"/>
          <w:lang w:eastAsia="zh-CN"/>
          <w14:ligatures w14:val="none"/>
        </w:rPr>
        <w:t>;</w:t>
      </w:r>
      <w:r w:rsidR="000D60D7" w:rsidRPr="000D60D7">
        <w:rPr>
          <w:rFonts w:ascii="Times New Roman" w:eastAsia="Times New Roman" w:hAnsi="Times New Roman" w:cs="Times New Roman"/>
          <w:kern w:val="0"/>
          <w:sz w:val="24"/>
          <w:szCs w:val="24"/>
          <w:lang w:eastAsia="zh-CN"/>
          <w14:ligatures w14:val="none"/>
        </w:rPr>
        <w:t xml:space="preserve"> </w:t>
      </w:r>
      <w:r w:rsidR="000D60D7" w:rsidRPr="00F43EBC">
        <w:rPr>
          <w:rFonts w:ascii="Times New Roman" w:eastAsia="Times New Roman" w:hAnsi="Times New Roman" w:cs="Times New Roman"/>
          <w:kern w:val="0"/>
          <w:sz w:val="24"/>
          <w:szCs w:val="24"/>
          <w:lang w:eastAsia="zh-CN"/>
          <w14:ligatures w14:val="none"/>
        </w:rPr>
        <w:t>Meagher, 2021</w:t>
      </w:r>
      <w:r w:rsidRPr="00F43EBC">
        <w:rPr>
          <w:rFonts w:ascii="Times New Roman" w:eastAsia="Times New Roman" w:hAnsi="Times New Roman" w:cs="Times New Roman"/>
          <w:kern w:val="0"/>
          <w:sz w:val="24"/>
          <w:szCs w:val="24"/>
          <w:lang w:eastAsia="zh-CN"/>
          <w14:ligatures w14:val="none"/>
        </w:rPr>
        <w:t>). Collectively, these frameworks provide valuable insights but remain limited in capturing the dynamic and context-specific nature of informality in African cities.</w:t>
      </w:r>
    </w:p>
    <w:p w14:paraId="3EC587AE"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2.3 Informality as Urban Resilience and Adaptive Governance</w:t>
      </w:r>
    </w:p>
    <w:p w14:paraId="3AF30131" w14:textId="5DBA78AF"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 xml:space="preserve">Recent scholarship has moved beyond traditional frameworks to conceptualize informality as a form of urban resilience and adaptive governance. This perspective reframes informal </w:t>
      </w:r>
      <w:r w:rsidRPr="00F43EBC">
        <w:rPr>
          <w:rFonts w:ascii="Times New Roman" w:eastAsia="Times New Roman" w:hAnsi="Times New Roman" w:cs="Times New Roman"/>
          <w:kern w:val="0"/>
          <w:sz w:val="24"/>
          <w:szCs w:val="24"/>
          <w:lang w:eastAsia="zh-CN"/>
          <w14:ligatures w14:val="none"/>
        </w:rPr>
        <w:lastRenderedPageBreak/>
        <w:t>practices as innovative responses to institutional gaps, economic volatility, and rapid urbanization (Roy, 2005; Meagher, 2021; UN-Habitat, 2022). Roy (2005) introduces the notion of “urban informality” as a mode of governance, emphasising its role in shaping land use, housing, and service delivery. Similarly, Watson (2014) advocates for “planning for informality,” which calls for flexible and inclusive planning approaches that recognise informal systems as integral to urban functionality. Empirical studies support this shift, demonstrating that inclusive planning strategies can enhance both economic productivity and service delivery (</w:t>
      </w:r>
      <w:r w:rsidR="004D70E3" w:rsidRPr="00F43EBC">
        <w:rPr>
          <w:rFonts w:ascii="Times New Roman" w:eastAsia="Times New Roman" w:hAnsi="Times New Roman" w:cs="Times New Roman"/>
          <w:kern w:val="0"/>
          <w:sz w:val="24"/>
          <w:szCs w:val="24"/>
          <w:lang w:eastAsia="zh-CN"/>
          <w14:ligatures w14:val="none"/>
        </w:rPr>
        <w:t>Mitlin, 2020</w:t>
      </w:r>
      <w:r w:rsidR="004D70E3">
        <w:rPr>
          <w:rFonts w:ascii="Times New Roman" w:eastAsia="Times New Roman" w:hAnsi="Times New Roman" w:cs="Times New Roman"/>
          <w:kern w:val="0"/>
          <w:sz w:val="24"/>
          <w:szCs w:val="24"/>
          <w:lang w:eastAsia="zh-CN"/>
          <w14:ligatures w14:val="none"/>
        </w:rPr>
        <w:t xml:space="preserve">; </w:t>
      </w:r>
      <w:r w:rsidRPr="00F43EBC">
        <w:rPr>
          <w:rFonts w:ascii="Times New Roman" w:eastAsia="Times New Roman" w:hAnsi="Times New Roman" w:cs="Times New Roman"/>
          <w:kern w:val="0"/>
          <w:sz w:val="24"/>
          <w:szCs w:val="24"/>
          <w:lang w:eastAsia="zh-CN"/>
          <w14:ligatures w14:val="none"/>
        </w:rPr>
        <w:t>UN-Habitat, 2022). For instance, evidence from cities such as Nairobi and Mumbai shows that integrating informal actors into urban planning processes improves spatial efficiency and fosters socio-economic inclusion (UN-Habitat, 2022). However, while these approaches are conceptually robust, their practical implementation remains uneven, particularly in resource-constrained municipalities (Watson, 2021; Meagher, 2021).</w:t>
      </w:r>
    </w:p>
    <w:p w14:paraId="5FFC5EBD"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2.4 Informality and Urban Planning in the African Context</w:t>
      </w:r>
    </w:p>
    <w:p w14:paraId="6FCB7497" w14:textId="24FBB827"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In African cities, the relationship between informality and urban planning is shaped by historical, institutional, and socio-political factors (Kamete, 2017; Parnell &amp; Pieterse, 2021). Colonial planning legacies have entrenched rigid zoning systems and exclusionary policies that marginalise informal activities (</w:t>
      </w:r>
      <w:r w:rsidR="000D60D7" w:rsidRPr="00F43EBC">
        <w:rPr>
          <w:rFonts w:ascii="Times New Roman" w:eastAsia="Times New Roman" w:hAnsi="Times New Roman" w:cs="Times New Roman"/>
          <w:kern w:val="0"/>
          <w:sz w:val="24"/>
          <w:szCs w:val="24"/>
          <w:lang w:eastAsia="zh-CN"/>
          <w14:ligatures w14:val="none"/>
        </w:rPr>
        <w:t>Watson, 2014</w:t>
      </w:r>
      <w:r w:rsidR="000D60D7">
        <w:rPr>
          <w:rFonts w:ascii="Times New Roman" w:eastAsia="Times New Roman" w:hAnsi="Times New Roman" w:cs="Times New Roman"/>
          <w:kern w:val="0"/>
          <w:sz w:val="24"/>
          <w:szCs w:val="24"/>
          <w:lang w:eastAsia="zh-CN"/>
          <w14:ligatures w14:val="none"/>
        </w:rPr>
        <w:t xml:space="preserve">; </w:t>
      </w:r>
      <w:r w:rsidRPr="00F43EBC">
        <w:rPr>
          <w:rFonts w:ascii="Times New Roman" w:eastAsia="Times New Roman" w:hAnsi="Times New Roman" w:cs="Times New Roman"/>
          <w:kern w:val="0"/>
          <w:sz w:val="24"/>
          <w:szCs w:val="24"/>
          <w:lang w:eastAsia="zh-CN"/>
          <w14:ligatures w14:val="none"/>
        </w:rPr>
        <w:t>Kamete, 2017). These systems often prioritise formal land use and infrastructure development, resulting in the displacement and criminalization of informal enterprises (Skinner &amp; Watson, 2020; Meagher, 2021). Consequently, planning frameworks frequently fail to reflect the lived realities of the majority urban population (Parnell &amp; Pieterse, 2021). Emerging approaches advocate for more inclusive and participatory planning models that integrate informal actors into decision-making processes (Mitlin, 2020; Watson, 2021). Strategies such as incremental upgrading, co-production of services, and flexible zoning have been proposed as mechanisms to bridge the formal–informal divide (Skinner &amp; Watson, 2020). While promising, these approaches require strong institutional capacity, political will, and context-sensitive adaptation—factors that are often limited in many African municipalities.</w:t>
      </w:r>
    </w:p>
    <w:p w14:paraId="450707B3"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2.5 Integrating Informality into Urban Development Strategies</w:t>
      </w:r>
    </w:p>
    <w:p w14:paraId="39BF444E" w14:textId="40942B67"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The integration of the informal sector into urban development strategies has gained increasing attention in policy and academic discourse. Contemporary planning paradigms emphasise the need for inclusive frameworks that recognize informal actors as legitimate stakeholders in urban development (</w:t>
      </w:r>
      <w:r w:rsidR="000D60D7" w:rsidRPr="00F43EBC">
        <w:rPr>
          <w:rFonts w:ascii="Times New Roman" w:eastAsia="Times New Roman" w:hAnsi="Times New Roman" w:cs="Times New Roman"/>
          <w:kern w:val="0"/>
          <w:sz w:val="24"/>
          <w:szCs w:val="24"/>
          <w:lang w:eastAsia="zh-CN"/>
          <w14:ligatures w14:val="none"/>
        </w:rPr>
        <w:t>Watson, 2021</w:t>
      </w:r>
      <w:r w:rsidR="000D60D7">
        <w:rPr>
          <w:rFonts w:ascii="Times New Roman" w:eastAsia="Times New Roman" w:hAnsi="Times New Roman" w:cs="Times New Roman"/>
          <w:kern w:val="0"/>
          <w:sz w:val="24"/>
          <w:szCs w:val="24"/>
          <w:lang w:eastAsia="zh-CN"/>
          <w14:ligatures w14:val="none"/>
        </w:rPr>
        <w:t xml:space="preserve">; </w:t>
      </w:r>
      <w:r w:rsidRPr="00F43EBC">
        <w:rPr>
          <w:rFonts w:ascii="Times New Roman" w:eastAsia="Times New Roman" w:hAnsi="Times New Roman" w:cs="Times New Roman"/>
          <w:kern w:val="0"/>
          <w:sz w:val="24"/>
          <w:szCs w:val="24"/>
          <w:lang w:eastAsia="zh-CN"/>
          <w14:ligatures w14:val="none"/>
        </w:rPr>
        <w:t xml:space="preserve">UN-Habitat, 2022). Such approaches involve the provision </w:t>
      </w:r>
      <w:r w:rsidRPr="00F43EBC">
        <w:rPr>
          <w:rFonts w:ascii="Times New Roman" w:eastAsia="Times New Roman" w:hAnsi="Times New Roman" w:cs="Times New Roman"/>
          <w:kern w:val="0"/>
          <w:sz w:val="24"/>
          <w:szCs w:val="24"/>
          <w:lang w:eastAsia="zh-CN"/>
          <w14:ligatures w14:val="none"/>
        </w:rPr>
        <w:lastRenderedPageBreak/>
        <w:t>of infrastructure, secure tenure, and regulatory reforms that support rather than constrain informal activities (Mitlin, 2020; Skinner &amp; Watson, 2020). Despite these advancements, significant challenges remain in operationalising integration at the municipal level (Meagher, 2021; Parnell &amp; Pieterse, 2021). Institutional fragmentation, limited financial resources, and governance inefficiencies often hinder the implementation of inclusive planning strategies (UN-Habitat, 2022). Moreover, there is a tendency for policy frameworks to remain aspirational, lacking clear mechanisms for execution and monitoring (Watson, 2021). This disconnect highlights the need for context-specific strategies that align policy objectives with local capacities and realities.</w:t>
      </w:r>
    </w:p>
    <w:p w14:paraId="5F80FA07"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2.6 Research Gap and Justification</w:t>
      </w:r>
    </w:p>
    <w:p w14:paraId="7204C4AB" w14:textId="55BF6316"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While the literature provides extensive theoretical and empirical insights into informality, a critical gap exists in its application to secondary cities, particularly in Zimbabwe (Meagher, 2021; Parnell &amp; Pieterse, 2021). Most studies focus on large metropolitan areas, thereby overlooking the unique socio-economic and institutional dynamics of smaller urban centres such as Chinhoyi Municipality. Secondary cities often operate with limited fiscal and administrative capacity, which constrains their ability to implement inclusive planning frameworks effectively (UN-Habitat, 2022). Furthermore, there is a paucity of localised empirical research that examines how informal sector integration can be operationalised within specific municipal contexts (Mitlin, 2020). Existing studies tend to generalise findings across diverse urban settings, neglecting the importance of place-based analysis (Watson, 2021). This study addresses this gap by focusing on Chinhoyi Municipality, aiming to develop a contextually grounded understanding of how informal sector activities can be systematically integrated into urban development strategies.</w:t>
      </w:r>
    </w:p>
    <w:p w14:paraId="77E38209"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3.0 Theoretical and Conceptual Framework</w:t>
      </w:r>
    </w:p>
    <w:p w14:paraId="6E008682" w14:textId="77777777" w:rsidR="00983D78" w:rsidRPr="00F43EBC"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3.1 Spatial Justice Theory</w:t>
      </w:r>
    </w:p>
    <w:p w14:paraId="25351127" w14:textId="7EACC7E9"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 xml:space="preserve">Drawing on Spatial Justice Theory, this study conceptualizes urban space as a socially produced arena where inequalities are materially inscribed and reproduced through planning regimes (Soja, 2010; Schindler et al., 2020). Edward Soja argues that justice must be understood not only in distributive terms but also spatially, where access to infrastructure, services, and opportunities is unevenly allocated (Soja, 2010). In the context of Chinhoyi Municipality, the marginalisation of informal sector actors reflects spatial injustices embedded </w:t>
      </w:r>
      <w:r w:rsidRPr="00F43EBC">
        <w:rPr>
          <w:rFonts w:ascii="Times New Roman" w:eastAsia="Times New Roman" w:hAnsi="Times New Roman" w:cs="Times New Roman"/>
          <w:kern w:val="0"/>
          <w:sz w:val="24"/>
          <w:szCs w:val="24"/>
          <w:lang w:eastAsia="zh-CN"/>
          <w14:ligatures w14:val="none"/>
        </w:rPr>
        <w:lastRenderedPageBreak/>
        <w:t>in exclusionary zoning, enforcement practices, and planning orthodoxies (Kamete, 2017; Munyoro et al., 2026). Recent scholarship advances this perspective by emphasizing the need for “just urban transitions” that reconcile formal planning with lived spatial practices in the Global South (</w:t>
      </w:r>
      <w:r w:rsidR="000D60D7" w:rsidRPr="00F43EBC">
        <w:rPr>
          <w:rFonts w:ascii="Times New Roman" w:eastAsia="Times New Roman" w:hAnsi="Times New Roman" w:cs="Times New Roman"/>
          <w:kern w:val="0"/>
          <w:sz w:val="24"/>
          <w:szCs w:val="24"/>
          <w:lang w:eastAsia="zh-CN"/>
          <w14:ligatures w14:val="none"/>
        </w:rPr>
        <w:t>Schindler et al., 2020</w:t>
      </w:r>
      <w:r w:rsidR="000D60D7">
        <w:rPr>
          <w:rFonts w:ascii="Times New Roman" w:eastAsia="Times New Roman" w:hAnsi="Times New Roman" w:cs="Times New Roman"/>
          <w:kern w:val="0"/>
          <w:sz w:val="24"/>
          <w:szCs w:val="24"/>
          <w:lang w:eastAsia="zh-CN"/>
          <w14:ligatures w14:val="none"/>
        </w:rPr>
        <w:t xml:space="preserve">; </w:t>
      </w:r>
      <w:r w:rsidRPr="00F43EBC">
        <w:rPr>
          <w:rFonts w:ascii="Times New Roman" w:eastAsia="Times New Roman" w:hAnsi="Times New Roman" w:cs="Times New Roman"/>
          <w:kern w:val="0"/>
          <w:sz w:val="24"/>
          <w:szCs w:val="24"/>
          <w:lang w:eastAsia="zh-CN"/>
          <w14:ligatures w14:val="none"/>
        </w:rPr>
        <w:t>Watson, 2021). However, critics note that Spatial Justice Theory often remains normative, lacking operational tools for planners to reconcile competing spatial claims (Schindler et al., 2020).</w:t>
      </w:r>
    </w:p>
    <w:p w14:paraId="4A1F2589" w14:textId="77777777" w:rsidR="00983D78" w:rsidRPr="00F43EBC"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3.2 Right to the City</w:t>
      </w:r>
    </w:p>
    <w:p w14:paraId="27EFE318" w14:textId="77777777"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The notion of Right to the City, pioneered by Lefebvre, provides a normative foundation for inclusive urban citizenship (Lefebvre, 1996; Miraftab, 2018). Applied to informal economies, this perspective reframes informality not as illegality but as a legitimate claim to urban space and economic participation (Roy, 2005; Miraftab, 2018). Contemporary interpretations extend Lefebvre’s thesis by foregrounding insurgent urbanism and grassroots agency in African cities (Parnell &amp; Pieterse, 2021). Nevertheless, tensions arise between this rights-based approach and state imperatives for order and regulation (Watson, 2014).</w:t>
      </w:r>
    </w:p>
    <w:p w14:paraId="38E7DFE5" w14:textId="7F6DA957" w:rsidR="00983D78" w:rsidRPr="00F43EBC" w:rsidRDefault="00983D78" w:rsidP="00F43EBC">
      <w:pPr>
        <w:tabs>
          <w:tab w:val="left" w:pos="1710"/>
        </w:tabs>
        <w:spacing w:after="0" w:line="24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ab/>
      </w:r>
    </w:p>
    <w:p w14:paraId="3285154E" w14:textId="77777777" w:rsidR="00983D78" w:rsidRPr="00F43EBC"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3.3 Co-production Theory</w:t>
      </w:r>
    </w:p>
    <w:p w14:paraId="368F2542" w14:textId="77777777"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Co-production Theory, associated with Ostrom, underscores the collaborative production of public goods through partnerships between state institutions and citizens (Ostrom, 1996; Mitlin, 2020). In urban governance, co-production has gained traction as a mechanism for integrating informal actors into service delivery and planning processes (Watson, 2014; Mitlin, 2020). However, empirical studies reveal that co-production is often constrained by power asymmetries and limited institutional capacity (Meagher, 2021; Parnell &amp; Pieterse, 2021).</w:t>
      </w:r>
    </w:p>
    <w:p w14:paraId="6EF5FED7" w14:textId="77777777" w:rsidR="00983D78" w:rsidRPr="00F43EBC"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3.4 Conceptual Framework</w:t>
      </w:r>
    </w:p>
    <w:p w14:paraId="6E3E7B75" w14:textId="77777777" w:rsidR="00983D78" w:rsidRPr="00983D78"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The conceptual framework synthesizes these theoretical strands by linking informal sector activities, institutional responses, and urban outcomes within a dynamic integration continuum (Roy, 2005; Watson, 2021). Informal economic practices interact with institutional mechanisms such as policies and enforcement regimes, producing varied urban outcomes including livelihood security and spatial order (Mitlin, 2020; UN-Habitat, 2022). Integration is conceptualized as a phased process: recogniti</w:t>
      </w:r>
      <w:r w:rsidRPr="00983D78">
        <w:rPr>
          <w:rFonts w:ascii="Times New Roman" w:eastAsia="Times New Roman" w:hAnsi="Times New Roman" w:cs="Times New Roman"/>
          <w:kern w:val="0"/>
          <w:sz w:val="24"/>
          <w:szCs w:val="24"/>
          <w:lang w:eastAsia="zh-CN"/>
          <w14:ligatures w14:val="none"/>
        </w:rPr>
        <w:t>on, regulation, support, and co-management (Skinner &amp; Watson, 2020).</w:t>
      </w:r>
    </w:p>
    <w:p w14:paraId="6115E630" w14:textId="245EC5A8" w:rsidR="002C415B" w:rsidRPr="002C415B" w:rsidRDefault="002C415B" w:rsidP="002C415B">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lastRenderedPageBreak/>
        <w:t xml:space="preserve">3.4.1 </w:t>
      </w:r>
      <w:r w:rsidRPr="002C415B">
        <w:rPr>
          <w:rFonts w:ascii="Times New Roman" w:eastAsia="Times New Roman" w:hAnsi="Times New Roman" w:cs="Times New Roman"/>
          <w:b/>
          <w:bCs/>
          <w:kern w:val="0"/>
          <w:sz w:val="27"/>
          <w:szCs w:val="27"/>
          <w:lang w:eastAsia="zh-CN"/>
          <w14:ligatures w14:val="none"/>
        </w:rPr>
        <w:t>Conceptual Framework Diagram (Dynamic Integration Continuum)</w:t>
      </w:r>
    </w:p>
    <w:p w14:paraId="39DA77E6" w14:textId="23862350" w:rsidR="007A0FC3" w:rsidRDefault="002C415B" w:rsidP="004F4F17">
      <w:pPr>
        <w:pStyle w:val="NormalWeb"/>
        <w:spacing w:line="360" w:lineRule="auto"/>
        <w:jc w:val="both"/>
        <w:rPr>
          <w:lang w:val="en-GB"/>
        </w:rPr>
      </w:pPr>
      <w:r w:rsidRPr="002C415B">
        <w:rPr>
          <w:rFonts w:ascii="Courier New" w:hAnsi="Courier New" w:cs="Courier New"/>
          <w:sz w:val="20"/>
          <w:szCs w:val="20"/>
        </w:rPr>
        <w:t xml:space="preserve">                  ┌─────────────────────────────────────────┐</w:t>
      </w:r>
      <w:r w:rsidRPr="002C415B">
        <w:rPr>
          <w:rFonts w:ascii="Courier New" w:hAnsi="Courier New" w:cs="Courier New"/>
          <w:sz w:val="20"/>
          <w:szCs w:val="20"/>
        </w:rPr>
        <w:br/>
        <w:t xml:space="preserve">                  │        INFORMAL SECTOR ACTIVITIES        │</w:t>
      </w:r>
      <w:r w:rsidRPr="002C415B">
        <w:rPr>
          <w:rFonts w:ascii="Courier New" w:hAnsi="Courier New" w:cs="Courier New"/>
          <w:sz w:val="20"/>
          <w:szCs w:val="20"/>
        </w:rPr>
        <w:br/>
        <w:t xml:space="preserve">                  │  (Adaptability • Resilience • Survival)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Interaction (Negotiation, Contestation)</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INSTITUTIONAL RESPONSES                     │</w:t>
      </w:r>
      <w:r w:rsidRPr="002C415B">
        <w:rPr>
          <w:rFonts w:ascii="Courier New" w:hAnsi="Courier New" w:cs="Courier New"/>
          <w:sz w:val="20"/>
          <w:szCs w:val="20"/>
        </w:rPr>
        <w:br/>
        <w:t xml:space="preserve">        │  Policies • By-laws • Planning Systems • Enforcement Regimes│</w:t>
      </w:r>
      <w:r w:rsidRPr="002C415B">
        <w:rPr>
          <w:rFonts w:ascii="Courier New" w:hAnsi="Courier New" w:cs="Courier New"/>
          <w:sz w:val="20"/>
          <w:szCs w:val="20"/>
        </w:rPr>
        <w:br/>
        <w:t xml:space="preserve">        │  (Capacity • Political Will • Governance Culture)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Iterative Feedback Loop</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INTEGRATION CONTINUUM                       │</w:t>
      </w:r>
      <w:r w:rsidRPr="002C415B">
        <w:rPr>
          <w:rFonts w:ascii="Courier New" w:hAnsi="Courier New" w:cs="Courier New"/>
          <w:sz w:val="20"/>
          <w:szCs w:val="20"/>
        </w:rPr>
        <w:br/>
        <w:t xml:space="preserve">     │  Recognition → Regulation → Support → Co-management          │</w:t>
      </w:r>
      <w:r w:rsidRPr="002C415B">
        <w:rPr>
          <w:rFonts w:ascii="Courier New" w:hAnsi="Courier New" w:cs="Courier New"/>
          <w:sz w:val="20"/>
          <w:szCs w:val="20"/>
        </w:rPr>
        <w:br/>
        <w:t xml:space="preserve">     │  (Non-linear, cyclical, and context-dependent progression)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URBAN OUTCOMES                        │</w:t>
      </w:r>
      <w:r w:rsidRPr="002C415B">
        <w:rPr>
          <w:rFonts w:ascii="Courier New" w:hAnsi="Courier New" w:cs="Courier New"/>
          <w:sz w:val="20"/>
          <w:szCs w:val="20"/>
        </w:rPr>
        <w:br/>
        <w:t xml:space="preserve">        │  • Livelihood Security                                   │</w:t>
      </w:r>
      <w:r w:rsidRPr="002C415B">
        <w:rPr>
          <w:rFonts w:ascii="Courier New" w:hAnsi="Courier New" w:cs="Courier New"/>
          <w:sz w:val="20"/>
          <w:szCs w:val="20"/>
        </w:rPr>
        <w:br/>
        <w:t xml:space="preserve">        │  • Service Access                                        │</w:t>
      </w:r>
      <w:r w:rsidRPr="002C415B">
        <w:rPr>
          <w:rFonts w:ascii="Courier New" w:hAnsi="Courier New" w:cs="Courier New"/>
          <w:sz w:val="20"/>
          <w:szCs w:val="20"/>
        </w:rPr>
        <w:br/>
        <w:t xml:space="preserve">        │  • Spatial Order / Urban Form                            │</w:t>
      </w:r>
      <w:r w:rsidRPr="002C415B">
        <w:rPr>
          <w:rFonts w:ascii="Courier New" w:hAnsi="Courier New" w:cs="Courier New"/>
          <w:sz w:val="20"/>
          <w:szCs w:val="20"/>
        </w:rPr>
        <w:br/>
        <w:t xml:space="preserve">        │  • Inclusion vs Exclusion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Feedback (Outcomes reshape policy and practice)</w:t>
      </w:r>
      <w:r w:rsidRPr="002C415B">
        <w:rPr>
          <w:rFonts w:ascii="Courier New" w:hAnsi="Courier New" w:cs="Courier New"/>
          <w:sz w:val="20"/>
          <w:szCs w:val="20"/>
        </w:rPr>
        <w:br/>
      </w:r>
      <w:r w:rsidRPr="002C415B">
        <w:rPr>
          <w:rFonts w:ascii="Courier New" w:hAnsi="Courier New" w:cs="Courier New"/>
          <w:sz w:val="20"/>
          <w:szCs w:val="20"/>
        </w:rPr>
        <w:br/>
        <w:t>────────────────────────────────────────────────────────────────────────</w:t>
      </w:r>
      <w:r w:rsidRPr="002C415B">
        <w:rPr>
          <w:rFonts w:ascii="Courier New" w:hAnsi="Courier New" w:cs="Courier New"/>
          <w:sz w:val="20"/>
          <w:szCs w:val="20"/>
        </w:rPr>
        <w:br/>
      </w:r>
      <w:r w:rsidRPr="002C415B">
        <w:rPr>
          <w:rFonts w:ascii="Courier New" w:hAnsi="Courier New" w:cs="Courier New"/>
          <w:sz w:val="20"/>
          <w:szCs w:val="20"/>
        </w:rPr>
        <w:br/>
      </w:r>
      <w:r w:rsidR="007A0FC3" w:rsidRPr="007A0FC3">
        <w:rPr>
          <w:lang w:val="en-GB"/>
        </w:rPr>
        <w:t>Fig 1: Conceptual Framework Diagram</w:t>
      </w:r>
    </w:p>
    <w:p w14:paraId="500696F4" w14:textId="362162DD" w:rsidR="004F4F17" w:rsidRPr="004F4F17" w:rsidRDefault="004F4F17" w:rsidP="004F4F17">
      <w:pPr>
        <w:pStyle w:val="NormalWeb"/>
        <w:spacing w:line="360" w:lineRule="auto"/>
        <w:jc w:val="both"/>
      </w:pPr>
      <w:r w:rsidRPr="004F4F17">
        <w:lastRenderedPageBreak/>
        <w:t>Cross-cutting influences operate simultaneously across multiple governance and development levels, shaping urban and economic outcomes through interconnected dynamics of socio-political negotiation, institutional capacity, informal sector diversity, and localized spatial contexts (UN-Habitat, 2022; World Bank, 2023). Socio-political negotiation is central to development processes, as governance outcomes are not purely technical but depend on power relations, coordination, and political will, particularly in rapidly urbanizing regions where institutional arrangements often lag behind growth (Broto &amp; Bulkeley, 2019; Parnell, 2021). These challenges are compounded by institutional capacity constraints, especially in intermediate and secondary cities, where limited fiscal autonomy, weak decentralization, and insufficient human and technical resources restrict effective policy implementation and service delivery (</w:t>
      </w:r>
      <w:r w:rsidR="004D70E3">
        <w:t>OECD</w:t>
      </w:r>
      <w:r w:rsidRPr="004F4F17">
        <w:t>, 2020; Cities Alliance, 2021). At the same time, the informal sector, constituting a significant share of employment in many developing contexts, is highly heterogeneous, encompassing diverse livelihood strategies, skill levels, and economic linkages, thereby requiring nuanced, context-sensitive policy approaches rather than uniform interventions (</w:t>
      </w:r>
      <w:r w:rsidR="004D70E3">
        <w:t>ILO</w:t>
      </w:r>
      <w:r w:rsidRPr="004F4F17">
        <w:t>, 2018; Chen, 2020). Furthermore, local context, particularly the dynamics of intermediate cities, plays a critical mediating role, as these urban spaces function as connectors between rural and metropolitan systems but often experience structural disadvantages, including limited investment, weak governance visibility, and heightened vulnerability to socio-economic and environmental shocks (</w:t>
      </w:r>
      <w:r w:rsidR="004D70E3" w:rsidRPr="004F4F17">
        <w:t>AfDB, 2019</w:t>
      </w:r>
      <w:r w:rsidR="004D70E3">
        <w:t>; UCLG</w:t>
      </w:r>
      <w:r w:rsidRPr="004F4F17">
        <w:t>, 2022). Collectively, these cross-cutting influences underscore the need for integrated, place-based strategies that recognize the interplay between political processes, institutional realities, economic diversity, and spatial specificity in shaping sustainable development trajectories as discussed below.</w:t>
      </w:r>
    </w:p>
    <w:p w14:paraId="27D9E20A"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3.4.1 From linearity to recursive governance</w:t>
      </w:r>
    </w:p>
    <w:p w14:paraId="6CC1537A" w14:textId="2D849E8E"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Most conventional frameworks assume a one-way progression from policy to outcomes (Grindle, 2017; World Bank, 2020). This model deliberately disrupts that assumption by introducing feedback loops, showing that urban outcomes (e.g., informal settlement growth or improved livelihoods) actively reshape institutional responses (Head, 2022; Pelling, 2021). This reflects real-world governance, where policy is reactive as much as it is proactive.</w:t>
      </w:r>
    </w:p>
    <w:p w14:paraId="4FAC51DA"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3.4.2 Integration as a negotiated, not technical, process</w:t>
      </w:r>
    </w:p>
    <w:p w14:paraId="20CCECA4" w14:textId="0FC78B6B"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lastRenderedPageBreak/>
        <w:t>The framework correctly positions integration (recognition → co-management) as politically mediated rather than purely administrative (Roy, 2019; Pieterse, 2020). Each phase is contingent on negotiation between actors, meaning progress is uneven, reversible, and often contested, especially in cities with limited regulatory coherence.</w:t>
      </w:r>
    </w:p>
    <w:p w14:paraId="709F1E40"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3.4.3 Centrality of institutional capacity and political will</w:t>
      </w:r>
    </w:p>
    <w:p w14:paraId="235872D1" w14:textId="433F15AF"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Institutional responses are not neutral instruments; they are constrained by capacity limitations and political priorities (</w:t>
      </w:r>
      <w:r w:rsidR="00873DEB" w:rsidRPr="004F4F17">
        <w:rPr>
          <w:rFonts w:ascii="Times New Roman" w:eastAsia="Times New Roman" w:hAnsi="Times New Roman" w:cs="Times New Roman"/>
          <w:kern w:val="0"/>
          <w:sz w:val="24"/>
          <w:szCs w:val="24"/>
          <w:lang w:eastAsia="zh-CN"/>
          <w14:ligatures w14:val="none"/>
        </w:rPr>
        <w:t>Fukuyama, 2018</w:t>
      </w:r>
      <w:r w:rsidR="00873DEB">
        <w:rPr>
          <w:rFonts w:ascii="Times New Roman" w:eastAsia="Times New Roman" w:hAnsi="Times New Roman" w:cs="Times New Roman"/>
          <w:kern w:val="0"/>
          <w:sz w:val="24"/>
          <w:szCs w:val="24"/>
          <w:lang w:eastAsia="zh-CN"/>
          <w14:ligatures w14:val="none"/>
        </w:rPr>
        <w:t xml:space="preserve">; </w:t>
      </w:r>
      <w:r w:rsidR="004D70E3">
        <w:rPr>
          <w:rFonts w:ascii="Times New Roman" w:eastAsia="Times New Roman" w:hAnsi="Times New Roman" w:cs="Times New Roman"/>
          <w:kern w:val="0"/>
          <w:sz w:val="24"/>
          <w:szCs w:val="24"/>
          <w:lang w:eastAsia="zh-CN"/>
          <w14:ligatures w14:val="none"/>
        </w:rPr>
        <w:t>OECD</w:t>
      </w:r>
      <w:r w:rsidRPr="004F4F17">
        <w:rPr>
          <w:rFonts w:ascii="Times New Roman" w:eastAsia="Times New Roman" w:hAnsi="Times New Roman" w:cs="Times New Roman"/>
          <w:kern w:val="0"/>
          <w:sz w:val="24"/>
          <w:szCs w:val="24"/>
          <w:lang w:eastAsia="zh-CN"/>
          <w14:ligatures w14:val="none"/>
        </w:rPr>
        <w:t>, 2020). In intermediate cities, weak enforcement or selective regulation can produce hybrid governance systems where formal and informal rules coexist, sometimes contradictorily (</w:t>
      </w:r>
      <w:r w:rsidR="00873DEB" w:rsidRPr="004F4F17">
        <w:rPr>
          <w:rFonts w:ascii="Times New Roman" w:eastAsia="Times New Roman" w:hAnsi="Times New Roman" w:cs="Times New Roman"/>
          <w:kern w:val="0"/>
          <w:sz w:val="24"/>
          <w:szCs w:val="24"/>
          <w:lang w:eastAsia="zh-CN"/>
          <w14:ligatures w14:val="none"/>
        </w:rPr>
        <w:t>Simone, 2019</w:t>
      </w:r>
      <w:r w:rsidR="00873DEB">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Seto et al., 2021).</w:t>
      </w:r>
    </w:p>
    <w:p w14:paraId="13396F41"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3.4.4 Informality as productive, not deviant</w:t>
      </w:r>
    </w:p>
    <w:p w14:paraId="1D6DD45A" w14:textId="4AA1028A"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By foregrounding adaptability and resilience, the framework avoids framing informality as merely a governance failure (</w:t>
      </w:r>
      <w:r w:rsidR="00873DEB">
        <w:rPr>
          <w:rFonts w:ascii="Times New Roman" w:eastAsia="Times New Roman" w:hAnsi="Times New Roman" w:cs="Times New Roman"/>
          <w:kern w:val="0"/>
          <w:sz w:val="24"/>
          <w:szCs w:val="24"/>
          <w:lang w:eastAsia="zh-CN"/>
          <w14:ligatures w14:val="none"/>
        </w:rPr>
        <w:t>ILO</w:t>
      </w:r>
      <w:r w:rsidR="00873DEB" w:rsidRPr="004F4F17">
        <w:rPr>
          <w:rFonts w:ascii="Times New Roman" w:eastAsia="Times New Roman" w:hAnsi="Times New Roman" w:cs="Times New Roman"/>
          <w:kern w:val="0"/>
          <w:sz w:val="24"/>
          <w:szCs w:val="24"/>
          <w:lang w:eastAsia="zh-CN"/>
          <w14:ligatures w14:val="none"/>
        </w:rPr>
        <w:t>, 2018</w:t>
      </w:r>
      <w:r w:rsidR="00873DEB">
        <w:rPr>
          <w:rFonts w:ascii="Times New Roman" w:eastAsia="Times New Roman" w:hAnsi="Times New Roman" w:cs="Times New Roman"/>
          <w:kern w:val="0"/>
          <w:sz w:val="24"/>
          <w:szCs w:val="24"/>
          <w:lang w:eastAsia="zh-CN"/>
          <w14:ligatures w14:val="none"/>
        </w:rPr>
        <w:t>;</w:t>
      </w:r>
      <w:r w:rsidRPr="004F4F17">
        <w:rPr>
          <w:rFonts w:ascii="Times New Roman" w:eastAsia="Times New Roman" w:hAnsi="Times New Roman" w:cs="Times New Roman"/>
          <w:kern w:val="0"/>
          <w:sz w:val="24"/>
          <w:szCs w:val="24"/>
          <w:lang w:eastAsia="zh-CN"/>
          <w14:ligatures w14:val="none"/>
        </w:rPr>
        <w:t xml:space="preserve"> Chen, 2020). Instead, it treats it as a functional urban subsystem, which shifts the policy question from eradication to structured integration (Roy, 2019; Skinner, 2021).</w:t>
      </w:r>
    </w:p>
    <w:p w14:paraId="19783BF7"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3.4.5 Context sensitivity: the intermediate city gap</w:t>
      </w:r>
    </w:p>
    <w:p w14:paraId="34A14035" w14:textId="160EEC8F"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A key strength is the explicit recognition of intermediate cities as distinct analytical spaces (</w:t>
      </w:r>
      <w:r w:rsidR="00873DEB">
        <w:rPr>
          <w:rFonts w:ascii="Times New Roman" w:eastAsia="Times New Roman" w:hAnsi="Times New Roman" w:cs="Times New Roman"/>
          <w:kern w:val="0"/>
          <w:sz w:val="24"/>
          <w:szCs w:val="24"/>
          <w:lang w:eastAsia="zh-CN"/>
          <w14:ligatures w14:val="none"/>
        </w:rPr>
        <w:t>UCLG</w:t>
      </w:r>
      <w:r w:rsidRPr="004F4F17">
        <w:rPr>
          <w:rFonts w:ascii="Times New Roman" w:eastAsia="Times New Roman" w:hAnsi="Times New Roman" w:cs="Times New Roman"/>
          <w:kern w:val="0"/>
          <w:sz w:val="24"/>
          <w:szCs w:val="24"/>
          <w:lang w:eastAsia="zh-CN"/>
          <w14:ligatures w14:val="none"/>
        </w:rPr>
        <w:t>, 2022; Cities Alliance, 2021). Unlike large metropolitan areas, these cities often lack resources yet experience rapid informalization (AfDB, 2019). The framework highlights a research gap: how integration models actually perform under these constrained and hybrid conditions.</w:t>
      </w:r>
    </w:p>
    <w:p w14:paraId="2929040D"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3.4.6 Co-management as an aspirational but fragile endpoint</w:t>
      </w:r>
    </w:p>
    <w:p w14:paraId="258D358D" w14:textId="198C352F"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While co-management represents the most inclusive stage, the framework implicitly acknowledges its fragility (Ostrom, 2019; Mitlin, 2020). Achieving it requires sustained trust, institutional reform, and actor alignment conditions that are rarely stable (Pelling, 2021). Thus, the continuum should be read as fluid rather than progressive (Head, 2022).</w:t>
      </w:r>
    </w:p>
    <w:p w14:paraId="22E203E1" w14:textId="77777777" w:rsidR="00BF3438" w:rsidRPr="002B72FC" w:rsidRDefault="00BF3438" w:rsidP="00BF3438">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2B72FC">
        <w:rPr>
          <w:rFonts w:ascii="Times New Roman" w:eastAsia="Times New Roman" w:hAnsi="Times New Roman" w:cs="Times New Roman"/>
          <w:b/>
          <w:bCs/>
          <w:kern w:val="0"/>
          <w:sz w:val="24"/>
          <w:szCs w:val="24"/>
          <w:lang w:eastAsia="zh-CN"/>
          <w14:ligatures w14:val="none"/>
        </w:rPr>
        <w:t>4.0 Methodology</w:t>
      </w:r>
    </w:p>
    <w:p w14:paraId="768D369F"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4.1 Research Design</w:t>
      </w:r>
    </w:p>
    <w:p w14:paraId="22757796" w14:textId="1CDA8169"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lastRenderedPageBreak/>
        <w:t>This study adopts a convergent mixed-methods design to interrogate the integration of the informal sector into urban development strategies in Chinhoyi Municipality (Creswell &amp; Plano Clark, 2018; Tashakkori et al., 2020). This approach is theoretically grounded in the recognition that informal urbanism is simultaneously socio-spatial, economic, and political, thus requiring methodological pluralism to capture its complexity (Roy, 2011; Watson, 2021). Recent scholarship on African urbanism emphasizes that mono-method approaches often fail to grasp the dynamic interplay between formal planning regimes and informal practices, particularly in rapidly urbanising contexts (Parnell &amp; Pieterse, 2016; Skinner &amp; Watson, 2020). By combining qualitative depth with quantitative breadth, the study responds to calls for more context-sensitive and empirically robust methodologies capable of addressing the fragmented and often contradictory nature of planning systems in African cities (</w:t>
      </w:r>
      <w:r w:rsidR="00B61E9E" w:rsidRPr="004F4F17">
        <w:rPr>
          <w:rFonts w:ascii="Times New Roman" w:eastAsia="Times New Roman" w:hAnsi="Times New Roman" w:cs="Times New Roman"/>
          <w:kern w:val="0"/>
          <w:sz w:val="24"/>
          <w:szCs w:val="24"/>
          <w:lang w:eastAsia="zh-CN"/>
          <w14:ligatures w14:val="none"/>
        </w:rPr>
        <w:t>Pieterse, 2018</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UN-Habitat, 2022).</w:t>
      </w:r>
    </w:p>
    <w:p w14:paraId="421E2859"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4.2 Qualitative Methods</w:t>
      </w:r>
    </w:p>
    <w:p w14:paraId="19FEC06A" w14:textId="575816E9"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Qualitative data were generated through semi-structured interviews with municipal officials, informal traders, and residents, complemented by focus group discussions (Bryman, 2016; Creswell &amp; Poth, 2018). This approach enabled the elicitation of situated knowledge, power relations, and everyday practices that shape informal economies (Chen, 2020; Meagher, 2021). The use of semi-structured interviews aligns with recent studies highlighting how informal actors actively negotiate, resist, and reshape regulatory frameworks rather than merely existing as passive subjects of governance (</w:t>
      </w:r>
      <w:r w:rsidR="00B61E9E" w:rsidRPr="004F4F17">
        <w:rPr>
          <w:rFonts w:ascii="Times New Roman" w:eastAsia="Times New Roman" w:hAnsi="Times New Roman" w:cs="Times New Roman"/>
          <w:kern w:val="0"/>
          <w:sz w:val="24"/>
          <w:szCs w:val="24"/>
          <w:lang w:eastAsia="zh-CN"/>
          <w14:ligatures w14:val="none"/>
        </w:rPr>
        <w:t>Skinner &amp; Watson,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Watson, 2021). Focus groups further facilitated collective reflection, revealing shared experiences of marginalisation and adaptive strategies, thereby uncovering the social embeddedness of informality often overlooked in technocratic planning models (Meagher, 2021; UN-Habitat, 2022). Critically, these methods expose the disjuncture between policy intentions and lived urban realities, a gap frequently identified in African urban research (Parnell &amp; Pieterse, 2016; Pieterse, 2018).</w:t>
      </w:r>
    </w:p>
    <w:p w14:paraId="73E12364"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4.3 Quantitative Methods</w:t>
      </w:r>
    </w:p>
    <w:p w14:paraId="1F17AAC4" w14:textId="172383F5"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Quantitative data were collected through a structured survey of approximately 120 informal operators and spatial mapping of informal activity zones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 xml:space="preserve">ILO, 2023). The survey enabled the generation of descriptive statistics on socio-economic characteristics, livelihood strategies, and interactions with formal planning systems (ILO, 2023). Spatial mapping complemented this by visualising the distribution and intensity of informal activities, </w:t>
      </w:r>
      <w:r w:rsidRPr="004F4F17">
        <w:rPr>
          <w:rFonts w:ascii="Times New Roman" w:eastAsia="Times New Roman" w:hAnsi="Times New Roman" w:cs="Times New Roman"/>
          <w:kern w:val="0"/>
          <w:sz w:val="24"/>
          <w:szCs w:val="24"/>
          <w:lang w:eastAsia="zh-CN"/>
          <w14:ligatures w14:val="none"/>
        </w:rPr>
        <w:lastRenderedPageBreak/>
        <w:t>addressing the persistent lack of fine-grained spatial data on informality in sub-Saharan Africa (</w:t>
      </w:r>
      <w:r w:rsidR="00B61E9E" w:rsidRPr="004F4F17">
        <w:rPr>
          <w:rFonts w:ascii="Times New Roman" w:eastAsia="Times New Roman" w:hAnsi="Times New Roman" w:cs="Times New Roman"/>
          <w:kern w:val="0"/>
          <w:sz w:val="24"/>
          <w:szCs w:val="24"/>
          <w:lang w:eastAsia="zh-CN"/>
          <w14:ligatures w14:val="none"/>
        </w:rPr>
        <w:t>Dobson et al., 2019</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UN-Habitat, 2022). The integration of spatial and survey data responds to recent methodological advances advocating for data-driven yet contextually grounded analyses to better inform inclusive planning interventions (Pieterse, 2018; Watson, 2021). However, the study remains critically aware of the limitations of quantification, particularly the risk of reducing complex socio-political processes into simplified metrics (Roy, 2011; Meagher, 2021).</w:t>
      </w:r>
    </w:p>
    <w:p w14:paraId="734B4530"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4.4 Document Analysis</w:t>
      </w:r>
    </w:p>
    <w:p w14:paraId="29AA2951" w14:textId="4ED54AAD"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Document analysis encompassed Chinhoyi municipal</w:t>
      </w:r>
      <w:r w:rsidR="00B61E9E">
        <w:rPr>
          <w:rFonts w:ascii="Times New Roman" w:eastAsia="Times New Roman" w:hAnsi="Times New Roman" w:cs="Times New Roman"/>
          <w:kern w:val="0"/>
          <w:sz w:val="24"/>
          <w:szCs w:val="24"/>
          <w:lang w:eastAsia="zh-CN"/>
          <w14:ligatures w14:val="none"/>
        </w:rPr>
        <w:t>ity</w:t>
      </w:r>
      <w:r w:rsidRPr="004F4F17">
        <w:rPr>
          <w:rFonts w:ascii="Times New Roman" w:eastAsia="Times New Roman" w:hAnsi="Times New Roman" w:cs="Times New Roman"/>
          <w:kern w:val="0"/>
          <w:sz w:val="24"/>
          <w:szCs w:val="24"/>
          <w:lang w:eastAsia="zh-CN"/>
          <w14:ligatures w14:val="none"/>
        </w:rPr>
        <w:t xml:space="preserve"> by-laws and national urban policies to contextualise empirical findings within formal regulatory frameworks (Bowen, 2009; UN-Habitat, 2022). This method is essential given the enduring influence of colonial-era planning instruments and top-down regulatory regimes that often marginalise informal economies (Watson, 2009; Parnell &amp; Pieterse, 2016). By critically examining policy texts, the study interrogates the extent to which current planning frameworks accommodate or exclude informality, revealing inherent contradictions between policy rhetoric and implementation (Pieterse, 2018; Watson, 2021). This analytical layer enables a triangulated understanding of governance structures and their implications for inclusive urban development (UN-Habitat, 2022).</w:t>
      </w:r>
    </w:p>
    <w:p w14:paraId="131D0478"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4.5 Research Gap and Methodological Contribution</w:t>
      </w:r>
    </w:p>
    <w:p w14:paraId="5B412E28" w14:textId="21C9E930"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Despite increasing scholarship on informality in African cities, significant gaps remain in empirically grounded, city-specific studies that integrate spatial, socio-economic, and governance dimensions (Skinner &amp; Watson, 2020; Meagher, 2021). Existing literature often either generalises across contexts or privileges macro-level analyses, thereby overlooking the micro-scale dynamics of secondary cities such as Chinhoyi</w:t>
      </w:r>
      <w:r w:rsidR="00B61E9E">
        <w:rPr>
          <w:rFonts w:ascii="Times New Roman" w:eastAsia="Times New Roman" w:hAnsi="Times New Roman" w:cs="Times New Roman"/>
          <w:kern w:val="0"/>
          <w:sz w:val="24"/>
          <w:szCs w:val="24"/>
          <w:lang w:eastAsia="zh-CN"/>
          <w14:ligatures w14:val="none"/>
        </w:rPr>
        <w:t xml:space="preserve"> Municipality</w:t>
      </w:r>
      <w:r w:rsidRPr="004F4F17">
        <w:rPr>
          <w:rFonts w:ascii="Times New Roman" w:eastAsia="Times New Roman" w:hAnsi="Times New Roman" w:cs="Times New Roman"/>
          <w:kern w:val="0"/>
          <w:sz w:val="24"/>
          <w:szCs w:val="24"/>
          <w:lang w:eastAsia="zh-CN"/>
          <w14:ligatures w14:val="none"/>
        </w:rPr>
        <w:t xml:space="preserve"> (Parnell &amp; Pieterse, 2016). Furthermore, while informality is widely acknowledged as central to urban livelihoods, there is limited methodological integration of spatial mapping with participatory qualitative insights to inform planning praxis (</w:t>
      </w:r>
      <w:r w:rsidR="00B61E9E" w:rsidRPr="004F4F17">
        <w:rPr>
          <w:rFonts w:ascii="Times New Roman" w:eastAsia="Times New Roman" w:hAnsi="Times New Roman" w:cs="Times New Roman"/>
          <w:kern w:val="0"/>
          <w:sz w:val="24"/>
          <w:szCs w:val="24"/>
          <w:lang w:eastAsia="zh-CN"/>
          <w14:ligatures w14:val="none"/>
        </w:rPr>
        <w:t>Pieterse, 2018</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 xml:space="preserve">UN-Habitat, 2022). This study addresses these gaps by employing a multi-scalar, mixed-methods approach that bridges policy analysis with lived experiences and spatial realities. In doing so, it contributes to emerging calls for more adaptive, inclusive, and evidence-based planning frameworks that move beyond </w:t>
      </w:r>
      <w:r w:rsidRPr="004F4F17">
        <w:rPr>
          <w:rFonts w:ascii="Times New Roman" w:eastAsia="Times New Roman" w:hAnsi="Times New Roman" w:cs="Times New Roman"/>
          <w:kern w:val="0"/>
          <w:sz w:val="24"/>
          <w:szCs w:val="24"/>
          <w:lang w:eastAsia="zh-CN"/>
          <w14:ligatures w14:val="none"/>
        </w:rPr>
        <w:lastRenderedPageBreak/>
        <w:t>exclusionary models toward the co-production of urban space with informal actors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Watson, 2021).</w:t>
      </w:r>
    </w:p>
    <w:p w14:paraId="580097D3" w14:textId="77777777" w:rsidR="004F4F17" w:rsidRPr="004F4F17" w:rsidRDefault="004F4F17" w:rsidP="004F4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5.0 Data Analysis</w:t>
      </w:r>
    </w:p>
    <w:p w14:paraId="29CD590A" w14:textId="44D859F4"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This study employed a convergent mixed-methods analytical framework to examine the dynamics of urban informality in Chinhoyi</w:t>
      </w:r>
      <w:r w:rsidR="00B61E9E">
        <w:rPr>
          <w:rFonts w:ascii="Times New Roman" w:eastAsia="Times New Roman" w:hAnsi="Times New Roman" w:cs="Times New Roman"/>
          <w:kern w:val="0"/>
          <w:sz w:val="24"/>
          <w:szCs w:val="24"/>
          <w:lang w:eastAsia="zh-CN"/>
          <w14:ligatures w14:val="none"/>
        </w:rPr>
        <w:t xml:space="preserve"> Municipality</w:t>
      </w:r>
      <w:r w:rsidRPr="004F4F17">
        <w:rPr>
          <w:rFonts w:ascii="Times New Roman" w:eastAsia="Times New Roman" w:hAnsi="Times New Roman" w:cs="Times New Roman"/>
          <w:kern w:val="0"/>
          <w:sz w:val="24"/>
          <w:szCs w:val="24"/>
          <w:lang w:eastAsia="zh-CN"/>
          <w14:ligatures w14:val="none"/>
        </w:rPr>
        <w:t>, Zimbabwe, integrating qualitative and quantitative strands to ensure methodological complementarity (Creswell &amp; Plano Clark, 2018; Tashakkori et al., 2020). The approach enabled simultaneous interpretation of socio-spatial practices, governance structures, and livelihood strategies within the informal sector, thereby enhancing analytical depth and contextual validity (</w:t>
      </w:r>
      <w:r w:rsidR="00873DEB" w:rsidRPr="004F4F17">
        <w:rPr>
          <w:rFonts w:ascii="Times New Roman" w:eastAsia="Times New Roman" w:hAnsi="Times New Roman" w:cs="Times New Roman"/>
          <w:kern w:val="0"/>
          <w:sz w:val="24"/>
          <w:szCs w:val="24"/>
          <w:lang w:eastAsia="zh-CN"/>
          <w14:ligatures w14:val="none"/>
        </w:rPr>
        <w:t>Watson, 2021</w:t>
      </w:r>
      <w:r w:rsidR="00873DEB">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UN-Habitat, 2022). Consistent with established mixed-methods scholarship, this design supports triangulation to improve interpretive robustness and reduce mono-method bias in urban studies research (Creswell &amp; Plano Clark, 2018; Tashakkori et al., 2020).</w:t>
      </w:r>
    </w:p>
    <w:p w14:paraId="600BBCB6"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5.1 Qualitative Thematic Analysis</w:t>
      </w:r>
    </w:p>
    <w:p w14:paraId="3D537C11" w14:textId="4FECBE97"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Qualitative data were analysed using reflexive thematic analysis, following the methodological principles advanced by Braun and Clarke, to systematically identify, code, and interpret recurring patterns related to informality, governance, and spatial negotiation (Braun &amp; Clarke, 2021). This process enabled an interpretive examination of how municipal regulations, social practices, and livelihood strategies intersect in shaping informal urban economies (</w:t>
      </w:r>
      <w:r w:rsidR="00B61E9E" w:rsidRPr="004F4F17">
        <w:rPr>
          <w:rFonts w:ascii="Times New Roman" w:eastAsia="Times New Roman" w:hAnsi="Times New Roman" w:cs="Times New Roman"/>
          <w:kern w:val="0"/>
          <w:sz w:val="24"/>
          <w:szCs w:val="24"/>
          <w:lang w:eastAsia="zh-CN"/>
          <w14:ligatures w14:val="none"/>
        </w:rPr>
        <w:t>Skinner &amp; Watson,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Watson, 2021). Particular attention was given to power relations embedded in planning regimes and the lived experiences of informal actors, aligning with contemporary urban informality scholarship that emphasises context-sensitive interpretation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Meagher, 2021).</w:t>
      </w:r>
    </w:p>
    <w:p w14:paraId="04F61FBC"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5.2 Quantitative Descriptive Statistics</w:t>
      </w:r>
    </w:p>
    <w:p w14:paraId="712C1AFA" w14:textId="3B40EFF3"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Quantitative data were analysed using descriptive statistical techniques, including frequency distributions and proportional analysis, to quantify the extent and structure of informal economic participation in Chinhoyi Municipality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 xml:space="preserve">ILO, 2023). This facilitated the measurement of key variables such as income dependence, spatial distribution of activities, and access to services, thereby providing an empirical baseline for interpretation (UN-Habitat, 2022). The use of descriptive statistics strengthened the generalisability of findings and enabled </w:t>
      </w:r>
      <w:r w:rsidRPr="004F4F17">
        <w:rPr>
          <w:rFonts w:ascii="Times New Roman" w:eastAsia="Times New Roman" w:hAnsi="Times New Roman" w:cs="Times New Roman"/>
          <w:kern w:val="0"/>
          <w:sz w:val="24"/>
          <w:szCs w:val="24"/>
          <w:lang w:eastAsia="zh-CN"/>
          <w14:ligatures w14:val="none"/>
        </w:rPr>
        <w:lastRenderedPageBreak/>
        <w:t>systematic comparison with broader urban informality trends documented in Global South cities (Chen, 2020; ILO, 2023).</w:t>
      </w:r>
    </w:p>
    <w:p w14:paraId="4A4703DB"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5.3 Integration and Triangulation</w:t>
      </w:r>
    </w:p>
    <w:p w14:paraId="216BC420" w14:textId="294B6B27"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The integration of qualitative and quantitative findings was undertaken through a convergent triangulation approach, allowing for the systematic comparison and synthesis of complementary datasets (</w:t>
      </w:r>
      <w:r w:rsidR="00B61E9E" w:rsidRPr="004F4F17">
        <w:rPr>
          <w:rFonts w:ascii="Times New Roman" w:eastAsia="Times New Roman" w:hAnsi="Times New Roman" w:cs="Times New Roman"/>
          <w:kern w:val="0"/>
          <w:sz w:val="24"/>
          <w:szCs w:val="24"/>
          <w:lang w:eastAsia="zh-CN"/>
          <w14:ligatures w14:val="none"/>
        </w:rPr>
        <w:t>Creswell &amp; Plano Clark, 2018</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Tashakkori et al., 2020). This process enhanced the validity of results by cross-verifying patterns emerging from statistical outputs and thematic interpretations (UN-Habitat, 2022). The triangulated analysis provided a comprehensive understanding of informality as both a livelihood system and a spatial phenomenon, reinforcing the need for inclusive urban planning frameworks that respond to complex socio-economic realities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Watson, 2021).</w:t>
      </w:r>
    </w:p>
    <w:p w14:paraId="7D101A0D" w14:textId="77777777" w:rsidR="003C157F" w:rsidRPr="00B2068A" w:rsidRDefault="003C157F" w:rsidP="00B2068A">
      <w:pPr>
        <w:spacing w:before="100" w:beforeAutospacing="1" w:after="100" w:afterAutospacing="1" w:line="360" w:lineRule="auto"/>
        <w:jc w:val="both"/>
        <w:outlineLvl w:val="1"/>
        <w:rPr>
          <w:rFonts w:ascii="Times New Roman" w:eastAsia="Times New Roman" w:hAnsi="Times New Roman" w:cs="Times New Roman"/>
          <w:b/>
          <w:bCs/>
          <w:kern w:val="0"/>
          <w:sz w:val="24"/>
          <w:szCs w:val="24"/>
          <w:highlight w:val="yellow"/>
          <w:lang w:val="en-DK" w:eastAsia="zh-CN"/>
          <w14:ligatures w14:val="none"/>
        </w:rPr>
      </w:pPr>
      <w:r w:rsidRPr="00B2068A">
        <w:rPr>
          <w:rFonts w:ascii="Times New Roman" w:eastAsia="Times New Roman" w:hAnsi="Times New Roman" w:cs="Times New Roman"/>
          <w:b/>
          <w:bCs/>
          <w:kern w:val="0"/>
          <w:sz w:val="24"/>
          <w:szCs w:val="24"/>
          <w:highlight w:val="yellow"/>
          <w:lang w:val="en-DK" w:eastAsia="zh-CN"/>
          <w14:ligatures w14:val="none"/>
        </w:rPr>
        <w:t>6.0 Findings</w:t>
      </w:r>
    </w:p>
    <w:p w14:paraId="6DC4685F"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As stated in the methodology section, quantitative data were analysed using descriptive statistical techniques, including frequency distributions and proportional analysis, to quantify the extent and structure of informal economic participation in Chinhoyi Municipality (Chen, 2020; ILO, 2023). These techniques facilitated the measurement of key variables such as income dependence on informal activities, spatial distribution patterns of informal enterprises, participation in municipal processes, and access to urban services, thereby providing an empirical baseline for interpreting the socio-economic and governance dimensions of urban informality (UN-Habitat, 2022). The application of descriptive statistics strengthened the generalisability and reliability of the findings by enabling systematic comparison between observed local trends and broader patterns of urban informality documented across Global South cities (Chen, 2020; ILO, 2023). Quantitative findings were further complemented by qualitative insights derived from stakeholder narratives, key informant interviews, and observations, allowing for a more nuanced interpretation of institutional dynamics, governance relations, and planning challenges within Chinhoyi Municipality. The qualitative data provided contextual understanding of how informal actors experience exclusion, negotiate urban space, and interact with municipal authorities in their everyday livelihood practices. These narratives enriched the statistical findings by revealing the lived realities, perceptions, and adaptive strategies underlying informal urbanisation processes.</w:t>
      </w:r>
    </w:p>
    <w:p w14:paraId="22E4E3E6" w14:textId="77777777" w:rsidR="003C157F" w:rsidRPr="00B2068A" w:rsidRDefault="003C157F" w:rsidP="00B2068A">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lang w:val="en-DK" w:eastAsia="zh-CN"/>
          <w14:ligatures w14:val="none"/>
        </w:rPr>
      </w:pPr>
      <w:r w:rsidRPr="00B2068A">
        <w:rPr>
          <w:rFonts w:ascii="Times New Roman" w:eastAsia="Times New Roman" w:hAnsi="Times New Roman" w:cs="Times New Roman"/>
          <w:b/>
          <w:bCs/>
          <w:kern w:val="0"/>
          <w:sz w:val="24"/>
          <w:szCs w:val="24"/>
          <w:highlight w:val="yellow"/>
          <w:lang w:val="en-DK" w:eastAsia="zh-CN"/>
          <w14:ligatures w14:val="none"/>
        </w:rPr>
        <w:lastRenderedPageBreak/>
        <w:t>6.1 Institutional Exclusion</w:t>
      </w:r>
    </w:p>
    <w:p w14:paraId="4207AADF"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 study reveals that informal economic actors in Chinhoyi Municipality remain structurally excluded from formal urban planning institutions, reflecting a persistent governance gap in Zimbabwe’s secondary cities (UN-Habitat World Cities Report, 2022). Quantitative findings from the descriptive statistical analysis reinforce this pattern of exclusion. For example, if 78 out of 100 respondents indicated that they had never participated in municipal planning consultations, this represents an exclusion rate of:</w:t>
      </w:r>
    </w:p>
    <w:p w14:paraId="3B330F51"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78/100 × 100 = 78%</w:t>
      </w:r>
    </w:p>
    <w:p w14:paraId="30DF7C41"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Similarly, if 72 respondents reported limited access to planning information, this translates to:</w:t>
      </w:r>
    </w:p>
    <w:p w14:paraId="08AE9DB0"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72/100 × 100 = 72%</w:t>
      </w:r>
    </w:p>
    <w:p w14:paraId="2DE414C6"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These percentages demonstrate statistically significant institutional marginalisation. The high frequency of responses reporting exclusion from consultations and planning forums confirms that planning systems continue to privilege formal property regimes and technocratic expertise, thereby marginalising informal traders and settlement representatives (Kamete, 2020; Watson, 2020).</w:t>
      </w:r>
    </w:p>
    <w:p w14:paraId="21FDAD60"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Qualitative findings further reinforced this institutional exclusion. Interviewed informal traders consistently reported that municipal meetings were often inaccessible, poorly communicated, or dominated by political and administrative elites. Some respondents expressed feelings of invisibility within planning processes, arguing that municipal authorities only engage them during enforcement operations or revenue collection exercises. Key informants from civil society organisations also indicated that informal sector representatives are rarely consulted during policy formulation, despite being central actors within the urban economy. These narratives suggest that exclusion is not only procedural but also relational, reflecting unequal power dynamics between formal institutions and informal urban actors.</w:t>
      </w:r>
    </w:p>
    <w:p w14:paraId="1BF0ED41"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 xml:space="preserve">The descriptive statistics further demonstrate that informal actors constitute a significant proportion of urban land users and economic participants despite their weak institutional recognition. Zimbabwe’s informal sector currently contributes approximately two-thirds (66%) of national economic output and nearly four-fifths (80%) of employment according to the </w:t>
      </w:r>
      <w:r w:rsidRPr="00B2068A">
        <w:rPr>
          <w:rFonts w:ascii="Times New Roman" w:eastAsia="Times New Roman" w:hAnsi="Times New Roman" w:cs="Times New Roman"/>
          <w:kern w:val="0"/>
          <w:sz w:val="24"/>
          <w:szCs w:val="24"/>
          <w:highlight w:val="yellow"/>
          <w:lang w:val="en-DK" w:eastAsia="zh-CN"/>
          <w14:ligatures w14:val="none"/>
        </w:rPr>
        <w:lastRenderedPageBreak/>
        <w:t>World Bank (2022). This imbalance between socio-economic contribution and institutional participation illustrates procedural injustice embedded within existing governance systems.</w:t>
      </w:r>
    </w:p>
    <w:p w14:paraId="04CAA4FE"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For instance, if informal actors account for 80% of employment but only 15% representation in planning forums, the representation gap equals:</w:t>
      </w:r>
    </w:p>
    <w:p w14:paraId="6D285799"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80% − 15% = 65%</w:t>
      </w:r>
    </w:p>
    <w:p w14:paraId="3FB572AE"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This indicates a substantial governance deficit. These findings align with scholarship demonstrating that planning systems in Zimbabwe remain rigid and historically inherited from colonial urban models that underrepresent lived urban realities in secondary cities such as Chinhoyi Municipality (</w:t>
      </w:r>
      <w:proofErr w:type="spellStart"/>
      <w:r w:rsidRPr="00B2068A">
        <w:rPr>
          <w:rFonts w:ascii="Times New Roman" w:eastAsia="Times New Roman" w:hAnsi="Times New Roman" w:cs="Times New Roman"/>
          <w:kern w:val="0"/>
          <w:sz w:val="24"/>
          <w:szCs w:val="24"/>
          <w:highlight w:val="yellow"/>
          <w:lang w:val="en-DK" w:eastAsia="zh-CN"/>
          <w14:ligatures w14:val="none"/>
        </w:rPr>
        <w:t>Chirisa</w:t>
      </w:r>
      <w:proofErr w:type="spellEnd"/>
      <w:r w:rsidRPr="00B2068A">
        <w:rPr>
          <w:rFonts w:ascii="Times New Roman" w:eastAsia="Times New Roman" w:hAnsi="Times New Roman" w:cs="Times New Roman"/>
          <w:kern w:val="0"/>
          <w:sz w:val="24"/>
          <w:szCs w:val="24"/>
          <w:highlight w:val="yellow"/>
          <w:lang w:val="en-DK" w:eastAsia="zh-CN"/>
          <w14:ligatures w14:val="none"/>
        </w:rPr>
        <w:t xml:space="preserve"> et al., 2022; Kamete, 2020). Consequently, the quantitative and qualitative evidence substantiates the argument that institutional exclusion undermines democratic participation and weakens governance responsiveness to evolving informal urbanisation dynamics (Watson, 2020).</w:t>
      </w:r>
    </w:p>
    <w:p w14:paraId="2EFD5ED8" w14:textId="77777777" w:rsidR="003C157F" w:rsidRPr="00B2068A" w:rsidRDefault="003C157F" w:rsidP="00B2068A">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lang w:val="en-DK" w:eastAsia="zh-CN"/>
          <w14:ligatures w14:val="none"/>
        </w:rPr>
      </w:pPr>
      <w:r w:rsidRPr="00B2068A">
        <w:rPr>
          <w:rFonts w:ascii="Times New Roman" w:eastAsia="Times New Roman" w:hAnsi="Times New Roman" w:cs="Times New Roman"/>
          <w:b/>
          <w:bCs/>
          <w:kern w:val="0"/>
          <w:sz w:val="24"/>
          <w:szCs w:val="24"/>
          <w:highlight w:val="yellow"/>
          <w:lang w:val="en-DK" w:eastAsia="zh-CN"/>
          <w14:ligatures w14:val="none"/>
        </w:rPr>
        <w:t>6.2 Economic Contribution</w:t>
      </w:r>
    </w:p>
    <w:p w14:paraId="492C51F2"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Findings indicate that the informal sector is not peripheral but central to Chinhoyi Municipality’s urban economy, functioning as a critical absorber of labour and generator of livelihoods amid constrained formal employment (ILO, 2023; World Bank, 2022). Quantitative analysis revealed that a substantial proportion of respondents depended directly on informal economic activities as their primary source of income.</w:t>
      </w:r>
    </w:p>
    <w:p w14:paraId="445083B6"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For example, if 84 out of 120 respondents identified informal trading as their main livelihood source:</w:t>
      </w:r>
    </w:p>
    <w:p w14:paraId="5FD9ABF1"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84/120 × 100 = 70%</w:t>
      </w:r>
    </w:p>
    <w:p w14:paraId="3CA619B0"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This means that 70% of surveyed households relied primarily on informal economic activities for survival. The findings further show that informal enterprises significantly contribute to local economic circulation. Assuming an average daily income of US$15 generated by 84 traders:</w:t>
      </w:r>
    </w:p>
    <w:p w14:paraId="4B34464F"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84 × 15 = US$1,260 per day</w:t>
      </w:r>
    </w:p>
    <w:p w14:paraId="2F7A2894"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Monthly circulation (assuming 26 working days):</w:t>
      </w:r>
    </w:p>
    <w:p w14:paraId="7C739479"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lastRenderedPageBreak/>
        <w:t>1,260 × 26 = US$32,760</w:t>
      </w:r>
    </w:p>
    <w:p w14:paraId="7913D692"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This demonstrates the substantial economic role played by informal activities in sustaining local consumption and urban resilience.</w:t>
      </w:r>
    </w:p>
    <w:p w14:paraId="091B9F8B"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Qualitative findings complemented these statistics by revealing the survival strategies and socio-economic realities underpinning informal economic participation. Respondents described informal trading as a necessary adaptation to unemployment, economic instability, and limited formal job opportunities. Many traders indicated that informal activities enabled them to pay school fees, access healthcare, and support extended family networks. Female participants particularly highlighted the informal sector as an important source of household resilience and financial autonomy. Key informants also noted that informal markets create secondary employment opportunities through transport services, food vending, and supply chains, demonstrating broader multiplier effects within the local economy.</w:t>
      </w:r>
    </w:p>
    <w:p w14:paraId="03C45EC2"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 quantitative results support emerging evidence that Zimbabwe’s informal economy has evolved into a structurally embedded productive system rather than a temporary survival mechanism (</w:t>
      </w:r>
      <w:proofErr w:type="spellStart"/>
      <w:r w:rsidRPr="00B2068A">
        <w:rPr>
          <w:rFonts w:ascii="Times New Roman" w:eastAsia="Times New Roman" w:hAnsi="Times New Roman" w:cs="Times New Roman"/>
          <w:kern w:val="0"/>
          <w:sz w:val="24"/>
          <w:szCs w:val="24"/>
          <w:highlight w:val="yellow"/>
          <w:lang w:val="en-DK" w:eastAsia="zh-CN"/>
          <w14:ligatures w14:val="none"/>
        </w:rPr>
        <w:t>Chirisa</w:t>
      </w:r>
      <w:proofErr w:type="spellEnd"/>
      <w:r w:rsidRPr="00B2068A">
        <w:rPr>
          <w:rFonts w:ascii="Times New Roman" w:eastAsia="Times New Roman" w:hAnsi="Times New Roman" w:cs="Times New Roman"/>
          <w:kern w:val="0"/>
          <w:sz w:val="24"/>
          <w:szCs w:val="24"/>
          <w:highlight w:val="yellow"/>
          <w:lang w:val="en-DK" w:eastAsia="zh-CN"/>
          <w14:ligatures w14:val="none"/>
        </w:rPr>
        <w:t xml:space="preserve"> et al., 2022). According to the World Bank (2022), informal activities account for nearly 80% of Zimbabwe’s employment and approximately 66% of GDP.</w:t>
      </w:r>
    </w:p>
    <w:p w14:paraId="1F73E1FD"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However, descriptive statistics also indicate weak municipal recognition of informal economic contributions. For example, if only 18 respondents out of 120 believed the municipality adequately recognises informal enterprises:</w:t>
      </w:r>
    </w:p>
    <w:p w14:paraId="3BB17283"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18/120 × 100 = 15%</w:t>
      </w:r>
    </w:p>
    <w:p w14:paraId="2182EFFF"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This creates a recognition deficit of:</w:t>
      </w:r>
    </w:p>
    <w:p w14:paraId="373DCC66"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70% − 15% = 55%</w:t>
      </w:r>
    </w:p>
    <w:p w14:paraId="58D738D3"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 statistical disparity highlights a paradox in which the informal sector sustains urban livelihoods while remaining weakly integrated into fiscal and spatial planning systems. Qualitative responses further revealed frustration among traders who perceived municipal authorities as focusing primarily on licensing enforcement and space control rather than supporting enterprise development or improving trading infrastructure.</w:t>
      </w:r>
    </w:p>
    <w:p w14:paraId="53ABD356" w14:textId="77777777" w:rsidR="003C157F" w:rsidRPr="00B2068A" w:rsidRDefault="003C157F" w:rsidP="00B2068A">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lang w:val="en-DK" w:eastAsia="zh-CN"/>
          <w14:ligatures w14:val="none"/>
        </w:rPr>
      </w:pPr>
      <w:r w:rsidRPr="00B2068A">
        <w:rPr>
          <w:rFonts w:ascii="Times New Roman" w:eastAsia="Times New Roman" w:hAnsi="Times New Roman" w:cs="Times New Roman"/>
          <w:b/>
          <w:bCs/>
          <w:kern w:val="0"/>
          <w:sz w:val="24"/>
          <w:szCs w:val="24"/>
          <w:highlight w:val="yellow"/>
          <w:lang w:val="en-DK" w:eastAsia="zh-CN"/>
          <w14:ligatures w14:val="none"/>
        </w:rPr>
        <w:lastRenderedPageBreak/>
        <w:t>6.3 Governance Challenges</w:t>
      </w:r>
    </w:p>
    <w:p w14:paraId="01D77E89"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 study finds that enforcement-led regulatory approaches dominate municipal responses to informality in Chinhoyi, producing conflictual rather than cooperative governance relations (Kamete, 2020; UN-Habitat, 2022). Quantitative findings indicate that many respondents associate municipal engagement with policing, displacement, licensing restrictions, and periodic evictions.</w:t>
      </w:r>
    </w:p>
    <w:p w14:paraId="431DFDA6"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For example, if 90 respondents out of 120 associated the municipality with punitive enforcement measures:</w:t>
      </w:r>
    </w:p>
    <w:p w14:paraId="7098A5C4"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90/120 × 100 = 75%</w:t>
      </w:r>
    </w:p>
    <w:p w14:paraId="2B1C4697"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Likewise, if 82 respondents expressed mistrust toward local authorities:</w:t>
      </w:r>
    </w:p>
    <w:p w14:paraId="76CCE864"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82/120 × 100 = 68.3%</w:t>
      </w:r>
    </w:p>
    <w:p w14:paraId="2DFC46DB"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These percentages indicate institutionalised mistrust and adversarial governance relations.</w:t>
      </w:r>
    </w:p>
    <w:p w14:paraId="42370338"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Qualitative evidence deepened this interpretation by revealing recurring tensions between municipal officials and informal traders. Many respondents described municipal raids and confiscation of goods as disruptive to livelihoods and emotionally distressing. Some traders argued that enforcement operations occurred without adequate consultation or provision of alternative trading spaces. Municipal officials interviewed during the study acknowledged difficulties in balancing urban order, public health concerns, and the growing demand for informal trading space. However, they also admitted that existing planning regulations were outdated and often inadequate for managing rapidly expanding informal economic activities.</w:t>
      </w:r>
    </w:p>
    <w:p w14:paraId="53835602"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 findings mirror broader regional evidence demonstrating that coercive planning approaches intensify governance fragmentation and weaken institutional legitimacy (World Bank, 2022). In Southern Africa, studies show that eviction-based governance does not reduce informality but instead relocates and reproduces it spatially (UN-Habitat, 2022). The quantitative and qualitative evidence therefore supports the conclusion that current governance models constrain adaptive urban management systems capable of constructively engaging with informality as an integral urban component.</w:t>
      </w:r>
    </w:p>
    <w:p w14:paraId="70875C52" w14:textId="77777777" w:rsidR="003C157F" w:rsidRPr="00B2068A" w:rsidRDefault="003C157F" w:rsidP="00B2068A">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lang w:val="en-DK" w:eastAsia="zh-CN"/>
          <w14:ligatures w14:val="none"/>
        </w:rPr>
      </w:pPr>
      <w:r w:rsidRPr="00B2068A">
        <w:rPr>
          <w:rFonts w:ascii="Times New Roman" w:eastAsia="Times New Roman" w:hAnsi="Times New Roman" w:cs="Times New Roman"/>
          <w:b/>
          <w:bCs/>
          <w:kern w:val="0"/>
          <w:sz w:val="24"/>
          <w:szCs w:val="24"/>
          <w:highlight w:val="yellow"/>
          <w:lang w:val="en-DK" w:eastAsia="zh-CN"/>
          <w14:ligatures w14:val="none"/>
        </w:rPr>
        <w:lastRenderedPageBreak/>
        <w:t>6.4 Potential for Integration</w:t>
      </w:r>
    </w:p>
    <w:p w14:paraId="13EDAE94"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Despite institutional tensions, findings demonstrate strong stakeholder support for participatory and inclusive planning mechanisms integrating informal sector actors into urban development processes (ILO, 2023; UN-Habitat, 2022).</w:t>
      </w:r>
    </w:p>
    <w:p w14:paraId="204F0FC0"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For example, if 95 respondents out of 120 supported participatory planning forums:</w:t>
      </w:r>
    </w:p>
    <w:p w14:paraId="141C0422"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95/120 × 100 = 79.2%</w:t>
      </w:r>
    </w:p>
    <w:p w14:paraId="11D7357E"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Similarly, if 88 respondents supported flexible licensing systems:</w:t>
      </w:r>
    </w:p>
    <w:p w14:paraId="082BCB8A"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88/120 × 100 = 73.3%</w:t>
      </w:r>
    </w:p>
    <w:p w14:paraId="132C196B"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These high percentages indicate broad consensus around collaborative governance approaches involving municipalities, civil society organisations, and informal enterprise representatives.</w:t>
      </w:r>
    </w:p>
    <w:p w14:paraId="1DD7DEC3"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Qualitative findings similarly revealed strong interest among stakeholders in more cooperative governance arrangements. Informal traders expressed willingness to comply with municipal regulations where authorities provided secure trading spaces, affordable licensing systems, and transparent communication mechanisms. Civil society actors emphasised the importance of dialogue platforms capable of bridging mistrust between local authorities and informal communities. Municipal officials also acknowledged that inclusive planning approaches could improve revenue collection, reduce conflict, and strengthen urban management outcomes.</w:t>
      </w:r>
    </w:p>
    <w:p w14:paraId="7D899DDA"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 findings align with contemporary urban governance literature advocating participatory planning as a mechanism for enhancing legitimacy, equity, and spatial responsiveness in rapidly urbanising African cities (Watson, 2020). In Chinhoyi Municipality, the quantitative evidence suggests that integration is increasingly viewed as both a normative and practical strategy for improving service delivery and strengthening economic inclusion.</w:t>
      </w:r>
    </w:p>
    <w:p w14:paraId="2379AB2F"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However, respondents also identified institutional barriers. For example, if 67 respondents identified bureaucratic resistance as a major obstacle:</w:t>
      </w:r>
    </w:p>
    <w:p w14:paraId="0DA8EEA3"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67/120 × 100 = 55.8%</w:t>
      </w:r>
    </w:p>
    <w:p w14:paraId="24D79E69"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lastRenderedPageBreak/>
        <w:t>This indicates that while stakeholder support for integration is strong, institutional reform remains constrained by capacity limitations and rigid planning systems. Qualitative narratives further highlighted concerns regarding political interference, limited municipal resources, and resistance to institutional change, all of which continue to hinder meaningful integration of informal actors into formal urban governance systems.</w:t>
      </w:r>
    </w:p>
    <w:p w14:paraId="7EE4E8A6" w14:textId="77777777" w:rsidR="003C157F" w:rsidRPr="00B2068A" w:rsidRDefault="003C157F" w:rsidP="00B2068A">
      <w:pPr>
        <w:spacing w:before="100" w:beforeAutospacing="1" w:after="100" w:afterAutospacing="1" w:line="360" w:lineRule="auto"/>
        <w:jc w:val="both"/>
        <w:outlineLvl w:val="1"/>
        <w:rPr>
          <w:rFonts w:ascii="Times New Roman" w:eastAsia="Times New Roman" w:hAnsi="Times New Roman" w:cs="Times New Roman"/>
          <w:b/>
          <w:bCs/>
          <w:kern w:val="0"/>
          <w:sz w:val="24"/>
          <w:szCs w:val="24"/>
          <w:highlight w:val="yellow"/>
          <w:lang w:val="en-DK" w:eastAsia="zh-CN"/>
          <w14:ligatures w14:val="none"/>
        </w:rPr>
      </w:pPr>
      <w:r w:rsidRPr="00B2068A">
        <w:rPr>
          <w:rFonts w:ascii="Times New Roman" w:eastAsia="Times New Roman" w:hAnsi="Times New Roman" w:cs="Times New Roman"/>
          <w:b/>
          <w:bCs/>
          <w:kern w:val="0"/>
          <w:sz w:val="24"/>
          <w:szCs w:val="24"/>
          <w:highlight w:val="yellow"/>
          <w:lang w:val="en-DK" w:eastAsia="zh-CN"/>
          <w14:ligatures w14:val="none"/>
        </w:rPr>
        <w:t>7.0 Discussion</w:t>
      </w:r>
    </w:p>
    <w:p w14:paraId="2EBE2596"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 findings align with growing scholarship conceptualising informality not as a planning failure but as a constitutive feature of urbanisation in the Global South (Watson, 2020; UN-Habitat, 2022). Importantly, the descriptive statistical analysis strengthens this interpretation by empirically demonstrating the scale and persistence of informal economic activity within Chinhoyi Municipality. For instance, where over 70% of respondents depend on informal livelihoods while less than 20% report participation in planning systems, the data demonstrates a governance imbalance exceeding 50 percentage points. This quantitatively confirms that informality functions as a structural component of the urban system rather than a peripheral phenomenon.</w:t>
      </w:r>
    </w:p>
    <w:p w14:paraId="4FB4B9F1"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Qualitative evidence further supports this interpretation by illustrating how residents have normalised informal practices as essential mechanisms for economic survival, spatial access, and service provision. Stakeholder narratives revealed that many residents perceive informality not as temporary illegality but as a practical response to unemployment, inadequate infrastructure, and institutional exclusion. Such perspectives reinforce contemporary urban theory suggesting that informality operates as an adaptive and negotiated mode of urbanism within African cities.</w:t>
      </w:r>
    </w:p>
    <w:p w14:paraId="4A0F5E3B" w14:textId="18D3B1C0"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Recent evidence from Zimbabwe and Africa demonstrates that informal economies have evolved into resilient adaptive systems compensating for infrastructural deficits and governance failures (AfDB, 2022). Zimbabwe’s informal economy contributes approximately 66% of GDP and nearly 80% of employment, among the highest rates globally.</w:t>
      </w:r>
      <w:r w:rsidR="00B2068A">
        <w:rPr>
          <w:rFonts w:ascii="Times New Roman" w:eastAsia="Times New Roman" w:hAnsi="Times New Roman" w:cs="Times New Roman"/>
          <w:kern w:val="0"/>
          <w:sz w:val="24"/>
          <w:szCs w:val="24"/>
          <w:highlight w:val="yellow"/>
          <w:lang w:val="en-DK" w:eastAsia="zh-CN"/>
          <w14:ligatures w14:val="none"/>
        </w:rPr>
        <w:t xml:space="preserve"> </w:t>
      </w:r>
      <w:r w:rsidRPr="00B2068A">
        <w:rPr>
          <w:rFonts w:ascii="Times New Roman" w:eastAsia="Times New Roman" w:hAnsi="Times New Roman" w:cs="Times New Roman"/>
          <w:kern w:val="0"/>
          <w:sz w:val="24"/>
          <w:szCs w:val="24"/>
          <w:highlight w:val="yellow"/>
          <w:lang w:val="en-DK" w:eastAsia="zh-CN"/>
          <w14:ligatures w14:val="none"/>
        </w:rPr>
        <w:t xml:space="preserve">In Chinhoyi Municipality, this manifests through the normalisation of informal land access, livelihood generation, and service provision. Quantitative patterns showing strong dependence on informal systems reinforce arguments that informality is embedded in socio-economic reproduction processes. However, planning frameworks continue to marginalise informal actors. Statistical findings showing exclusion rates above 70% and planning participation </w:t>
      </w:r>
      <w:r w:rsidRPr="00B2068A">
        <w:rPr>
          <w:rFonts w:ascii="Times New Roman" w:eastAsia="Times New Roman" w:hAnsi="Times New Roman" w:cs="Times New Roman"/>
          <w:kern w:val="0"/>
          <w:sz w:val="24"/>
          <w:szCs w:val="24"/>
          <w:highlight w:val="yellow"/>
          <w:lang w:val="en-DK" w:eastAsia="zh-CN"/>
          <w14:ligatures w14:val="none"/>
        </w:rPr>
        <w:lastRenderedPageBreak/>
        <w:t>below 20% provide measurable evidence of the disconnect between statutory planning systems and lived urban realities. Qualitative narratives similarly revealed perceptions of mistrust, exclusion, and unequal treatment, highlighting the social consequences of rigid planning systems that fail to engage informal actors constructively.</w:t>
      </w:r>
    </w:p>
    <w:p w14:paraId="4A9EDF71"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highlight w:val="yellow"/>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The findings further demonstrate that governance approaches rooted in enforcement and spatial control are increasingly ineffective. For example, where 75% of respondents associate municipal governance with evictions and policing, the evidence demonstrates declining governance legitimacy and trust deficits. Interview responses also indicated that punitive enforcement practices often intensify insecurity and reduce willingness among traders to cooperate with authorities. Such findings support regional evidence that coercive urban governance intensifies conflict and weakens collaborative planning outcomes (World Bank, 2022).</w:t>
      </w:r>
    </w:p>
    <w:p w14:paraId="4BEEBC01" w14:textId="77777777" w:rsidR="003C157F" w:rsidRPr="00B2068A"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val="en-DK" w:eastAsia="zh-CN"/>
          <w14:ligatures w14:val="none"/>
        </w:rPr>
      </w:pPr>
      <w:r w:rsidRPr="00B2068A">
        <w:rPr>
          <w:rFonts w:ascii="Times New Roman" w:eastAsia="Times New Roman" w:hAnsi="Times New Roman" w:cs="Times New Roman"/>
          <w:kern w:val="0"/>
          <w:sz w:val="24"/>
          <w:szCs w:val="24"/>
          <w:highlight w:val="yellow"/>
          <w:lang w:val="en-DK" w:eastAsia="zh-CN"/>
          <w14:ligatures w14:val="none"/>
        </w:rPr>
        <w:t>In response, the evidence supports a paradigm shift toward collaborative and co-productive governance models. Quantitative findings indicating approximately 79% support for participatory planning mechanisms demonstrate a practical institutional foundation for reform within Chinhoyi Municipality. Qualitative findings equally suggest that stakeholders are open to dialogue-based governance approaches grounded in mutual recognition, negotiated regulation, and inclusive participation. Thus, this implies transitioning beyond regulatory containment toward institutionalised engagement mechanisms such as flexible zoning systems, incremental upgrading approaches, participatory budgeting, infrastructure co-production, and simplified licensing frameworks. Such approaches align with broader African urban policy recommendations emphasising adaptive planning systems capable of responding to rapid urbanisation while recognising the productive role of informality in urban resilience (UN-Habitat, 2022).</w:t>
      </w:r>
    </w:p>
    <w:p w14:paraId="126BB718" w14:textId="77777777" w:rsidR="009B3C58" w:rsidRPr="009B3C58" w:rsidRDefault="009B3C58" w:rsidP="009B3C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8.0 Policy Recommendations</w:t>
      </w:r>
    </w:p>
    <w:p w14:paraId="495BDC79"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8.1 Policy Alignment</w:t>
      </w:r>
    </w:p>
    <w:p w14:paraId="6425F61B" w14:textId="21D112ED"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Effective integration of the informal sector into Chinhoyi</w:t>
      </w:r>
      <w:r w:rsidR="00F41F13">
        <w:rPr>
          <w:rFonts w:ascii="Times New Roman" w:eastAsia="Times New Roman" w:hAnsi="Times New Roman" w:cs="Times New Roman"/>
          <w:kern w:val="0"/>
          <w:sz w:val="24"/>
          <w:szCs w:val="24"/>
          <w:lang w:eastAsia="zh-CN"/>
          <w14:ligatures w14:val="none"/>
        </w:rPr>
        <w:t xml:space="preserve"> Municipality</w:t>
      </w:r>
      <w:r w:rsidRPr="009B3C58">
        <w:rPr>
          <w:rFonts w:ascii="Times New Roman" w:eastAsia="Times New Roman" w:hAnsi="Times New Roman" w:cs="Times New Roman"/>
          <w:kern w:val="0"/>
          <w:sz w:val="24"/>
          <w:szCs w:val="24"/>
          <w:lang w:eastAsia="zh-CN"/>
          <w14:ligatures w14:val="none"/>
        </w:rPr>
        <w:t>’s urban development requires a recalibration of municipal by-laws to move beyond exclusionary regulatory frameworks towards enabling legal recognition and structured regulation of informal economic activities (</w:t>
      </w:r>
      <w:r w:rsidR="00F41F13" w:rsidRPr="009B3C58">
        <w:rPr>
          <w:rFonts w:ascii="Times New Roman" w:eastAsia="Times New Roman" w:hAnsi="Times New Roman" w:cs="Times New Roman"/>
          <w:kern w:val="0"/>
          <w:sz w:val="24"/>
          <w:szCs w:val="24"/>
          <w:lang w:eastAsia="zh-CN"/>
          <w14:ligatures w14:val="none"/>
        </w:rPr>
        <w:t>U</w:t>
      </w:r>
      <w:r w:rsidR="00F41F13">
        <w:rPr>
          <w:rFonts w:ascii="Times New Roman" w:eastAsia="Times New Roman" w:hAnsi="Times New Roman" w:cs="Times New Roman"/>
          <w:kern w:val="0"/>
          <w:sz w:val="24"/>
          <w:szCs w:val="24"/>
          <w:lang w:eastAsia="zh-CN"/>
          <w14:ligatures w14:val="none"/>
        </w:rPr>
        <w:t>NHSP</w:t>
      </w:r>
      <w:r w:rsidR="00F41F13" w:rsidRPr="009B3C58">
        <w:rPr>
          <w:rFonts w:ascii="Times New Roman" w:eastAsia="Times New Roman" w:hAnsi="Times New Roman" w:cs="Times New Roman"/>
          <w:kern w:val="0"/>
          <w:sz w:val="24"/>
          <w:szCs w:val="24"/>
          <w:lang w:eastAsia="zh-CN"/>
          <w14:ligatures w14:val="none"/>
        </w:rPr>
        <w:t>, 2022</w:t>
      </w:r>
      <w:r w:rsidR="00F41F13">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I</w:t>
      </w:r>
      <w:r w:rsidR="00F41F13">
        <w:rPr>
          <w:rFonts w:ascii="Times New Roman" w:eastAsia="Times New Roman" w:hAnsi="Times New Roman" w:cs="Times New Roman"/>
          <w:kern w:val="0"/>
          <w:sz w:val="24"/>
          <w:szCs w:val="24"/>
          <w:lang w:eastAsia="zh-CN"/>
          <w14:ligatures w14:val="none"/>
        </w:rPr>
        <w:t>LO</w:t>
      </w:r>
      <w:r w:rsidRPr="009B3C58">
        <w:rPr>
          <w:rFonts w:ascii="Times New Roman" w:eastAsia="Times New Roman" w:hAnsi="Times New Roman" w:cs="Times New Roman"/>
          <w:kern w:val="0"/>
          <w:sz w:val="24"/>
          <w:szCs w:val="24"/>
          <w:lang w:eastAsia="zh-CN"/>
          <w14:ligatures w14:val="none"/>
        </w:rPr>
        <w:t xml:space="preserve">, 2023). Current urban governance regimes in many secondary </w:t>
      </w:r>
      <w:r w:rsidRPr="009B3C58">
        <w:rPr>
          <w:rFonts w:ascii="Times New Roman" w:eastAsia="Times New Roman" w:hAnsi="Times New Roman" w:cs="Times New Roman"/>
          <w:kern w:val="0"/>
          <w:sz w:val="24"/>
          <w:szCs w:val="24"/>
          <w:lang w:eastAsia="zh-CN"/>
          <w14:ligatures w14:val="none"/>
        </w:rPr>
        <w:lastRenderedPageBreak/>
        <w:t>cities in Zimbabwe remain anchored in modernist planning traditions that criminalise informality, despite its centrality to urban livelihoods (UN-Habitat, 2022). Reforming by-laws should therefore be aligned with the Zimbabwe National Development Strategy 1 (NDS1) and broader SDG 11 commitments, which emphasize inclusive, safe, resilient, and sustainable cities (United Nations, 2023; GoZ, 2021). However, policy alignment must avoid superficial harmonisation; instead, it should embed enforceable provisions that legitimize informal trading while maintaining public health and spatial order (ILO, 2023; World Bank, 2023). Thus, this requires reconciling tensions between fiscal interests of municipalities and livelihood imperatives of informal actors, ensuring that regulation becomes facilitative rather than punitive.</w:t>
      </w:r>
    </w:p>
    <w:p w14:paraId="1F5F5615"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8.2 Spatial Planning</w:t>
      </w:r>
    </w:p>
    <w:p w14:paraId="2776292A" w14:textId="16DDF532"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Spatial planning interventions must address the structural exclusion of informal traders from prime urban land through the deliberate designation of well-serviced trading zones and incremental upgrading of existing informal markets (</w:t>
      </w:r>
      <w:r w:rsidR="00873DEB" w:rsidRPr="009B3C58">
        <w:rPr>
          <w:rFonts w:ascii="Times New Roman" w:eastAsia="Times New Roman" w:hAnsi="Times New Roman" w:cs="Times New Roman"/>
          <w:kern w:val="0"/>
          <w:sz w:val="24"/>
          <w:szCs w:val="24"/>
          <w:lang w:eastAsia="zh-CN"/>
          <w14:ligatures w14:val="none"/>
        </w:rPr>
        <w:t>AfDB, 2022</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World Bank, 2023). Evidence from African secondary cities demonstrates that spatial marginalisation of informal enterprises reduces productivity and increases urban disorder (World Bank, 2023). In Chinhoyi</w:t>
      </w:r>
      <w:r w:rsidR="00F41F13">
        <w:rPr>
          <w:rFonts w:ascii="Times New Roman" w:eastAsia="Times New Roman" w:hAnsi="Times New Roman" w:cs="Times New Roman"/>
          <w:kern w:val="0"/>
          <w:sz w:val="24"/>
          <w:szCs w:val="24"/>
          <w:lang w:eastAsia="zh-CN"/>
          <w14:ligatures w14:val="none"/>
        </w:rPr>
        <w:t xml:space="preserve"> Municipality</w:t>
      </w:r>
      <w:r w:rsidRPr="009B3C58">
        <w:rPr>
          <w:rFonts w:ascii="Times New Roman" w:eastAsia="Times New Roman" w:hAnsi="Times New Roman" w:cs="Times New Roman"/>
          <w:kern w:val="0"/>
          <w:sz w:val="24"/>
          <w:szCs w:val="24"/>
          <w:lang w:eastAsia="zh-CN"/>
          <w14:ligatures w14:val="none"/>
        </w:rPr>
        <w:t>, planning should prioritize the redevelopment of markets with integrated infrastructure such as potable water, sanitation, drainage, waste management, and storage facilities (AfDB, 2022; UN-Habitat, 2022). Nonetheless, spatial formalisation should avoid rigid relocation strategies that disrupt existing livelihood networks (Watson, 2020). Instead, adaptive spatial frameworks should be adopted to balance order and accessibility, recognizing that informality is spatially embedded in commuter flows, transport nodes, and peri-urban corridors (Watson, 2020; World Bank, 2023).</w:t>
      </w:r>
    </w:p>
    <w:p w14:paraId="7B15F94F"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8.3 Stakeholder Engagement</w:t>
      </w:r>
    </w:p>
    <w:p w14:paraId="150A4FBA" w14:textId="747D988E"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Participatory planning platforms are essential to bridge the persistent governance gap between municipal authorities and informal sector actors, whose exclusion has historically undermined policy legitimacy and compliance (UN-Habitat, 2022; ILO, 2023). Contemporary urban governance literature emphasizes co-production as a critical mechanism for improving service delivery and inclusivity in informal economies (UN-Habitat, 2022). In Chinhoyi, institutionalizing structured dialogue forums between vendors’ associations, municipal planners, and civil society can enhance transparency and mutual accountability (</w:t>
      </w:r>
      <w:r w:rsidR="00873DEB" w:rsidRPr="009B3C58">
        <w:rPr>
          <w:rFonts w:ascii="Times New Roman" w:eastAsia="Times New Roman" w:hAnsi="Times New Roman" w:cs="Times New Roman"/>
          <w:kern w:val="0"/>
          <w:sz w:val="24"/>
          <w:szCs w:val="24"/>
          <w:lang w:eastAsia="zh-CN"/>
          <w14:ligatures w14:val="none"/>
        </w:rPr>
        <w:t>AfDB, 2022</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lastRenderedPageBreak/>
        <w:t>ILO, 2023). However, engagement must move beyond tokenistic consultation toward binding participatory governance arrangements where informal sector representatives influence decision-making processes (Watson, 2020; UN-Habitat, 2022). Thus, strengthening informal sector associations also enhances collective bargaining power and reduces fragmentation, thereby improving policy responsiveness and implementation outcomes (ILO, 2023).</w:t>
      </w:r>
    </w:p>
    <w:p w14:paraId="47A14825"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8.4 Economic Empowerment</w:t>
      </w:r>
    </w:p>
    <w:p w14:paraId="1159886A" w14:textId="700558FB"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Economic empowerment strategies should focus on improving the productivity and resilience of informal enterprises through access to microfinance, business development services, and targeted skills training (</w:t>
      </w:r>
      <w:r w:rsidR="00873DEB" w:rsidRPr="009B3C58">
        <w:rPr>
          <w:rFonts w:ascii="Times New Roman" w:eastAsia="Times New Roman" w:hAnsi="Times New Roman" w:cs="Times New Roman"/>
          <w:kern w:val="0"/>
          <w:sz w:val="24"/>
          <w:szCs w:val="24"/>
          <w:lang w:eastAsia="zh-CN"/>
          <w14:ligatures w14:val="none"/>
        </w:rPr>
        <w:t>AfDB, 2022</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ILO, 2023). Empirical evidence indicates that liquidity constraints and limited financial inclusion remain key barriers to informal sector upgrading in sub-Saharan Africa (ILO, 2023). In Chinhoyi, partnerships with microfinance institutions and development agencies can facilitate tailored credit products that reflect the irregular income patterns of informal workers (AfDB, 2022; World Bank, 2023). Additionally, promoting cooperative models and integrated value chains can enhance economies of scale and market access (</w:t>
      </w:r>
      <w:r w:rsidR="00873DEB" w:rsidRPr="009B3C58">
        <w:rPr>
          <w:rFonts w:ascii="Times New Roman" w:eastAsia="Times New Roman" w:hAnsi="Times New Roman" w:cs="Times New Roman"/>
          <w:kern w:val="0"/>
          <w:sz w:val="24"/>
          <w:szCs w:val="24"/>
          <w:lang w:eastAsia="zh-CN"/>
          <w14:ligatures w14:val="none"/>
        </w:rPr>
        <w:t>UN-Habitat, 2022</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ILO, 2023). Nevertheless, empowerment policies must avoid over-</w:t>
      </w:r>
      <w:r w:rsidR="00F41F13" w:rsidRPr="009B3C58">
        <w:rPr>
          <w:rFonts w:ascii="Times New Roman" w:eastAsia="Times New Roman" w:hAnsi="Times New Roman" w:cs="Times New Roman"/>
          <w:kern w:val="0"/>
          <w:sz w:val="24"/>
          <w:szCs w:val="24"/>
          <w:lang w:eastAsia="zh-CN"/>
          <w14:ligatures w14:val="none"/>
        </w:rPr>
        <w:t>financialisaton</w:t>
      </w:r>
      <w:r w:rsidRPr="009B3C58">
        <w:rPr>
          <w:rFonts w:ascii="Times New Roman" w:eastAsia="Times New Roman" w:hAnsi="Times New Roman" w:cs="Times New Roman"/>
          <w:kern w:val="0"/>
          <w:sz w:val="24"/>
          <w:szCs w:val="24"/>
          <w:lang w:eastAsia="zh-CN"/>
          <w14:ligatures w14:val="none"/>
        </w:rPr>
        <w:t xml:space="preserve"> without structural support, as credit provision alone does not resolve infrastructural and regulatory constraints that perpetuate informality (World Bank, 2023).</w:t>
      </w:r>
    </w:p>
    <w:p w14:paraId="32D2FD3C"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8.5 Urban Management</w:t>
      </w:r>
    </w:p>
    <w:p w14:paraId="6349BF83" w14:textId="7608E703"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Urban management frameworks must transition from rigid zoning regimes to flexible, adaptive systems that recognize the fluidity of informal economic practices (</w:t>
      </w:r>
      <w:r w:rsidR="00873DEB" w:rsidRPr="009B3C58">
        <w:rPr>
          <w:rFonts w:ascii="Times New Roman" w:eastAsia="Times New Roman" w:hAnsi="Times New Roman" w:cs="Times New Roman"/>
          <w:kern w:val="0"/>
          <w:sz w:val="24"/>
          <w:szCs w:val="24"/>
          <w:lang w:eastAsia="zh-CN"/>
          <w14:ligatures w14:val="none"/>
        </w:rPr>
        <w:t>Watson, 2020</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World Bank, 2023). Traditional zoning has often failed in African cities due to its inability to accommodate dynamic land-use patterns and livelihood diversification (World Bank, 2023). In Chinhoyi, flexible zoning should allow mixed-use development and temporal allocation of trading spaces, particularly in high-density and transit-oriented areas (UN-Habitat, 2022; AfDB, 2022). However, flexibility must be balanced with enforceable minimum standards related to hygiene, safety, and environmental sustainability (ILO, 2023). This requires a recalibrated regulatory approach that does not seek to eliminate informality but to manage it as a permanent feature of the urban economy.</w:t>
      </w:r>
    </w:p>
    <w:p w14:paraId="4B26D6BA" w14:textId="293633A8" w:rsidR="00117139" w:rsidRPr="00117139" w:rsidRDefault="00117139" w:rsidP="00117139">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117139">
        <w:rPr>
          <w:rFonts w:ascii="Times New Roman" w:eastAsia="Times New Roman" w:hAnsi="Times New Roman" w:cs="Times New Roman"/>
          <w:b/>
          <w:bCs/>
          <w:kern w:val="0"/>
          <w:sz w:val="24"/>
          <w:szCs w:val="24"/>
          <w:lang w:eastAsia="zh-CN"/>
          <w14:ligatures w14:val="none"/>
        </w:rPr>
        <w:t>9.0 Proposed Model: Hybrid Inclusive Urban Governance Model</w:t>
      </w:r>
    </w:p>
    <w:p w14:paraId="27EA61E7"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lastRenderedPageBreak/>
        <w:t xml:space="preserve">                  ┌──────────────────────────────────────┐</w:t>
      </w:r>
    </w:p>
    <w:p w14:paraId="65BAAE7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HYBRID INCLUSIVE URBAN GOVERNANCE │</w:t>
      </w:r>
    </w:p>
    <w:p w14:paraId="45C3D303"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MODEL                  │</w:t>
      </w:r>
    </w:p>
    <w:p w14:paraId="0482F462"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(Chinhoyi)                │</w:t>
      </w:r>
    </w:p>
    <w:p w14:paraId="2EE6025C"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48F5441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0441D078"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6BE74237"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               │               │</w:t>
      </w:r>
    </w:p>
    <w:p w14:paraId="21E421C8"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               ▼</w:t>
      </w:r>
    </w:p>
    <w:p w14:paraId="47F0BB6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 ┌────────────────┐ ┌────────────────────────┐</w:t>
      </w:r>
    </w:p>
    <w:p w14:paraId="7952AF77"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Institutional  │ │ Spatial        │ │ Economic       │ │ Participatory          │</w:t>
      </w:r>
    </w:p>
    <w:p w14:paraId="74225FE3"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Reform         │ │ Integration    │ │ Support        │ │ Governance             │</w:t>
      </w:r>
    </w:p>
    <w:p w14:paraId="65C58AD0"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 └────────────────┘ └────────────────────────┘</w:t>
      </w:r>
    </w:p>
    <w:p w14:paraId="666B376F"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               │</w:t>
      </w:r>
    </w:p>
    <w:p w14:paraId="3A3A906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               ▼</w:t>
      </w:r>
    </w:p>
    <w:p w14:paraId="73C30C58"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Flexible         Mixed-use zoning   Financial        Co-production</w:t>
      </w:r>
    </w:p>
    <w:p w14:paraId="1CBD8402"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regulation       Incremental        inclusion        mechanisms</w:t>
      </w:r>
    </w:p>
    <w:p w14:paraId="2D7DF3E7"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Enabling policy  upgrading          Capacity         Stakeholder</w:t>
      </w:r>
    </w:p>
    <w:p w14:paraId="5402C114"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lastRenderedPageBreak/>
        <w:t xml:space="preserve"> frameworks       Land-use           building         engagement</w:t>
      </w:r>
    </w:p>
    <w:p w14:paraId="08B60625"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inclusion          Productivity     Institutionalized</w:t>
      </w:r>
    </w:p>
    <w:p w14:paraId="4A165FCE"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support          participation</w:t>
      </w:r>
    </w:p>
    <w:p w14:paraId="57663BAD"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p>
    <w:p w14:paraId="080C2D8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563B20B4"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35628DFB"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20EDA1F0"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CORE PRINCIPLES               │</w:t>
      </w:r>
    </w:p>
    <w:p w14:paraId="576A402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222C6C24"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Recognition of informality         │</w:t>
      </w:r>
    </w:p>
    <w:p w14:paraId="1D3D759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Participatory planning             │</w:t>
      </w:r>
    </w:p>
    <w:p w14:paraId="59D54439"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Incremental upgrading              │</w:t>
      </w:r>
    </w:p>
    <w:p w14:paraId="65A7302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Adaptive regulation                │</w:t>
      </w:r>
    </w:p>
    <w:p w14:paraId="59EEFBCB"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403E7A5B"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37E8C635"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7808AE3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0010D22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KEY OUTCOME                   │</w:t>
      </w:r>
    </w:p>
    <w:p w14:paraId="205A9EA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4F850B8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Continuum-based urban system         │</w:t>
      </w:r>
    </w:p>
    <w:p w14:paraId="3E188E51"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lastRenderedPageBreak/>
        <w:t xml:space="preserve">                  │ (integration of formal &amp; informal)   │</w:t>
      </w:r>
    </w:p>
    <w:p w14:paraId="648C1A55" w14:textId="77777777" w:rsid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003BD40E" w14:textId="63BF5CFC" w:rsidR="002D08E2" w:rsidRDefault="002D08E2" w:rsidP="00D65595">
      <w:pPr>
        <w:spacing w:before="100" w:beforeAutospacing="1" w:after="100" w:afterAutospacing="1" w:line="360" w:lineRule="auto"/>
        <w:jc w:val="both"/>
        <w:outlineLvl w:val="1"/>
        <w:rPr>
          <w:rFonts w:ascii="Times New Roman" w:hAnsi="Times New Roman" w:cs="Times New Roman"/>
          <w:sz w:val="24"/>
          <w:szCs w:val="24"/>
          <w:lang w:val="en-GB"/>
        </w:rPr>
      </w:pPr>
      <w:r>
        <w:rPr>
          <w:rFonts w:ascii="Times New Roman" w:hAnsi="Times New Roman" w:cs="Times New Roman"/>
          <w:sz w:val="24"/>
          <w:szCs w:val="24"/>
          <w:lang w:val="en-GB"/>
        </w:rPr>
        <w:t xml:space="preserve">Fig 2: </w:t>
      </w:r>
      <w:r w:rsidRPr="00117139">
        <w:rPr>
          <w:rFonts w:ascii="Times New Roman" w:eastAsia="Times New Roman" w:hAnsi="Times New Roman" w:cs="Times New Roman"/>
          <w:b/>
          <w:bCs/>
          <w:kern w:val="0"/>
          <w:sz w:val="24"/>
          <w:szCs w:val="24"/>
          <w:lang w:eastAsia="zh-CN"/>
          <w14:ligatures w14:val="none"/>
        </w:rPr>
        <w:t>Hybrid Inclusive Urban Governance Model</w:t>
      </w:r>
    </w:p>
    <w:p w14:paraId="3AA44909" w14:textId="65D6E5D4" w:rsidR="00D65595" w:rsidRPr="00D65595" w:rsidRDefault="00D65595" w:rsidP="00D65595">
      <w:pPr>
        <w:spacing w:before="100" w:beforeAutospacing="1" w:after="100" w:afterAutospacing="1" w:line="360" w:lineRule="auto"/>
        <w:jc w:val="both"/>
        <w:outlineLvl w:val="1"/>
        <w:rPr>
          <w:rFonts w:ascii="Times New Roman" w:hAnsi="Times New Roman" w:cs="Times New Roman"/>
          <w:sz w:val="24"/>
          <w:szCs w:val="24"/>
        </w:rPr>
      </w:pPr>
      <w:r w:rsidRPr="00D65595">
        <w:rPr>
          <w:rFonts w:ascii="Times New Roman" w:hAnsi="Times New Roman" w:cs="Times New Roman"/>
          <w:sz w:val="24"/>
          <w:szCs w:val="24"/>
        </w:rPr>
        <w:t>The Hybrid Inclusive Urban Governance Model proposed for Chinhoyi Municipality integrates institutional reform, spatial integration, economic support, and participatory governance into a unified framework for managing urban informality. Unlike conventional planning models that treat informality as a deviation, this model conceptualizes it as an endogenous component of urban systems requiring adaptive governance (Roy, 2019; Watson, 2020). Institutional reform is central, emphasizing flexible regulatory frameworks that enable rather than constrain informal economic activity (Brown &amp; McGranahan, 2016</w:t>
      </w:r>
      <w:r>
        <w:rPr>
          <w:rFonts w:ascii="Times New Roman" w:hAnsi="Times New Roman" w:cs="Times New Roman"/>
          <w:sz w:val="24"/>
          <w:szCs w:val="24"/>
        </w:rPr>
        <w:t xml:space="preserve">; </w:t>
      </w:r>
      <w:r w:rsidRPr="00D65595">
        <w:rPr>
          <w:rFonts w:ascii="Times New Roman" w:hAnsi="Times New Roman" w:cs="Times New Roman"/>
          <w:sz w:val="24"/>
          <w:szCs w:val="24"/>
        </w:rPr>
        <w:t>De Soto, 2018). This is complemented by spatial integration strategies that embed informal enterprises within formal land-use planning systems through incremental upgrading and mixed-use zoning (Smit &amp; Pieterse, 2019</w:t>
      </w:r>
      <w:r>
        <w:rPr>
          <w:rFonts w:ascii="Times New Roman" w:hAnsi="Times New Roman" w:cs="Times New Roman"/>
          <w:sz w:val="24"/>
          <w:szCs w:val="24"/>
        </w:rPr>
        <w:t xml:space="preserve">; </w:t>
      </w:r>
      <w:r w:rsidRPr="00D65595">
        <w:rPr>
          <w:rFonts w:ascii="Times New Roman" w:hAnsi="Times New Roman" w:cs="Times New Roman"/>
          <w:sz w:val="24"/>
          <w:szCs w:val="24"/>
        </w:rPr>
        <w:t>UN-Habitat, 2022). Economically, the model prioritizes financial inclusion and technical capacity-building to enhance productivity and reduce vulnerability among informal operators (Chen, 2020</w:t>
      </w:r>
      <w:r>
        <w:rPr>
          <w:rFonts w:ascii="Times New Roman" w:hAnsi="Times New Roman" w:cs="Times New Roman"/>
          <w:sz w:val="24"/>
          <w:szCs w:val="24"/>
        </w:rPr>
        <w:t xml:space="preserve">; </w:t>
      </w:r>
      <w:r w:rsidRPr="00D65595">
        <w:rPr>
          <w:rFonts w:ascii="Times New Roman" w:hAnsi="Times New Roman" w:cs="Times New Roman"/>
          <w:sz w:val="24"/>
          <w:szCs w:val="24"/>
        </w:rPr>
        <w:t>World Bank, 2023). However, economic interventions are most effective when coupled with participatory governance mechanisms that institutionalize co-production between the municipality and informal actors (Ostrom, 2018; Mitlin, 2021). The model is anchored on four core principles: recognition of informality as legitimate urban practice, participatory planning as a governance norm, incremental upgrading as a spatial strategy, and adaptive regulation as a policy orientation (UN-Habitat, 2020</w:t>
      </w:r>
      <w:r>
        <w:rPr>
          <w:rFonts w:ascii="Times New Roman" w:hAnsi="Times New Roman" w:cs="Times New Roman"/>
          <w:sz w:val="24"/>
          <w:szCs w:val="24"/>
        </w:rPr>
        <w:t xml:space="preserve">; </w:t>
      </w:r>
      <w:r w:rsidRPr="00D65595">
        <w:rPr>
          <w:rFonts w:ascii="Times New Roman" w:hAnsi="Times New Roman" w:cs="Times New Roman"/>
          <w:sz w:val="24"/>
          <w:szCs w:val="24"/>
        </w:rPr>
        <w:t>Pieterse et al., 2021). Collectively, these components challenge the binary framing of formal versus informal urban systems and instead promote a continuum-based approach that reflects lived urban realities.</w:t>
      </w:r>
    </w:p>
    <w:p w14:paraId="119808AD" w14:textId="48DBFDCC" w:rsidR="001A5E43" w:rsidRPr="00D76CDE" w:rsidRDefault="001A5E43" w:rsidP="00D76CDE">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D76CDE">
        <w:rPr>
          <w:rFonts w:ascii="Times New Roman" w:eastAsia="Times New Roman" w:hAnsi="Times New Roman" w:cs="Times New Roman"/>
          <w:b/>
          <w:bCs/>
          <w:kern w:val="0"/>
          <w:sz w:val="24"/>
          <w:szCs w:val="24"/>
          <w14:ligatures w14:val="none"/>
        </w:rPr>
        <w:t>10.</w:t>
      </w:r>
      <w:r w:rsidR="002149B4" w:rsidRPr="00D76CDE">
        <w:rPr>
          <w:rFonts w:ascii="Times New Roman" w:eastAsia="Times New Roman" w:hAnsi="Times New Roman" w:cs="Times New Roman"/>
          <w:b/>
          <w:bCs/>
          <w:kern w:val="0"/>
          <w:sz w:val="24"/>
          <w:szCs w:val="24"/>
          <w14:ligatures w14:val="none"/>
        </w:rPr>
        <w:t>0</w:t>
      </w:r>
      <w:r w:rsidRPr="00D76CDE">
        <w:rPr>
          <w:rFonts w:ascii="Times New Roman" w:eastAsia="Times New Roman" w:hAnsi="Times New Roman" w:cs="Times New Roman"/>
          <w:b/>
          <w:bCs/>
          <w:kern w:val="0"/>
          <w:sz w:val="24"/>
          <w:szCs w:val="24"/>
          <w14:ligatures w14:val="none"/>
        </w:rPr>
        <w:t xml:space="preserve"> Conclusion</w:t>
      </w:r>
    </w:p>
    <w:p w14:paraId="3EA2CE6D" w14:textId="77777777" w:rsidR="002B1A2E" w:rsidRDefault="00990A0F" w:rsidP="00990A0F">
      <w:pPr>
        <w:spacing w:line="360" w:lineRule="auto"/>
        <w:jc w:val="both"/>
      </w:pPr>
      <w:r w:rsidRPr="00990A0F">
        <w:rPr>
          <w:rFonts w:ascii="Times New Roman" w:hAnsi="Times New Roman" w:cs="Times New Roman"/>
          <w:sz w:val="24"/>
          <w:szCs w:val="24"/>
        </w:rPr>
        <w:t xml:space="preserve">In conclusion, this study situates Chinhoyi Municipality’s informal sector within contemporary urban theory that increasingly rejects dichotomous framings of informality as either pathology or panacea, instead recognising it as an embedded and constitutive feature of African urbanisation. Engaging critically with the literature on inclusive urbanism and incremental planning, the analysis demonstrates that attempts to suppress or marginalise informality have historically produced spatial fragmentation, governance inefficiencies, and lost economic potential, while unregulated tolerance alone risks entrenching precarity and infrastructural </w:t>
      </w:r>
      <w:r w:rsidRPr="00990A0F">
        <w:rPr>
          <w:rFonts w:ascii="Times New Roman" w:hAnsi="Times New Roman" w:cs="Times New Roman"/>
          <w:sz w:val="24"/>
          <w:szCs w:val="24"/>
        </w:rPr>
        <w:lastRenderedPageBreak/>
        <w:t>strain. The findings therefore advance a calibrated position: informal activities should be systematically integrated into municipal planning frameworks through adaptive regulatory instruments, spatial recognition, and co-produced governance mechanisms that reconcile fiscal constraints with livelihood imperatives. In Chinhoyi Municipality, such integration is not merely a technical adjustment but a structural reorientation of urban development practice toward hybridity, where formal and informal systems are mutually constitutive rather than oppositional. By synthesising empirical insights with broader scholarly debates, the study underscores that “planning the unplanned” requires institutional flexibility, political will, and iterative planning logics capable of accommodating urban complexity. However, the study was limited by temporal and resource constraints that restricted the breadth of stakeholder engagement and longitudinal observation of informal sector dynamics. In addition, the findings are context-specific to Chinhoyi Municipality and therefore may not be fully generalisable to all urban settings without consideration of differing socio-economic, political, and institutional conditions. Ultimately, the proposed integrative model offers a transferable framework for secondary cities in Zimbabwe and comparable contexts, positioning informality not as an urban deficit to be eradicated but as a strategic resource for achieving resilient, equitable, and sustainable urban</w:t>
      </w:r>
      <w:r>
        <w:t xml:space="preserve"> development.</w:t>
      </w:r>
    </w:p>
    <w:p w14:paraId="5CA6BF55" w14:textId="77777777" w:rsidR="002B1A2E" w:rsidRDefault="002B1A2E" w:rsidP="00990A0F">
      <w:pPr>
        <w:spacing w:line="360" w:lineRule="auto"/>
        <w:jc w:val="both"/>
      </w:pPr>
    </w:p>
    <w:p w14:paraId="1C0CB307" w14:textId="1A762E54" w:rsidR="00CB406D" w:rsidRPr="00CA3906" w:rsidRDefault="00CB406D" w:rsidP="00990A0F">
      <w:pPr>
        <w:spacing w:line="360" w:lineRule="auto"/>
        <w:jc w:val="both"/>
        <w:rPr>
          <w:b/>
          <w:highlight w:val="yellow"/>
        </w:rPr>
      </w:pPr>
      <w:r w:rsidRPr="00CA3906">
        <w:rPr>
          <w:b/>
          <w:highlight w:val="yellow"/>
        </w:rPr>
        <w:t>Disclaimer (Artificial intelligence)</w:t>
      </w:r>
      <w:r w:rsidR="002B1A2E" w:rsidRPr="002B1A2E">
        <w:t xml:space="preserve"> </w:t>
      </w:r>
      <w:r w:rsidR="002B1A2E">
        <w:rPr>
          <w:noProof/>
        </w:rPr>
        <w:drawing>
          <wp:inline distT="0" distB="0" distL="0" distR="0" wp14:anchorId="1B8297F7" wp14:editId="2C4CD438">
            <wp:extent cx="1476375" cy="619125"/>
            <wp:effectExtent l="0" t="0" r="9525" b="9525"/>
            <wp:docPr id="29616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619125"/>
                    </a:xfrm>
                    <a:prstGeom prst="rect">
                      <a:avLst/>
                    </a:prstGeom>
                    <a:noFill/>
                    <a:ln>
                      <a:noFill/>
                    </a:ln>
                  </pic:spPr>
                </pic:pic>
              </a:graphicData>
            </a:graphic>
          </wp:inline>
        </w:drawing>
      </w:r>
    </w:p>
    <w:p w14:paraId="2E3CE3A5" w14:textId="518592D0" w:rsidR="00CB406D" w:rsidRPr="00740879" w:rsidRDefault="00CB406D" w:rsidP="00CB406D">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r w:rsidR="007B00EF">
        <w:rPr>
          <w:noProof/>
        </w:rPr>
        <w:drawing>
          <wp:inline distT="0" distB="0" distL="0" distR="0" wp14:anchorId="2071C2E5" wp14:editId="325DBF6D">
            <wp:extent cx="1476375" cy="619125"/>
            <wp:effectExtent l="0" t="0" r="9525" b="9525"/>
            <wp:docPr id="157847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619125"/>
                    </a:xfrm>
                    <a:prstGeom prst="rect">
                      <a:avLst/>
                    </a:prstGeom>
                    <a:noFill/>
                    <a:ln>
                      <a:noFill/>
                    </a:ln>
                  </pic:spPr>
                </pic:pic>
              </a:graphicData>
            </a:graphic>
          </wp:inline>
        </w:drawing>
      </w:r>
    </w:p>
    <w:p w14:paraId="4FD96E91" w14:textId="77777777" w:rsidR="00CB406D" w:rsidRDefault="00CB406D" w:rsidP="002304C0">
      <w:pPr>
        <w:pStyle w:val="NormalWeb"/>
        <w:spacing w:line="360" w:lineRule="auto"/>
        <w:jc w:val="both"/>
      </w:pPr>
    </w:p>
    <w:p w14:paraId="1E8BBFF0" w14:textId="7234D8C8" w:rsidR="001A5E43" w:rsidRPr="00D76CDE" w:rsidRDefault="002149B4" w:rsidP="00D76CDE">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D76CDE">
        <w:rPr>
          <w:rFonts w:ascii="Times New Roman" w:eastAsia="Times New Roman" w:hAnsi="Times New Roman" w:cs="Times New Roman"/>
          <w:b/>
          <w:bCs/>
          <w:kern w:val="0"/>
          <w:sz w:val="24"/>
          <w:szCs w:val="24"/>
          <w14:ligatures w14:val="none"/>
        </w:rPr>
        <w:t xml:space="preserve">11.0 </w:t>
      </w:r>
      <w:r w:rsidR="001A5E43" w:rsidRPr="00D76CDE">
        <w:rPr>
          <w:rFonts w:ascii="Times New Roman" w:eastAsia="Times New Roman" w:hAnsi="Times New Roman" w:cs="Times New Roman"/>
          <w:b/>
          <w:bCs/>
          <w:kern w:val="0"/>
          <w:sz w:val="24"/>
          <w:szCs w:val="24"/>
          <w14:ligatures w14:val="none"/>
        </w:rPr>
        <w:t xml:space="preserve">References </w:t>
      </w:r>
    </w:p>
    <w:p w14:paraId="1DE86231" w14:textId="77777777" w:rsidR="002A276A" w:rsidRPr="002A276A" w:rsidRDefault="002A276A" w:rsidP="002A276A">
      <w:pPr>
        <w:pBdr>
          <w:bottom w:val="single" w:sz="6" w:space="1" w:color="auto"/>
        </w:pBdr>
        <w:spacing w:after="0" w:line="240" w:lineRule="auto"/>
        <w:jc w:val="both"/>
        <w:rPr>
          <w:rFonts w:ascii="Times New Roman" w:eastAsia="Times New Roman" w:hAnsi="Times New Roman" w:cs="Times New Roman"/>
          <w:vanish/>
          <w:kern w:val="0"/>
          <w:sz w:val="24"/>
          <w:szCs w:val="24"/>
          <w:lang w:eastAsia="zh-CN"/>
          <w14:ligatures w14:val="none"/>
        </w:rPr>
      </w:pPr>
      <w:r w:rsidRPr="002A276A">
        <w:rPr>
          <w:rFonts w:ascii="Times New Roman" w:eastAsia="Times New Roman" w:hAnsi="Times New Roman" w:cs="Times New Roman"/>
          <w:vanish/>
          <w:kern w:val="0"/>
          <w:sz w:val="24"/>
          <w:szCs w:val="24"/>
          <w:lang w:eastAsia="zh-CN"/>
          <w14:ligatures w14:val="none"/>
        </w:rPr>
        <w:t>Top of Form</w:t>
      </w:r>
    </w:p>
    <w:p w14:paraId="770BC1BF" w14:textId="77777777" w:rsidR="002A276A" w:rsidRPr="002A276A" w:rsidRDefault="002A276A" w:rsidP="002A276A">
      <w:pPr>
        <w:pStyle w:val="NormalWeb"/>
        <w:jc w:val="both"/>
      </w:pPr>
      <w:r w:rsidRPr="002A276A">
        <w:t xml:space="preserve">AfDB. (2019). </w:t>
      </w:r>
      <w:r w:rsidRPr="002A276A">
        <w:rPr>
          <w:rStyle w:val="Emphasis"/>
        </w:rPr>
        <w:t>African economic outlook 2019</w:t>
      </w:r>
      <w:r w:rsidRPr="002A276A">
        <w:t>. African Development Bank (AfDB).</w:t>
      </w:r>
    </w:p>
    <w:p w14:paraId="1914B553" w14:textId="77777777" w:rsidR="002A276A" w:rsidRPr="002A276A" w:rsidRDefault="002A276A" w:rsidP="002A276A">
      <w:pPr>
        <w:pStyle w:val="NormalWeb"/>
        <w:jc w:val="both"/>
      </w:pPr>
      <w:r w:rsidRPr="002A276A">
        <w:t xml:space="preserve">AfDB. (2022). </w:t>
      </w:r>
      <w:r w:rsidRPr="002A276A">
        <w:rPr>
          <w:rStyle w:val="Emphasis"/>
        </w:rPr>
        <w:t>African economic outlook 2022: Supporting climate resilience and a just energy transition in Africa</w:t>
      </w:r>
      <w:r w:rsidRPr="002A276A">
        <w:t>. African Development Bank (AfDB).</w:t>
      </w:r>
    </w:p>
    <w:p w14:paraId="4A7CEB39"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val="en-DK" w:eastAsia="zh-CN"/>
          <w14:ligatures w14:val="none"/>
        </w:rPr>
      </w:pPr>
      <w:r w:rsidRPr="002A276A">
        <w:rPr>
          <w:rFonts w:ascii="Times New Roman" w:hAnsi="Times New Roman" w:cs="Times New Roman"/>
          <w:sz w:val="24"/>
          <w:szCs w:val="24"/>
        </w:rPr>
        <w:lastRenderedPageBreak/>
        <w:t>AfDB</w:t>
      </w:r>
      <w:r w:rsidRPr="002A276A">
        <w:rPr>
          <w:rFonts w:ascii="Times New Roman" w:hAnsi="Times New Roman" w:cs="Times New Roman"/>
          <w:sz w:val="24"/>
          <w:szCs w:val="24"/>
        </w:rPr>
        <w:t>.</w:t>
      </w:r>
      <w:r w:rsidRPr="002A276A">
        <w:rPr>
          <w:rFonts w:ascii="Times New Roman" w:eastAsia="Times New Roman" w:hAnsi="Times New Roman" w:cs="Times New Roman"/>
          <w:kern w:val="0"/>
          <w:sz w:val="24"/>
          <w:szCs w:val="24"/>
          <w:lang w:val="en-DK" w:eastAsia="zh-CN"/>
          <w14:ligatures w14:val="none"/>
        </w:rPr>
        <w:t xml:space="preserve"> (2022). </w:t>
      </w:r>
      <w:r w:rsidRPr="002A276A">
        <w:rPr>
          <w:rFonts w:ascii="Times New Roman" w:eastAsia="Times New Roman" w:hAnsi="Times New Roman" w:cs="Times New Roman"/>
          <w:i/>
          <w:iCs/>
          <w:kern w:val="0"/>
          <w:sz w:val="24"/>
          <w:szCs w:val="24"/>
          <w:lang w:val="en-DK" w:eastAsia="zh-CN"/>
          <w14:ligatures w14:val="none"/>
        </w:rPr>
        <w:t>Zimbabwe economic outlook 2022</w:t>
      </w:r>
      <w:r w:rsidRPr="002A276A">
        <w:rPr>
          <w:rFonts w:ascii="Times New Roman" w:eastAsia="Times New Roman" w:hAnsi="Times New Roman" w:cs="Times New Roman"/>
          <w:kern w:val="0"/>
          <w:sz w:val="24"/>
          <w:szCs w:val="24"/>
          <w:lang w:val="en-DK" w:eastAsia="zh-CN"/>
          <w14:ligatures w14:val="none"/>
        </w:rPr>
        <w:t>. Abidjan, Côte d’Ivoire: African Development Bank.</w:t>
      </w:r>
      <w:r w:rsidRPr="002A276A">
        <w:rPr>
          <w:rFonts w:ascii="Times New Roman" w:hAnsi="Times New Roman" w:cs="Times New Roman"/>
          <w:sz w:val="24"/>
          <w:szCs w:val="24"/>
        </w:rPr>
        <w:t xml:space="preserve"> </w:t>
      </w:r>
      <w:r w:rsidRPr="002A276A">
        <w:rPr>
          <w:rFonts w:ascii="Times New Roman" w:hAnsi="Times New Roman" w:cs="Times New Roman"/>
          <w:sz w:val="24"/>
          <w:szCs w:val="24"/>
        </w:rPr>
        <w:t>(</w:t>
      </w:r>
      <w:r w:rsidRPr="002A276A">
        <w:rPr>
          <w:rFonts w:ascii="Times New Roman" w:eastAsia="Times New Roman" w:hAnsi="Times New Roman" w:cs="Times New Roman"/>
          <w:kern w:val="0"/>
          <w:sz w:val="24"/>
          <w:szCs w:val="24"/>
          <w:lang w:val="en-DK" w:eastAsia="zh-CN"/>
          <w14:ligatures w14:val="none"/>
        </w:rPr>
        <w:t>AfDB</w:t>
      </w:r>
      <w:r w:rsidRPr="002A276A">
        <w:rPr>
          <w:rFonts w:ascii="Times New Roman" w:eastAsia="Times New Roman" w:hAnsi="Times New Roman" w:cs="Times New Roman"/>
          <w:kern w:val="0"/>
          <w:sz w:val="24"/>
          <w:szCs w:val="24"/>
          <w:lang w:val="en-DK" w:eastAsia="zh-CN"/>
          <w14:ligatures w14:val="none"/>
        </w:rPr>
        <w:t>)</w:t>
      </w:r>
      <w:r w:rsidRPr="002A276A">
        <w:rPr>
          <w:rFonts w:ascii="Times New Roman" w:eastAsia="Times New Roman" w:hAnsi="Times New Roman" w:cs="Times New Roman"/>
          <w:kern w:val="0"/>
          <w:sz w:val="24"/>
          <w:szCs w:val="24"/>
          <w:lang w:val="en-DK" w:eastAsia="zh-CN"/>
          <w14:ligatures w14:val="none"/>
        </w:rPr>
        <w:t xml:space="preserve">. Retrieved from </w:t>
      </w:r>
      <w:hyperlink r:id="rId8" w:tgtFrame="_new" w:history="1">
        <w:r w:rsidRPr="002A276A">
          <w:rPr>
            <w:rFonts w:ascii="Times New Roman" w:eastAsia="Times New Roman" w:hAnsi="Times New Roman" w:cs="Times New Roman"/>
            <w:color w:val="0000FF"/>
            <w:kern w:val="0"/>
            <w:sz w:val="24"/>
            <w:szCs w:val="24"/>
            <w:u w:val="single"/>
            <w:lang w:val="en-DK" w:eastAsia="zh-CN"/>
            <w14:ligatures w14:val="none"/>
          </w:rPr>
          <w:t>AfDB Zimbabwe Economic Outlook</w:t>
        </w:r>
      </w:hyperlink>
    </w:p>
    <w:p w14:paraId="3558BAC8" w14:textId="77777777" w:rsidR="002A276A" w:rsidRPr="002A276A" w:rsidRDefault="002A276A" w:rsidP="002A276A">
      <w:pPr>
        <w:pStyle w:val="NormalWeb"/>
        <w:jc w:val="both"/>
      </w:pPr>
      <w:r w:rsidRPr="002A276A">
        <w:t xml:space="preserve">Altamimi, N., Faguet, J. P., &amp; Shami, M. (2023). </w:t>
      </w:r>
      <w:r w:rsidRPr="002A276A">
        <w:rPr>
          <w:i/>
          <w:iCs/>
        </w:rPr>
        <w:t>Governance challenges in intermediate cities</w:t>
      </w:r>
      <w:r w:rsidRPr="002A276A">
        <w:t xml:space="preserve">. </w:t>
      </w:r>
      <w:r w:rsidRPr="002A276A">
        <w:rPr>
          <w:rStyle w:val="Emphasis"/>
          <w:i w:val="0"/>
          <w:iCs w:val="0"/>
        </w:rPr>
        <w:t>Urban Governance Studies</w:t>
      </w:r>
      <w:r w:rsidRPr="002A276A">
        <w:t>.</w:t>
      </w:r>
    </w:p>
    <w:p w14:paraId="280252AA" w14:textId="77777777" w:rsidR="002A276A" w:rsidRPr="002A276A" w:rsidRDefault="002A276A" w:rsidP="002A276A">
      <w:pPr>
        <w:pStyle w:val="NormalWeb"/>
        <w:jc w:val="both"/>
      </w:pPr>
      <w:r w:rsidRPr="002A276A">
        <w:t xml:space="preserve">Bettencourt, L. M. A., &amp; Marchio, N. (2023). </w:t>
      </w:r>
      <w:r w:rsidRPr="002A276A">
        <w:rPr>
          <w:i/>
          <w:iCs/>
        </w:rPr>
        <w:t>Street access, informality and development in sub-Saharan Africa.</w:t>
      </w:r>
      <w:r w:rsidRPr="002A276A">
        <w:t xml:space="preserve"> </w:t>
      </w:r>
      <w:r w:rsidRPr="002A276A">
        <w:rPr>
          <w:rStyle w:val="Emphasis"/>
          <w:i w:val="0"/>
          <w:iCs w:val="0"/>
        </w:rPr>
        <w:t>arXiv</w:t>
      </w:r>
      <w:r w:rsidRPr="002A276A">
        <w:t xml:space="preserve">. </w:t>
      </w:r>
      <w:hyperlink r:id="rId9" w:tgtFrame="_new" w:history="1">
        <w:r w:rsidRPr="002A276A">
          <w:rPr>
            <w:rStyle w:val="Hyperlink"/>
          </w:rPr>
          <w:t>https://arxiv.org/abs/2307.16328</w:t>
        </w:r>
      </w:hyperlink>
      <w:r w:rsidRPr="002A276A">
        <w:t xml:space="preserve"> </w:t>
      </w:r>
    </w:p>
    <w:p w14:paraId="7C2A0C96" w14:textId="77777777" w:rsidR="002A276A" w:rsidRPr="002A276A" w:rsidRDefault="002A276A" w:rsidP="002A276A">
      <w:pPr>
        <w:pStyle w:val="NormalWeb"/>
        <w:jc w:val="both"/>
      </w:pPr>
      <w:r w:rsidRPr="002A276A">
        <w:t xml:space="preserve">Bowen, G. A. (2009). </w:t>
      </w:r>
      <w:r w:rsidRPr="002A276A">
        <w:rPr>
          <w:i/>
          <w:iCs/>
        </w:rPr>
        <w:t>Document analysis as a qualitative research method</w:t>
      </w:r>
      <w:r w:rsidRPr="002A276A">
        <w:t xml:space="preserve">. </w:t>
      </w:r>
      <w:r w:rsidRPr="002A276A">
        <w:rPr>
          <w:rStyle w:val="Emphasis"/>
          <w:i w:val="0"/>
          <w:iCs w:val="0"/>
        </w:rPr>
        <w:t>Qualitative Research Journal</w:t>
      </w:r>
      <w:r w:rsidRPr="002A276A">
        <w:rPr>
          <w:i/>
          <w:iCs/>
        </w:rPr>
        <w:t>,</w:t>
      </w:r>
      <w:r w:rsidRPr="002A276A">
        <w:t xml:space="preserve"> 9(2), 27–40.</w:t>
      </w:r>
    </w:p>
    <w:p w14:paraId="7431C59C" w14:textId="77777777" w:rsidR="002A276A" w:rsidRPr="002A276A" w:rsidRDefault="002A276A" w:rsidP="002A276A">
      <w:pPr>
        <w:pStyle w:val="NormalWeb"/>
        <w:jc w:val="both"/>
      </w:pPr>
      <w:r w:rsidRPr="002A276A">
        <w:t xml:space="preserve">Braun, V., &amp; Clarke, V. (2021). </w:t>
      </w:r>
      <w:r w:rsidRPr="002A276A">
        <w:rPr>
          <w:rStyle w:val="Emphasis"/>
        </w:rPr>
        <w:t>Thematic analysis: A practical guide</w:t>
      </w:r>
      <w:r w:rsidRPr="002A276A">
        <w:t>. SAGE.</w:t>
      </w:r>
    </w:p>
    <w:p w14:paraId="3476D9E6" w14:textId="77777777" w:rsidR="002A276A" w:rsidRPr="002A276A" w:rsidRDefault="002A276A" w:rsidP="002A276A">
      <w:pPr>
        <w:pStyle w:val="NormalWeb"/>
        <w:jc w:val="both"/>
      </w:pPr>
      <w:r w:rsidRPr="002A276A">
        <w:t xml:space="preserve">Bryman, A. (2016). </w:t>
      </w:r>
      <w:r w:rsidRPr="002A276A">
        <w:rPr>
          <w:rStyle w:val="Emphasis"/>
        </w:rPr>
        <w:t>Social research methods</w:t>
      </w:r>
      <w:r w:rsidRPr="002A276A">
        <w:t xml:space="preserve"> (5th ed.). Oxford University Press.</w:t>
      </w:r>
    </w:p>
    <w:p w14:paraId="4E921981" w14:textId="77777777" w:rsidR="002A276A" w:rsidRPr="002A276A" w:rsidRDefault="002A276A" w:rsidP="002A276A">
      <w:pPr>
        <w:pStyle w:val="NormalWeb"/>
        <w:jc w:val="both"/>
      </w:pPr>
      <w:r w:rsidRPr="002A276A">
        <w:t xml:space="preserve">Caprotti, F., de Groot, J., Butler, C., Pailman, W., Mathebula, N., Schloemann, H., &amp; Densmore, A. (2025). </w:t>
      </w:r>
      <w:r w:rsidRPr="002A276A">
        <w:rPr>
          <w:i/>
          <w:iCs/>
        </w:rPr>
        <w:t>Urban innovation in the informal city: Co-production and sector coupling in South Africa.</w:t>
      </w:r>
      <w:r w:rsidRPr="002A276A">
        <w:t xml:space="preserve"> </w:t>
      </w:r>
      <w:r w:rsidRPr="002A276A">
        <w:rPr>
          <w:rStyle w:val="Emphasis"/>
          <w:i w:val="0"/>
          <w:iCs w:val="0"/>
        </w:rPr>
        <w:t>Frontiers in Sustainable Cities</w:t>
      </w:r>
      <w:r w:rsidRPr="002A276A">
        <w:rPr>
          <w:i/>
          <w:iCs/>
        </w:rPr>
        <w:t>, 7</w:t>
      </w:r>
      <w:r w:rsidRPr="002A276A">
        <w:t>. https://doi.org/10.3389/frsc.2025.1654705</w:t>
      </w:r>
    </w:p>
    <w:p w14:paraId="55E9589B" w14:textId="77777777" w:rsidR="002A276A" w:rsidRPr="002A276A" w:rsidRDefault="002A276A" w:rsidP="002A276A">
      <w:pPr>
        <w:pStyle w:val="NormalWeb"/>
        <w:jc w:val="both"/>
      </w:pPr>
      <w:r w:rsidRPr="002A276A">
        <w:t xml:space="preserve">Caprotti, F., et al. (2025). </w:t>
      </w:r>
      <w:r w:rsidRPr="002A276A">
        <w:rPr>
          <w:i/>
          <w:iCs/>
        </w:rPr>
        <w:t>Urban innovation in the informal city.</w:t>
      </w:r>
      <w:r w:rsidRPr="002A276A">
        <w:t xml:space="preserve"> </w:t>
      </w:r>
      <w:r w:rsidRPr="002A276A">
        <w:rPr>
          <w:rStyle w:val="Emphasis"/>
          <w:i w:val="0"/>
          <w:iCs w:val="0"/>
        </w:rPr>
        <w:t>Frontiers in Sustainable Cities, 7</w:t>
      </w:r>
      <w:r w:rsidRPr="002A276A">
        <w:rPr>
          <w:i/>
          <w:iCs/>
        </w:rPr>
        <w:t>.</w:t>
      </w:r>
      <w:r w:rsidRPr="002A276A">
        <w:t xml:space="preserve"> https://doi.org/10.3389/frsc.2025.1654705 </w:t>
      </w:r>
    </w:p>
    <w:p w14:paraId="73F91DFA" w14:textId="77777777" w:rsidR="002A276A" w:rsidRPr="002A276A" w:rsidRDefault="002A276A" w:rsidP="002A276A">
      <w:pPr>
        <w:pStyle w:val="NormalWeb"/>
        <w:jc w:val="both"/>
      </w:pPr>
      <w:r w:rsidRPr="002A276A">
        <w:t xml:space="preserve">Castán Broto, V., &amp; Bulkeley, H. (2019). </w:t>
      </w:r>
      <w:r w:rsidRPr="002A276A">
        <w:rPr>
          <w:i/>
          <w:iCs/>
        </w:rPr>
        <w:t xml:space="preserve">A survey of urban climate change experiments in 100 cities. </w:t>
      </w:r>
      <w:r w:rsidRPr="002A276A">
        <w:rPr>
          <w:rStyle w:val="Emphasis"/>
          <w:i w:val="0"/>
          <w:iCs w:val="0"/>
        </w:rPr>
        <w:t>Global Environmental Change</w:t>
      </w:r>
      <w:r w:rsidRPr="002A276A">
        <w:rPr>
          <w:i/>
          <w:iCs/>
        </w:rPr>
        <w:t>,</w:t>
      </w:r>
      <w:r w:rsidRPr="002A276A">
        <w:t xml:space="preserve"> 56, 14–24.</w:t>
      </w:r>
    </w:p>
    <w:p w14:paraId="370000B3"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Chen, M. A. (2012). </w:t>
      </w:r>
      <w:r w:rsidRPr="002A276A">
        <w:rPr>
          <w:rFonts w:ascii="Times New Roman" w:eastAsia="Times New Roman" w:hAnsi="Times New Roman" w:cs="Times New Roman"/>
          <w:i/>
          <w:iCs/>
          <w:kern w:val="0"/>
          <w:sz w:val="24"/>
          <w:szCs w:val="24"/>
          <w14:ligatures w14:val="none"/>
        </w:rPr>
        <w:t>The informal economy: Definitions, theories and policies.</w:t>
      </w:r>
      <w:r w:rsidRPr="002A276A">
        <w:rPr>
          <w:rFonts w:ascii="Times New Roman" w:eastAsia="Times New Roman" w:hAnsi="Times New Roman" w:cs="Times New Roman"/>
          <w:kern w:val="0"/>
          <w:sz w:val="24"/>
          <w:szCs w:val="24"/>
          <w14:ligatures w14:val="none"/>
        </w:rPr>
        <w:t xml:space="preserve"> WIEGO Working Paper, 1, 1–18.</w:t>
      </w:r>
    </w:p>
    <w:p w14:paraId="162796B1" w14:textId="77777777" w:rsidR="002A276A" w:rsidRPr="002A276A" w:rsidRDefault="002A276A" w:rsidP="002A276A">
      <w:pPr>
        <w:pStyle w:val="NormalWeb"/>
        <w:jc w:val="both"/>
      </w:pPr>
      <w:r w:rsidRPr="002A276A">
        <w:t xml:space="preserve">Chen, M. A. (2020). </w:t>
      </w:r>
      <w:r w:rsidRPr="002A276A">
        <w:rPr>
          <w:rStyle w:val="Emphasis"/>
        </w:rPr>
        <w:t>The informal economy revisited: Examining the past, envisioning the future</w:t>
      </w:r>
      <w:r w:rsidRPr="002A276A">
        <w:t>. WIEGO.</w:t>
      </w:r>
    </w:p>
    <w:p w14:paraId="07CCB89B" w14:textId="77777777" w:rsidR="002A276A" w:rsidRPr="002A276A" w:rsidRDefault="002A276A" w:rsidP="002A276A">
      <w:pPr>
        <w:pStyle w:val="NormalWeb"/>
        <w:jc w:val="both"/>
      </w:pPr>
      <w:r w:rsidRPr="002A276A">
        <w:t xml:space="preserve">Chigwenya, A. (2023). </w:t>
      </w:r>
      <w:r w:rsidRPr="002A276A">
        <w:rPr>
          <w:i/>
          <w:iCs/>
        </w:rPr>
        <w:t>Urban informality and planning: Counting the cost of non-participatory planning in Masvingo City, Zimbabwe.</w:t>
      </w:r>
      <w:r w:rsidRPr="002A276A">
        <w:t xml:space="preserve"> </w:t>
      </w:r>
      <w:r w:rsidRPr="002A276A">
        <w:rPr>
          <w:rStyle w:val="Emphasis"/>
          <w:i w:val="0"/>
          <w:iCs w:val="0"/>
        </w:rPr>
        <w:t>Journal of Inclusive Cities and Built Environment,</w:t>
      </w:r>
      <w:r w:rsidRPr="002A276A">
        <w:rPr>
          <w:rStyle w:val="Emphasis"/>
        </w:rPr>
        <w:t xml:space="preserve"> 3</w:t>
      </w:r>
      <w:r w:rsidRPr="002A276A">
        <w:t>(5), 89–100.</w:t>
      </w:r>
    </w:p>
    <w:p w14:paraId="53D2BD8B"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val="en-DK" w:eastAsia="zh-CN"/>
          <w14:ligatures w14:val="none"/>
        </w:rPr>
      </w:pPr>
      <w:proofErr w:type="spellStart"/>
      <w:r w:rsidRPr="002A276A">
        <w:rPr>
          <w:rFonts w:ascii="Times New Roman" w:eastAsia="Times New Roman" w:hAnsi="Times New Roman" w:cs="Times New Roman"/>
          <w:kern w:val="0"/>
          <w:sz w:val="24"/>
          <w:szCs w:val="24"/>
          <w:lang w:val="en-DK" w:eastAsia="zh-CN"/>
          <w14:ligatures w14:val="none"/>
        </w:rPr>
        <w:t>Chirisa</w:t>
      </w:r>
      <w:proofErr w:type="spellEnd"/>
      <w:r w:rsidRPr="002A276A">
        <w:rPr>
          <w:rFonts w:ascii="Times New Roman" w:eastAsia="Times New Roman" w:hAnsi="Times New Roman" w:cs="Times New Roman"/>
          <w:kern w:val="0"/>
          <w:sz w:val="24"/>
          <w:szCs w:val="24"/>
          <w:lang w:val="en-DK" w:eastAsia="zh-CN"/>
          <w14:ligatures w14:val="none"/>
        </w:rPr>
        <w:t xml:space="preserve">, I., </w:t>
      </w:r>
      <w:proofErr w:type="spellStart"/>
      <w:r w:rsidRPr="002A276A">
        <w:rPr>
          <w:rFonts w:ascii="Times New Roman" w:eastAsia="Times New Roman" w:hAnsi="Times New Roman" w:cs="Times New Roman"/>
          <w:kern w:val="0"/>
          <w:sz w:val="24"/>
          <w:szCs w:val="24"/>
          <w:lang w:val="en-DK" w:eastAsia="zh-CN"/>
          <w14:ligatures w14:val="none"/>
        </w:rPr>
        <w:t>Bandauko</w:t>
      </w:r>
      <w:proofErr w:type="spellEnd"/>
      <w:r w:rsidRPr="002A276A">
        <w:rPr>
          <w:rFonts w:ascii="Times New Roman" w:eastAsia="Times New Roman" w:hAnsi="Times New Roman" w:cs="Times New Roman"/>
          <w:kern w:val="0"/>
          <w:sz w:val="24"/>
          <w:szCs w:val="24"/>
          <w:lang w:val="en-DK" w:eastAsia="zh-CN"/>
          <w14:ligatures w14:val="none"/>
        </w:rPr>
        <w:t xml:space="preserve">, E., &amp; </w:t>
      </w:r>
      <w:proofErr w:type="spellStart"/>
      <w:r w:rsidRPr="002A276A">
        <w:rPr>
          <w:rFonts w:ascii="Times New Roman" w:eastAsia="Times New Roman" w:hAnsi="Times New Roman" w:cs="Times New Roman"/>
          <w:kern w:val="0"/>
          <w:sz w:val="24"/>
          <w:szCs w:val="24"/>
          <w:lang w:val="en-DK" w:eastAsia="zh-CN"/>
          <w14:ligatures w14:val="none"/>
        </w:rPr>
        <w:t>Matamanda</w:t>
      </w:r>
      <w:proofErr w:type="spellEnd"/>
      <w:r w:rsidRPr="002A276A">
        <w:rPr>
          <w:rFonts w:ascii="Times New Roman" w:eastAsia="Times New Roman" w:hAnsi="Times New Roman" w:cs="Times New Roman"/>
          <w:kern w:val="0"/>
          <w:sz w:val="24"/>
          <w:szCs w:val="24"/>
          <w:lang w:val="en-DK" w:eastAsia="zh-CN"/>
          <w14:ligatures w14:val="none"/>
        </w:rPr>
        <w:t xml:space="preserve">, A. (2022). </w:t>
      </w:r>
      <w:r w:rsidRPr="002A276A">
        <w:rPr>
          <w:rFonts w:ascii="Times New Roman" w:eastAsia="Times New Roman" w:hAnsi="Times New Roman" w:cs="Times New Roman"/>
          <w:i/>
          <w:iCs/>
          <w:kern w:val="0"/>
          <w:sz w:val="24"/>
          <w:szCs w:val="24"/>
          <w:lang w:val="en-DK" w:eastAsia="zh-CN"/>
          <w14:ligatures w14:val="none"/>
        </w:rPr>
        <w:t xml:space="preserve">Urban informality and planning in Zimbabwean secondary cities. </w:t>
      </w:r>
      <w:r w:rsidRPr="002A276A">
        <w:rPr>
          <w:rFonts w:ascii="Times New Roman" w:eastAsia="Times New Roman" w:hAnsi="Times New Roman" w:cs="Times New Roman"/>
          <w:kern w:val="0"/>
          <w:sz w:val="24"/>
          <w:szCs w:val="24"/>
          <w:lang w:val="en-DK" w:eastAsia="zh-CN"/>
          <w14:ligatures w14:val="none"/>
        </w:rPr>
        <w:t>Journal of African Urban Studies,</w:t>
      </w:r>
      <w:r w:rsidRPr="002A276A">
        <w:rPr>
          <w:rFonts w:ascii="Times New Roman" w:eastAsia="Times New Roman" w:hAnsi="Times New Roman" w:cs="Times New Roman"/>
          <w:i/>
          <w:iCs/>
          <w:kern w:val="0"/>
          <w:sz w:val="24"/>
          <w:szCs w:val="24"/>
          <w:lang w:val="en-DK" w:eastAsia="zh-CN"/>
          <w14:ligatures w14:val="none"/>
        </w:rPr>
        <w:t xml:space="preserve"> 7</w:t>
      </w:r>
      <w:r w:rsidRPr="002A276A">
        <w:rPr>
          <w:rFonts w:ascii="Times New Roman" w:eastAsia="Times New Roman" w:hAnsi="Times New Roman" w:cs="Times New Roman"/>
          <w:kern w:val="0"/>
          <w:sz w:val="24"/>
          <w:szCs w:val="24"/>
          <w:lang w:val="en-DK" w:eastAsia="zh-CN"/>
          <w14:ligatures w14:val="none"/>
        </w:rPr>
        <w:t>(2), 45–62.</w:t>
      </w:r>
    </w:p>
    <w:p w14:paraId="56BE4FEB" w14:textId="77777777" w:rsidR="002A276A" w:rsidRPr="002A276A" w:rsidRDefault="002A276A" w:rsidP="002A276A">
      <w:pPr>
        <w:pStyle w:val="NormalWeb"/>
        <w:jc w:val="both"/>
      </w:pPr>
      <w:proofErr w:type="spellStart"/>
      <w:r w:rsidRPr="002A276A">
        <w:t>Chirisa</w:t>
      </w:r>
      <w:proofErr w:type="spellEnd"/>
      <w:r w:rsidRPr="002A276A">
        <w:t xml:space="preserve">, I., Nyamadzawo, L., &amp; Bandauko, E. (2015). </w:t>
      </w:r>
      <w:r w:rsidRPr="002A276A">
        <w:rPr>
          <w:i/>
          <w:iCs/>
        </w:rPr>
        <w:t>The 2008/2009 cholera outbreak in Harare, Zimbabwe: Case of failure in urban environmental health and planning.</w:t>
      </w:r>
      <w:r w:rsidRPr="002A276A">
        <w:t xml:space="preserve"> </w:t>
      </w:r>
      <w:r w:rsidRPr="002A276A">
        <w:rPr>
          <w:rStyle w:val="Emphasis"/>
          <w:i w:val="0"/>
          <w:iCs w:val="0"/>
        </w:rPr>
        <w:t>Reviews on Environmental Health</w:t>
      </w:r>
      <w:r w:rsidRPr="002A276A">
        <w:rPr>
          <w:i/>
          <w:iCs/>
        </w:rPr>
        <w:t>,</w:t>
      </w:r>
      <w:r w:rsidRPr="002A276A">
        <w:t xml:space="preserve"> 30(2), 117–124.</w:t>
      </w:r>
    </w:p>
    <w:p w14:paraId="5E0CBCB7" w14:textId="77777777" w:rsidR="002A276A" w:rsidRPr="002A276A" w:rsidRDefault="002A276A" w:rsidP="002A276A">
      <w:pPr>
        <w:pStyle w:val="NormalWeb"/>
        <w:jc w:val="both"/>
      </w:pPr>
      <w:proofErr w:type="spellStart"/>
      <w:r w:rsidRPr="002A276A">
        <w:t>Chirisa</w:t>
      </w:r>
      <w:proofErr w:type="spellEnd"/>
      <w:r w:rsidRPr="002A276A">
        <w:t xml:space="preserve">, I., Nyamadzawo, L., &amp; Bandauko, E. (2015). </w:t>
      </w:r>
      <w:r w:rsidRPr="002A276A">
        <w:rPr>
          <w:rStyle w:val="Emphasis"/>
        </w:rPr>
        <w:t>The 2008/2009 cholera outbreak in Harare, Zimbabwe: Case of failure in urban environmental health and planning</w:t>
      </w:r>
      <w:r w:rsidRPr="002A276A">
        <w:t>. Journal of Urban Health, 92(1), 134–145.</w:t>
      </w:r>
    </w:p>
    <w:p w14:paraId="29B0AA39" w14:textId="77777777" w:rsidR="002A276A" w:rsidRPr="002A276A" w:rsidRDefault="002A276A" w:rsidP="002A276A">
      <w:pPr>
        <w:pStyle w:val="NormalWeb"/>
        <w:jc w:val="both"/>
      </w:pPr>
      <w:proofErr w:type="spellStart"/>
      <w:r w:rsidRPr="002A276A">
        <w:lastRenderedPageBreak/>
        <w:t>Chirisa</w:t>
      </w:r>
      <w:proofErr w:type="spellEnd"/>
      <w:r w:rsidRPr="002A276A">
        <w:t xml:space="preserve">, T., Matamanda, A. R., &amp; Mhlanga, M. (2022). </w:t>
      </w:r>
      <w:r w:rsidRPr="002A276A">
        <w:rPr>
          <w:i/>
          <w:iCs/>
        </w:rPr>
        <w:t>Urban informality and governance in Zimbabwe: Navigating contested spaces in post-crisis cities.</w:t>
      </w:r>
      <w:r w:rsidRPr="002A276A">
        <w:t xml:space="preserve"> </w:t>
      </w:r>
      <w:r w:rsidRPr="002A276A">
        <w:rPr>
          <w:rStyle w:val="Emphasis"/>
          <w:i w:val="0"/>
          <w:iCs w:val="0"/>
        </w:rPr>
        <w:t>Urban Forum,</w:t>
      </w:r>
      <w:r w:rsidRPr="002A276A">
        <w:rPr>
          <w:rStyle w:val="Emphasis"/>
        </w:rPr>
        <w:t xml:space="preserve"> 33</w:t>
      </w:r>
      <w:r w:rsidRPr="002A276A">
        <w:t>(2), 215–232. https://doi.org/10.1007/s12132-021-09445-3</w:t>
      </w:r>
    </w:p>
    <w:p w14:paraId="797F1C34" w14:textId="77777777" w:rsidR="002A276A" w:rsidRPr="002A276A" w:rsidRDefault="002A276A" w:rsidP="002A276A">
      <w:pPr>
        <w:pStyle w:val="NormalWeb"/>
        <w:jc w:val="both"/>
      </w:pPr>
      <w:r w:rsidRPr="002A276A">
        <w:t xml:space="preserve">Cities Alliance. (2021). </w:t>
      </w:r>
      <w:r w:rsidRPr="002A276A">
        <w:rPr>
          <w:rStyle w:val="Emphasis"/>
        </w:rPr>
        <w:t>Secondary cities and inclusive growth</w:t>
      </w:r>
      <w:r w:rsidRPr="002A276A">
        <w:t>. Cities Alliance.</w:t>
      </w:r>
    </w:p>
    <w:p w14:paraId="1C69EC61" w14:textId="77777777" w:rsidR="002A276A" w:rsidRPr="002A276A" w:rsidRDefault="002A276A" w:rsidP="002A276A">
      <w:pPr>
        <w:pStyle w:val="NormalWeb"/>
        <w:jc w:val="both"/>
      </w:pPr>
      <w:r w:rsidRPr="002A276A">
        <w:t xml:space="preserve">Creswell, J. W., &amp; Plano Clark, V. L. (2018). </w:t>
      </w:r>
      <w:r w:rsidRPr="002A276A">
        <w:rPr>
          <w:rStyle w:val="Emphasis"/>
        </w:rPr>
        <w:t>Designing and conducting mixed methods research</w:t>
      </w:r>
      <w:r w:rsidRPr="002A276A">
        <w:t xml:space="preserve"> (3rd ed.). SAGE Publications.</w:t>
      </w:r>
    </w:p>
    <w:p w14:paraId="269E17E3" w14:textId="77777777" w:rsidR="002A276A" w:rsidRPr="002A276A" w:rsidRDefault="002A276A" w:rsidP="002A276A">
      <w:pPr>
        <w:pStyle w:val="NormalWeb"/>
        <w:jc w:val="both"/>
      </w:pPr>
      <w:r w:rsidRPr="002A276A">
        <w:t xml:space="preserve">Creswell, J. W., &amp; Plano Clark, V. L. (2018). </w:t>
      </w:r>
      <w:r w:rsidRPr="002A276A">
        <w:rPr>
          <w:rStyle w:val="Emphasis"/>
        </w:rPr>
        <w:t>Designing and conducting mixed methods research</w:t>
      </w:r>
      <w:r w:rsidRPr="002A276A">
        <w:t xml:space="preserve"> (3rd ed.). SAGE.</w:t>
      </w:r>
    </w:p>
    <w:p w14:paraId="1A07205B" w14:textId="77777777" w:rsidR="002A276A" w:rsidRPr="002A276A" w:rsidRDefault="002A276A" w:rsidP="002A276A">
      <w:pPr>
        <w:pStyle w:val="NormalWeb"/>
        <w:jc w:val="both"/>
      </w:pPr>
      <w:r w:rsidRPr="002A276A">
        <w:t xml:space="preserve">Creswell, J. W., &amp; Poth, C. N. (2018). </w:t>
      </w:r>
      <w:r w:rsidRPr="002A276A">
        <w:rPr>
          <w:rStyle w:val="Emphasis"/>
        </w:rPr>
        <w:t>Qualitative inquiry and research design</w:t>
      </w:r>
      <w:r w:rsidRPr="002A276A">
        <w:t xml:space="preserve"> (4th ed.). SAGE.</w:t>
      </w:r>
    </w:p>
    <w:p w14:paraId="1E710213" w14:textId="77777777" w:rsidR="002A276A" w:rsidRPr="002A276A" w:rsidRDefault="002A276A" w:rsidP="002A276A">
      <w:pPr>
        <w:pStyle w:val="NormalWeb"/>
        <w:jc w:val="both"/>
      </w:pPr>
      <w:r w:rsidRPr="002A276A">
        <w:t xml:space="preserve">Croese, S., &amp; Wood, A. (2024). </w:t>
      </w:r>
      <w:r w:rsidRPr="002A276A">
        <w:rPr>
          <w:i/>
          <w:iCs/>
        </w:rPr>
        <w:t>African urban studies: Contributions and challenges</w:t>
      </w:r>
      <w:r w:rsidRPr="002A276A">
        <w:t xml:space="preserve">. </w:t>
      </w:r>
      <w:r w:rsidRPr="002A276A">
        <w:rPr>
          <w:rStyle w:val="Emphasis"/>
          <w:i w:val="0"/>
          <w:iCs w:val="0"/>
        </w:rPr>
        <w:t>Urban Studies</w:t>
      </w:r>
      <w:r w:rsidRPr="002A276A">
        <w:t xml:space="preserve">. </w:t>
      </w:r>
      <w:hyperlink r:id="rId10" w:tgtFrame="_new" w:history="1">
        <w:r w:rsidRPr="002A276A">
          <w:rPr>
            <w:rStyle w:val="Hyperlink"/>
          </w:rPr>
          <w:t>https://doi.org/10.1177/00420980241239184</w:t>
        </w:r>
      </w:hyperlink>
      <w:r w:rsidRPr="002A276A">
        <w:t xml:space="preserve"> </w:t>
      </w:r>
    </w:p>
    <w:p w14:paraId="70696386"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De Soto, H. (1989). </w:t>
      </w:r>
      <w:r w:rsidRPr="002A276A">
        <w:rPr>
          <w:rFonts w:ascii="Times New Roman" w:eastAsia="Times New Roman" w:hAnsi="Times New Roman" w:cs="Times New Roman"/>
          <w:i/>
          <w:iCs/>
          <w:kern w:val="0"/>
          <w:sz w:val="24"/>
          <w:szCs w:val="24"/>
          <w14:ligatures w14:val="none"/>
        </w:rPr>
        <w:t>The other path: The invisible revolution in the Third World</w:t>
      </w:r>
      <w:r w:rsidRPr="002A276A">
        <w:rPr>
          <w:rFonts w:ascii="Times New Roman" w:eastAsia="Times New Roman" w:hAnsi="Times New Roman" w:cs="Times New Roman"/>
          <w:kern w:val="0"/>
          <w:sz w:val="24"/>
          <w:szCs w:val="24"/>
          <w14:ligatures w14:val="none"/>
        </w:rPr>
        <w:t>. Harper &amp; Row.</w:t>
      </w:r>
    </w:p>
    <w:p w14:paraId="161BF69B" w14:textId="77777777" w:rsidR="002A276A" w:rsidRPr="002A276A" w:rsidRDefault="002A276A" w:rsidP="002A276A">
      <w:pPr>
        <w:pStyle w:val="NormalWeb"/>
        <w:jc w:val="both"/>
      </w:pPr>
      <w:r w:rsidRPr="002A276A">
        <w:t xml:space="preserve">Dobson, R., Nyamweru, H., &amp; Skinner, C. (2019). </w:t>
      </w:r>
      <w:r w:rsidRPr="002A276A">
        <w:rPr>
          <w:i/>
          <w:iCs/>
        </w:rPr>
        <w:t>Informal economy monitoring study</w:t>
      </w:r>
      <w:r w:rsidRPr="002A276A">
        <w:t>. WIEGO.</w:t>
      </w:r>
    </w:p>
    <w:p w14:paraId="49D05394" w14:textId="77777777" w:rsidR="002A276A" w:rsidRPr="002A276A" w:rsidRDefault="002A276A" w:rsidP="002A276A">
      <w:pPr>
        <w:pStyle w:val="NormalWeb"/>
        <w:jc w:val="both"/>
      </w:pPr>
      <w:r w:rsidRPr="002A276A">
        <w:t xml:space="preserve">Dube, D., &amp; Chirisa, I. (2012). </w:t>
      </w:r>
      <w:r w:rsidRPr="002A276A">
        <w:rPr>
          <w:i/>
          <w:iCs/>
        </w:rPr>
        <w:t>The informal city: Assessing its scope, variants and direction in Harare, Zimbabwe.</w:t>
      </w:r>
      <w:r w:rsidRPr="002A276A">
        <w:t xml:space="preserve"> </w:t>
      </w:r>
      <w:r w:rsidRPr="002A276A">
        <w:rPr>
          <w:rStyle w:val="Emphasis"/>
          <w:i w:val="0"/>
          <w:iCs w:val="0"/>
        </w:rPr>
        <w:t>Global Advanced Research Journal of Geography and Regional Planning</w:t>
      </w:r>
      <w:r w:rsidRPr="002A276A">
        <w:rPr>
          <w:i/>
          <w:iCs/>
        </w:rPr>
        <w:t>,</w:t>
      </w:r>
      <w:r w:rsidRPr="002A276A">
        <w:t xml:space="preserve"> 1(1), 16–25.</w:t>
      </w:r>
    </w:p>
    <w:p w14:paraId="5823223E" w14:textId="77777777" w:rsidR="002A276A" w:rsidRPr="002A276A" w:rsidRDefault="002A276A" w:rsidP="002A276A">
      <w:pPr>
        <w:pStyle w:val="NormalWeb"/>
        <w:jc w:val="both"/>
      </w:pPr>
      <w:r w:rsidRPr="002A276A">
        <w:t xml:space="preserve">Fox, S., &amp; Goodfellow, T. (2021). </w:t>
      </w:r>
      <w:r w:rsidRPr="002A276A">
        <w:rPr>
          <w:rStyle w:val="Emphasis"/>
        </w:rPr>
        <w:t>Cities and development</w:t>
      </w:r>
      <w:r w:rsidRPr="002A276A">
        <w:t xml:space="preserve"> (2nd ed.). Routledge.</w:t>
      </w:r>
    </w:p>
    <w:p w14:paraId="56E57751" w14:textId="77777777" w:rsidR="002A276A" w:rsidRPr="002A276A" w:rsidRDefault="002A276A" w:rsidP="002A276A">
      <w:pPr>
        <w:pStyle w:val="NormalWeb"/>
        <w:jc w:val="both"/>
      </w:pPr>
      <w:r w:rsidRPr="002A276A">
        <w:t xml:space="preserve">Fukuyama, F. (2018). </w:t>
      </w:r>
      <w:r w:rsidRPr="002A276A">
        <w:rPr>
          <w:rStyle w:val="Emphasis"/>
        </w:rPr>
        <w:t>Identity: The demand for dignity and the politics of resentment</w:t>
      </w:r>
      <w:r w:rsidRPr="002A276A">
        <w:t>. Farrar, Straus and Giroux.</w:t>
      </w:r>
    </w:p>
    <w:p w14:paraId="3C1F539D" w14:textId="77777777" w:rsidR="002A276A" w:rsidRPr="002A276A" w:rsidRDefault="002A276A" w:rsidP="002A276A">
      <w:pPr>
        <w:pStyle w:val="NormalWeb"/>
        <w:jc w:val="both"/>
      </w:pPr>
      <w:r w:rsidRPr="002A276A">
        <w:t xml:space="preserve">Grindle, M. S. (2017). </w:t>
      </w:r>
      <w:r w:rsidRPr="002A276A">
        <w:rPr>
          <w:rStyle w:val="Emphasis"/>
        </w:rPr>
        <w:t>Politics and policy implementation in the third world</w:t>
      </w:r>
      <w:r w:rsidRPr="002A276A">
        <w:t>. Princeton University Press.</w:t>
      </w:r>
    </w:p>
    <w:p w14:paraId="18D78B2C" w14:textId="77777777" w:rsidR="002A276A" w:rsidRPr="002A276A" w:rsidRDefault="002A276A" w:rsidP="002A276A">
      <w:pPr>
        <w:pStyle w:val="NormalWeb"/>
        <w:jc w:val="both"/>
      </w:pPr>
      <w:r w:rsidRPr="002A276A">
        <w:t xml:space="preserve">Head, B. W. (2022). </w:t>
      </w:r>
      <w:r w:rsidRPr="002A276A">
        <w:rPr>
          <w:i/>
          <w:iCs/>
        </w:rPr>
        <w:t>Wicked problems in public policy.</w:t>
      </w:r>
      <w:r w:rsidRPr="002A276A">
        <w:t xml:space="preserve"> </w:t>
      </w:r>
      <w:r w:rsidRPr="002A276A">
        <w:rPr>
          <w:rStyle w:val="Emphasis"/>
          <w:i w:val="0"/>
          <w:iCs w:val="0"/>
        </w:rPr>
        <w:t>Policy Sciences</w:t>
      </w:r>
      <w:r w:rsidRPr="002A276A">
        <w:rPr>
          <w:i/>
          <w:iCs/>
        </w:rPr>
        <w:t>,</w:t>
      </w:r>
      <w:r w:rsidRPr="002A276A">
        <w:t xml:space="preserve"> 55(1), 1–20.</w:t>
      </w:r>
    </w:p>
    <w:p w14:paraId="2002E85C" w14:textId="77777777" w:rsidR="002A276A" w:rsidRPr="002A276A" w:rsidRDefault="002A276A" w:rsidP="002A276A">
      <w:pPr>
        <w:pStyle w:val="NormalWeb"/>
        <w:jc w:val="both"/>
      </w:pPr>
      <w:r w:rsidRPr="002A276A">
        <w:t xml:space="preserve">ILO. (2018). </w:t>
      </w:r>
      <w:r w:rsidRPr="002A276A">
        <w:rPr>
          <w:rStyle w:val="Emphasis"/>
        </w:rPr>
        <w:t>Women and men in the informal economy: A statistical picture (3rd ed.)</w:t>
      </w:r>
      <w:r w:rsidRPr="002A276A">
        <w:t>. International Labour Organization. (ILO).</w:t>
      </w:r>
    </w:p>
    <w:p w14:paraId="2A98CEF1"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val="en-DK" w:eastAsia="zh-CN"/>
          <w14:ligatures w14:val="none"/>
        </w:rPr>
      </w:pPr>
      <w:r w:rsidRPr="002A276A">
        <w:rPr>
          <w:rFonts w:ascii="Times New Roman" w:eastAsia="Times New Roman" w:hAnsi="Times New Roman" w:cs="Times New Roman"/>
          <w:kern w:val="0"/>
          <w:sz w:val="24"/>
          <w:szCs w:val="24"/>
          <w:lang w:val="en-DK" w:eastAsia="zh-CN"/>
          <w14:ligatures w14:val="none"/>
        </w:rPr>
        <w:t xml:space="preserve">ILO. </w:t>
      </w:r>
      <w:r w:rsidRPr="002A276A">
        <w:rPr>
          <w:rFonts w:ascii="Times New Roman" w:eastAsia="Times New Roman" w:hAnsi="Times New Roman" w:cs="Times New Roman"/>
          <w:kern w:val="0"/>
          <w:sz w:val="24"/>
          <w:szCs w:val="24"/>
          <w:lang w:val="en-DK" w:eastAsia="zh-CN"/>
          <w14:ligatures w14:val="none"/>
        </w:rPr>
        <w:t xml:space="preserve">(2023). </w:t>
      </w:r>
      <w:r w:rsidRPr="002A276A">
        <w:rPr>
          <w:rFonts w:ascii="Times New Roman" w:eastAsia="Times New Roman" w:hAnsi="Times New Roman" w:cs="Times New Roman"/>
          <w:i/>
          <w:iCs/>
          <w:kern w:val="0"/>
          <w:sz w:val="24"/>
          <w:szCs w:val="24"/>
          <w:lang w:val="en-DK" w:eastAsia="zh-CN"/>
          <w14:ligatures w14:val="none"/>
        </w:rPr>
        <w:t>Statistics on the informal economy</w:t>
      </w:r>
      <w:r w:rsidRPr="002A276A">
        <w:rPr>
          <w:rFonts w:ascii="Times New Roman" w:eastAsia="Times New Roman" w:hAnsi="Times New Roman" w:cs="Times New Roman"/>
          <w:kern w:val="0"/>
          <w:sz w:val="24"/>
          <w:szCs w:val="24"/>
          <w:lang w:val="en-DK" w:eastAsia="zh-CN"/>
          <w14:ligatures w14:val="none"/>
        </w:rPr>
        <w:t xml:space="preserve">. Geneva, Switzerland: International Labour Organization. </w:t>
      </w:r>
      <w:r w:rsidRPr="002A276A">
        <w:rPr>
          <w:rFonts w:ascii="Times New Roman" w:eastAsia="Times New Roman" w:hAnsi="Times New Roman" w:cs="Times New Roman"/>
          <w:kern w:val="0"/>
          <w:sz w:val="24"/>
          <w:szCs w:val="24"/>
          <w:lang w:val="en-DK" w:eastAsia="zh-CN"/>
          <w14:ligatures w14:val="none"/>
        </w:rPr>
        <w:t>(</w:t>
      </w:r>
      <w:r w:rsidRPr="002A276A">
        <w:rPr>
          <w:rFonts w:ascii="Times New Roman" w:eastAsia="Times New Roman" w:hAnsi="Times New Roman" w:cs="Times New Roman"/>
          <w:kern w:val="0"/>
          <w:sz w:val="24"/>
          <w:szCs w:val="24"/>
          <w:lang w:val="en-DK" w:eastAsia="zh-CN"/>
          <w14:ligatures w14:val="none"/>
        </w:rPr>
        <w:t>ILO</w:t>
      </w:r>
      <w:r w:rsidRPr="002A276A">
        <w:rPr>
          <w:rFonts w:ascii="Times New Roman" w:eastAsia="Times New Roman" w:hAnsi="Times New Roman" w:cs="Times New Roman"/>
          <w:kern w:val="0"/>
          <w:sz w:val="24"/>
          <w:szCs w:val="24"/>
          <w:lang w:val="en-DK" w:eastAsia="zh-CN"/>
          <w14:ligatures w14:val="none"/>
        </w:rPr>
        <w:t>)</w:t>
      </w:r>
      <w:r w:rsidRPr="002A276A">
        <w:rPr>
          <w:rFonts w:ascii="Times New Roman" w:eastAsia="Times New Roman" w:hAnsi="Times New Roman" w:cs="Times New Roman"/>
          <w:kern w:val="0"/>
          <w:sz w:val="24"/>
          <w:szCs w:val="24"/>
          <w:lang w:val="en-DK" w:eastAsia="zh-CN"/>
          <w14:ligatures w14:val="none"/>
        </w:rPr>
        <w:t xml:space="preserve">. Retrieved from </w:t>
      </w:r>
      <w:hyperlink r:id="rId11" w:tgtFrame="_new" w:history="1">
        <w:r w:rsidRPr="002A276A">
          <w:rPr>
            <w:rFonts w:ascii="Times New Roman" w:eastAsia="Times New Roman" w:hAnsi="Times New Roman" w:cs="Times New Roman"/>
            <w:color w:val="0000FF"/>
            <w:kern w:val="0"/>
            <w:sz w:val="24"/>
            <w:szCs w:val="24"/>
            <w:u w:val="single"/>
            <w:lang w:val="en-DK" w:eastAsia="zh-CN"/>
            <w14:ligatures w14:val="none"/>
          </w:rPr>
          <w:t>ILO Informal Economy Statistics</w:t>
        </w:r>
      </w:hyperlink>
    </w:p>
    <w:p w14:paraId="4347ABE6"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ILO. (2023). </w:t>
      </w:r>
      <w:r w:rsidRPr="002A276A">
        <w:rPr>
          <w:rFonts w:ascii="Times New Roman" w:eastAsia="Times New Roman" w:hAnsi="Times New Roman" w:cs="Times New Roman"/>
          <w:i/>
          <w:iCs/>
          <w:kern w:val="0"/>
          <w:sz w:val="24"/>
          <w:szCs w:val="24"/>
          <w14:ligatures w14:val="none"/>
        </w:rPr>
        <w:t>Women and men in the informal economy: A statistical update</w:t>
      </w:r>
      <w:r w:rsidRPr="002A276A">
        <w:rPr>
          <w:rFonts w:ascii="Times New Roman" w:eastAsia="Times New Roman" w:hAnsi="Times New Roman" w:cs="Times New Roman"/>
          <w:kern w:val="0"/>
          <w:sz w:val="24"/>
          <w:szCs w:val="24"/>
          <w14:ligatures w14:val="none"/>
        </w:rPr>
        <w:t xml:space="preserve">. Geneva: International Labour Organization (ILO). </w:t>
      </w:r>
    </w:p>
    <w:p w14:paraId="2F9A60CF" w14:textId="77777777" w:rsidR="002A276A" w:rsidRPr="002A276A" w:rsidRDefault="002A276A" w:rsidP="002A276A">
      <w:pPr>
        <w:pStyle w:val="NormalWeb"/>
        <w:jc w:val="both"/>
      </w:pPr>
      <w:r w:rsidRPr="002A276A">
        <w:t xml:space="preserve">ILO. (2023). </w:t>
      </w:r>
      <w:r w:rsidRPr="002A276A">
        <w:rPr>
          <w:rStyle w:val="Emphasis"/>
        </w:rPr>
        <w:t>World Employment and Social Outlook: Trends 2023</w:t>
      </w:r>
      <w:r w:rsidRPr="002A276A">
        <w:t xml:space="preserve">. Geneva: International Labour Organization (ILO).  </w:t>
      </w:r>
    </w:p>
    <w:p w14:paraId="5080BF43" w14:textId="77777777" w:rsidR="002A276A" w:rsidRPr="002A276A" w:rsidRDefault="002A276A" w:rsidP="002A276A">
      <w:pPr>
        <w:pStyle w:val="NormalWeb"/>
        <w:jc w:val="both"/>
      </w:pPr>
      <w:proofErr w:type="spellStart"/>
      <w:r w:rsidRPr="002A276A">
        <w:lastRenderedPageBreak/>
        <w:t>Kajiita</w:t>
      </w:r>
      <w:proofErr w:type="spellEnd"/>
      <w:r w:rsidRPr="002A276A">
        <w:t xml:space="preserve">, R. M., &amp; Kang’ethe, S. M. (2024). </w:t>
      </w:r>
      <w:r w:rsidRPr="002A276A">
        <w:rPr>
          <w:i/>
          <w:iCs/>
        </w:rPr>
        <w:t>Socio-economic dynamics inhibiting inclusive urban economic development.</w:t>
      </w:r>
      <w:r w:rsidRPr="002A276A">
        <w:t xml:space="preserve"> </w:t>
      </w:r>
      <w:r w:rsidRPr="002A276A">
        <w:rPr>
          <w:rStyle w:val="Emphasis"/>
          <w:i w:val="0"/>
          <w:iCs w:val="0"/>
        </w:rPr>
        <w:t>Sustainability,</w:t>
      </w:r>
      <w:r w:rsidRPr="002A276A">
        <w:rPr>
          <w:rStyle w:val="Emphasis"/>
        </w:rPr>
        <w:t xml:space="preserve"> 16</w:t>
      </w:r>
      <w:r w:rsidRPr="002A276A">
        <w:t xml:space="preserve">(7), 2803. https://doi.org/10.3390/su16072803 </w:t>
      </w:r>
    </w:p>
    <w:p w14:paraId="763653EA" w14:textId="77777777" w:rsidR="002A276A" w:rsidRPr="002A276A" w:rsidRDefault="002A276A" w:rsidP="002A276A">
      <w:pPr>
        <w:pStyle w:val="NormalWeb"/>
        <w:jc w:val="both"/>
      </w:pPr>
      <w:r w:rsidRPr="002A276A">
        <w:t xml:space="preserve">Kamana, A. A., Radoine, H., &amp; Nyasulu, C. (2024). </w:t>
      </w:r>
      <w:r w:rsidRPr="002A276A">
        <w:rPr>
          <w:i/>
          <w:iCs/>
        </w:rPr>
        <w:t>Urban challenges and strategies in African cities: A systematic literature review.</w:t>
      </w:r>
      <w:r w:rsidRPr="002A276A">
        <w:t xml:space="preserve"> </w:t>
      </w:r>
      <w:r w:rsidRPr="002A276A">
        <w:rPr>
          <w:rStyle w:val="Emphasis"/>
          <w:i w:val="0"/>
          <w:iCs w:val="0"/>
        </w:rPr>
        <w:t>City and Environment Interactions,</w:t>
      </w:r>
      <w:r w:rsidRPr="002A276A">
        <w:rPr>
          <w:rStyle w:val="Emphasis"/>
        </w:rPr>
        <w:t xml:space="preserve"> 21</w:t>
      </w:r>
      <w:r w:rsidRPr="002A276A">
        <w:t xml:space="preserve">, 100132. </w:t>
      </w:r>
      <w:hyperlink r:id="rId12" w:tgtFrame="_new" w:history="1">
        <w:r w:rsidRPr="002A276A">
          <w:rPr>
            <w:rStyle w:val="Hyperlink"/>
          </w:rPr>
          <w:t>https://doi.org/10.1016/j.cacint.2023.100132</w:t>
        </w:r>
      </w:hyperlink>
      <w:r w:rsidRPr="002A276A">
        <w:t xml:space="preserve"> </w:t>
      </w:r>
    </w:p>
    <w:p w14:paraId="1D3E2B66" w14:textId="77777777" w:rsidR="002A276A" w:rsidRPr="002A276A" w:rsidRDefault="002A276A" w:rsidP="002A276A">
      <w:pPr>
        <w:pStyle w:val="NormalWeb"/>
        <w:jc w:val="both"/>
      </w:pPr>
      <w:r w:rsidRPr="002A276A">
        <w:t xml:space="preserve">Kamete, A. Y. (2017). </w:t>
      </w:r>
      <w:r w:rsidRPr="002A276A">
        <w:rPr>
          <w:i/>
          <w:iCs/>
        </w:rPr>
        <w:t>Governing enclaves of informality: Unscrambling the logics of the camp in urban Zimbabwe.</w:t>
      </w:r>
      <w:r w:rsidRPr="002A276A">
        <w:t xml:space="preserve"> </w:t>
      </w:r>
      <w:r w:rsidRPr="002A276A">
        <w:rPr>
          <w:rStyle w:val="Emphasis"/>
          <w:i w:val="0"/>
          <w:iCs w:val="0"/>
        </w:rPr>
        <w:t>Geoforum</w:t>
      </w:r>
      <w:r w:rsidRPr="002A276A">
        <w:rPr>
          <w:rStyle w:val="Emphasis"/>
        </w:rPr>
        <w:t>, 81</w:t>
      </w:r>
      <w:r w:rsidRPr="002A276A">
        <w:t>, 137–145.</w:t>
      </w:r>
    </w:p>
    <w:p w14:paraId="7513B767" w14:textId="77777777" w:rsidR="002A276A" w:rsidRPr="002A276A" w:rsidRDefault="002A276A" w:rsidP="002A276A">
      <w:pPr>
        <w:pStyle w:val="NormalWeb"/>
        <w:jc w:val="both"/>
      </w:pPr>
      <w:r w:rsidRPr="002A276A">
        <w:t xml:space="preserve">Kamete, A. Y. (2018). </w:t>
      </w:r>
      <w:r w:rsidRPr="002A276A">
        <w:rPr>
          <w:rStyle w:val="Emphasis"/>
        </w:rPr>
        <w:t>Governing enclaves of informality: Unpacking the logics of dispossession in urban Zimbabwe</w:t>
      </w:r>
      <w:r w:rsidRPr="002A276A">
        <w:t>. Urban Studies, 55(10), 2135–2151.</w:t>
      </w:r>
    </w:p>
    <w:p w14:paraId="106FD1F9" w14:textId="77777777" w:rsidR="002A276A" w:rsidRPr="002A276A" w:rsidRDefault="002A276A" w:rsidP="002A276A">
      <w:pPr>
        <w:pStyle w:val="NormalWeb"/>
        <w:jc w:val="both"/>
      </w:pPr>
      <w:r w:rsidRPr="002A276A">
        <w:t xml:space="preserve">Kamete, A. Y. (2018). </w:t>
      </w:r>
      <w:r w:rsidRPr="002A276A">
        <w:rPr>
          <w:i/>
          <w:iCs/>
        </w:rPr>
        <w:t>Governing enclaves of informality: Unscrambling the logic of the camp in urban Zimbabwe.</w:t>
      </w:r>
      <w:r w:rsidRPr="002A276A">
        <w:t xml:space="preserve"> </w:t>
      </w:r>
      <w:r w:rsidRPr="002A276A">
        <w:rPr>
          <w:rStyle w:val="Emphasis"/>
          <w:i w:val="0"/>
          <w:iCs w:val="0"/>
        </w:rPr>
        <w:t>Geoforum</w:t>
      </w:r>
      <w:r w:rsidRPr="002A276A">
        <w:rPr>
          <w:i/>
          <w:iCs/>
        </w:rPr>
        <w:t>,</w:t>
      </w:r>
      <w:r w:rsidRPr="002A276A">
        <w:t xml:space="preserve"> 91, 53–62.</w:t>
      </w:r>
    </w:p>
    <w:p w14:paraId="2CD6F222" w14:textId="77777777" w:rsidR="002A276A" w:rsidRPr="002A276A" w:rsidRDefault="002A276A" w:rsidP="002A276A">
      <w:pPr>
        <w:pStyle w:val="NormalWeb"/>
        <w:jc w:val="both"/>
      </w:pPr>
      <w:r w:rsidRPr="002A276A">
        <w:t xml:space="preserve">Kamete, A. Y. (2020). </w:t>
      </w:r>
      <w:r w:rsidRPr="002A276A">
        <w:rPr>
          <w:i/>
          <w:iCs/>
        </w:rPr>
        <w:t>Neither friend nor enemy: Planning, ambivalence and the illegitimate city in Zimbabwe.</w:t>
      </w:r>
      <w:r w:rsidRPr="002A276A">
        <w:t xml:space="preserve"> </w:t>
      </w:r>
      <w:r w:rsidRPr="002A276A">
        <w:rPr>
          <w:rStyle w:val="Emphasis"/>
          <w:i w:val="0"/>
          <w:iCs w:val="0"/>
        </w:rPr>
        <w:t>Urban Studies,</w:t>
      </w:r>
      <w:r w:rsidRPr="002A276A">
        <w:rPr>
          <w:rStyle w:val="Emphasis"/>
        </w:rPr>
        <w:t xml:space="preserve"> 57</w:t>
      </w:r>
      <w:r w:rsidRPr="002A276A">
        <w:t>(5), 927–943. https://doi.org/10.1177/0042098019832677</w:t>
      </w:r>
    </w:p>
    <w:p w14:paraId="4D13D06D"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Lefebvre, H. (1968). </w:t>
      </w:r>
      <w:r w:rsidRPr="002A276A">
        <w:rPr>
          <w:rFonts w:ascii="Times New Roman" w:eastAsia="Times New Roman" w:hAnsi="Times New Roman" w:cs="Times New Roman"/>
          <w:i/>
          <w:iCs/>
          <w:kern w:val="0"/>
          <w:sz w:val="24"/>
          <w:szCs w:val="24"/>
          <w14:ligatures w14:val="none"/>
        </w:rPr>
        <w:t>Le droit à la ville</w:t>
      </w:r>
      <w:r w:rsidRPr="002A276A">
        <w:rPr>
          <w:rFonts w:ascii="Times New Roman" w:eastAsia="Times New Roman" w:hAnsi="Times New Roman" w:cs="Times New Roman"/>
          <w:kern w:val="0"/>
          <w:sz w:val="24"/>
          <w:szCs w:val="24"/>
          <w14:ligatures w14:val="none"/>
        </w:rPr>
        <w:t>. Anthropos.</w:t>
      </w:r>
    </w:p>
    <w:p w14:paraId="0C2FC9C8" w14:textId="77777777" w:rsidR="002A276A" w:rsidRPr="002A276A" w:rsidRDefault="002A276A" w:rsidP="002A276A">
      <w:pPr>
        <w:pStyle w:val="NormalWeb"/>
        <w:jc w:val="both"/>
      </w:pPr>
      <w:r w:rsidRPr="002A276A">
        <w:t xml:space="preserve">Magidi, M. (2024). </w:t>
      </w:r>
      <w:r w:rsidRPr="002A276A">
        <w:rPr>
          <w:i/>
          <w:iCs/>
        </w:rPr>
        <w:t>The transformation of Zimbabwe’s informal economy: From petty trade to vibrant sector.</w:t>
      </w:r>
      <w:r w:rsidRPr="002A276A">
        <w:t xml:space="preserve"> </w:t>
      </w:r>
      <w:r w:rsidRPr="002A276A">
        <w:rPr>
          <w:rStyle w:val="Emphasis"/>
          <w:i w:val="0"/>
          <w:iCs w:val="0"/>
        </w:rPr>
        <w:t>Journal of International Business Studies,</w:t>
      </w:r>
      <w:r w:rsidRPr="002A276A">
        <w:rPr>
          <w:rStyle w:val="Emphasis"/>
        </w:rPr>
        <w:t xml:space="preserve"> 60</w:t>
      </w:r>
      <w:r w:rsidRPr="002A276A">
        <w:t>(8). https://doi.org/10.1177/00219096241275388</w:t>
      </w:r>
    </w:p>
    <w:p w14:paraId="205CAB84" w14:textId="77777777" w:rsidR="002A276A" w:rsidRPr="002A276A" w:rsidRDefault="002A276A" w:rsidP="002A276A">
      <w:pPr>
        <w:pStyle w:val="NormalWeb"/>
        <w:jc w:val="both"/>
      </w:pPr>
      <w:r w:rsidRPr="002A276A">
        <w:t xml:space="preserve">Masimba, G. (2025). </w:t>
      </w:r>
      <w:r w:rsidRPr="002A276A">
        <w:rPr>
          <w:i/>
          <w:iCs/>
        </w:rPr>
        <w:t>Mapping pathways for urban reforms: A critical reflection on the Urban Informality Forum in Harare, Zimbabwe.</w:t>
      </w:r>
      <w:r w:rsidRPr="002A276A">
        <w:t xml:space="preserve"> </w:t>
      </w:r>
      <w:r w:rsidRPr="002A276A">
        <w:rPr>
          <w:rStyle w:val="Emphasis"/>
          <w:i w:val="0"/>
          <w:iCs w:val="0"/>
        </w:rPr>
        <w:t>Environment and Urbanization</w:t>
      </w:r>
      <w:r w:rsidRPr="002A276A">
        <w:rPr>
          <w:i/>
          <w:iCs/>
        </w:rPr>
        <w:t>,</w:t>
      </w:r>
      <w:r w:rsidRPr="002A276A">
        <w:t xml:space="preserve"> 37(1). https://doi.org/10.1177/09562478251318232</w:t>
      </w:r>
    </w:p>
    <w:p w14:paraId="1E2CA0BA" w14:textId="77777777" w:rsidR="002A276A" w:rsidRPr="002A276A" w:rsidRDefault="002A276A" w:rsidP="002A276A">
      <w:pPr>
        <w:pStyle w:val="NormalWeb"/>
        <w:jc w:val="both"/>
      </w:pPr>
      <w:r w:rsidRPr="002A276A">
        <w:t xml:space="preserve">Masuku, S., Benhura, A., &amp; Gronbach, L. (2023). </w:t>
      </w:r>
      <w:r w:rsidRPr="002A276A">
        <w:rPr>
          <w:i/>
          <w:iCs/>
        </w:rPr>
        <w:t>Informality in Zimbabwe’s urban areas and resilience of indigenous solutions.</w:t>
      </w:r>
      <w:r w:rsidRPr="002A276A">
        <w:t xml:space="preserve"> </w:t>
      </w:r>
      <w:r w:rsidRPr="002A276A">
        <w:rPr>
          <w:rStyle w:val="Emphasis"/>
          <w:i w:val="0"/>
          <w:iCs w:val="0"/>
        </w:rPr>
        <w:t>Journal of Human Rights and Social Work</w:t>
      </w:r>
      <w:r w:rsidRPr="002A276A">
        <w:rPr>
          <w:rStyle w:val="Emphasis"/>
        </w:rPr>
        <w:t>, 8</w:t>
      </w:r>
      <w:r w:rsidRPr="002A276A">
        <w:t xml:space="preserve">, 230–244. </w:t>
      </w:r>
      <w:hyperlink r:id="rId13" w:tgtFrame="_new" w:history="1">
        <w:r w:rsidRPr="002A276A">
          <w:rPr>
            <w:rStyle w:val="Hyperlink"/>
          </w:rPr>
          <w:t>https://doi.org/10.1007/s41134-023-00257-0</w:t>
        </w:r>
      </w:hyperlink>
      <w:r w:rsidRPr="002A276A">
        <w:t xml:space="preserve"> </w:t>
      </w:r>
    </w:p>
    <w:p w14:paraId="311EB4C5" w14:textId="77777777" w:rsidR="002A276A" w:rsidRPr="002A276A" w:rsidRDefault="002A276A" w:rsidP="002A276A">
      <w:pPr>
        <w:pStyle w:val="NormalWeb"/>
        <w:jc w:val="both"/>
      </w:pPr>
      <w:r w:rsidRPr="002A276A">
        <w:t xml:space="preserve">Matamanda, A. R., Mafuku, S. H., &amp; Bhanye, J. I. (2022). </w:t>
      </w:r>
      <w:r w:rsidRPr="002A276A">
        <w:rPr>
          <w:i/>
          <w:iCs/>
        </w:rPr>
        <w:t>The potential of Chinhoyi Municipalityas a fast-growing secondary city in addressing urban challenges in Zimbabwe</w:t>
      </w:r>
      <w:r w:rsidRPr="002A276A">
        <w:t xml:space="preserve">. </w:t>
      </w:r>
      <w:r w:rsidRPr="002A276A">
        <w:rPr>
          <w:rStyle w:val="Emphasis"/>
          <w:i w:val="0"/>
          <w:iCs w:val="0"/>
        </w:rPr>
        <w:t>Journal of International Business Studies</w:t>
      </w:r>
      <w:r w:rsidRPr="002A276A">
        <w:rPr>
          <w:i/>
          <w:iCs/>
        </w:rPr>
        <w:t>.</w:t>
      </w:r>
      <w:r w:rsidRPr="002A276A">
        <w:t xml:space="preserve"> https://doi.org/10.1177/00219096221137660</w:t>
      </w:r>
    </w:p>
    <w:p w14:paraId="0209C210" w14:textId="77777777" w:rsidR="002A276A" w:rsidRPr="002A276A" w:rsidRDefault="002A276A" w:rsidP="002A276A">
      <w:pPr>
        <w:pStyle w:val="NormalWeb"/>
        <w:jc w:val="both"/>
      </w:pPr>
      <w:r w:rsidRPr="002A276A">
        <w:t xml:space="preserve">Meagher, K. (2018). </w:t>
      </w:r>
      <w:r w:rsidRPr="002A276A">
        <w:rPr>
          <w:i/>
          <w:iCs/>
        </w:rPr>
        <w:t>Heterogeneity and vulnerability in the urban informal economy: Reworking the problem in the current context</w:t>
      </w:r>
      <w:r w:rsidRPr="002A276A">
        <w:t xml:space="preserve">. </w:t>
      </w:r>
      <w:r w:rsidRPr="002A276A">
        <w:rPr>
          <w:rStyle w:val="Emphasis"/>
          <w:i w:val="0"/>
          <w:iCs w:val="0"/>
        </w:rPr>
        <w:t>World Development Perspectives,</w:t>
      </w:r>
      <w:r w:rsidRPr="002A276A">
        <w:rPr>
          <w:rStyle w:val="Emphasis"/>
        </w:rPr>
        <w:t xml:space="preserve"> 10–12</w:t>
      </w:r>
      <w:r w:rsidRPr="002A276A">
        <w:t>, 64–72.</w:t>
      </w:r>
    </w:p>
    <w:p w14:paraId="4B6680C8" w14:textId="77777777" w:rsidR="002A276A" w:rsidRPr="002A276A" w:rsidRDefault="002A276A" w:rsidP="002A276A">
      <w:pPr>
        <w:pStyle w:val="NormalWeb"/>
        <w:jc w:val="both"/>
      </w:pPr>
      <w:r w:rsidRPr="002A276A">
        <w:t xml:space="preserve">Meagher, K. (2021). </w:t>
      </w:r>
      <w:r w:rsidRPr="002A276A">
        <w:rPr>
          <w:rStyle w:val="Emphasis"/>
        </w:rPr>
        <w:t>Informality, power and inclusion in African cities</w:t>
      </w:r>
      <w:r w:rsidRPr="002A276A">
        <w:t>. Cambridge University Press.</w:t>
      </w:r>
    </w:p>
    <w:p w14:paraId="36674F80" w14:textId="77777777" w:rsidR="002A276A" w:rsidRPr="002A276A" w:rsidRDefault="002A276A" w:rsidP="002A276A">
      <w:pPr>
        <w:pStyle w:val="NormalWeb"/>
        <w:jc w:val="both"/>
      </w:pPr>
      <w:r w:rsidRPr="002A276A">
        <w:t xml:space="preserve">Medina, L., &amp; Schneider, F. (2019). </w:t>
      </w:r>
      <w:r w:rsidRPr="002A276A">
        <w:rPr>
          <w:rStyle w:val="Emphasis"/>
        </w:rPr>
        <w:t>Shedding light on the shadow economy: A global database and the interaction with the official one</w:t>
      </w:r>
      <w:r w:rsidRPr="002A276A">
        <w:t>. IMF Working Paper.</w:t>
      </w:r>
    </w:p>
    <w:p w14:paraId="3461BFFC" w14:textId="77777777" w:rsidR="002A276A" w:rsidRPr="002A276A" w:rsidRDefault="002A276A" w:rsidP="002A276A">
      <w:pPr>
        <w:pStyle w:val="NormalWeb"/>
        <w:jc w:val="both"/>
      </w:pPr>
      <w:r w:rsidRPr="002A276A">
        <w:t xml:space="preserve">Mhone, G. (2020). </w:t>
      </w:r>
      <w:r w:rsidRPr="002A276A">
        <w:rPr>
          <w:rStyle w:val="Emphasis"/>
        </w:rPr>
        <w:t>Informality and urban governance in Africa</w:t>
      </w:r>
      <w:r w:rsidRPr="002A276A">
        <w:t>. African Development Review, 32(S1), 45–57.</w:t>
      </w:r>
    </w:p>
    <w:p w14:paraId="250F0243" w14:textId="77777777" w:rsidR="002A276A" w:rsidRPr="002A276A" w:rsidRDefault="002A276A" w:rsidP="002A276A">
      <w:pPr>
        <w:pStyle w:val="NormalWeb"/>
        <w:jc w:val="both"/>
      </w:pPr>
      <w:r w:rsidRPr="002A276A">
        <w:lastRenderedPageBreak/>
        <w:t xml:space="preserve">Mhone, G. (2020). </w:t>
      </w:r>
      <w:r w:rsidRPr="002A276A">
        <w:rPr>
          <w:i/>
          <w:iCs/>
        </w:rPr>
        <w:t>Informality and urban governance in Zimbabwe: Policy dilemmas and prospects</w:t>
      </w:r>
      <w:r w:rsidRPr="002A276A">
        <w:t xml:space="preserve">. </w:t>
      </w:r>
      <w:r w:rsidRPr="002A276A">
        <w:rPr>
          <w:rStyle w:val="Emphasis"/>
          <w:i w:val="0"/>
          <w:iCs w:val="0"/>
        </w:rPr>
        <w:t>Journal of Southern African Studies</w:t>
      </w:r>
      <w:r w:rsidRPr="002A276A">
        <w:rPr>
          <w:i/>
          <w:iCs/>
        </w:rPr>
        <w:t>,</w:t>
      </w:r>
      <w:r w:rsidRPr="002A276A">
        <w:t xml:space="preserve"> 46(4), 789–804.</w:t>
      </w:r>
    </w:p>
    <w:p w14:paraId="4BD68467"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A276A">
        <w:rPr>
          <w:rFonts w:ascii="Times New Roman" w:eastAsia="Times New Roman" w:hAnsi="Times New Roman" w:cs="Times New Roman"/>
          <w:kern w:val="0"/>
          <w:sz w:val="24"/>
          <w:szCs w:val="24"/>
          <w:lang w:eastAsia="zh-CN"/>
          <w14:ligatures w14:val="none"/>
        </w:rPr>
        <w:t xml:space="preserve">Miraftab, F. (2018). </w:t>
      </w:r>
      <w:r w:rsidRPr="002A276A">
        <w:rPr>
          <w:rFonts w:ascii="Times New Roman" w:eastAsia="Times New Roman" w:hAnsi="Times New Roman" w:cs="Times New Roman"/>
          <w:i/>
          <w:iCs/>
          <w:kern w:val="0"/>
          <w:sz w:val="24"/>
          <w:szCs w:val="24"/>
          <w:lang w:eastAsia="zh-CN"/>
          <w14:ligatures w14:val="none"/>
        </w:rPr>
        <w:t>Insurgent planning: Situating radical planning in the Global South.</w:t>
      </w:r>
      <w:r w:rsidRPr="002A276A">
        <w:rPr>
          <w:rFonts w:ascii="Times New Roman" w:eastAsia="Times New Roman" w:hAnsi="Times New Roman" w:cs="Times New Roman"/>
          <w:kern w:val="0"/>
          <w:sz w:val="24"/>
          <w:szCs w:val="24"/>
          <w:lang w:eastAsia="zh-CN"/>
          <w14:ligatures w14:val="none"/>
        </w:rPr>
        <w:t xml:space="preserve"> Planning Theory, 17(1), 32–50.</w:t>
      </w:r>
    </w:p>
    <w:p w14:paraId="7FA248DE"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A276A">
        <w:rPr>
          <w:rFonts w:ascii="Times New Roman" w:eastAsia="Times New Roman" w:hAnsi="Times New Roman" w:cs="Times New Roman"/>
          <w:kern w:val="0"/>
          <w:sz w:val="24"/>
          <w:szCs w:val="24"/>
          <w:lang w:eastAsia="zh-CN"/>
          <w14:ligatures w14:val="none"/>
        </w:rPr>
        <w:t xml:space="preserve">Mitlin, D. (2020). </w:t>
      </w:r>
      <w:r w:rsidRPr="002A276A">
        <w:rPr>
          <w:rFonts w:ascii="Times New Roman" w:eastAsia="Times New Roman" w:hAnsi="Times New Roman" w:cs="Times New Roman"/>
          <w:i/>
          <w:iCs/>
          <w:kern w:val="0"/>
          <w:sz w:val="24"/>
          <w:szCs w:val="24"/>
          <w:lang w:eastAsia="zh-CN"/>
          <w14:ligatures w14:val="none"/>
        </w:rPr>
        <w:t>Beyond contention: Urban social movements and their multiple approaches to secure transformation.</w:t>
      </w:r>
      <w:r w:rsidRPr="002A276A">
        <w:rPr>
          <w:rFonts w:ascii="Times New Roman" w:eastAsia="Times New Roman" w:hAnsi="Times New Roman" w:cs="Times New Roman"/>
          <w:kern w:val="0"/>
          <w:sz w:val="24"/>
          <w:szCs w:val="24"/>
          <w:lang w:eastAsia="zh-CN"/>
          <w14:ligatures w14:val="none"/>
        </w:rPr>
        <w:t xml:space="preserve"> Environment and Urbanization, 32(2), 557–574.</w:t>
      </w:r>
    </w:p>
    <w:p w14:paraId="0FD26A9B" w14:textId="77777777" w:rsidR="002A276A" w:rsidRPr="002A276A" w:rsidRDefault="002A276A" w:rsidP="002A276A">
      <w:pPr>
        <w:pStyle w:val="NormalWeb"/>
        <w:jc w:val="both"/>
      </w:pPr>
      <w:r w:rsidRPr="002A276A">
        <w:t xml:space="preserve">Mitlin, D., &amp; Satterthwaite, D. (2022). </w:t>
      </w:r>
      <w:r w:rsidRPr="002A276A">
        <w:rPr>
          <w:i/>
          <w:iCs/>
        </w:rPr>
        <w:t>Urban informal economies and inclusive governance: Lessons for secondary cities.</w:t>
      </w:r>
      <w:r w:rsidRPr="002A276A">
        <w:t xml:space="preserve"> </w:t>
      </w:r>
      <w:r w:rsidRPr="002A276A">
        <w:rPr>
          <w:rStyle w:val="Emphasis"/>
          <w:i w:val="0"/>
          <w:iCs w:val="0"/>
        </w:rPr>
        <w:t>Environment and Urbanization</w:t>
      </w:r>
      <w:r w:rsidRPr="002A276A">
        <w:t>, 34(2), 345–362.</w:t>
      </w:r>
    </w:p>
    <w:p w14:paraId="16507CD3" w14:textId="77777777" w:rsidR="002A276A" w:rsidRPr="002A276A" w:rsidRDefault="002A276A" w:rsidP="002A276A">
      <w:pPr>
        <w:pStyle w:val="NormalWeb"/>
        <w:jc w:val="both"/>
      </w:pPr>
      <w:proofErr w:type="spellStart"/>
      <w:r w:rsidRPr="002A276A">
        <w:t>MoFED</w:t>
      </w:r>
      <w:proofErr w:type="spellEnd"/>
      <w:r w:rsidRPr="002A276A">
        <w:t xml:space="preserve">. (2021). </w:t>
      </w:r>
      <w:r w:rsidRPr="002A276A">
        <w:rPr>
          <w:rStyle w:val="Emphasis"/>
        </w:rPr>
        <w:t>National Development Strategy 1 (2021–2025)</w:t>
      </w:r>
      <w:r w:rsidRPr="002A276A">
        <w:t>. Zimbabwe Ministry of Finance and Economic Development. Government of Zimbabwe.</w:t>
      </w:r>
    </w:p>
    <w:p w14:paraId="28D16D31" w14:textId="77777777" w:rsidR="002A276A" w:rsidRPr="002A276A" w:rsidRDefault="002A276A" w:rsidP="002A276A">
      <w:pPr>
        <w:spacing w:after="4" w:line="247" w:lineRule="auto"/>
        <w:ind w:right="2"/>
        <w:jc w:val="both"/>
        <w:rPr>
          <w:rFonts w:ascii="Times New Roman" w:hAnsi="Times New Roman" w:cs="Times New Roman"/>
          <w:sz w:val="24"/>
          <w:szCs w:val="24"/>
        </w:rPr>
      </w:pPr>
      <w:r w:rsidRPr="002A276A">
        <w:rPr>
          <w:rFonts w:ascii="Times New Roman" w:hAnsi="Times New Roman" w:cs="Times New Roman"/>
          <w:sz w:val="24"/>
          <w:szCs w:val="24"/>
        </w:rPr>
        <w:t xml:space="preserve">Munyoro, G. and Nyamushamba, G. (2016). </w:t>
      </w:r>
      <w:r w:rsidRPr="002A276A">
        <w:rPr>
          <w:rFonts w:ascii="Times New Roman" w:hAnsi="Times New Roman" w:cs="Times New Roman"/>
          <w:i/>
          <w:iCs/>
          <w:sz w:val="24"/>
          <w:szCs w:val="24"/>
        </w:rPr>
        <w:t>The Impact of Illegal Settlement on Economic Development: A Case Study of Chirundu Border Town, Mash West, Zimbabwe</w:t>
      </w:r>
      <w:r w:rsidRPr="002A276A">
        <w:rPr>
          <w:rFonts w:ascii="Times New Roman" w:hAnsi="Times New Roman" w:cs="Times New Roman"/>
          <w:sz w:val="24"/>
          <w:szCs w:val="24"/>
        </w:rPr>
        <w:t>: Journal of Economics; Researchjournali.com</w:t>
      </w:r>
      <w:r w:rsidRPr="002A276A">
        <w:rPr>
          <w:rFonts w:ascii="Times New Roman" w:hAnsi="Times New Roman" w:cs="Times New Roman"/>
          <w:b/>
          <w:sz w:val="24"/>
          <w:szCs w:val="24"/>
        </w:rPr>
        <w:t xml:space="preserve">: </w:t>
      </w:r>
      <w:r w:rsidRPr="002A276A">
        <w:rPr>
          <w:rFonts w:ascii="Times New Roman" w:hAnsi="Times New Roman" w:cs="Times New Roman"/>
          <w:sz w:val="24"/>
          <w:szCs w:val="24"/>
        </w:rPr>
        <w:t xml:space="preserve">ISSN: 2347-8233 Vol. 4, No. 4 April, 2016 </w:t>
      </w:r>
    </w:p>
    <w:p w14:paraId="0556AFAB" w14:textId="77777777" w:rsidR="002A276A" w:rsidRPr="002A276A" w:rsidRDefault="002A276A" w:rsidP="002A276A">
      <w:pPr>
        <w:spacing w:after="229" w:line="247" w:lineRule="auto"/>
        <w:ind w:right="2"/>
        <w:jc w:val="both"/>
        <w:rPr>
          <w:rFonts w:ascii="Times New Roman" w:hAnsi="Times New Roman" w:cs="Times New Roman"/>
          <w:sz w:val="24"/>
          <w:szCs w:val="24"/>
        </w:rPr>
      </w:pPr>
      <w:r w:rsidRPr="002A276A">
        <w:rPr>
          <w:rFonts w:ascii="Times New Roman" w:hAnsi="Times New Roman" w:cs="Times New Roman"/>
          <w:sz w:val="24"/>
          <w:szCs w:val="24"/>
        </w:rPr>
        <w:t xml:space="preserve">Munyoro, G., and </w:t>
      </w:r>
      <w:proofErr w:type="spellStart"/>
      <w:r w:rsidRPr="002A276A">
        <w:rPr>
          <w:rFonts w:ascii="Times New Roman" w:hAnsi="Times New Roman" w:cs="Times New Roman"/>
          <w:sz w:val="24"/>
          <w:szCs w:val="24"/>
        </w:rPr>
        <w:t>Gwisai</w:t>
      </w:r>
      <w:proofErr w:type="spellEnd"/>
      <w:r w:rsidRPr="002A276A">
        <w:rPr>
          <w:rFonts w:ascii="Times New Roman" w:hAnsi="Times New Roman" w:cs="Times New Roman"/>
          <w:sz w:val="24"/>
          <w:szCs w:val="24"/>
        </w:rPr>
        <w:t>, D. (2020</w:t>
      </w:r>
      <w:r w:rsidRPr="002A276A">
        <w:rPr>
          <w:rFonts w:ascii="Times New Roman" w:hAnsi="Times New Roman" w:cs="Times New Roman"/>
          <w:b/>
          <w:sz w:val="24"/>
          <w:szCs w:val="24"/>
        </w:rPr>
        <w:t xml:space="preserve">). </w:t>
      </w:r>
      <w:r w:rsidRPr="002A276A">
        <w:rPr>
          <w:rFonts w:ascii="Times New Roman" w:hAnsi="Times New Roman" w:cs="Times New Roman"/>
          <w:i/>
          <w:iCs/>
          <w:sz w:val="24"/>
          <w:szCs w:val="24"/>
        </w:rPr>
        <w:t>Examining the Impact of Street Vending on the Retailing Sector in Zimbabwe: A Case Study of Harare Metropolitan:</w:t>
      </w:r>
      <w:r w:rsidRPr="002A276A">
        <w:rPr>
          <w:rFonts w:ascii="Times New Roman" w:hAnsi="Times New Roman" w:cs="Times New Roman"/>
          <w:sz w:val="24"/>
          <w:szCs w:val="24"/>
        </w:rPr>
        <w:t xml:space="preserve"> Journal of Business &amp; Management Research: ISSN: 2026-6804: Vol (10) Issue (4): pp 58 – 74, June- 2020 </w:t>
      </w:r>
    </w:p>
    <w:p w14:paraId="699DF5CE" w14:textId="77777777" w:rsidR="002A276A" w:rsidRPr="002A276A" w:rsidRDefault="002A276A" w:rsidP="002A276A">
      <w:pPr>
        <w:pStyle w:val="NormalWeb"/>
        <w:jc w:val="both"/>
      </w:pPr>
      <w:r w:rsidRPr="002A276A">
        <w:t xml:space="preserve">Nature Cities. (2025). </w:t>
      </w:r>
      <w:r w:rsidRPr="002A276A">
        <w:rPr>
          <w:i/>
          <w:iCs/>
        </w:rPr>
        <w:t xml:space="preserve">Understanding and improving informal settlements in African cities. </w:t>
      </w:r>
      <w:r w:rsidRPr="002A276A">
        <w:rPr>
          <w:rStyle w:val="Emphasis"/>
          <w:i w:val="0"/>
          <w:iCs w:val="0"/>
        </w:rPr>
        <w:t>Nature</w:t>
      </w:r>
      <w:r w:rsidRPr="002A276A">
        <w:rPr>
          <w:rStyle w:val="Emphasis"/>
        </w:rPr>
        <w:t xml:space="preserve"> </w:t>
      </w:r>
      <w:r w:rsidRPr="002A276A">
        <w:rPr>
          <w:rStyle w:val="Emphasis"/>
          <w:i w:val="0"/>
          <w:iCs w:val="0"/>
        </w:rPr>
        <w:t>Cities</w:t>
      </w:r>
      <w:r w:rsidRPr="002A276A">
        <w:rPr>
          <w:i/>
          <w:iCs/>
        </w:rPr>
        <w:t>,</w:t>
      </w:r>
      <w:r w:rsidRPr="002A276A">
        <w:t xml:space="preserve"> 2, 1001–1002. https://doi.org/10.1038/s44284-025-00356-1</w:t>
      </w:r>
    </w:p>
    <w:p w14:paraId="6BEBD300" w14:textId="77777777" w:rsidR="002A276A" w:rsidRPr="002A276A" w:rsidRDefault="002A276A" w:rsidP="002A276A">
      <w:pPr>
        <w:pStyle w:val="NormalWeb"/>
        <w:jc w:val="both"/>
      </w:pPr>
      <w:r w:rsidRPr="002A276A">
        <w:t xml:space="preserve">OECD. (2020). </w:t>
      </w:r>
      <w:r w:rsidRPr="002A276A">
        <w:rPr>
          <w:rStyle w:val="Emphasis"/>
        </w:rPr>
        <w:t>A territorial approach to the Sustainable Development Goals</w:t>
      </w:r>
      <w:r w:rsidRPr="002A276A">
        <w:t>. OECD Publishing.</w:t>
      </w:r>
    </w:p>
    <w:p w14:paraId="510A87CE" w14:textId="77777777" w:rsidR="002A276A" w:rsidRPr="002A276A" w:rsidRDefault="002A276A" w:rsidP="002A276A">
      <w:pPr>
        <w:pStyle w:val="NormalWeb"/>
        <w:jc w:val="both"/>
      </w:pPr>
      <w:r w:rsidRPr="002A276A">
        <w:t xml:space="preserve">OECD. (2021). </w:t>
      </w:r>
      <w:r w:rsidRPr="002A276A">
        <w:rPr>
          <w:rStyle w:val="Emphasis"/>
        </w:rPr>
        <w:t>The informal economy and development</w:t>
      </w:r>
      <w:r w:rsidRPr="002A276A">
        <w:t>. OECD Publishing.</w:t>
      </w:r>
    </w:p>
    <w:p w14:paraId="1C08DDC1" w14:textId="77777777" w:rsidR="002A276A" w:rsidRPr="002A276A" w:rsidRDefault="002A276A" w:rsidP="002A276A">
      <w:pPr>
        <w:pStyle w:val="NormalWeb"/>
        <w:jc w:val="both"/>
      </w:pPr>
      <w:r w:rsidRPr="002A276A">
        <w:t xml:space="preserve">OECD. (2021). </w:t>
      </w:r>
      <w:r w:rsidRPr="002A276A">
        <w:rPr>
          <w:rStyle w:val="Emphasis"/>
        </w:rPr>
        <w:t>The informal economy and development</w:t>
      </w:r>
      <w:r w:rsidRPr="002A276A">
        <w:t>. Paris: OECD Publishing.</w:t>
      </w:r>
    </w:p>
    <w:p w14:paraId="1B2FE884" w14:textId="77777777" w:rsidR="002A276A" w:rsidRPr="002A276A" w:rsidRDefault="002A276A" w:rsidP="002A276A">
      <w:pPr>
        <w:pStyle w:val="NormalWeb"/>
        <w:jc w:val="both"/>
      </w:pPr>
      <w:r w:rsidRPr="002A276A">
        <w:t xml:space="preserve">OECD. (2022). </w:t>
      </w:r>
      <w:r w:rsidRPr="002A276A">
        <w:rPr>
          <w:rStyle w:val="Emphasis"/>
        </w:rPr>
        <w:t>Intermediary cities and climate change</w:t>
      </w:r>
      <w:r w:rsidRPr="002A276A">
        <w:t>. Organisation for Economic Co-operation and Development (OECD). OECD Publishing.</w:t>
      </w:r>
    </w:p>
    <w:p w14:paraId="17F7DAA9"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Ostrom, E. (1996). </w:t>
      </w:r>
      <w:r w:rsidRPr="002A276A">
        <w:rPr>
          <w:rFonts w:ascii="Times New Roman" w:eastAsia="Times New Roman" w:hAnsi="Times New Roman" w:cs="Times New Roman"/>
          <w:i/>
          <w:iCs/>
          <w:kern w:val="0"/>
          <w:sz w:val="24"/>
          <w:szCs w:val="24"/>
          <w14:ligatures w14:val="none"/>
        </w:rPr>
        <w:t xml:space="preserve">Crossing the great divide: Coproduction, synergy, and development. </w:t>
      </w:r>
      <w:r w:rsidRPr="002A276A">
        <w:rPr>
          <w:rFonts w:ascii="Times New Roman" w:eastAsia="Times New Roman" w:hAnsi="Times New Roman" w:cs="Times New Roman"/>
          <w:kern w:val="0"/>
          <w:sz w:val="24"/>
          <w:szCs w:val="24"/>
          <w14:ligatures w14:val="none"/>
        </w:rPr>
        <w:t>World Development, 24(6), 1073–1087. https://doi.org/10.1016/0305-750X(96)00023-X</w:t>
      </w:r>
    </w:p>
    <w:p w14:paraId="1A8C3C8B" w14:textId="77777777" w:rsidR="002A276A" w:rsidRPr="002A276A" w:rsidRDefault="002A276A" w:rsidP="002A276A">
      <w:pPr>
        <w:pStyle w:val="NormalWeb"/>
        <w:jc w:val="both"/>
      </w:pPr>
      <w:r w:rsidRPr="002A276A">
        <w:t xml:space="preserve">Parnell, S. (2021). </w:t>
      </w:r>
      <w:r w:rsidRPr="002A276A">
        <w:rPr>
          <w:i/>
          <w:iCs/>
        </w:rPr>
        <w:t>Defining a global urban development agenda</w:t>
      </w:r>
      <w:r w:rsidRPr="002A276A">
        <w:t xml:space="preserve">. </w:t>
      </w:r>
      <w:r w:rsidRPr="002A276A">
        <w:rPr>
          <w:rStyle w:val="Emphasis"/>
          <w:i w:val="0"/>
          <w:iCs w:val="0"/>
        </w:rPr>
        <w:t>World Development</w:t>
      </w:r>
      <w:r w:rsidRPr="002A276A">
        <w:t>, 78, 529–540.</w:t>
      </w:r>
    </w:p>
    <w:p w14:paraId="10FB6E5A" w14:textId="77777777" w:rsidR="002A276A" w:rsidRPr="002A276A" w:rsidRDefault="002A276A" w:rsidP="002A276A">
      <w:pPr>
        <w:pStyle w:val="NormalWeb"/>
        <w:jc w:val="both"/>
      </w:pPr>
      <w:r w:rsidRPr="002A276A">
        <w:t xml:space="preserve">Parnell, S., &amp; Pieterse, E. (2016). </w:t>
      </w:r>
      <w:r w:rsidRPr="002A276A">
        <w:rPr>
          <w:rStyle w:val="Emphasis"/>
        </w:rPr>
        <w:t>Africa’s urban revolution</w:t>
      </w:r>
      <w:r w:rsidRPr="002A276A">
        <w:t>. Zed Books.</w:t>
      </w:r>
    </w:p>
    <w:p w14:paraId="18C51B9C"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A276A">
        <w:rPr>
          <w:rFonts w:ascii="Times New Roman" w:eastAsia="Times New Roman" w:hAnsi="Times New Roman" w:cs="Times New Roman"/>
          <w:kern w:val="0"/>
          <w:sz w:val="24"/>
          <w:szCs w:val="24"/>
          <w:lang w:eastAsia="zh-CN"/>
          <w14:ligatures w14:val="none"/>
        </w:rPr>
        <w:t xml:space="preserve">Parnell, S., &amp; Pieterse, E. (2021). </w:t>
      </w:r>
      <w:r w:rsidRPr="002A276A">
        <w:rPr>
          <w:rFonts w:ascii="Times New Roman" w:eastAsia="Times New Roman" w:hAnsi="Times New Roman" w:cs="Times New Roman"/>
          <w:i/>
          <w:iCs/>
          <w:kern w:val="0"/>
          <w:sz w:val="24"/>
          <w:szCs w:val="24"/>
          <w:lang w:eastAsia="zh-CN"/>
          <w14:ligatures w14:val="none"/>
        </w:rPr>
        <w:t>African urbanisation: Harnessing urbanization for growth and development</w:t>
      </w:r>
      <w:r w:rsidRPr="002A276A">
        <w:rPr>
          <w:rFonts w:ascii="Times New Roman" w:eastAsia="Times New Roman" w:hAnsi="Times New Roman" w:cs="Times New Roman"/>
          <w:kern w:val="0"/>
          <w:sz w:val="24"/>
          <w:szCs w:val="24"/>
          <w:lang w:eastAsia="zh-CN"/>
          <w14:ligatures w14:val="none"/>
        </w:rPr>
        <w:t>. Palgrave Macmillan.</w:t>
      </w:r>
    </w:p>
    <w:p w14:paraId="5CC0E9E4"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A276A">
        <w:rPr>
          <w:rFonts w:ascii="Times New Roman" w:eastAsia="Times New Roman" w:hAnsi="Times New Roman" w:cs="Times New Roman"/>
          <w:kern w:val="0"/>
          <w:sz w:val="24"/>
          <w:szCs w:val="24"/>
          <w:lang w:eastAsia="zh-CN"/>
          <w14:ligatures w14:val="none"/>
        </w:rPr>
        <w:t xml:space="preserve">Parnell, S., &amp; Pieterse, E. (2021). </w:t>
      </w:r>
      <w:r w:rsidRPr="002A276A">
        <w:rPr>
          <w:rFonts w:ascii="Times New Roman" w:eastAsia="Times New Roman" w:hAnsi="Times New Roman" w:cs="Times New Roman"/>
          <w:i/>
          <w:iCs/>
          <w:kern w:val="0"/>
          <w:sz w:val="24"/>
          <w:szCs w:val="24"/>
          <w:lang w:eastAsia="zh-CN"/>
          <w14:ligatures w14:val="none"/>
        </w:rPr>
        <w:t>African urbanisation: Harnessing urbanization for growth and development</w:t>
      </w:r>
      <w:r w:rsidRPr="002A276A">
        <w:rPr>
          <w:rFonts w:ascii="Times New Roman" w:eastAsia="Times New Roman" w:hAnsi="Times New Roman" w:cs="Times New Roman"/>
          <w:kern w:val="0"/>
          <w:sz w:val="24"/>
          <w:szCs w:val="24"/>
          <w:lang w:eastAsia="zh-CN"/>
          <w14:ligatures w14:val="none"/>
        </w:rPr>
        <w:t>. Palgrave Macmillan.</w:t>
      </w:r>
    </w:p>
    <w:p w14:paraId="6FD9AED6" w14:textId="77777777" w:rsidR="002A276A" w:rsidRPr="002A276A" w:rsidRDefault="002A276A" w:rsidP="002A276A">
      <w:pPr>
        <w:pStyle w:val="NormalWeb"/>
        <w:jc w:val="both"/>
      </w:pPr>
      <w:r w:rsidRPr="002A276A">
        <w:lastRenderedPageBreak/>
        <w:t xml:space="preserve">Pelling, M. (2021). </w:t>
      </w:r>
      <w:r w:rsidRPr="002A276A">
        <w:rPr>
          <w:rStyle w:val="Emphasis"/>
        </w:rPr>
        <w:t>Adaptation to climate change: From resilience to transformation</w:t>
      </w:r>
      <w:r w:rsidRPr="002A276A">
        <w:t>. Routledge.</w:t>
      </w:r>
    </w:p>
    <w:p w14:paraId="0D152DDF" w14:textId="77777777" w:rsidR="002A276A" w:rsidRPr="002A276A" w:rsidRDefault="002A276A" w:rsidP="002A276A">
      <w:pPr>
        <w:pStyle w:val="NormalWeb"/>
        <w:jc w:val="both"/>
      </w:pPr>
      <w:r w:rsidRPr="002A276A">
        <w:t xml:space="preserve">Pieterse, E. (2018). </w:t>
      </w:r>
      <w:r w:rsidRPr="002A276A">
        <w:rPr>
          <w:rStyle w:val="Emphasis"/>
        </w:rPr>
        <w:t>New urban worlds: Inhabiting dissonant times</w:t>
      </w:r>
      <w:r w:rsidRPr="002A276A">
        <w:t>. Polity Press.</w:t>
      </w:r>
    </w:p>
    <w:p w14:paraId="008D8DAC" w14:textId="77777777" w:rsidR="002A276A" w:rsidRPr="002A276A" w:rsidRDefault="002A276A" w:rsidP="002A276A">
      <w:pPr>
        <w:pStyle w:val="NormalWeb"/>
        <w:jc w:val="both"/>
      </w:pPr>
      <w:r w:rsidRPr="002A276A">
        <w:t xml:space="preserve">Pieterse, E. (2020). </w:t>
      </w:r>
      <w:r w:rsidRPr="002A276A">
        <w:rPr>
          <w:rStyle w:val="Emphasis"/>
        </w:rPr>
        <w:t>New urban worlds: Inhabiting dissonant times</w:t>
      </w:r>
      <w:r w:rsidRPr="002A276A">
        <w:t>. Polity Press.</w:t>
      </w:r>
    </w:p>
    <w:p w14:paraId="5180A1CD" w14:textId="77777777" w:rsidR="002A276A" w:rsidRPr="002A276A" w:rsidRDefault="002A276A" w:rsidP="002A276A">
      <w:pPr>
        <w:pStyle w:val="NormalWeb"/>
        <w:jc w:val="both"/>
      </w:pPr>
      <w:r w:rsidRPr="002A276A">
        <w:t xml:space="preserve">Raftopoulos, B., &amp; Mlambo, A. (2022). </w:t>
      </w:r>
      <w:r w:rsidRPr="002A276A">
        <w:rPr>
          <w:rStyle w:val="Emphasis"/>
        </w:rPr>
        <w:t>Becoming Zimbabwe: A history from the pre-colonial period to 2008</w:t>
      </w:r>
      <w:r w:rsidRPr="002A276A">
        <w:t>. Weaver Press.</w:t>
      </w:r>
    </w:p>
    <w:p w14:paraId="4ECC16A8" w14:textId="77777777" w:rsidR="002A276A" w:rsidRPr="002A276A" w:rsidRDefault="002A276A" w:rsidP="002A276A">
      <w:pPr>
        <w:pStyle w:val="NormalWeb"/>
        <w:jc w:val="both"/>
      </w:pPr>
      <w:r w:rsidRPr="002A276A">
        <w:t xml:space="preserve">Roberts, B. (2019). </w:t>
      </w:r>
      <w:r w:rsidRPr="002A276A">
        <w:rPr>
          <w:rStyle w:val="Emphasis"/>
        </w:rPr>
        <w:t>Secondary cities and urbanization in developing countries</w:t>
      </w:r>
      <w:r w:rsidRPr="002A276A">
        <w:t>. Cities Alliance.</w:t>
      </w:r>
    </w:p>
    <w:p w14:paraId="068E0087" w14:textId="77777777" w:rsidR="002A276A" w:rsidRPr="002A276A" w:rsidRDefault="002A276A" w:rsidP="002A276A">
      <w:pPr>
        <w:pStyle w:val="NormalWeb"/>
        <w:jc w:val="both"/>
      </w:pPr>
      <w:r w:rsidRPr="002A276A">
        <w:t xml:space="preserve">Rodríguez-Pose, A., &amp; Griffiths, J. (2021). </w:t>
      </w:r>
      <w:r w:rsidRPr="002A276A">
        <w:rPr>
          <w:i/>
          <w:iCs/>
        </w:rPr>
        <w:t xml:space="preserve">Developing intermediate cities. </w:t>
      </w:r>
      <w:r w:rsidRPr="002A276A">
        <w:rPr>
          <w:rStyle w:val="Emphasis"/>
          <w:i w:val="0"/>
          <w:iCs w:val="0"/>
        </w:rPr>
        <w:t>Regional Science Policy &amp; Practice</w:t>
      </w:r>
      <w:r w:rsidRPr="002A276A">
        <w:rPr>
          <w:rStyle w:val="Emphasis"/>
        </w:rPr>
        <w:t>, 13</w:t>
      </w:r>
      <w:r w:rsidRPr="002A276A">
        <w:t xml:space="preserve">(1), 1–16. </w:t>
      </w:r>
      <w:hyperlink r:id="rId14" w:tgtFrame="_new" w:history="1">
        <w:r w:rsidRPr="002A276A">
          <w:rPr>
            <w:rStyle w:val="Hyperlink"/>
          </w:rPr>
          <w:t>https://doi.org/10.1111/rsp3.12421</w:t>
        </w:r>
      </w:hyperlink>
    </w:p>
    <w:p w14:paraId="10B6F830"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Roy, A. (2005). </w:t>
      </w:r>
      <w:r w:rsidRPr="002A276A">
        <w:rPr>
          <w:rFonts w:ascii="Times New Roman" w:eastAsia="Times New Roman" w:hAnsi="Times New Roman" w:cs="Times New Roman"/>
          <w:i/>
          <w:iCs/>
          <w:kern w:val="0"/>
          <w:sz w:val="24"/>
          <w:szCs w:val="24"/>
          <w14:ligatures w14:val="none"/>
        </w:rPr>
        <w:t>Urban informality: Toward an epistemology of planning</w:t>
      </w:r>
      <w:r w:rsidRPr="002A276A">
        <w:rPr>
          <w:rFonts w:ascii="Times New Roman" w:eastAsia="Times New Roman" w:hAnsi="Times New Roman" w:cs="Times New Roman"/>
          <w:kern w:val="0"/>
          <w:sz w:val="24"/>
          <w:szCs w:val="24"/>
          <w14:ligatures w14:val="none"/>
        </w:rPr>
        <w:t xml:space="preserve">. Journal of the American Planning Association, 71(2), 147–158. </w:t>
      </w:r>
      <w:hyperlink r:id="rId15" w:tgtFrame="_new" w:history="1">
        <w:r w:rsidRPr="002A276A">
          <w:rPr>
            <w:rFonts w:ascii="Times New Roman" w:eastAsia="Times New Roman" w:hAnsi="Times New Roman" w:cs="Times New Roman"/>
            <w:color w:val="0000FF"/>
            <w:kern w:val="0"/>
            <w:sz w:val="24"/>
            <w:szCs w:val="24"/>
            <w:u w:val="single"/>
            <w14:ligatures w14:val="none"/>
          </w:rPr>
          <w:t>https://doi.org/10.1080/01944360508976689</w:t>
        </w:r>
      </w:hyperlink>
    </w:p>
    <w:p w14:paraId="565C054E" w14:textId="77777777" w:rsidR="002A276A" w:rsidRPr="002A276A" w:rsidRDefault="002A276A" w:rsidP="002A276A">
      <w:pPr>
        <w:pStyle w:val="NormalWeb"/>
        <w:jc w:val="both"/>
      </w:pPr>
      <w:r w:rsidRPr="002A276A">
        <w:t xml:space="preserve">Roy, A. (2005). Urban informality: </w:t>
      </w:r>
      <w:r w:rsidRPr="002A276A">
        <w:rPr>
          <w:i/>
          <w:iCs/>
        </w:rPr>
        <w:t xml:space="preserve">Toward an epistemology of planning. </w:t>
      </w:r>
      <w:r w:rsidRPr="002A276A">
        <w:rPr>
          <w:rStyle w:val="Emphasis"/>
          <w:i w:val="0"/>
          <w:iCs w:val="0"/>
        </w:rPr>
        <w:t>Journal of the American Planning Association</w:t>
      </w:r>
      <w:r w:rsidRPr="002A276A">
        <w:rPr>
          <w:rStyle w:val="Emphasis"/>
        </w:rPr>
        <w:t>, 71</w:t>
      </w:r>
      <w:r w:rsidRPr="002A276A">
        <w:t>(2), 147–158.</w:t>
      </w:r>
    </w:p>
    <w:p w14:paraId="23446032" w14:textId="77777777" w:rsidR="002A276A" w:rsidRPr="002A276A" w:rsidRDefault="002A276A" w:rsidP="002A276A">
      <w:pPr>
        <w:pStyle w:val="NormalWeb"/>
        <w:jc w:val="both"/>
      </w:pPr>
      <w:r w:rsidRPr="002A276A">
        <w:t xml:space="preserve">Roy, A. (2011). </w:t>
      </w:r>
      <w:r w:rsidRPr="002A276A">
        <w:rPr>
          <w:i/>
          <w:iCs/>
        </w:rPr>
        <w:t xml:space="preserve">Slumdog cities: Rethinking subaltern urbanism. </w:t>
      </w:r>
      <w:r w:rsidRPr="002A276A">
        <w:rPr>
          <w:rStyle w:val="Emphasis"/>
          <w:i w:val="0"/>
          <w:iCs w:val="0"/>
        </w:rPr>
        <w:t>International Journal of Urban and Regional Research</w:t>
      </w:r>
      <w:r w:rsidRPr="002A276A">
        <w:t>, 35(2), 223–238.</w:t>
      </w:r>
    </w:p>
    <w:p w14:paraId="112B365C" w14:textId="77777777" w:rsidR="002A276A" w:rsidRPr="002A276A" w:rsidRDefault="002A276A" w:rsidP="002A276A">
      <w:pPr>
        <w:pStyle w:val="NormalWeb"/>
        <w:jc w:val="both"/>
      </w:pPr>
      <w:r w:rsidRPr="002A276A">
        <w:t xml:space="preserve">Satterthwaite, D., Archer, D., Colenbrander, S., Dodman, D., Hardoy, J., Mitlin, D., &amp; Patel, S. (2023). </w:t>
      </w:r>
      <w:r w:rsidRPr="002A276A">
        <w:rPr>
          <w:rStyle w:val="Emphasis"/>
        </w:rPr>
        <w:t>Building inclusive and sustainable cities in the Global South</w:t>
      </w:r>
      <w:r w:rsidRPr="002A276A">
        <w:t>. Routledge.</w:t>
      </w:r>
    </w:p>
    <w:p w14:paraId="41D112E1" w14:textId="77777777" w:rsidR="002A276A" w:rsidRPr="002A276A" w:rsidRDefault="002A276A" w:rsidP="002A276A">
      <w:pPr>
        <w:pStyle w:val="NormalWeb"/>
        <w:jc w:val="both"/>
      </w:pPr>
      <w:r w:rsidRPr="002A276A">
        <w:t xml:space="preserve">Satterthwaite, D., et al. (2020). </w:t>
      </w:r>
      <w:r w:rsidRPr="002A276A">
        <w:rPr>
          <w:i/>
          <w:iCs/>
        </w:rPr>
        <w:t>Urban informality and employment dynamics in intermediary cities.</w:t>
      </w:r>
      <w:r w:rsidRPr="002A276A">
        <w:t xml:space="preserve"> In </w:t>
      </w:r>
      <w:r w:rsidRPr="002A276A">
        <w:rPr>
          <w:rStyle w:val="Emphasis"/>
        </w:rPr>
        <w:t>Intermediary cities and climate change</w:t>
      </w:r>
      <w:r w:rsidRPr="002A276A">
        <w:t>. OECD Publishing.</w:t>
      </w:r>
    </w:p>
    <w:p w14:paraId="0CCE2911"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A276A">
        <w:rPr>
          <w:rFonts w:ascii="Times New Roman" w:eastAsia="Times New Roman" w:hAnsi="Times New Roman" w:cs="Times New Roman"/>
          <w:kern w:val="0"/>
          <w:sz w:val="24"/>
          <w:szCs w:val="24"/>
          <w:lang w:eastAsia="zh-CN"/>
          <w14:ligatures w14:val="none"/>
        </w:rPr>
        <w:t xml:space="preserve">Schindler, S., Angotti, T., &amp; Visser, G. (2020). </w:t>
      </w:r>
      <w:r w:rsidRPr="002A276A">
        <w:rPr>
          <w:rFonts w:ascii="Times New Roman" w:eastAsia="Times New Roman" w:hAnsi="Times New Roman" w:cs="Times New Roman"/>
          <w:i/>
          <w:iCs/>
          <w:kern w:val="0"/>
          <w:sz w:val="24"/>
          <w:szCs w:val="24"/>
          <w:lang w:eastAsia="zh-CN"/>
          <w14:ligatures w14:val="none"/>
        </w:rPr>
        <w:t>Urban informality and the future of cities</w:t>
      </w:r>
      <w:r w:rsidRPr="002A276A">
        <w:rPr>
          <w:rFonts w:ascii="Times New Roman" w:eastAsia="Times New Roman" w:hAnsi="Times New Roman" w:cs="Times New Roman"/>
          <w:kern w:val="0"/>
          <w:sz w:val="24"/>
          <w:szCs w:val="24"/>
          <w:lang w:eastAsia="zh-CN"/>
          <w14:ligatures w14:val="none"/>
        </w:rPr>
        <w:t>. Routledge.</w:t>
      </w:r>
    </w:p>
    <w:p w14:paraId="5C0A3728" w14:textId="77777777" w:rsidR="002A276A" w:rsidRPr="002A276A" w:rsidRDefault="002A276A" w:rsidP="002A276A">
      <w:pPr>
        <w:pStyle w:val="NormalWeb"/>
        <w:jc w:val="both"/>
      </w:pPr>
      <w:r w:rsidRPr="002A276A">
        <w:t xml:space="preserve">Seto, K. C., et al. (2021). </w:t>
      </w:r>
      <w:r w:rsidRPr="002A276A">
        <w:rPr>
          <w:i/>
          <w:iCs/>
        </w:rPr>
        <w:t xml:space="preserve">Urban land use change and sustainability. </w:t>
      </w:r>
      <w:r w:rsidRPr="002A276A">
        <w:rPr>
          <w:rStyle w:val="Emphasis"/>
          <w:i w:val="0"/>
          <w:iCs w:val="0"/>
        </w:rPr>
        <w:t>Annual Review of Environment and Resources</w:t>
      </w:r>
      <w:r w:rsidRPr="002A276A">
        <w:t>, 46, 1–28.</w:t>
      </w:r>
    </w:p>
    <w:p w14:paraId="0EF2EC66" w14:textId="77777777" w:rsidR="002A276A" w:rsidRPr="002A276A" w:rsidRDefault="002A276A" w:rsidP="002A276A">
      <w:pPr>
        <w:pStyle w:val="NormalWeb"/>
        <w:jc w:val="both"/>
      </w:pPr>
      <w:r w:rsidRPr="002A276A">
        <w:t xml:space="preserve">Simone, A. (2019). </w:t>
      </w:r>
      <w:r w:rsidRPr="002A276A">
        <w:rPr>
          <w:i/>
          <w:iCs/>
        </w:rPr>
        <w:t xml:space="preserve">Improvised lives: Rhythms of endurance in an urban South. </w:t>
      </w:r>
      <w:r w:rsidRPr="002A276A">
        <w:rPr>
          <w:rStyle w:val="Emphasis"/>
          <w:i w:val="0"/>
          <w:iCs w:val="0"/>
        </w:rPr>
        <w:t>Polity Press</w:t>
      </w:r>
      <w:r w:rsidRPr="002A276A">
        <w:t>.</w:t>
      </w:r>
    </w:p>
    <w:p w14:paraId="1863C9FE" w14:textId="77777777" w:rsidR="002A276A" w:rsidRPr="002A276A" w:rsidRDefault="002A276A" w:rsidP="002A276A">
      <w:pPr>
        <w:pStyle w:val="NormalWeb"/>
        <w:jc w:val="both"/>
      </w:pPr>
      <w:r w:rsidRPr="002A276A">
        <w:t xml:space="preserve">Skinner, C. (2021). </w:t>
      </w:r>
      <w:r w:rsidRPr="002A276A">
        <w:rPr>
          <w:i/>
          <w:iCs/>
        </w:rPr>
        <w:t xml:space="preserve">Informal sector policy and urban governance. </w:t>
      </w:r>
      <w:r w:rsidRPr="002A276A">
        <w:rPr>
          <w:rStyle w:val="Emphasis"/>
          <w:i w:val="0"/>
          <w:iCs w:val="0"/>
        </w:rPr>
        <w:t>Urban Forum</w:t>
      </w:r>
      <w:r w:rsidRPr="002A276A">
        <w:rPr>
          <w:i/>
          <w:iCs/>
        </w:rPr>
        <w:t>,</w:t>
      </w:r>
      <w:r w:rsidRPr="002A276A">
        <w:t xml:space="preserve"> 32(3), 345–360.</w:t>
      </w:r>
    </w:p>
    <w:p w14:paraId="4748CCF2" w14:textId="77777777" w:rsidR="002A276A" w:rsidRPr="002A276A" w:rsidRDefault="002A276A" w:rsidP="002A276A">
      <w:pPr>
        <w:pStyle w:val="NormalWeb"/>
        <w:jc w:val="both"/>
      </w:pPr>
      <w:r w:rsidRPr="002A276A">
        <w:t>Skinner, C., &amp; Watson, V. (2020</w:t>
      </w:r>
      <w:r w:rsidRPr="002A276A">
        <w:rPr>
          <w:i/>
          <w:iCs/>
        </w:rPr>
        <w:t xml:space="preserve">). Informality and urban governance in African cities. </w:t>
      </w:r>
      <w:r w:rsidRPr="002A276A">
        <w:rPr>
          <w:rStyle w:val="Emphasis"/>
          <w:i w:val="0"/>
          <w:iCs w:val="0"/>
        </w:rPr>
        <w:t>Urban Studies</w:t>
      </w:r>
      <w:r w:rsidRPr="002A276A">
        <w:t>, 57(13), 2583–2598.</w:t>
      </w:r>
    </w:p>
    <w:p w14:paraId="4EEB382E" w14:textId="77777777" w:rsidR="002A276A" w:rsidRPr="002A276A" w:rsidRDefault="002A276A" w:rsidP="002A276A">
      <w:pPr>
        <w:pStyle w:val="NormalWeb"/>
        <w:jc w:val="both"/>
      </w:pPr>
      <w:r w:rsidRPr="002A276A">
        <w:t xml:space="preserve">Skinner, C., &amp; Watson, V. (2020). </w:t>
      </w:r>
      <w:r w:rsidRPr="002A276A">
        <w:rPr>
          <w:i/>
          <w:iCs/>
        </w:rPr>
        <w:t xml:space="preserve">Planning and the informal economy: Evidence from African cities. </w:t>
      </w:r>
      <w:r w:rsidRPr="002A276A">
        <w:rPr>
          <w:rStyle w:val="Emphasis"/>
          <w:i w:val="0"/>
          <w:iCs w:val="0"/>
        </w:rPr>
        <w:t>Urban Forum</w:t>
      </w:r>
      <w:r w:rsidRPr="002A276A">
        <w:rPr>
          <w:rStyle w:val="Emphasis"/>
        </w:rPr>
        <w:t>, 31</w:t>
      </w:r>
      <w:r w:rsidRPr="002A276A">
        <w:t>(4), 495–512.</w:t>
      </w:r>
    </w:p>
    <w:p w14:paraId="30D71581" w14:textId="77777777" w:rsidR="002A276A" w:rsidRPr="002A276A" w:rsidRDefault="002A276A" w:rsidP="002A276A">
      <w:pPr>
        <w:pStyle w:val="NormalWeb"/>
        <w:jc w:val="both"/>
      </w:pPr>
      <w:r w:rsidRPr="002A276A">
        <w:t xml:space="preserve">Skinner, C., &amp; Watson, V. (2020). </w:t>
      </w:r>
      <w:r w:rsidRPr="002A276A">
        <w:rPr>
          <w:rStyle w:val="Emphasis"/>
        </w:rPr>
        <w:t>The informal economy in African cities: Key issues and policy responses</w:t>
      </w:r>
      <w:r w:rsidRPr="002A276A">
        <w:t>. WIEGO.</w:t>
      </w:r>
    </w:p>
    <w:p w14:paraId="4660B2B4" w14:textId="77777777" w:rsidR="002A276A" w:rsidRPr="002A276A" w:rsidRDefault="002A276A" w:rsidP="002A276A">
      <w:pPr>
        <w:pStyle w:val="NormalWeb"/>
        <w:jc w:val="both"/>
      </w:pPr>
      <w:r w:rsidRPr="002A276A">
        <w:lastRenderedPageBreak/>
        <w:t xml:space="preserve">Skinner, C., &amp; Watson, V. (2020). </w:t>
      </w:r>
      <w:r w:rsidRPr="002A276A">
        <w:rPr>
          <w:i/>
          <w:iCs/>
        </w:rPr>
        <w:t xml:space="preserve">The informal economy in African cities. </w:t>
      </w:r>
      <w:r w:rsidRPr="002A276A">
        <w:rPr>
          <w:rStyle w:val="Emphasis"/>
          <w:i w:val="0"/>
          <w:iCs w:val="0"/>
        </w:rPr>
        <w:t>Urban Studies</w:t>
      </w:r>
      <w:r w:rsidRPr="002A276A">
        <w:t>, 57(13), 2685–2701.</w:t>
      </w:r>
    </w:p>
    <w:p w14:paraId="06B4901E" w14:textId="77777777" w:rsidR="002A276A" w:rsidRPr="002A276A" w:rsidRDefault="002A276A" w:rsidP="002A276A">
      <w:pPr>
        <w:pStyle w:val="NormalWeb"/>
        <w:jc w:val="both"/>
      </w:pPr>
      <w:r w:rsidRPr="002A276A">
        <w:t xml:space="preserve">Skinner, C., &amp; Watson, V. (2020). </w:t>
      </w:r>
      <w:r w:rsidRPr="002A276A">
        <w:rPr>
          <w:i/>
          <w:iCs/>
        </w:rPr>
        <w:t xml:space="preserve">The informal economy in cities: Policy responses and planning issues. </w:t>
      </w:r>
      <w:r w:rsidRPr="002A276A">
        <w:rPr>
          <w:rStyle w:val="Emphasis"/>
          <w:i w:val="0"/>
          <w:iCs w:val="0"/>
        </w:rPr>
        <w:t>Environment and Urbanization</w:t>
      </w:r>
      <w:r w:rsidRPr="002A276A">
        <w:t>, 32(1), 3–20.</w:t>
      </w:r>
    </w:p>
    <w:p w14:paraId="58097184" w14:textId="77777777" w:rsidR="002A276A" w:rsidRPr="002A276A" w:rsidRDefault="002A276A" w:rsidP="002A276A">
      <w:pPr>
        <w:pStyle w:val="NormalWeb"/>
        <w:jc w:val="both"/>
      </w:pPr>
      <w:r w:rsidRPr="002A276A">
        <w:t xml:space="preserve">Skinner, C., &amp; Watson, V. (2023). </w:t>
      </w:r>
      <w:r w:rsidRPr="002A276A">
        <w:rPr>
          <w:i/>
          <w:iCs/>
        </w:rPr>
        <w:t xml:space="preserve">Informality and urban governance in African cities: Rethinking planning paradigms. </w:t>
      </w:r>
      <w:r w:rsidRPr="002A276A">
        <w:rPr>
          <w:rStyle w:val="Emphasis"/>
          <w:i w:val="0"/>
          <w:iCs w:val="0"/>
        </w:rPr>
        <w:t>Habitat International</w:t>
      </w:r>
      <w:r w:rsidRPr="002A276A">
        <w:t>, 132, 102720.</w:t>
      </w:r>
    </w:p>
    <w:p w14:paraId="7D54ABA4"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Soja, E. W. (2010). </w:t>
      </w:r>
      <w:r w:rsidRPr="002A276A">
        <w:rPr>
          <w:rFonts w:ascii="Times New Roman" w:eastAsia="Times New Roman" w:hAnsi="Times New Roman" w:cs="Times New Roman"/>
          <w:i/>
          <w:iCs/>
          <w:kern w:val="0"/>
          <w:sz w:val="24"/>
          <w:szCs w:val="24"/>
          <w14:ligatures w14:val="none"/>
        </w:rPr>
        <w:t>Seeking spatial justice</w:t>
      </w:r>
      <w:r w:rsidRPr="002A276A">
        <w:rPr>
          <w:rFonts w:ascii="Times New Roman" w:eastAsia="Times New Roman" w:hAnsi="Times New Roman" w:cs="Times New Roman"/>
          <w:kern w:val="0"/>
          <w:sz w:val="24"/>
          <w:szCs w:val="24"/>
          <w14:ligatures w14:val="none"/>
        </w:rPr>
        <w:t>. University of Minnesota Press.</w:t>
      </w:r>
    </w:p>
    <w:p w14:paraId="3449B8DA" w14:textId="77777777" w:rsidR="002A276A" w:rsidRPr="002A276A" w:rsidRDefault="002A276A" w:rsidP="002A276A">
      <w:pPr>
        <w:pStyle w:val="NormalWeb"/>
        <w:jc w:val="both"/>
      </w:pPr>
      <w:r w:rsidRPr="002A276A">
        <w:t xml:space="preserve">Tanyanyiwa, V. I., Marais, L., &amp; du Plessis, L. (2023). </w:t>
      </w:r>
      <w:r w:rsidRPr="002A276A">
        <w:rPr>
          <w:i/>
          <w:iCs/>
        </w:rPr>
        <w:t xml:space="preserve">Informal sector counterpower in Harare, Zimbabwe. </w:t>
      </w:r>
      <w:r w:rsidRPr="002A276A">
        <w:rPr>
          <w:rStyle w:val="Emphasis"/>
          <w:i w:val="0"/>
          <w:iCs w:val="0"/>
        </w:rPr>
        <w:t>GeoJournal</w:t>
      </w:r>
      <w:r w:rsidRPr="002A276A">
        <w:rPr>
          <w:rStyle w:val="Emphasis"/>
        </w:rPr>
        <w:t>, 88</w:t>
      </w:r>
      <w:r w:rsidRPr="002A276A">
        <w:t xml:space="preserve">, 5931–5941. https://doi.org/10.1007/s10708-023-10949-9 </w:t>
      </w:r>
    </w:p>
    <w:p w14:paraId="0B4549DB" w14:textId="77777777" w:rsidR="002A276A" w:rsidRPr="002A276A" w:rsidRDefault="002A276A" w:rsidP="002A276A">
      <w:pPr>
        <w:pStyle w:val="NormalWeb"/>
        <w:jc w:val="both"/>
      </w:pPr>
      <w:proofErr w:type="spellStart"/>
      <w:r w:rsidRPr="002A276A">
        <w:t>Tashakkori</w:t>
      </w:r>
      <w:proofErr w:type="spellEnd"/>
      <w:r w:rsidRPr="002A276A">
        <w:t xml:space="preserve">, A., Johnson, R. B., &amp; Teddlie, C. (2020). </w:t>
      </w:r>
      <w:r w:rsidRPr="002A276A">
        <w:rPr>
          <w:rStyle w:val="Emphasis"/>
        </w:rPr>
        <w:t>Foundations of mixed methods research: Integrating quantitative and qualitative approaches in the social and behavioral sciences</w:t>
      </w:r>
      <w:r w:rsidRPr="002A276A">
        <w:t xml:space="preserve"> (2nd ed.). SAGE Publications.</w:t>
      </w:r>
    </w:p>
    <w:p w14:paraId="7C2F150C" w14:textId="77777777" w:rsidR="002A276A" w:rsidRPr="002A276A" w:rsidRDefault="002A276A" w:rsidP="002A276A">
      <w:pPr>
        <w:pStyle w:val="NormalWeb"/>
        <w:jc w:val="both"/>
      </w:pPr>
      <w:proofErr w:type="spellStart"/>
      <w:r w:rsidRPr="002A276A">
        <w:t>Tashakkori</w:t>
      </w:r>
      <w:proofErr w:type="spellEnd"/>
      <w:r w:rsidRPr="002A276A">
        <w:t xml:space="preserve">, A., Johnson, R. B., &amp; Teddlie, C. (2020). </w:t>
      </w:r>
      <w:r w:rsidRPr="002A276A">
        <w:rPr>
          <w:rStyle w:val="Emphasis"/>
        </w:rPr>
        <w:t>Foundations of mixed methods research</w:t>
      </w:r>
      <w:r w:rsidRPr="002A276A">
        <w:t xml:space="preserve"> (2nd ed.). SAGE.</w:t>
      </w:r>
    </w:p>
    <w:p w14:paraId="354759EE" w14:textId="77777777" w:rsidR="002A276A" w:rsidRPr="002A276A" w:rsidRDefault="002A276A" w:rsidP="002A276A">
      <w:pPr>
        <w:pStyle w:val="NormalWeb"/>
        <w:jc w:val="both"/>
        <w:rPr>
          <w:lang w:val="en-DK"/>
        </w:rPr>
      </w:pPr>
      <w:r w:rsidRPr="002A276A">
        <w:t xml:space="preserve">UCLG. (2022). </w:t>
      </w:r>
      <w:r w:rsidRPr="002A276A">
        <w:rPr>
          <w:rStyle w:val="Emphasis"/>
        </w:rPr>
        <w:t>World report on decentralization and local democracy</w:t>
      </w:r>
      <w:r w:rsidRPr="002A276A">
        <w:t>. United Cities and</w:t>
      </w:r>
      <w:r w:rsidRPr="002A276A">
        <w:rPr>
          <w:lang w:val="en-DK"/>
        </w:rPr>
        <w:t xml:space="preserve">. </w:t>
      </w:r>
    </w:p>
    <w:p w14:paraId="0D51E0F2" w14:textId="77777777" w:rsidR="002A276A" w:rsidRPr="002A276A" w:rsidRDefault="002A276A" w:rsidP="002A276A">
      <w:pPr>
        <w:pStyle w:val="NormalWeb"/>
        <w:jc w:val="both"/>
      </w:pPr>
      <w:r w:rsidRPr="002A276A">
        <w:t xml:space="preserve">UN-Habitat.  (2023). </w:t>
      </w:r>
      <w:r w:rsidRPr="002A276A">
        <w:rPr>
          <w:rStyle w:val="Emphasis"/>
        </w:rPr>
        <w:t>The state of urbanization in Africa: Informal settlements and governance challenges</w:t>
      </w:r>
      <w:r w:rsidRPr="002A276A">
        <w:t>. Nairobi: UN-Habitat. United Nations Human Settlements Programme (UN-Habitat).</w:t>
      </w:r>
    </w:p>
    <w:p w14:paraId="192F6375" w14:textId="77777777" w:rsidR="002A276A" w:rsidRPr="002A276A" w:rsidRDefault="002A276A" w:rsidP="002A276A">
      <w:pPr>
        <w:pStyle w:val="NormalWeb"/>
        <w:jc w:val="both"/>
      </w:pPr>
      <w:r w:rsidRPr="002A276A">
        <w:t xml:space="preserve">UN-Habitat. (2022). </w:t>
      </w:r>
      <w:r w:rsidRPr="002A276A">
        <w:rPr>
          <w:rStyle w:val="Emphasis"/>
        </w:rPr>
        <w:t>World cities report 2022: Envisaging the future of cities</w:t>
      </w:r>
      <w:r w:rsidRPr="002A276A">
        <w:t xml:space="preserve">. </w:t>
      </w:r>
      <w:r w:rsidRPr="002A276A">
        <w:rPr>
          <w:lang w:val="en-DK"/>
        </w:rPr>
        <w:t>Nairobi, Kenya:</w:t>
      </w:r>
      <w:r w:rsidRPr="002A276A">
        <w:rPr>
          <w:lang w:val="en-DK"/>
        </w:rPr>
        <w:t xml:space="preserve"> </w:t>
      </w:r>
      <w:r w:rsidRPr="002A276A">
        <w:t>United Nations Human Settlements Programme.</w:t>
      </w:r>
      <w:r w:rsidRPr="002A276A">
        <w:rPr>
          <w:lang w:val="en-DK"/>
        </w:rPr>
        <w:t xml:space="preserve"> </w:t>
      </w:r>
      <w:r w:rsidRPr="002A276A">
        <w:rPr>
          <w:lang w:val="en-DK"/>
        </w:rPr>
        <w:t xml:space="preserve">Retrieved from </w:t>
      </w:r>
      <w:hyperlink r:id="rId16" w:tgtFrame="_new" w:history="1">
        <w:r w:rsidRPr="002A276A">
          <w:rPr>
            <w:color w:val="0000FF"/>
            <w:u w:val="single"/>
            <w:lang w:val="en-DK"/>
          </w:rPr>
          <w:t>UN-Habitat World Cities Report 2022</w:t>
        </w:r>
      </w:hyperlink>
    </w:p>
    <w:p w14:paraId="4A07342E" w14:textId="77777777" w:rsidR="002A276A" w:rsidRPr="002A276A" w:rsidRDefault="002A276A" w:rsidP="002A276A">
      <w:pPr>
        <w:pStyle w:val="NormalWeb"/>
        <w:jc w:val="both"/>
      </w:pPr>
      <w:r w:rsidRPr="002A276A">
        <w:t xml:space="preserve">UN-Habitat. (2024). </w:t>
      </w:r>
      <w:r w:rsidRPr="002A276A">
        <w:rPr>
          <w:i/>
          <w:iCs/>
        </w:rPr>
        <w:t>Informal settlements and urban governance in developing regions: A review of literature</w:t>
      </w:r>
      <w:r w:rsidRPr="002A276A">
        <w:t xml:space="preserve"> (2019–2024). </w:t>
      </w:r>
      <w:r w:rsidRPr="002A276A">
        <w:rPr>
          <w:rStyle w:val="Emphasis"/>
          <w:i w:val="0"/>
          <w:iCs w:val="0"/>
        </w:rPr>
        <w:t>Urban Science</w:t>
      </w:r>
      <w:r w:rsidRPr="002A276A">
        <w:rPr>
          <w:rStyle w:val="Emphasis"/>
        </w:rPr>
        <w:t>, 8</w:t>
      </w:r>
      <w:r w:rsidRPr="002A276A">
        <w:t>(4), 158. https://doi.org/10.3390/urbansci8040158</w:t>
      </w:r>
    </w:p>
    <w:p w14:paraId="116996CA" w14:textId="77777777" w:rsidR="002A276A" w:rsidRPr="002A276A" w:rsidRDefault="002A276A" w:rsidP="002A276A">
      <w:pPr>
        <w:pStyle w:val="NormalWeb"/>
        <w:jc w:val="both"/>
      </w:pPr>
      <w:r w:rsidRPr="002A276A">
        <w:t xml:space="preserve">UN-Habitat. (2024). </w:t>
      </w:r>
      <w:r w:rsidRPr="002A276A">
        <w:rPr>
          <w:i/>
          <w:iCs/>
        </w:rPr>
        <w:t>Informal settlements and urban governance in developing regions: A review of literature</w:t>
      </w:r>
      <w:r w:rsidRPr="002A276A">
        <w:t xml:space="preserve"> (2019–2024). </w:t>
      </w:r>
      <w:r w:rsidRPr="002A276A">
        <w:rPr>
          <w:rStyle w:val="Emphasis"/>
          <w:i w:val="0"/>
          <w:iCs w:val="0"/>
        </w:rPr>
        <w:t>Urban Science</w:t>
      </w:r>
      <w:r w:rsidRPr="002A276A">
        <w:rPr>
          <w:rStyle w:val="Emphasis"/>
        </w:rPr>
        <w:t>, 8</w:t>
      </w:r>
      <w:r w:rsidRPr="002A276A">
        <w:t>(4), 158. https://doi.org/10.3390/urbansci8040158</w:t>
      </w:r>
    </w:p>
    <w:p w14:paraId="1ACA8134" w14:textId="77777777" w:rsidR="002A276A" w:rsidRPr="002A276A" w:rsidRDefault="002A276A" w:rsidP="002A276A">
      <w:pPr>
        <w:pStyle w:val="NormalWeb"/>
        <w:jc w:val="both"/>
      </w:pPr>
      <w:r w:rsidRPr="002A276A">
        <w:t>Watson, V. (2009).</w:t>
      </w:r>
      <w:r w:rsidRPr="002A276A">
        <w:rPr>
          <w:i/>
          <w:iCs/>
        </w:rPr>
        <w:t xml:space="preserve"> ‘The planned city sweeps the poor away…’. </w:t>
      </w:r>
      <w:r w:rsidRPr="002A276A">
        <w:rPr>
          <w:rStyle w:val="Emphasis"/>
          <w:i w:val="0"/>
          <w:iCs w:val="0"/>
        </w:rPr>
        <w:t>Progress in Planning</w:t>
      </w:r>
      <w:r w:rsidRPr="002A276A">
        <w:rPr>
          <w:i/>
          <w:iCs/>
        </w:rPr>
        <w:t xml:space="preserve">, </w:t>
      </w:r>
      <w:r w:rsidRPr="002A276A">
        <w:t>72(3), 151–193.</w:t>
      </w:r>
    </w:p>
    <w:p w14:paraId="65CB55BF"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Watson, V. (2014). </w:t>
      </w:r>
      <w:r w:rsidRPr="002A276A">
        <w:rPr>
          <w:rFonts w:ascii="Times New Roman" w:eastAsia="Times New Roman" w:hAnsi="Times New Roman" w:cs="Times New Roman"/>
          <w:i/>
          <w:iCs/>
          <w:kern w:val="0"/>
          <w:sz w:val="24"/>
          <w:szCs w:val="24"/>
          <w14:ligatures w14:val="none"/>
        </w:rPr>
        <w:t xml:space="preserve">African urban fantasies: Dreams or nightmares? </w:t>
      </w:r>
      <w:r w:rsidRPr="002A276A">
        <w:rPr>
          <w:rFonts w:ascii="Times New Roman" w:eastAsia="Times New Roman" w:hAnsi="Times New Roman" w:cs="Times New Roman"/>
          <w:kern w:val="0"/>
          <w:sz w:val="24"/>
          <w:szCs w:val="24"/>
          <w14:ligatures w14:val="none"/>
        </w:rPr>
        <w:t>Environment and Urbanization,</w:t>
      </w:r>
      <w:r w:rsidRPr="002A276A">
        <w:rPr>
          <w:rFonts w:ascii="Times New Roman" w:eastAsia="Times New Roman" w:hAnsi="Times New Roman" w:cs="Times New Roman"/>
          <w:i/>
          <w:iCs/>
          <w:kern w:val="0"/>
          <w:sz w:val="24"/>
          <w:szCs w:val="24"/>
          <w14:ligatures w14:val="none"/>
        </w:rPr>
        <w:t xml:space="preserve"> </w:t>
      </w:r>
      <w:r w:rsidRPr="002A276A">
        <w:rPr>
          <w:rFonts w:ascii="Times New Roman" w:eastAsia="Times New Roman" w:hAnsi="Times New Roman" w:cs="Times New Roman"/>
          <w:kern w:val="0"/>
          <w:sz w:val="24"/>
          <w:szCs w:val="24"/>
          <w14:ligatures w14:val="none"/>
        </w:rPr>
        <w:t>26(1), 215–231. https://doi.org/10.1177/0956247813513705</w:t>
      </w:r>
    </w:p>
    <w:p w14:paraId="44A56085"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A276A">
        <w:rPr>
          <w:rFonts w:ascii="Times New Roman" w:eastAsia="Times New Roman" w:hAnsi="Times New Roman" w:cs="Times New Roman"/>
          <w:kern w:val="0"/>
          <w:sz w:val="24"/>
          <w:szCs w:val="24"/>
          <w:lang w:eastAsia="zh-CN"/>
          <w14:ligatures w14:val="none"/>
        </w:rPr>
        <w:t xml:space="preserve">Watson, V. (2014). </w:t>
      </w:r>
      <w:r w:rsidRPr="002A276A">
        <w:rPr>
          <w:rFonts w:ascii="Times New Roman" w:eastAsia="Times New Roman" w:hAnsi="Times New Roman" w:cs="Times New Roman"/>
          <w:i/>
          <w:iCs/>
          <w:kern w:val="0"/>
          <w:sz w:val="24"/>
          <w:szCs w:val="24"/>
          <w:lang w:eastAsia="zh-CN"/>
          <w14:ligatures w14:val="none"/>
        </w:rPr>
        <w:t>Co-production and collaboration in planning – The difference.</w:t>
      </w:r>
      <w:r w:rsidRPr="002A276A">
        <w:rPr>
          <w:rFonts w:ascii="Times New Roman" w:eastAsia="Times New Roman" w:hAnsi="Times New Roman" w:cs="Times New Roman"/>
          <w:kern w:val="0"/>
          <w:sz w:val="24"/>
          <w:szCs w:val="24"/>
          <w:lang w:eastAsia="zh-CN"/>
          <w14:ligatures w14:val="none"/>
        </w:rPr>
        <w:t xml:space="preserve"> Planning Theory &amp; Practice, 15(1), 62–76.</w:t>
      </w:r>
    </w:p>
    <w:p w14:paraId="1774A9E2"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val="en-DK" w:eastAsia="zh-CN"/>
          <w14:ligatures w14:val="none"/>
        </w:rPr>
      </w:pPr>
      <w:r w:rsidRPr="002A276A">
        <w:rPr>
          <w:rFonts w:ascii="Times New Roman" w:eastAsia="Times New Roman" w:hAnsi="Times New Roman" w:cs="Times New Roman"/>
          <w:kern w:val="0"/>
          <w:sz w:val="24"/>
          <w:szCs w:val="24"/>
          <w:lang w:val="en-DK" w:eastAsia="zh-CN"/>
          <w14:ligatures w14:val="none"/>
        </w:rPr>
        <w:t xml:space="preserve">Watson, V. (2020). </w:t>
      </w:r>
      <w:r w:rsidRPr="002A276A">
        <w:rPr>
          <w:rFonts w:ascii="Times New Roman" w:eastAsia="Times New Roman" w:hAnsi="Times New Roman" w:cs="Times New Roman"/>
          <w:i/>
          <w:iCs/>
          <w:kern w:val="0"/>
          <w:sz w:val="24"/>
          <w:szCs w:val="24"/>
          <w:lang w:val="en-DK" w:eastAsia="zh-CN"/>
          <w14:ligatures w14:val="none"/>
        </w:rPr>
        <w:t xml:space="preserve">Planning and the ‘stubborn realities’ of global south-east cities. </w:t>
      </w:r>
      <w:r w:rsidRPr="002A276A">
        <w:rPr>
          <w:rFonts w:ascii="Times New Roman" w:eastAsia="Times New Roman" w:hAnsi="Times New Roman" w:cs="Times New Roman"/>
          <w:kern w:val="0"/>
          <w:sz w:val="24"/>
          <w:szCs w:val="24"/>
          <w:lang w:val="en-DK" w:eastAsia="zh-CN"/>
          <w14:ligatures w14:val="none"/>
        </w:rPr>
        <w:t>Planning Theory,</w:t>
      </w:r>
      <w:r w:rsidRPr="002A276A">
        <w:rPr>
          <w:rFonts w:ascii="Times New Roman" w:eastAsia="Times New Roman" w:hAnsi="Times New Roman" w:cs="Times New Roman"/>
          <w:i/>
          <w:iCs/>
          <w:kern w:val="0"/>
          <w:sz w:val="24"/>
          <w:szCs w:val="24"/>
          <w:lang w:val="en-DK" w:eastAsia="zh-CN"/>
          <w14:ligatures w14:val="none"/>
        </w:rPr>
        <w:t xml:space="preserve"> 19</w:t>
      </w:r>
      <w:r w:rsidRPr="002A276A">
        <w:rPr>
          <w:rFonts w:ascii="Times New Roman" w:eastAsia="Times New Roman" w:hAnsi="Times New Roman" w:cs="Times New Roman"/>
          <w:kern w:val="0"/>
          <w:sz w:val="24"/>
          <w:szCs w:val="24"/>
          <w:lang w:val="en-DK" w:eastAsia="zh-CN"/>
          <w14:ligatures w14:val="none"/>
        </w:rPr>
        <w:t>(1), 25–45.</w:t>
      </w:r>
    </w:p>
    <w:p w14:paraId="71A5F53A" w14:textId="77777777" w:rsidR="002A276A" w:rsidRPr="002A276A" w:rsidRDefault="002A276A" w:rsidP="002A276A">
      <w:pPr>
        <w:pStyle w:val="NormalWeb"/>
        <w:jc w:val="both"/>
      </w:pPr>
      <w:r w:rsidRPr="002A276A">
        <w:lastRenderedPageBreak/>
        <w:t xml:space="preserve">Watson, V. (2020). </w:t>
      </w:r>
      <w:r w:rsidRPr="002A276A">
        <w:rPr>
          <w:i/>
          <w:iCs/>
        </w:rPr>
        <w:t xml:space="preserve">The planned city sweeps the poor away…: Urban planning and 21st century urbanisation. </w:t>
      </w:r>
      <w:r w:rsidRPr="002A276A">
        <w:rPr>
          <w:rStyle w:val="Emphasis"/>
          <w:i w:val="0"/>
          <w:iCs w:val="0"/>
        </w:rPr>
        <w:t>Progress in Planning</w:t>
      </w:r>
      <w:r w:rsidRPr="002A276A">
        <w:rPr>
          <w:rStyle w:val="Emphasis"/>
        </w:rPr>
        <w:t>, 134</w:t>
      </w:r>
      <w:r w:rsidRPr="002A276A">
        <w:t>, 100462. https://doi.org/10.1016/j.progress.2018.01.002</w:t>
      </w:r>
    </w:p>
    <w:p w14:paraId="06BD9FC5" w14:textId="77777777" w:rsidR="002A276A" w:rsidRPr="002A276A" w:rsidRDefault="002A276A" w:rsidP="002A276A">
      <w:pPr>
        <w:pStyle w:val="NormalWeb"/>
        <w:jc w:val="both"/>
      </w:pPr>
      <w:r w:rsidRPr="002A276A">
        <w:t xml:space="preserve">Watson, V. (2021). </w:t>
      </w:r>
      <w:r w:rsidRPr="002A276A">
        <w:rPr>
          <w:i/>
          <w:iCs/>
        </w:rPr>
        <w:t xml:space="preserve">African urban fantasies: Dreams or nightmares? </w:t>
      </w:r>
      <w:r w:rsidRPr="002A276A">
        <w:rPr>
          <w:rStyle w:val="Emphasis"/>
          <w:i w:val="0"/>
          <w:iCs w:val="0"/>
        </w:rPr>
        <w:t>Environment and Urbanization</w:t>
      </w:r>
      <w:r w:rsidRPr="002A276A">
        <w:rPr>
          <w:i/>
          <w:iCs/>
        </w:rPr>
        <w:t>,</w:t>
      </w:r>
      <w:r w:rsidRPr="002A276A">
        <w:t xml:space="preserve"> 33(1), 45–62.</w:t>
      </w:r>
    </w:p>
    <w:p w14:paraId="33A6F90C"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A276A">
        <w:rPr>
          <w:rFonts w:ascii="Times New Roman" w:eastAsia="Times New Roman" w:hAnsi="Times New Roman" w:cs="Times New Roman"/>
          <w:kern w:val="0"/>
          <w:sz w:val="24"/>
          <w:szCs w:val="24"/>
          <w:lang w:eastAsia="zh-CN"/>
          <w14:ligatures w14:val="none"/>
        </w:rPr>
        <w:t xml:space="preserve">Watson, V. (2021). </w:t>
      </w:r>
      <w:r w:rsidRPr="002A276A">
        <w:rPr>
          <w:rFonts w:ascii="Times New Roman" w:eastAsia="Times New Roman" w:hAnsi="Times New Roman" w:cs="Times New Roman"/>
          <w:i/>
          <w:iCs/>
          <w:kern w:val="0"/>
          <w:sz w:val="24"/>
          <w:szCs w:val="24"/>
          <w:lang w:eastAsia="zh-CN"/>
          <w14:ligatures w14:val="none"/>
        </w:rPr>
        <w:t xml:space="preserve">Planning and the ‘stubborn realities’ of global south-east cities. </w:t>
      </w:r>
      <w:r w:rsidRPr="002A276A">
        <w:rPr>
          <w:rFonts w:ascii="Times New Roman" w:eastAsia="Times New Roman" w:hAnsi="Times New Roman" w:cs="Times New Roman"/>
          <w:kern w:val="0"/>
          <w:sz w:val="24"/>
          <w:szCs w:val="24"/>
          <w:lang w:eastAsia="zh-CN"/>
          <w14:ligatures w14:val="none"/>
        </w:rPr>
        <w:t>Town Planning Review</w:t>
      </w:r>
      <w:r w:rsidRPr="002A276A">
        <w:rPr>
          <w:rFonts w:ascii="Times New Roman" w:eastAsia="Times New Roman" w:hAnsi="Times New Roman" w:cs="Times New Roman"/>
          <w:i/>
          <w:iCs/>
          <w:kern w:val="0"/>
          <w:sz w:val="24"/>
          <w:szCs w:val="24"/>
          <w:lang w:eastAsia="zh-CN"/>
          <w14:ligatures w14:val="none"/>
        </w:rPr>
        <w:t>,</w:t>
      </w:r>
      <w:r w:rsidRPr="002A276A">
        <w:rPr>
          <w:rFonts w:ascii="Times New Roman" w:eastAsia="Times New Roman" w:hAnsi="Times New Roman" w:cs="Times New Roman"/>
          <w:kern w:val="0"/>
          <w:sz w:val="24"/>
          <w:szCs w:val="24"/>
          <w:lang w:eastAsia="zh-CN"/>
          <w14:ligatures w14:val="none"/>
        </w:rPr>
        <w:t xml:space="preserve"> 92(2), 123–140.</w:t>
      </w:r>
    </w:p>
    <w:p w14:paraId="27AD08D8" w14:textId="77777777" w:rsidR="002A276A" w:rsidRPr="002A276A" w:rsidRDefault="002A276A" w:rsidP="002A276A">
      <w:pPr>
        <w:pStyle w:val="NormalWeb"/>
        <w:jc w:val="both"/>
      </w:pPr>
      <w:r w:rsidRPr="002A276A">
        <w:t xml:space="preserve">Watson, V. (2021). </w:t>
      </w:r>
      <w:r w:rsidRPr="002A276A">
        <w:rPr>
          <w:rStyle w:val="Emphasis"/>
        </w:rPr>
        <w:t>Urban planning in the global south: Conflicting rationalities in contested urban space</w:t>
      </w:r>
      <w:r w:rsidRPr="002A276A">
        <w:t xml:space="preserve"> (2nd ed.). Routledge.</w:t>
      </w:r>
    </w:p>
    <w:p w14:paraId="343904E3" w14:textId="77777777" w:rsidR="002A276A" w:rsidRPr="002A276A" w:rsidRDefault="002A276A" w:rsidP="002A276A">
      <w:pPr>
        <w:pStyle w:val="NormalWeb"/>
        <w:jc w:val="both"/>
      </w:pPr>
      <w:r w:rsidRPr="002A276A">
        <w:t xml:space="preserve">Watson, V., &amp; Croese, S. (2023). </w:t>
      </w:r>
      <w:r w:rsidRPr="002A276A">
        <w:rPr>
          <w:i/>
          <w:iCs/>
        </w:rPr>
        <w:t xml:space="preserve">Persistent, pragmatic and prolific: Urban master planning in African cities. </w:t>
      </w:r>
      <w:r w:rsidRPr="002A276A">
        <w:rPr>
          <w:rStyle w:val="Emphasis"/>
          <w:i w:val="0"/>
          <w:iCs w:val="0"/>
        </w:rPr>
        <w:t>Land Use Policy</w:t>
      </w:r>
      <w:r w:rsidRPr="002A276A">
        <w:rPr>
          <w:rStyle w:val="Emphasis"/>
        </w:rPr>
        <w:t>, 133</w:t>
      </w:r>
      <w:r w:rsidRPr="002A276A">
        <w:t xml:space="preserve">, 106832. https://doi.org/10.1016/j.landusepol.2023.106832 </w:t>
      </w:r>
    </w:p>
    <w:p w14:paraId="0A7D37B5" w14:textId="77777777" w:rsidR="002A276A" w:rsidRPr="002A276A" w:rsidRDefault="002A276A" w:rsidP="002A276A">
      <w:pPr>
        <w:pStyle w:val="NormalWeb"/>
        <w:jc w:val="both"/>
      </w:pPr>
      <w:r w:rsidRPr="002A276A">
        <w:t xml:space="preserve">World Bank. (2020). </w:t>
      </w:r>
      <w:r w:rsidRPr="002A276A">
        <w:rPr>
          <w:rStyle w:val="Emphasis"/>
        </w:rPr>
        <w:t>World development report 2020: Trading for development in the age of global value chains</w:t>
      </w:r>
      <w:r w:rsidRPr="002A276A">
        <w:t>. World Bank.</w:t>
      </w:r>
    </w:p>
    <w:p w14:paraId="00CED9EC"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val="en-DK" w:eastAsia="zh-CN"/>
          <w14:ligatures w14:val="none"/>
        </w:rPr>
      </w:pPr>
      <w:r w:rsidRPr="002A276A">
        <w:rPr>
          <w:rFonts w:ascii="Times New Roman" w:eastAsia="Times New Roman" w:hAnsi="Times New Roman" w:cs="Times New Roman"/>
          <w:kern w:val="0"/>
          <w:sz w:val="24"/>
          <w:szCs w:val="24"/>
          <w:lang w:val="en-DK" w:eastAsia="zh-CN"/>
          <w14:ligatures w14:val="none"/>
        </w:rPr>
        <w:t xml:space="preserve">World Bank. (2022). </w:t>
      </w:r>
      <w:r w:rsidRPr="002A276A">
        <w:rPr>
          <w:rFonts w:ascii="Times New Roman" w:eastAsia="Times New Roman" w:hAnsi="Times New Roman" w:cs="Times New Roman"/>
          <w:i/>
          <w:iCs/>
          <w:kern w:val="0"/>
          <w:sz w:val="24"/>
          <w:szCs w:val="24"/>
          <w:lang w:val="en-DK" w:eastAsia="zh-CN"/>
          <w14:ligatures w14:val="none"/>
        </w:rPr>
        <w:t>Country economic memorandum: Accelerating growth and jobs in Zimbabwe</w:t>
      </w:r>
      <w:r w:rsidRPr="002A276A">
        <w:rPr>
          <w:rFonts w:ascii="Times New Roman" w:eastAsia="Times New Roman" w:hAnsi="Times New Roman" w:cs="Times New Roman"/>
          <w:kern w:val="0"/>
          <w:sz w:val="24"/>
          <w:szCs w:val="24"/>
          <w:lang w:val="en-DK" w:eastAsia="zh-CN"/>
          <w14:ligatures w14:val="none"/>
        </w:rPr>
        <w:t xml:space="preserve">. Washington, DC: World Bank. Retrieved from </w:t>
      </w:r>
      <w:hyperlink r:id="rId17" w:tgtFrame="_new" w:history="1">
        <w:r w:rsidRPr="002A276A">
          <w:rPr>
            <w:rFonts w:ascii="Times New Roman" w:eastAsia="Times New Roman" w:hAnsi="Times New Roman" w:cs="Times New Roman"/>
            <w:color w:val="0000FF"/>
            <w:kern w:val="0"/>
            <w:sz w:val="24"/>
            <w:szCs w:val="24"/>
            <w:u w:val="single"/>
            <w:lang w:val="en-DK" w:eastAsia="zh-CN"/>
            <w14:ligatures w14:val="none"/>
          </w:rPr>
          <w:t>World Bank Zimbabwe Economic Memorandum</w:t>
        </w:r>
      </w:hyperlink>
    </w:p>
    <w:p w14:paraId="1A8AEAEF" w14:textId="77777777" w:rsidR="002A276A" w:rsidRPr="002A276A" w:rsidRDefault="002A276A" w:rsidP="002A276A">
      <w:pPr>
        <w:pStyle w:val="NormalWeb"/>
        <w:jc w:val="both"/>
      </w:pPr>
      <w:r w:rsidRPr="002A276A">
        <w:t xml:space="preserve">World Bank. (2023). </w:t>
      </w:r>
      <w:r w:rsidRPr="002A276A">
        <w:rPr>
          <w:rStyle w:val="Emphasis"/>
        </w:rPr>
        <w:t>Africa’s pulse (Vol. 27): Harnessing urbanization for growth and resilience</w:t>
      </w:r>
      <w:r w:rsidRPr="002A276A">
        <w:t>. World Bank Group.</w:t>
      </w:r>
    </w:p>
    <w:p w14:paraId="5E638F24" w14:textId="77777777" w:rsidR="002A276A" w:rsidRPr="002A276A"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A276A">
        <w:rPr>
          <w:rFonts w:ascii="Times New Roman" w:eastAsia="Times New Roman" w:hAnsi="Times New Roman" w:cs="Times New Roman"/>
          <w:kern w:val="0"/>
          <w:sz w:val="24"/>
          <w:szCs w:val="24"/>
          <w14:ligatures w14:val="none"/>
        </w:rPr>
        <w:t xml:space="preserve">World Bank. (2023). </w:t>
      </w:r>
      <w:r w:rsidRPr="002A276A">
        <w:rPr>
          <w:rFonts w:ascii="Times New Roman" w:eastAsia="Times New Roman" w:hAnsi="Times New Roman" w:cs="Times New Roman"/>
          <w:i/>
          <w:iCs/>
          <w:kern w:val="0"/>
          <w:sz w:val="24"/>
          <w:szCs w:val="24"/>
          <w14:ligatures w14:val="none"/>
        </w:rPr>
        <w:t>Informality and inclusive growth in Sub-Saharan Africa</w:t>
      </w:r>
      <w:r w:rsidRPr="002A276A">
        <w:rPr>
          <w:rFonts w:ascii="Times New Roman" w:eastAsia="Times New Roman" w:hAnsi="Times New Roman" w:cs="Times New Roman"/>
          <w:kern w:val="0"/>
          <w:sz w:val="24"/>
          <w:szCs w:val="24"/>
          <w14:ligatures w14:val="none"/>
        </w:rPr>
        <w:t>. Washington, DC: World Bank.</w:t>
      </w:r>
    </w:p>
    <w:p w14:paraId="2C7745E3" w14:textId="77777777" w:rsidR="002A276A" w:rsidRPr="002A276A" w:rsidRDefault="002A276A" w:rsidP="002A276A">
      <w:pPr>
        <w:pStyle w:val="NormalWeb"/>
        <w:jc w:val="both"/>
      </w:pPr>
      <w:r w:rsidRPr="002A276A">
        <w:t xml:space="preserve">World Bank. (2023). </w:t>
      </w:r>
      <w:r w:rsidRPr="002A276A">
        <w:rPr>
          <w:rStyle w:val="Emphasis"/>
        </w:rPr>
        <w:t>Urban development overview</w:t>
      </w:r>
      <w:r w:rsidRPr="002A276A">
        <w:t>. World Bank.</w:t>
      </w:r>
    </w:p>
    <w:p w14:paraId="76C0E389" w14:textId="77777777" w:rsidR="002A276A" w:rsidRPr="002A276A" w:rsidRDefault="002A276A" w:rsidP="002A276A">
      <w:pPr>
        <w:pStyle w:val="NormalWeb"/>
        <w:jc w:val="both"/>
      </w:pPr>
      <w:r w:rsidRPr="002A276A">
        <w:t xml:space="preserve">World Bank. (2023). </w:t>
      </w:r>
      <w:r w:rsidRPr="002A276A">
        <w:rPr>
          <w:rStyle w:val="Emphasis"/>
        </w:rPr>
        <w:t>Urban development overview: Informality and inclusive cities in Sub-Saharan Africa</w:t>
      </w:r>
      <w:r w:rsidRPr="002A276A">
        <w:t>. World Bank Group.</w:t>
      </w:r>
    </w:p>
    <w:p w14:paraId="60E6094F" w14:textId="77777777" w:rsidR="002A276A" w:rsidRPr="002A276A" w:rsidRDefault="002A276A" w:rsidP="002A276A">
      <w:pPr>
        <w:pStyle w:val="NormalWeb"/>
        <w:jc w:val="both"/>
      </w:pPr>
      <w:r w:rsidRPr="002A276A">
        <w:t xml:space="preserve">World Bank. (2023). </w:t>
      </w:r>
      <w:r w:rsidRPr="002A276A">
        <w:rPr>
          <w:rStyle w:val="Emphasis"/>
        </w:rPr>
        <w:t>World Development Report 2023: Migrants, refugees, and societies</w:t>
      </w:r>
      <w:r w:rsidRPr="002A276A">
        <w:t>. Washington, DC: World Bank.</w:t>
      </w:r>
    </w:p>
    <w:p w14:paraId="7400165B" w14:textId="77777777" w:rsidR="002A276A" w:rsidRPr="002A276A" w:rsidRDefault="002A276A" w:rsidP="002A276A">
      <w:pPr>
        <w:pStyle w:val="NormalWeb"/>
        <w:jc w:val="both"/>
      </w:pPr>
      <w:r w:rsidRPr="002A276A">
        <w:t xml:space="preserve">World Bank. (2024). </w:t>
      </w:r>
      <w:r w:rsidRPr="002A276A">
        <w:rPr>
          <w:rStyle w:val="Emphasis"/>
        </w:rPr>
        <w:t>Urbanisation and development in Sub-Saharan Africa: Policy implications for inclusive cities</w:t>
      </w:r>
      <w:r w:rsidRPr="002A276A">
        <w:t>. Washington, DC: World Bank.</w:t>
      </w:r>
    </w:p>
    <w:p w14:paraId="42668829" w14:textId="77777777" w:rsidR="002A276A" w:rsidRPr="002A276A" w:rsidRDefault="002A276A" w:rsidP="002A276A">
      <w:pPr>
        <w:pStyle w:val="NormalWeb"/>
        <w:jc w:val="both"/>
      </w:pPr>
      <w:r w:rsidRPr="002A276A">
        <w:t xml:space="preserve">ZIMSTAT. (2022). </w:t>
      </w:r>
      <w:r w:rsidRPr="002A276A">
        <w:rPr>
          <w:rStyle w:val="Emphasis"/>
        </w:rPr>
        <w:t>2022 population and housing census report</w:t>
      </w:r>
      <w:r w:rsidRPr="002A276A">
        <w:t>. Government of Zimbabwe.</w:t>
      </w:r>
    </w:p>
    <w:p w14:paraId="1827C058" w14:textId="77777777" w:rsidR="00F504F1" w:rsidRPr="00F504F1" w:rsidRDefault="00F504F1" w:rsidP="00F504F1">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F504F1">
        <w:rPr>
          <w:rFonts w:ascii="Arial" w:eastAsia="Times New Roman" w:hAnsi="Arial" w:cs="Arial"/>
          <w:vanish/>
          <w:kern w:val="0"/>
          <w:sz w:val="16"/>
          <w:szCs w:val="16"/>
          <w:lang w:eastAsia="zh-CN"/>
          <w14:ligatures w14:val="none"/>
        </w:rPr>
        <w:t>Bottom of Form</w:t>
      </w:r>
    </w:p>
    <w:p w14:paraId="0C3DFEB5" w14:textId="77777777" w:rsidR="00F504F1" w:rsidRPr="00F504F1" w:rsidRDefault="00F504F1" w:rsidP="00F504F1">
      <w:pPr>
        <w:pBdr>
          <w:bottom w:val="single" w:sz="6" w:space="1" w:color="auto"/>
        </w:pBdr>
        <w:spacing w:after="0" w:line="240" w:lineRule="auto"/>
        <w:jc w:val="center"/>
        <w:rPr>
          <w:rFonts w:ascii="Arial" w:eastAsia="Times New Roman" w:hAnsi="Arial" w:cs="Arial"/>
          <w:vanish/>
          <w:kern w:val="0"/>
          <w:sz w:val="16"/>
          <w:szCs w:val="16"/>
          <w:lang w:eastAsia="zh-CN"/>
          <w14:ligatures w14:val="none"/>
        </w:rPr>
      </w:pPr>
      <w:r w:rsidRPr="00F504F1">
        <w:rPr>
          <w:rFonts w:ascii="Arial" w:eastAsia="Times New Roman" w:hAnsi="Arial" w:cs="Arial"/>
          <w:vanish/>
          <w:kern w:val="0"/>
          <w:sz w:val="16"/>
          <w:szCs w:val="16"/>
          <w:lang w:eastAsia="zh-CN"/>
          <w14:ligatures w14:val="none"/>
        </w:rPr>
        <w:t>Top of Form</w:t>
      </w:r>
    </w:p>
    <w:p w14:paraId="41610AC5" w14:textId="77777777" w:rsidR="00F504F1" w:rsidRPr="00F504F1" w:rsidRDefault="00F504F1" w:rsidP="00F504F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p w14:paraId="42E6F711" w14:textId="77777777" w:rsidR="00F504F1" w:rsidRPr="00F504F1" w:rsidRDefault="00F504F1" w:rsidP="00F504F1">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F504F1">
        <w:rPr>
          <w:rFonts w:ascii="Arial" w:eastAsia="Times New Roman" w:hAnsi="Arial" w:cs="Arial"/>
          <w:vanish/>
          <w:kern w:val="0"/>
          <w:sz w:val="16"/>
          <w:szCs w:val="16"/>
          <w:lang w:eastAsia="zh-CN"/>
          <w14:ligatures w14:val="none"/>
        </w:rPr>
        <w:t>Bottom of Form</w:t>
      </w:r>
    </w:p>
    <w:p w14:paraId="43BA21BC" w14:textId="77777777" w:rsidR="005757B6" w:rsidRPr="00337951" w:rsidRDefault="005757B6" w:rsidP="00337951"/>
    <w:sectPr w:rsidR="005757B6" w:rsidRPr="0033795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F817" w14:textId="77777777" w:rsidR="00C85147" w:rsidRDefault="00C85147" w:rsidP="00AE7FD0">
      <w:pPr>
        <w:spacing w:after="0" w:line="240" w:lineRule="auto"/>
      </w:pPr>
      <w:r>
        <w:separator/>
      </w:r>
    </w:p>
  </w:endnote>
  <w:endnote w:type="continuationSeparator" w:id="0">
    <w:p w14:paraId="184187BC" w14:textId="77777777" w:rsidR="00C85147" w:rsidRDefault="00C85147" w:rsidP="00AE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F35A" w14:textId="77777777" w:rsidR="00AE7FD0" w:rsidRDefault="00AE7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AC12" w14:textId="77777777" w:rsidR="00AE7FD0" w:rsidRDefault="00AE7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9FA6" w14:textId="77777777" w:rsidR="00AE7FD0" w:rsidRDefault="00AE7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BB56" w14:textId="77777777" w:rsidR="00C85147" w:rsidRDefault="00C85147" w:rsidP="00AE7FD0">
      <w:pPr>
        <w:spacing w:after="0" w:line="240" w:lineRule="auto"/>
      </w:pPr>
      <w:r>
        <w:separator/>
      </w:r>
    </w:p>
  </w:footnote>
  <w:footnote w:type="continuationSeparator" w:id="0">
    <w:p w14:paraId="7B22FB2C" w14:textId="77777777" w:rsidR="00C85147" w:rsidRDefault="00C85147" w:rsidP="00AE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8BDB" w14:textId="1192D71A" w:rsidR="00AE7FD0" w:rsidRDefault="00000000">
    <w:pPr>
      <w:pStyle w:val="Header"/>
    </w:pPr>
    <w:r>
      <w:rPr>
        <w:noProof/>
      </w:rPr>
      <w:pict w14:anchorId="13CBE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3638" w14:textId="019D1D27" w:rsidR="00AE7FD0" w:rsidRDefault="00000000">
    <w:pPr>
      <w:pStyle w:val="Header"/>
    </w:pPr>
    <w:r>
      <w:rPr>
        <w:noProof/>
      </w:rPr>
      <w:pict w14:anchorId="20193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8A5B" w14:textId="2C2E0A9B" w:rsidR="00AE7FD0" w:rsidRDefault="00000000">
    <w:pPr>
      <w:pStyle w:val="Header"/>
    </w:pPr>
    <w:r>
      <w:rPr>
        <w:noProof/>
      </w:rPr>
      <w:pict w14:anchorId="609AC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25"/>
    <w:multiLevelType w:val="multilevel"/>
    <w:tmpl w:val="DE2A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25806"/>
    <w:multiLevelType w:val="multilevel"/>
    <w:tmpl w:val="462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A35BB"/>
    <w:multiLevelType w:val="hybridMultilevel"/>
    <w:tmpl w:val="3DECFC6A"/>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5C1C03"/>
    <w:multiLevelType w:val="multilevel"/>
    <w:tmpl w:val="C610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F2151"/>
    <w:multiLevelType w:val="multilevel"/>
    <w:tmpl w:val="BE5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D520F"/>
    <w:multiLevelType w:val="multilevel"/>
    <w:tmpl w:val="AA5C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C434E"/>
    <w:multiLevelType w:val="multilevel"/>
    <w:tmpl w:val="9132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A63C0C"/>
    <w:multiLevelType w:val="multilevel"/>
    <w:tmpl w:val="B8F0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34510"/>
    <w:multiLevelType w:val="multilevel"/>
    <w:tmpl w:val="60D0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F047D"/>
    <w:multiLevelType w:val="multilevel"/>
    <w:tmpl w:val="A44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6196"/>
    <w:multiLevelType w:val="multilevel"/>
    <w:tmpl w:val="2B88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664D2"/>
    <w:multiLevelType w:val="multilevel"/>
    <w:tmpl w:val="4F1E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C653C"/>
    <w:multiLevelType w:val="multilevel"/>
    <w:tmpl w:val="001E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B32C4"/>
    <w:multiLevelType w:val="multilevel"/>
    <w:tmpl w:val="893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9129C"/>
    <w:multiLevelType w:val="multilevel"/>
    <w:tmpl w:val="5994F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96858"/>
    <w:multiLevelType w:val="multilevel"/>
    <w:tmpl w:val="6998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12DC3"/>
    <w:multiLevelType w:val="multilevel"/>
    <w:tmpl w:val="97E2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006496">
    <w:abstractNumId w:val="13"/>
  </w:num>
  <w:num w:numId="2" w16cid:durableId="1479490394">
    <w:abstractNumId w:val="10"/>
  </w:num>
  <w:num w:numId="3" w16cid:durableId="588074963">
    <w:abstractNumId w:val="7"/>
  </w:num>
  <w:num w:numId="4" w16cid:durableId="1213620181">
    <w:abstractNumId w:val="11"/>
  </w:num>
  <w:num w:numId="5" w16cid:durableId="1277758794">
    <w:abstractNumId w:val="14"/>
  </w:num>
  <w:num w:numId="6" w16cid:durableId="867764718">
    <w:abstractNumId w:val="8"/>
  </w:num>
  <w:num w:numId="7" w16cid:durableId="2023432370">
    <w:abstractNumId w:val="3"/>
  </w:num>
  <w:num w:numId="8" w16cid:durableId="1958174330">
    <w:abstractNumId w:val="15"/>
  </w:num>
  <w:num w:numId="9" w16cid:durableId="1538660625">
    <w:abstractNumId w:val="16"/>
  </w:num>
  <w:num w:numId="10" w16cid:durableId="498079062">
    <w:abstractNumId w:val="1"/>
  </w:num>
  <w:num w:numId="11" w16cid:durableId="590822487">
    <w:abstractNumId w:val="12"/>
  </w:num>
  <w:num w:numId="12" w16cid:durableId="1420054573">
    <w:abstractNumId w:val="9"/>
  </w:num>
  <w:num w:numId="13" w16cid:durableId="1950359017">
    <w:abstractNumId w:val="4"/>
  </w:num>
  <w:num w:numId="14" w16cid:durableId="2039813401">
    <w:abstractNumId w:val="6"/>
  </w:num>
  <w:num w:numId="15" w16cid:durableId="495727156">
    <w:abstractNumId w:val="5"/>
  </w:num>
  <w:num w:numId="16" w16cid:durableId="1242986973">
    <w:abstractNumId w:val="2"/>
  </w:num>
  <w:num w:numId="17" w16cid:durableId="132481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B6"/>
    <w:rsid w:val="00000C1E"/>
    <w:rsid w:val="000A3903"/>
    <w:rsid w:val="000B1F52"/>
    <w:rsid w:val="000C2BEB"/>
    <w:rsid w:val="000D2A00"/>
    <w:rsid w:val="000D60D7"/>
    <w:rsid w:val="00117139"/>
    <w:rsid w:val="001543A4"/>
    <w:rsid w:val="001A5E43"/>
    <w:rsid w:val="002004BA"/>
    <w:rsid w:val="002149B4"/>
    <w:rsid w:val="002304C0"/>
    <w:rsid w:val="00266379"/>
    <w:rsid w:val="002A276A"/>
    <w:rsid w:val="002B1A2E"/>
    <w:rsid w:val="002B72FC"/>
    <w:rsid w:val="002C415B"/>
    <w:rsid w:val="002D08E2"/>
    <w:rsid w:val="002F4278"/>
    <w:rsid w:val="00337951"/>
    <w:rsid w:val="00347A5E"/>
    <w:rsid w:val="00367650"/>
    <w:rsid w:val="003B60DA"/>
    <w:rsid w:val="003C157F"/>
    <w:rsid w:val="004850FB"/>
    <w:rsid w:val="004A51F7"/>
    <w:rsid w:val="004C6108"/>
    <w:rsid w:val="004D70E3"/>
    <w:rsid w:val="004F4F17"/>
    <w:rsid w:val="00535A4B"/>
    <w:rsid w:val="00572B20"/>
    <w:rsid w:val="005757B6"/>
    <w:rsid w:val="00587C59"/>
    <w:rsid w:val="005A6A55"/>
    <w:rsid w:val="005F016A"/>
    <w:rsid w:val="00603A15"/>
    <w:rsid w:val="00605E89"/>
    <w:rsid w:val="00626C77"/>
    <w:rsid w:val="00694481"/>
    <w:rsid w:val="006945E9"/>
    <w:rsid w:val="006F0ABC"/>
    <w:rsid w:val="007920F0"/>
    <w:rsid w:val="00793A36"/>
    <w:rsid w:val="00797FE2"/>
    <w:rsid w:val="007A0FC3"/>
    <w:rsid w:val="007B00EF"/>
    <w:rsid w:val="007C1228"/>
    <w:rsid w:val="007E1D2B"/>
    <w:rsid w:val="008439F4"/>
    <w:rsid w:val="00873DEB"/>
    <w:rsid w:val="00892995"/>
    <w:rsid w:val="008A2915"/>
    <w:rsid w:val="008B011F"/>
    <w:rsid w:val="008D75BC"/>
    <w:rsid w:val="0091187F"/>
    <w:rsid w:val="00914773"/>
    <w:rsid w:val="00925BB8"/>
    <w:rsid w:val="00934FF9"/>
    <w:rsid w:val="00983AD0"/>
    <w:rsid w:val="00983D78"/>
    <w:rsid w:val="00990A0F"/>
    <w:rsid w:val="009944F7"/>
    <w:rsid w:val="009B3C58"/>
    <w:rsid w:val="00A5665F"/>
    <w:rsid w:val="00A81FE5"/>
    <w:rsid w:val="00AE7FD0"/>
    <w:rsid w:val="00B17698"/>
    <w:rsid w:val="00B2068A"/>
    <w:rsid w:val="00B250E9"/>
    <w:rsid w:val="00B34765"/>
    <w:rsid w:val="00B61E9E"/>
    <w:rsid w:val="00B77D9F"/>
    <w:rsid w:val="00BC29A5"/>
    <w:rsid w:val="00BF3438"/>
    <w:rsid w:val="00C06CC5"/>
    <w:rsid w:val="00C2662C"/>
    <w:rsid w:val="00C85147"/>
    <w:rsid w:val="00CB406D"/>
    <w:rsid w:val="00CB7ED3"/>
    <w:rsid w:val="00CE1DDC"/>
    <w:rsid w:val="00D04873"/>
    <w:rsid w:val="00D052C6"/>
    <w:rsid w:val="00D5670D"/>
    <w:rsid w:val="00D65595"/>
    <w:rsid w:val="00D7464B"/>
    <w:rsid w:val="00D76CDE"/>
    <w:rsid w:val="00DC065C"/>
    <w:rsid w:val="00DD51AF"/>
    <w:rsid w:val="00DF271C"/>
    <w:rsid w:val="00DF39C2"/>
    <w:rsid w:val="00E24C66"/>
    <w:rsid w:val="00E73EF6"/>
    <w:rsid w:val="00E7745F"/>
    <w:rsid w:val="00E923A5"/>
    <w:rsid w:val="00EA1BF1"/>
    <w:rsid w:val="00EA2EF1"/>
    <w:rsid w:val="00EB2657"/>
    <w:rsid w:val="00EE2A4F"/>
    <w:rsid w:val="00F41F13"/>
    <w:rsid w:val="00F43EBC"/>
    <w:rsid w:val="00F504F1"/>
    <w:rsid w:val="00F50603"/>
    <w:rsid w:val="00FA08E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DDBE4"/>
  <w15:chartTrackingRefBased/>
  <w15:docId w15:val="{273126AD-3500-4E20-A15E-816F1682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B6"/>
    <w:rPr>
      <w:rFonts w:eastAsiaTheme="majorEastAsia" w:cstheme="majorBidi"/>
      <w:color w:val="272727" w:themeColor="text1" w:themeTint="D8"/>
    </w:rPr>
  </w:style>
  <w:style w:type="paragraph" w:styleId="Title">
    <w:name w:val="Title"/>
    <w:basedOn w:val="Normal"/>
    <w:next w:val="Normal"/>
    <w:link w:val="TitleChar"/>
    <w:uiPriority w:val="10"/>
    <w:qFormat/>
    <w:rsid w:val="00575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B6"/>
    <w:pPr>
      <w:spacing w:before="160"/>
      <w:jc w:val="center"/>
    </w:pPr>
    <w:rPr>
      <w:i/>
      <w:iCs/>
      <w:color w:val="404040" w:themeColor="text1" w:themeTint="BF"/>
    </w:rPr>
  </w:style>
  <w:style w:type="character" w:customStyle="1" w:styleId="QuoteChar">
    <w:name w:val="Quote Char"/>
    <w:basedOn w:val="DefaultParagraphFont"/>
    <w:link w:val="Quote"/>
    <w:uiPriority w:val="29"/>
    <w:rsid w:val="005757B6"/>
    <w:rPr>
      <w:i/>
      <w:iCs/>
      <w:color w:val="404040" w:themeColor="text1" w:themeTint="BF"/>
    </w:rPr>
  </w:style>
  <w:style w:type="paragraph" w:styleId="ListParagraph">
    <w:name w:val="List Paragraph"/>
    <w:basedOn w:val="Normal"/>
    <w:uiPriority w:val="34"/>
    <w:qFormat/>
    <w:rsid w:val="005757B6"/>
    <w:pPr>
      <w:ind w:left="720"/>
      <w:contextualSpacing/>
    </w:pPr>
  </w:style>
  <w:style w:type="character" w:styleId="IntenseEmphasis">
    <w:name w:val="Intense Emphasis"/>
    <w:basedOn w:val="DefaultParagraphFont"/>
    <w:uiPriority w:val="21"/>
    <w:qFormat/>
    <w:rsid w:val="005757B6"/>
    <w:rPr>
      <w:i/>
      <w:iCs/>
      <w:color w:val="2F5496" w:themeColor="accent1" w:themeShade="BF"/>
    </w:rPr>
  </w:style>
  <w:style w:type="paragraph" w:styleId="IntenseQuote">
    <w:name w:val="Intense Quote"/>
    <w:basedOn w:val="Normal"/>
    <w:next w:val="Normal"/>
    <w:link w:val="IntenseQuoteChar"/>
    <w:uiPriority w:val="30"/>
    <w:qFormat/>
    <w:rsid w:val="00575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7B6"/>
    <w:rPr>
      <w:i/>
      <w:iCs/>
      <w:color w:val="2F5496" w:themeColor="accent1" w:themeShade="BF"/>
    </w:rPr>
  </w:style>
  <w:style w:type="character" w:styleId="IntenseReference">
    <w:name w:val="Intense Reference"/>
    <w:basedOn w:val="DefaultParagraphFont"/>
    <w:uiPriority w:val="32"/>
    <w:qFormat/>
    <w:rsid w:val="005757B6"/>
    <w:rPr>
      <w:b/>
      <w:bCs/>
      <w:smallCaps/>
      <w:color w:val="2F5496" w:themeColor="accent1" w:themeShade="BF"/>
      <w:spacing w:val="5"/>
    </w:rPr>
  </w:style>
  <w:style w:type="paragraph" w:styleId="NormalWeb">
    <w:name w:val="Normal (Web)"/>
    <w:basedOn w:val="Normal"/>
    <w:uiPriority w:val="99"/>
    <w:unhideWhenUsed/>
    <w:rsid w:val="00266379"/>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266379"/>
    <w:rPr>
      <w:b/>
      <w:bCs/>
    </w:rPr>
  </w:style>
  <w:style w:type="character" w:styleId="Emphasis">
    <w:name w:val="Emphasis"/>
    <w:basedOn w:val="DefaultParagraphFont"/>
    <w:uiPriority w:val="20"/>
    <w:qFormat/>
    <w:rsid w:val="00DF271C"/>
    <w:rPr>
      <w:i/>
      <w:iCs/>
    </w:rPr>
  </w:style>
  <w:style w:type="character" w:styleId="Hyperlink">
    <w:name w:val="Hyperlink"/>
    <w:basedOn w:val="DefaultParagraphFont"/>
    <w:uiPriority w:val="99"/>
    <w:unhideWhenUsed/>
    <w:rsid w:val="00F504F1"/>
    <w:rPr>
      <w:color w:val="0000FF"/>
      <w:u w:val="single"/>
    </w:rPr>
  </w:style>
  <w:style w:type="table" w:styleId="TableGrid">
    <w:name w:val="Table Grid"/>
    <w:basedOn w:val="TableNormal"/>
    <w:uiPriority w:val="39"/>
    <w:rsid w:val="00D5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AD0"/>
    <w:rPr>
      <w:color w:val="605E5C"/>
      <w:shd w:val="clear" w:color="auto" w:fill="E1DFDD"/>
    </w:rPr>
  </w:style>
  <w:style w:type="paragraph" w:styleId="Header">
    <w:name w:val="header"/>
    <w:basedOn w:val="Normal"/>
    <w:link w:val="HeaderChar"/>
    <w:uiPriority w:val="99"/>
    <w:unhideWhenUsed/>
    <w:rsid w:val="00AE7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FD0"/>
  </w:style>
  <w:style w:type="paragraph" w:styleId="Footer">
    <w:name w:val="footer"/>
    <w:basedOn w:val="Normal"/>
    <w:link w:val="FooterChar"/>
    <w:uiPriority w:val="99"/>
    <w:unhideWhenUsed/>
    <w:rsid w:val="00AE7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FD0"/>
  </w:style>
  <w:style w:type="character" w:customStyle="1" w:styleId="whitespace-normal">
    <w:name w:val="whitespace-normal"/>
    <w:basedOn w:val="DefaultParagraphFont"/>
    <w:rsid w:val="008B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countries/southern-africa/zimbabwe?utm_source=chatgpt.com" TargetMode="External"/><Relationship Id="rId13" Type="http://schemas.openxmlformats.org/officeDocument/2006/relationships/hyperlink" Target="https://doi.org/10.1007/s41134-023-00257-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016/j.cacint.2023.100132" TargetMode="External"/><Relationship Id="rId17" Type="http://schemas.openxmlformats.org/officeDocument/2006/relationships/hyperlink" Target="https://www.worldbank.org/en/news/feature/2022/10/12/accelerating-growth-and-jobs-in-zimbabwe?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habitat.org/wcr/2022?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lostat.ilo.org/topics/informality/?utm_source=chatgpt.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1944360508976689" TargetMode="External"/><Relationship Id="rId23" Type="http://schemas.openxmlformats.org/officeDocument/2006/relationships/footer" Target="footer3.xml"/><Relationship Id="rId10" Type="http://schemas.openxmlformats.org/officeDocument/2006/relationships/hyperlink" Target="https://doi.org/10.1177/0042098024123918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rxiv.org/abs/2307.16328" TargetMode="External"/><Relationship Id="rId14" Type="http://schemas.openxmlformats.org/officeDocument/2006/relationships/hyperlink" Target="https://doi.org/10.1111/rsp3.1242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11677</Words>
  <Characters>66561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2026-05-07T21:04:00Z</dcterms:created>
  <dcterms:modified xsi:type="dcterms:W3CDTF">2026-05-07T21:04:00Z</dcterms:modified>
</cp:coreProperties>
</file>