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65143" w14:textId="7F32B8E4" w:rsidR="00AC0377" w:rsidRDefault="00960112" w:rsidP="00AC0377">
      <w:pPr>
        <w:pStyle w:val="Title"/>
      </w:pPr>
      <w:bookmarkStart w:id="0" w:name="_GoBack"/>
      <w:bookmarkEnd w:id="0"/>
      <w:r w:rsidRPr="00960112">
        <w:t>Original Research Article</w:t>
      </w:r>
    </w:p>
    <w:p w14:paraId="151791D4" w14:textId="77777777" w:rsidR="00960112" w:rsidRDefault="00960112" w:rsidP="00960112"/>
    <w:p w14:paraId="38ADC40F" w14:textId="77777777" w:rsidR="00960112" w:rsidRPr="00960112" w:rsidRDefault="00960112" w:rsidP="00960112"/>
    <w:p w14:paraId="4F585047" w14:textId="77777777" w:rsidR="00AC0377" w:rsidRDefault="00AC0377" w:rsidP="00AC0377">
      <w:pPr>
        <w:pStyle w:val="Title"/>
      </w:pPr>
    </w:p>
    <w:p w14:paraId="0A0CA4F0" w14:textId="77777777" w:rsidR="00AC0377" w:rsidRPr="006C4536" w:rsidRDefault="00AC0377" w:rsidP="00AC0377">
      <w:pPr>
        <w:pStyle w:val="Title"/>
        <w:jc w:val="center"/>
        <w:rPr>
          <w:rFonts w:asciiTheme="minorBidi" w:hAnsiTheme="minorBidi" w:cstheme="minorBidi"/>
          <w:b/>
          <w:bCs/>
          <w:sz w:val="36"/>
          <w:szCs w:val="28"/>
        </w:rPr>
      </w:pPr>
      <w:r w:rsidRPr="006C4536">
        <w:rPr>
          <w:rFonts w:asciiTheme="minorBidi" w:hAnsiTheme="minorBidi" w:cstheme="minorBidi"/>
          <w:b/>
          <w:bCs/>
          <w:sz w:val="36"/>
          <w:szCs w:val="28"/>
        </w:rPr>
        <w:t>Remote Sensing and Geophysical Targeting of Rare-Metal Pegmatites and Orogenic Gold in the Borgu Basement Terrain, Northwestern Nigeria</w:t>
      </w:r>
    </w:p>
    <w:p w14:paraId="2220494E" w14:textId="77777777" w:rsidR="00AC0377" w:rsidRPr="006C4536" w:rsidRDefault="00AC0377" w:rsidP="00AC0377">
      <w:pPr>
        <w:pStyle w:val="Title"/>
        <w:rPr>
          <w:rFonts w:asciiTheme="minorBidi" w:hAnsiTheme="minorBidi" w:cstheme="minorBidi"/>
        </w:rPr>
      </w:pPr>
    </w:p>
    <w:p w14:paraId="4D508F5E" w14:textId="77777777" w:rsidR="00AC0377" w:rsidRPr="00FA4216" w:rsidRDefault="00AC0377" w:rsidP="00FA4216">
      <w:pPr>
        <w:pStyle w:val="Heading1"/>
      </w:pPr>
      <w:r w:rsidRPr="00FA4216">
        <w:t>Abstract</w:t>
      </w:r>
    </w:p>
    <w:p w14:paraId="2698DB32" w14:textId="4CFFF9F9" w:rsidR="00AC0377" w:rsidRPr="00FA4216" w:rsidRDefault="00E7798E" w:rsidP="00E7798E">
      <w:pPr>
        <w:pStyle w:val="Abstract"/>
        <w:rPr>
          <w:rFonts w:asciiTheme="minorBidi" w:hAnsiTheme="minorBidi"/>
        </w:rPr>
      </w:pPr>
      <w:r w:rsidRPr="003E2E49">
        <w:rPr>
          <w:rFonts w:asciiTheme="minorBidi" w:hAnsiTheme="minorBidi"/>
          <w:highlight w:val="yellow"/>
        </w:rPr>
        <w:t>The Nigerian Basement Complex is dominated by Precambrian migmatites, gneisses, schists, and granitoids that have undergone multiple phases of deformation, metamorphism, and magmatic intrusion</w:t>
      </w:r>
      <w:r>
        <w:rPr>
          <w:rFonts w:asciiTheme="minorBidi" w:hAnsiTheme="minorBidi"/>
        </w:rPr>
        <w:t xml:space="preserve">. </w:t>
      </w:r>
      <w:r w:rsidR="00AC0377" w:rsidRPr="00FA4216">
        <w:rPr>
          <w:rFonts w:asciiTheme="minorBidi" w:hAnsiTheme="minorBidi"/>
        </w:rPr>
        <w:t xml:space="preserve">This study presents an integrated approach combining airborne geophysical data and satellite remote sensing imagery to evaluate the mineral prospectivity of the Borgu Local Government Area in Niger State, northwestern Nigeria, for rare-metal pegmatites (lithium, beryl, tourmaline) and orogenic gold. </w:t>
      </w:r>
      <w:r w:rsidRPr="003E2E49">
        <w:rPr>
          <w:rFonts w:asciiTheme="minorBidi" w:hAnsiTheme="minorBidi"/>
          <w:highlight w:val="yellow"/>
        </w:rPr>
        <w:t xml:space="preserve">The outputs from geophysical interpretation, remote sensing analysis, and DEM evaluation were integrated within a Geographic Information System (GIS) framework. </w:t>
      </w:r>
      <w:r w:rsidR="00AC0377" w:rsidRPr="00FA4216">
        <w:rPr>
          <w:rFonts w:asciiTheme="minorBidi" w:hAnsiTheme="minorBidi"/>
        </w:rPr>
        <w:t>The study area lies within the Nigerian Basement Complex of the Pan-African mobile belt, predominantly underlain by granite gneiss. Aeromagnetic data interpretation revealed significant NE-SW trending structural features including faults, fractures, and lithological contacts that may control mineralization. The Total Magnetic Intensity map indicates relatively low magnetic signatures, suggesting the presence of magnetite-poor felsic rocks typical of LCT (Lithium-Cesium-Tantalum) pegmatite host environments. Source Parameter Imaging indicates magnetic sources at depths of 120-180 m. Radiometric data analysis shows zones of potassium and thorium enrichment reflecting evolved granitic systems. Remote sensing analysis using Landsat imagery identified alteration indicators including iron oxide, clay, hydrothermal alteration, and quartz signatures. Integration of these datasets within a GIS environment enabled delineation of ten priority exploration targets. The results demonstrate that the Borgu basement terrain possesses favorable geological and structural conditions for pegmatite-related rare-metal mineralization and structurally controlled gold deposits, warranting follow-up field investigations including detailed geological mapping, geochemical sampling, and ground geophysical surveys.</w:t>
      </w:r>
      <w:r w:rsidR="00635D28">
        <w:rPr>
          <w:rFonts w:asciiTheme="minorBidi" w:hAnsiTheme="minorBidi"/>
        </w:rPr>
        <w:t xml:space="preserve"> </w:t>
      </w:r>
      <w:r w:rsidR="00635D28" w:rsidRPr="00635D28">
        <w:rPr>
          <w:rFonts w:asciiTheme="minorBidi" w:hAnsiTheme="minorBidi"/>
          <w:highlight w:val="yellow"/>
        </w:rPr>
        <w:t>Follow-up geophysical surveys—such as magnetic, electrical resistivity, and induced polarization methods—are needed to better define subsurface structures and mineralization.</w:t>
      </w:r>
    </w:p>
    <w:p w14:paraId="511DE308" w14:textId="77777777" w:rsidR="00AC0377" w:rsidRPr="004939E9" w:rsidRDefault="00AC0377" w:rsidP="00AC0377">
      <w:pPr>
        <w:pStyle w:val="Abstract"/>
        <w:rPr>
          <w:sz w:val="24"/>
          <w:szCs w:val="28"/>
        </w:rPr>
      </w:pPr>
    </w:p>
    <w:p w14:paraId="029B89E5" w14:textId="77777777" w:rsidR="00AC0377" w:rsidRPr="00FA4216" w:rsidRDefault="00AC0377" w:rsidP="00AC0377">
      <w:pPr>
        <w:spacing w:before="240"/>
        <w:rPr>
          <w:rFonts w:asciiTheme="minorBidi" w:hAnsiTheme="minorBidi"/>
          <w:sz w:val="22"/>
          <w:szCs w:val="22"/>
        </w:rPr>
      </w:pPr>
      <w:r w:rsidRPr="00FA4216">
        <w:rPr>
          <w:rFonts w:asciiTheme="minorBidi" w:hAnsiTheme="minorBidi"/>
          <w:b/>
          <w:sz w:val="22"/>
          <w:szCs w:val="22"/>
        </w:rPr>
        <w:t xml:space="preserve">Keywords: </w:t>
      </w:r>
      <w:r w:rsidRPr="00FA4216">
        <w:rPr>
          <w:rFonts w:asciiTheme="minorBidi" w:hAnsiTheme="minorBidi"/>
          <w:sz w:val="22"/>
          <w:szCs w:val="22"/>
        </w:rPr>
        <w:t>Remote sensing; Aeromagnetic; Pegmatite; Lithium; Gold; Borgu; Nigerian Basement Complex; Mineral exploration</w:t>
      </w:r>
    </w:p>
    <w:p w14:paraId="2405BD75" w14:textId="77777777" w:rsidR="00AC0377" w:rsidRPr="008C203F" w:rsidRDefault="00AC0377" w:rsidP="00AC0377">
      <w:pPr>
        <w:rPr>
          <w:sz w:val="22"/>
          <w:szCs w:val="22"/>
        </w:rPr>
      </w:pPr>
      <w:r w:rsidRPr="008C203F">
        <w:rPr>
          <w:sz w:val="22"/>
          <w:szCs w:val="22"/>
        </w:rPr>
        <w:lastRenderedPageBreak/>
        <w:br w:type="page"/>
      </w:r>
    </w:p>
    <w:p w14:paraId="0B41EBE1" w14:textId="77777777" w:rsidR="00AC0377" w:rsidRPr="00AC0377" w:rsidRDefault="00AC0377" w:rsidP="00AC0377">
      <w:pPr>
        <w:pStyle w:val="Heading1"/>
      </w:pPr>
      <w:r w:rsidRPr="00AC0377">
        <w:lastRenderedPageBreak/>
        <w:t>1. Introduction</w:t>
      </w:r>
    </w:p>
    <w:p w14:paraId="7B02CDF5" w14:textId="153FFAB9" w:rsidR="003B5FFF" w:rsidRPr="003B5FFF" w:rsidRDefault="00E7798E" w:rsidP="003B5FFF">
      <w:pPr>
        <w:spacing w:after="160"/>
        <w:ind w:firstLine="432"/>
        <w:rPr>
          <w:rFonts w:asciiTheme="minorBidi" w:hAnsiTheme="minorBidi"/>
          <w:sz w:val="22"/>
          <w:szCs w:val="22"/>
        </w:rPr>
      </w:pPr>
      <w:r w:rsidRPr="003E2E49">
        <w:rPr>
          <w:rFonts w:asciiTheme="minorBidi" w:hAnsiTheme="minorBidi"/>
          <w:sz w:val="22"/>
          <w:szCs w:val="22"/>
          <w:highlight w:val="yellow"/>
        </w:rPr>
        <w:t>Nigeria is endowed with abundant solid mineral resources that have the potential to drive its economic growth and development (</w:t>
      </w:r>
      <w:proofErr w:type="spellStart"/>
      <w:r w:rsidRPr="003E2E49">
        <w:rPr>
          <w:rFonts w:asciiTheme="minorBidi" w:hAnsiTheme="minorBidi"/>
          <w:sz w:val="22"/>
          <w:szCs w:val="22"/>
          <w:highlight w:val="yellow"/>
        </w:rPr>
        <w:t>Korgbeelo</w:t>
      </w:r>
      <w:proofErr w:type="spellEnd"/>
      <w:r w:rsidRPr="003E2E49">
        <w:rPr>
          <w:rFonts w:asciiTheme="minorBidi" w:hAnsiTheme="minorBidi"/>
          <w:sz w:val="22"/>
          <w:szCs w:val="22"/>
          <w:highlight w:val="yellow"/>
        </w:rPr>
        <w:t xml:space="preserve"> &amp; </w:t>
      </w:r>
      <w:proofErr w:type="spellStart"/>
      <w:r w:rsidRPr="003E2E49">
        <w:rPr>
          <w:rFonts w:asciiTheme="minorBidi" w:hAnsiTheme="minorBidi"/>
          <w:sz w:val="22"/>
          <w:szCs w:val="22"/>
          <w:highlight w:val="yellow"/>
        </w:rPr>
        <w:t>Ezekwu</w:t>
      </w:r>
      <w:proofErr w:type="spellEnd"/>
      <w:r w:rsidRPr="003E2E49">
        <w:rPr>
          <w:rFonts w:asciiTheme="minorBidi" w:hAnsiTheme="minorBidi"/>
          <w:sz w:val="22"/>
          <w:szCs w:val="22"/>
          <w:highlight w:val="yellow"/>
        </w:rPr>
        <w:t xml:space="preserve">, 2024). </w:t>
      </w:r>
      <w:r w:rsidR="003B5FFF" w:rsidRPr="003B5FFF">
        <w:rPr>
          <w:rFonts w:asciiTheme="minorBidi" w:hAnsiTheme="minorBidi"/>
          <w:sz w:val="22"/>
          <w:szCs w:val="22"/>
        </w:rPr>
        <w:t>Nigeria hosts significant solid mineral resources, including critical metals and gemstones such as lithium, beryl, tourmaline, and gold, which are increasingly important for modern technology, renewable energy systems, and the jewelry industry (Goodenough et al., 2014; Küster, 1990). Lithium is particularly important for rechargeable battery technologies, while gold commonly occurs in quartz veins and structurally controlled hydrothermal systems within crystalline basement terrains (Groves et al., 1998; Goldfarb et al., 2001).</w:t>
      </w:r>
    </w:p>
    <w:p w14:paraId="35A42B30" w14:textId="56BE8F16" w:rsidR="003B5FFF" w:rsidRPr="003B5FFF" w:rsidRDefault="003B5FFF" w:rsidP="002F4B36">
      <w:pPr>
        <w:spacing w:after="160"/>
        <w:ind w:firstLine="432"/>
        <w:rPr>
          <w:rFonts w:asciiTheme="minorBidi" w:hAnsiTheme="minorBidi"/>
          <w:sz w:val="22"/>
          <w:szCs w:val="22"/>
        </w:rPr>
      </w:pPr>
      <w:r w:rsidRPr="003B5FFF">
        <w:rPr>
          <w:rFonts w:asciiTheme="minorBidi" w:hAnsiTheme="minorBidi"/>
          <w:sz w:val="22"/>
          <w:szCs w:val="22"/>
        </w:rPr>
        <w:t xml:space="preserve">Lithium-bearing pegmatites are widely distributed within the Nigerian Basement Complex, particularly in Nasarawa, Kogi, Oyo, Kwara, and Niger States, where they are spatially associated with Pan-African granitoids and schist belts. </w:t>
      </w:r>
      <w:r w:rsidR="002F4B36" w:rsidRPr="003E2E49">
        <w:rPr>
          <w:rFonts w:asciiTheme="minorBidi" w:hAnsiTheme="minorBidi"/>
          <w:sz w:val="22"/>
          <w:szCs w:val="22"/>
          <w:highlight w:val="yellow"/>
        </w:rPr>
        <w:t>Pegmatites are typically the lithium–cesium–tantalum (LCT) ores. They are one of, the oldest lithium deposits, dated back to 3,000–3,100 Ma, and are associated with the continental crust formation at the onset of plate tectonic (</w:t>
      </w:r>
      <w:proofErr w:type="spellStart"/>
      <w:r w:rsidR="002F4B36" w:rsidRPr="003E2E49">
        <w:rPr>
          <w:rFonts w:asciiTheme="minorBidi" w:hAnsiTheme="minorBidi"/>
          <w:sz w:val="22"/>
          <w:highlight w:val="yellow"/>
        </w:rPr>
        <w:t>Olajuyi</w:t>
      </w:r>
      <w:proofErr w:type="spellEnd"/>
      <w:r w:rsidR="002F4B36" w:rsidRPr="003E2E49">
        <w:rPr>
          <w:rFonts w:asciiTheme="minorBidi" w:hAnsiTheme="minorBidi"/>
          <w:sz w:val="22"/>
          <w:highlight w:val="yellow"/>
        </w:rPr>
        <w:t xml:space="preserve"> et al., 2025)</w:t>
      </w:r>
      <w:r w:rsidR="002F4B36" w:rsidRPr="003E2E49">
        <w:rPr>
          <w:rFonts w:asciiTheme="minorBidi" w:hAnsiTheme="minorBidi"/>
          <w:sz w:val="22"/>
          <w:szCs w:val="22"/>
          <w:highlight w:val="yellow"/>
        </w:rPr>
        <w:t xml:space="preserve">. Lithium-bearing pegmatite was discovered to contain the lightest metal element that exists naturally and it is widely </w:t>
      </w:r>
      <w:proofErr w:type="spellStart"/>
      <w:r w:rsidR="002F4B36" w:rsidRPr="003E2E49">
        <w:rPr>
          <w:rFonts w:asciiTheme="minorBidi" w:hAnsiTheme="minorBidi"/>
          <w:sz w:val="22"/>
          <w:szCs w:val="22"/>
          <w:highlight w:val="yellow"/>
        </w:rPr>
        <w:t>utilised</w:t>
      </w:r>
      <w:proofErr w:type="spellEnd"/>
      <w:r w:rsidR="002F4B36" w:rsidRPr="003E2E49">
        <w:rPr>
          <w:rFonts w:asciiTheme="minorBidi" w:hAnsiTheme="minorBidi"/>
          <w:sz w:val="22"/>
          <w:szCs w:val="22"/>
          <w:highlight w:val="yellow"/>
        </w:rPr>
        <w:t xml:space="preserve"> in many different industries for applications like polymers, aeronautics, air therapy, glass, porcelain, ceramics, and medications (</w:t>
      </w:r>
      <w:r w:rsidR="002F4B36" w:rsidRPr="003E2E49">
        <w:rPr>
          <w:rFonts w:asciiTheme="minorBidi" w:hAnsiTheme="minorBidi"/>
          <w:sz w:val="22"/>
          <w:highlight w:val="yellow"/>
        </w:rPr>
        <w:t>Augie et al., 2026)</w:t>
      </w:r>
      <w:r w:rsidR="002F4B36" w:rsidRPr="003E2E49">
        <w:rPr>
          <w:rFonts w:asciiTheme="minorBidi" w:hAnsiTheme="minorBidi"/>
          <w:sz w:val="22"/>
          <w:szCs w:val="22"/>
          <w:highlight w:val="yellow"/>
        </w:rPr>
        <w:t>.</w:t>
      </w:r>
      <w:r w:rsidR="002F4B36">
        <w:rPr>
          <w:rFonts w:asciiTheme="minorBidi" w:hAnsiTheme="minorBidi"/>
          <w:sz w:val="22"/>
          <w:szCs w:val="22"/>
        </w:rPr>
        <w:t xml:space="preserve"> </w:t>
      </w:r>
      <w:r w:rsidRPr="003B5FFF">
        <w:rPr>
          <w:rFonts w:asciiTheme="minorBidi" w:hAnsiTheme="minorBidi"/>
          <w:sz w:val="22"/>
          <w:szCs w:val="22"/>
        </w:rPr>
        <w:t>Similarly, gold mineralization is well documented within the Nigerian schist belts of northwestern and north-central Nigeria, where structural features such as faults and shear zones play critical roles in ore localization</w:t>
      </w:r>
      <w:r w:rsidR="003E2E49">
        <w:rPr>
          <w:rFonts w:asciiTheme="minorBidi" w:hAnsiTheme="minorBidi"/>
          <w:sz w:val="22"/>
          <w:szCs w:val="22"/>
        </w:rPr>
        <w:t xml:space="preserve"> </w:t>
      </w:r>
      <w:r w:rsidR="003E2E49" w:rsidRPr="003E2E49">
        <w:rPr>
          <w:rFonts w:asciiTheme="minorBidi" w:hAnsiTheme="minorBidi"/>
          <w:sz w:val="22"/>
          <w:szCs w:val="22"/>
          <w:highlight w:val="yellow"/>
        </w:rPr>
        <w:t>(</w:t>
      </w:r>
      <w:proofErr w:type="spellStart"/>
      <w:r w:rsidR="003E2E49" w:rsidRPr="003E2E49">
        <w:rPr>
          <w:rFonts w:asciiTheme="minorBidi" w:hAnsiTheme="minorBidi"/>
          <w:sz w:val="22"/>
          <w:highlight w:val="yellow"/>
        </w:rPr>
        <w:t>Okpoli</w:t>
      </w:r>
      <w:proofErr w:type="spellEnd"/>
      <w:r w:rsidR="003E2E49" w:rsidRPr="003E2E49">
        <w:rPr>
          <w:rFonts w:asciiTheme="minorBidi" w:hAnsiTheme="minorBidi"/>
          <w:sz w:val="22"/>
          <w:highlight w:val="yellow"/>
        </w:rPr>
        <w:t xml:space="preserve"> et al., 2025)</w:t>
      </w:r>
      <w:r w:rsidRPr="003E2E49">
        <w:rPr>
          <w:rFonts w:asciiTheme="minorBidi" w:hAnsiTheme="minorBidi"/>
          <w:sz w:val="22"/>
          <w:szCs w:val="22"/>
          <w:highlight w:val="yellow"/>
        </w:rPr>
        <w:t xml:space="preserve">. </w:t>
      </w:r>
      <w:r w:rsidRPr="003B5FFF">
        <w:rPr>
          <w:rFonts w:asciiTheme="minorBidi" w:hAnsiTheme="minorBidi"/>
          <w:sz w:val="22"/>
          <w:szCs w:val="22"/>
        </w:rPr>
        <w:t>These occurrences highlight the strong influence of tectonic structures, magmatism, and hydrothermal processes on mineralization within the Basement Complex.</w:t>
      </w:r>
    </w:p>
    <w:p w14:paraId="76199B96" w14:textId="77777777" w:rsidR="003B5FFF" w:rsidRPr="003B5FFF" w:rsidRDefault="003B5FFF" w:rsidP="003B5FFF">
      <w:pPr>
        <w:spacing w:after="160"/>
        <w:ind w:firstLine="432"/>
        <w:rPr>
          <w:rFonts w:asciiTheme="minorBidi" w:hAnsiTheme="minorBidi"/>
          <w:sz w:val="22"/>
          <w:szCs w:val="22"/>
        </w:rPr>
      </w:pPr>
      <w:r w:rsidRPr="003B5FFF">
        <w:rPr>
          <w:rFonts w:asciiTheme="minorBidi" w:hAnsiTheme="minorBidi"/>
          <w:sz w:val="22"/>
          <w:szCs w:val="22"/>
        </w:rPr>
        <w:t>Geologically, the Nigerian Basement Complex forms part of the Pan-African Mobile Belt and was extensively reworked during the Pan-African Orogeny (~600 ± 150 Ma). The terrain is dominated by Precambrian migmatites, gneisses, schists, and granitoids that have undergone multiple phases of deformation, metamorphism, and magmatic intrusion (</w:t>
      </w:r>
      <w:proofErr w:type="spellStart"/>
      <w:r w:rsidRPr="003B5FFF">
        <w:rPr>
          <w:rFonts w:asciiTheme="minorBidi" w:hAnsiTheme="minorBidi"/>
          <w:sz w:val="22"/>
          <w:szCs w:val="22"/>
        </w:rPr>
        <w:t>Akingboye</w:t>
      </w:r>
      <w:proofErr w:type="spellEnd"/>
      <w:r w:rsidRPr="003B5FFF">
        <w:rPr>
          <w:rFonts w:asciiTheme="minorBidi" w:hAnsiTheme="minorBidi"/>
          <w:sz w:val="22"/>
          <w:szCs w:val="22"/>
        </w:rPr>
        <w:t xml:space="preserve"> and </w:t>
      </w:r>
      <w:proofErr w:type="spellStart"/>
      <w:r w:rsidRPr="003B5FFF">
        <w:rPr>
          <w:rFonts w:asciiTheme="minorBidi" w:hAnsiTheme="minorBidi"/>
          <w:sz w:val="22"/>
          <w:szCs w:val="22"/>
        </w:rPr>
        <w:t>Osazua</w:t>
      </w:r>
      <w:proofErr w:type="spellEnd"/>
      <w:r w:rsidRPr="003B5FFF">
        <w:rPr>
          <w:rFonts w:asciiTheme="minorBidi" w:hAnsiTheme="minorBidi"/>
          <w:sz w:val="22"/>
          <w:szCs w:val="22"/>
        </w:rPr>
        <w:t xml:space="preserve">, 2016; </w:t>
      </w:r>
      <w:proofErr w:type="spellStart"/>
      <w:r w:rsidRPr="003B5FFF">
        <w:rPr>
          <w:rFonts w:asciiTheme="minorBidi" w:hAnsiTheme="minorBidi"/>
          <w:sz w:val="22"/>
          <w:szCs w:val="22"/>
        </w:rPr>
        <w:t>Ekeleme</w:t>
      </w:r>
      <w:proofErr w:type="spellEnd"/>
      <w:r w:rsidRPr="003B5FFF">
        <w:rPr>
          <w:rFonts w:asciiTheme="minorBidi" w:hAnsiTheme="minorBidi"/>
          <w:sz w:val="22"/>
          <w:szCs w:val="22"/>
        </w:rPr>
        <w:t xml:space="preserve"> et al., 2024). These tectonic events resulted in the development of faults, fractures, folds, and shear zones that act as conduits for mineralizing fluids and therefore serve as important controls on mineral deposition.</w:t>
      </w:r>
    </w:p>
    <w:p w14:paraId="4F72D0D0" w14:textId="77777777" w:rsidR="003B5FFF" w:rsidRPr="003B5FFF" w:rsidRDefault="003B5FFF" w:rsidP="003B5FFF">
      <w:pPr>
        <w:spacing w:after="160"/>
        <w:ind w:firstLine="432"/>
        <w:rPr>
          <w:rFonts w:asciiTheme="minorBidi" w:hAnsiTheme="minorBidi"/>
          <w:sz w:val="22"/>
          <w:szCs w:val="22"/>
        </w:rPr>
      </w:pPr>
      <w:r w:rsidRPr="003B5FFF">
        <w:rPr>
          <w:rFonts w:asciiTheme="minorBidi" w:hAnsiTheme="minorBidi"/>
          <w:sz w:val="22"/>
          <w:szCs w:val="22"/>
        </w:rPr>
        <w:t xml:space="preserve">The Borgu area, located in northwestern Niger State within the North-Central Nigerian Basement Complex, is characterized by metamorphic and igneous rocks including gneisses, schists, and granitic intrusions. The occurrence of pegmatite bodies, quartz veins, and hydrothermal alteration zones suggests favorable conditions for rare-metal pegmatite and orogenic gold mineralization (NGSA, 2022). However, despite this mineral potential, integrated </w:t>
      </w:r>
      <w:r w:rsidRPr="003B5FFF">
        <w:rPr>
          <w:rFonts w:asciiTheme="minorBidi" w:hAnsiTheme="minorBidi"/>
          <w:sz w:val="22"/>
          <w:szCs w:val="22"/>
        </w:rPr>
        <w:lastRenderedPageBreak/>
        <w:t>exploration studies combining remote sensing and geophysical techniques for systematic mineral targeting in the area remain limited.</w:t>
      </w:r>
    </w:p>
    <w:p w14:paraId="02C19734" w14:textId="77777777" w:rsidR="003B5FFF" w:rsidRPr="003B5FFF" w:rsidRDefault="003B5FFF" w:rsidP="003B5FFF">
      <w:pPr>
        <w:spacing w:after="160"/>
        <w:ind w:firstLine="432"/>
        <w:rPr>
          <w:rFonts w:asciiTheme="minorBidi" w:hAnsiTheme="minorBidi"/>
          <w:sz w:val="22"/>
          <w:szCs w:val="22"/>
        </w:rPr>
      </w:pPr>
      <w:r w:rsidRPr="003B5FFF">
        <w:rPr>
          <w:rFonts w:asciiTheme="minorBidi" w:hAnsiTheme="minorBidi"/>
          <w:sz w:val="22"/>
          <w:szCs w:val="22"/>
        </w:rPr>
        <w:t>This study therefore applies an integrated exploration approach combining remote sensing analysis and geophysical data interpretation to improve mineral targeting. The methodology involves lithological and structural mapping, lineament extraction, hydrothermal alteration mapping, and subsurface structural analysis to delineate prospective zones for rare-metal pegmatites and orogenic gold mineralization in the Borgu Basement terrain.</w:t>
      </w:r>
    </w:p>
    <w:p w14:paraId="57D25EFC" w14:textId="77777777" w:rsidR="00AC0377" w:rsidRPr="00ED5298" w:rsidRDefault="00AC0377" w:rsidP="006C4536">
      <w:pPr>
        <w:spacing w:after="160"/>
        <w:rPr>
          <w:rStyle w:val="Heading1Char"/>
        </w:rPr>
      </w:pPr>
      <w:r>
        <w:br w:type="page"/>
      </w:r>
      <w:r w:rsidRPr="00ED5298">
        <w:rPr>
          <w:rStyle w:val="Heading1Char"/>
        </w:rPr>
        <w:lastRenderedPageBreak/>
        <w:t>2. Study Area</w:t>
      </w:r>
    </w:p>
    <w:p w14:paraId="3C92D320" w14:textId="77777777" w:rsidR="00AC0377" w:rsidRPr="00AC0377" w:rsidRDefault="00AC0377" w:rsidP="00AC0377">
      <w:pPr>
        <w:pStyle w:val="Heading2"/>
      </w:pPr>
      <w:r w:rsidRPr="00AC0377">
        <w:t>2.1 Location and Accessibility</w:t>
      </w:r>
    </w:p>
    <w:p w14:paraId="67BA3A7B" w14:textId="77777777" w:rsidR="00B55BD6" w:rsidRPr="00FA4216" w:rsidRDefault="00B55BD6" w:rsidP="00ED5298">
      <w:pPr>
        <w:ind w:firstLine="432"/>
        <w:rPr>
          <w:rFonts w:asciiTheme="minorBidi" w:hAnsiTheme="minorBidi"/>
          <w:sz w:val="22"/>
          <w:szCs w:val="22"/>
        </w:rPr>
      </w:pPr>
      <w:r w:rsidRPr="00FA4216">
        <w:rPr>
          <w:rFonts w:asciiTheme="minorBidi" w:hAnsiTheme="minorBidi"/>
          <w:sz w:val="22"/>
          <w:szCs w:val="22"/>
        </w:rPr>
        <w:t>The study area lies within Exploration License EL-054003 in Borgu Local Government Area of Niger State, northwestern Nigeria</w:t>
      </w:r>
      <w:r w:rsidR="00ED5298" w:rsidRPr="00FA4216">
        <w:rPr>
          <w:rFonts w:asciiTheme="minorBidi" w:hAnsiTheme="minorBidi"/>
          <w:sz w:val="22"/>
          <w:szCs w:val="22"/>
        </w:rPr>
        <w:t xml:space="preserve"> (Figure 1)</w:t>
      </w:r>
      <w:r w:rsidRPr="00FA4216">
        <w:rPr>
          <w:rFonts w:asciiTheme="minorBidi" w:hAnsiTheme="minorBidi"/>
          <w:sz w:val="22"/>
          <w:szCs w:val="22"/>
        </w:rPr>
        <w:t>. It covers parts of New Bussa, Lemu, Kainji, and nearby settlements, and is located between longitudes 4°16′–4°18′E and latitudes 10°03′–10°04′N.</w:t>
      </w:r>
    </w:p>
    <w:p w14:paraId="6E6261F0" w14:textId="77777777" w:rsidR="00B55BD6" w:rsidRPr="00FA4216" w:rsidRDefault="00B55BD6" w:rsidP="00B55BD6">
      <w:pPr>
        <w:ind w:firstLine="432"/>
        <w:rPr>
          <w:rFonts w:asciiTheme="minorBidi" w:hAnsiTheme="minorBidi"/>
          <w:sz w:val="22"/>
          <w:szCs w:val="22"/>
        </w:rPr>
      </w:pPr>
      <w:r w:rsidRPr="00FA4216">
        <w:rPr>
          <w:rFonts w:asciiTheme="minorBidi" w:hAnsiTheme="minorBidi"/>
          <w:sz w:val="22"/>
          <w:szCs w:val="22"/>
        </w:rPr>
        <w:t>The area is reasonably accessible through a network of major and minor roads linking the settlements, while several earth roads, farm tracks, and footpaths provide access to the interior parts of the license area for field investigations. The terrain is generally undulating with gentle slopes and isolated hills, which allows relatively easy movement for field mapping and exploration activities.</w:t>
      </w:r>
    </w:p>
    <w:p w14:paraId="4F542B8C" w14:textId="77777777" w:rsidR="00AC0377" w:rsidRDefault="00AC0377" w:rsidP="00AC0377">
      <w:r>
        <w:rPr>
          <w:noProof/>
        </w:rPr>
        <w:drawing>
          <wp:inline distT="0" distB="0" distL="0" distR="0" wp14:anchorId="5C8EB101" wp14:editId="69295EBC">
            <wp:extent cx="5642610" cy="5445760"/>
            <wp:effectExtent l="19050" t="19050" r="15240" b="21590"/>
            <wp:docPr id="513781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3011" cy="5446147"/>
                    </a:xfrm>
                    <a:prstGeom prst="rect">
                      <a:avLst/>
                    </a:prstGeom>
                    <a:noFill/>
                    <a:ln w="12700">
                      <a:solidFill>
                        <a:schemeClr val="tx1"/>
                      </a:solidFill>
                    </a:ln>
                  </pic:spPr>
                </pic:pic>
              </a:graphicData>
            </a:graphic>
          </wp:inline>
        </w:drawing>
      </w:r>
    </w:p>
    <w:p w14:paraId="6B178155" w14:textId="77777777" w:rsidR="00AC0377" w:rsidRPr="00FA4216" w:rsidRDefault="00AC0377" w:rsidP="00AC0377">
      <w:pPr>
        <w:jc w:val="center"/>
        <w:rPr>
          <w:rFonts w:asciiTheme="minorBidi" w:hAnsiTheme="minorBidi"/>
          <w:sz w:val="22"/>
          <w:szCs w:val="22"/>
        </w:rPr>
      </w:pPr>
      <w:r w:rsidRPr="00FA4216">
        <w:rPr>
          <w:rFonts w:asciiTheme="minorBidi" w:hAnsiTheme="minorBidi"/>
          <w:b/>
          <w:bCs/>
          <w:sz w:val="22"/>
          <w:szCs w:val="22"/>
        </w:rPr>
        <w:t>Figure 1</w:t>
      </w:r>
      <w:r w:rsidRPr="00FA4216">
        <w:rPr>
          <w:rFonts w:asciiTheme="minorBidi" w:hAnsiTheme="minorBidi"/>
          <w:sz w:val="22"/>
          <w:szCs w:val="22"/>
        </w:rPr>
        <w:t xml:space="preserve">: </w:t>
      </w:r>
      <w:r w:rsidRPr="00FA4216">
        <w:rPr>
          <w:rFonts w:asciiTheme="minorBidi" w:hAnsiTheme="minorBidi"/>
          <w:i/>
          <w:iCs/>
          <w:sz w:val="22"/>
          <w:szCs w:val="22"/>
        </w:rPr>
        <w:t>Aerial Map of the Study Area</w:t>
      </w:r>
    </w:p>
    <w:p w14:paraId="7FC99429" w14:textId="77777777" w:rsidR="00AC0377" w:rsidRPr="004B1F44" w:rsidRDefault="00AC0377" w:rsidP="004B1F44">
      <w:pPr>
        <w:pStyle w:val="Heading2"/>
      </w:pPr>
      <w:r w:rsidRPr="004B1F44">
        <w:lastRenderedPageBreak/>
        <w:t>2.2 Climate and Vegetation</w:t>
      </w:r>
    </w:p>
    <w:p w14:paraId="7345D384" w14:textId="77777777" w:rsidR="00ED5298" w:rsidRPr="00FA4216" w:rsidRDefault="00ED5298" w:rsidP="00ED5298">
      <w:pPr>
        <w:ind w:firstLine="720"/>
        <w:rPr>
          <w:rFonts w:asciiTheme="minorBidi" w:hAnsiTheme="minorBidi"/>
          <w:sz w:val="22"/>
          <w:szCs w:val="22"/>
        </w:rPr>
      </w:pPr>
      <w:r w:rsidRPr="00FA4216">
        <w:rPr>
          <w:rFonts w:asciiTheme="minorBidi" w:hAnsiTheme="minorBidi"/>
          <w:sz w:val="22"/>
          <w:szCs w:val="22"/>
        </w:rPr>
        <w:t>The study area lies within the Guinea Savannah ecological zone of northwestern Nigeria and is characterized by a tropical climate with distinct wet and dry seasons (Figure 2). The wet season occurs between May and October, while the dry season lasts from November to April and is influenced by Harmattan winds. Average annual temperatures range between 25 °C and 35 °C.</w:t>
      </w:r>
    </w:p>
    <w:p w14:paraId="58D05B13" w14:textId="77777777" w:rsidR="00AC0377" w:rsidRPr="00FA4216" w:rsidRDefault="00ED5298" w:rsidP="00ED5298">
      <w:pPr>
        <w:ind w:firstLine="720"/>
        <w:rPr>
          <w:rFonts w:asciiTheme="minorBidi" w:hAnsiTheme="minorBidi"/>
          <w:sz w:val="22"/>
          <w:szCs w:val="22"/>
        </w:rPr>
      </w:pPr>
      <w:r w:rsidRPr="00FA4216">
        <w:rPr>
          <w:rFonts w:asciiTheme="minorBidi" w:hAnsiTheme="minorBidi"/>
          <w:sz w:val="22"/>
          <w:szCs w:val="22"/>
        </w:rPr>
        <w:t>Vegetation in the area consists mainly of savannah grasses, shrubs, and scattered trees, with some cultivated farmlands producing crops such as maize, millet, sorghum, and yam. Seasonal streams and patches of woodland also occur within the area. The vegetation pattern and seasonal variations influence field accessibility, outcrop exposure, and remote sensing interpretation.</w:t>
      </w:r>
    </w:p>
    <w:p w14:paraId="4C42C5F0" w14:textId="77777777" w:rsidR="00ED5298" w:rsidRDefault="00ED5298" w:rsidP="00ED5298">
      <w:pPr>
        <w:ind w:firstLine="720"/>
      </w:pPr>
    </w:p>
    <w:p w14:paraId="38B06074" w14:textId="77777777" w:rsidR="00AC0377" w:rsidRDefault="00AC0377" w:rsidP="00AC0377">
      <w:r>
        <w:rPr>
          <w:noProof/>
        </w:rPr>
        <w:drawing>
          <wp:inline distT="0" distB="0" distL="0" distR="0" wp14:anchorId="7324374C" wp14:editId="4F6A591E">
            <wp:extent cx="5669280" cy="4963343"/>
            <wp:effectExtent l="19050" t="19050" r="26670" b="27940"/>
            <wp:docPr id="19348783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9280" cy="4963343"/>
                    </a:xfrm>
                    <a:prstGeom prst="rect">
                      <a:avLst/>
                    </a:prstGeom>
                    <a:noFill/>
                    <a:ln w="12700">
                      <a:solidFill>
                        <a:schemeClr val="tx1"/>
                      </a:solidFill>
                    </a:ln>
                  </pic:spPr>
                </pic:pic>
              </a:graphicData>
            </a:graphic>
          </wp:inline>
        </w:drawing>
      </w:r>
    </w:p>
    <w:p w14:paraId="61711AEE" w14:textId="77777777" w:rsidR="00AC0377" w:rsidRPr="00FA4216" w:rsidRDefault="00AC0377" w:rsidP="00AC0377">
      <w:pPr>
        <w:jc w:val="center"/>
        <w:rPr>
          <w:rFonts w:asciiTheme="minorBidi" w:hAnsiTheme="minorBidi"/>
          <w:sz w:val="22"/>
          <w:szCs w:val="22"/>
        </w:rPr>
      </w:pPr>
      <w:r w:rsidRPr="00FA4216">
        <w:rPr>
          <w:rFonts w:asciiTheme="minorBidi" w:hAnsiTheme="minorBidi"/>
          <w:b/>
          <w:bCs/>
          <w:sz w:val="22"/>
          <w:szCs w:val="22"/>
        </w:rPr>
        <w:t>Figure 2</w:t>
      </w:r>
      <w:r w:rsidRPr="00FA4216">
        <w:rPr>
          <w:rFonts w:asciiTheme="minorBidi" w:hAnsiTheme="minorBidi"/>
          <w:sz w:val="22"/>
          <w:szCs w:val="22"/>
        </w:rPr>
        <w:t xml:space="preserve">: </w:t>
      </w:r>
      <w:r w:rsidRPr="00FA4216">
        <w:rPr>
          <w:rFonts w:asciiTheme="minorBidi" w:hAnsiTheme="minorBidi"/>
          <w:i/>
          <w:iCs/>
          <w:sz w:val="22"/>
          <w:szCs w:val="22"/>
        </w:rPr>
        <w:t>Satellite Map of the Study Area</w:t>
      </w:r>
    </w:p>
    <w:p w14:paraId="4B22FFAA" w14:textId="77777777" w:rsidR="00AC0377" w:rsidRPr="00FA4216" w:rsidRDefault="00AC0377" w:rsidP="00AC0377">
      <w:pPr>
        <w:rPr>
          <w:rFonts w:asciiTheme="minorBidi" w:hAnsiTheme="minorBidi"/>
          <w:sz w:val="22"/>
          <w:szCs w:val="22"/>
        </w:rPr>
      </w:pPr>
    </w:p>
    <w:p w14:paraId="18B7097B" w14:textId="77777777" w:rsidR="00AC0377" w:rsidRPr="00FA4216" w:rsidRDefault="00AC0377" w:rsidP="004B1F44">
      <w:pPr>
        <w:pStyle w:val="Heading2"/>
        <w:rPr>
          <w:rFonts w:cstheme="minorBidi"/>
          <w:szCs w:val="22"/>
        </w:rPr>
      </w:pPr>
      <w:r w:rsidRPr="00FA4216">
        <w:rPr>
          <w:rFonts w:cstheme="minorBidi"/>
          <w:szCs w:val="22"/>
        </w:rPr>
        <w:lastRenderedPageBreak/>
        <w:t>2.3 Topography and Drainage</w:t>
      </w:r>
    </w:p>
    <w:p w14:paraId="40F37CAA" w14:textId="77777777" w:rsidR="004B1F44" w:rsidRPr="00FA4216" w:rsidRDefault="004B1F44" w:rsidP="004B1F44">
      <w:pPr>
        <w:spacing w:after="160"/>
        <w:ind w:firstLine="432"/>
        <w:rPr>
          <w:rFonts w:asciiTheme="minorBidi" w:hAnsiTheme="minorBidi"/>
          <w:sz w:val="22"/>
          <w:szCs w:val="22"/>
        </w:rPr>
      </w:pPr>
      <w:r w:rsidRPr="00FA4216">
        <w:rPr>
          <w:rFonts w:asciiTheme="minorBidi" w:hAnsiTheme="minorBidi"/>
          <w:sz w:val="22"/>
          <w:szCs w:val="22"/>
        </w:rPr>
        <w:t>The study area is characterized by a gently undulating terrain consisting of low hills, gentle slopes, and shallow valleys, which allow relatively easy access for field investigations (Figure 3). The terrain lacks major escarpments or rugged topographic features, making it suitable for both remote sensing analysis and ground exploration activities.</w:t>
      </w:r>
    </w:p>
    <w:p w14:paraId="58025C73" w14:textId="77777777" w:rsidR="004B1F44" w:rsidRPr="00FA4216" w:rsidRDefault="004B1F44" w:rsidP="004B1F44">
      <w:pPr>
        <w:spacing w:after="160"/>
        <w:ind w:firstLine="432"/>
        <w:rPr>
          <w:rFonts w:asciiTheme="minorBidi" w:hAnsiTheme="minorBidi"/>
          <w:sz w:val="22"/>
          <w:szCs w:val="22"/>
        </w:rPr>
      </w:pPr>
      <w:r w:rsidRPr="00FA4216">
        <w:rPr>
          <w:rFonts w:asciiTheme="minorBidi" w:hAnsiTheme="minorBidi"/>
          <w:sz w:val="22"/>
          <w:szCs w:val="22"/>
        </w:rPr>
        <w:t>Digital Elevation Model (DEM) analysis indicates elevation values ranging from about 224 m to 232 m above sea level, confirming the generally low-relief nature of the area. Lower elevations occur mainly in the northern and northeastern parts, which may serve as drainage channels and possible zones for secondary mineral concentration, while slightly higher elevations in the southern and southwestern parts may represent bedrock exposures favorable for primary mineralization.</w:t>
      </w:r>
    </w:p>
    <w:p w14:paraId="6DA187AF" w14:textId="77777777" w:rsidR="004B1F44" w:rsidRPr="00FA4216" w:rsidRDefault="004B1F44" w:rsidP="004B1F44">
      <w:pPr>
        <w:spacing w:after="160"/>
        <w:ind w:firstLine="432"/>
        <w:rPr>
          <w:rFonts w:asciiTheme="minorBidi" w:hAnsiTheme="minorBidi"/>
          <w:sz w:val="22"/>
          <w:szCs w:val="22"/>
        </w:rPr>
      </w:pPr>
      <w:r w:rsidRPr="00FA4216">
        <w:rPr>
          <w:rFonts w:asciiTheme="minorBidi" w:hAnsiTheme="minorBidi"/>
          <w:sz w:val="22"/>
          <w:szCs w:val="22"/>
        </w:rPr>
        <w:t>Drainage in the area is mainly controlled by seasonal streams forming a dendritic pattern and largely dependent on rainfall. The general south-to-north slope of the terrain influences surface runoff, erosion, and sediment redistribution within the license area.</w:t>
      </w:r>
    </w:p>
    <w:p w14:paraId="68DF3198" w14:textId="77777777" w:rsidR="004B1F44" w:rsidRPr="00FA4216" w:rsidRDefault="00AC0377" w:rsidP="00AC0377">
      <w:pPr>
        <w:spacing w:after="160" w:line="278" w:lineRule="auto"/>
        <w:jc w:val="center"/>
        <w:rPr>
          <w:rFonts w:asciiTheme="minorBidi" w:hAnsiTheme="minorBidi"/>
          <w:sz w:val="22"/>
          <w:szCs w:val="22"/>
        </w:rPr>
      </w:pPr>
      <w:r w:rsidRPr="00FA4216">
        <w:rPr>
          <w:rFonts w:asciiTheme="minorBidi" w:hAnsiTheme="minorBidi"/>
          <w:noProof/>
          <w:sz w:val="22"/>
          <w:szCs w:val="22"/>
        </w:rPr>
        <w:drawing>
          <wp:inline distT="0" distB="0" distL="0" distR="0" wp14:anchorId="3DE9AD23" wp14:editId="48A3FE5E">
            <wp:extent cx="5775325" cy="4461510"/>
            <wp:effectExtent l="19050" t="19050" r="15875" b="15240"/>
            <wp:docPr id="922428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0881" cy="4488977"/>
                    </a:xfrm>
                    <a:prstGeom prst="rect">
                      <a:avLst/>
                    </a:prstGeom>
                    <a:noFill/>
                    <a:ln w="12700">
                      <a:solidFill>
                        <a:schemeClr val="tx1"/>
                      </a:solidFill>
                    </a:ln>
                  </pic:spPr>
                </pic:pic>
              </a:graphicData>
            </a:graphic>
          </wp:inline>
        </w:drawing>
      </w:r>
    </w:p>
    <w:p w14:paraId="557E7925" w14:textId="77777777" w:rsidR="004B1F44" w:rsidRPr="00FA4216" w:rsidRDefault="004B1F44" w:rsidP="004B1F44">
      <w:pPr>
        <w:jc w:val="center"/>
        <w:rPr>
          <w:rFonts w:asciiTheme="minorBidi" w:hAnsiTheme="minorBidi"/>
          <w:sz w:val="22"/>
          <w:szCs w:val="22"/>
        </w:rPr>
      </w:pPr>
      <w:r w:rsidRPr="00FA4216">
        <w:rPr>
          <w:rFonts w:asciiTheme="minorBidi" w:hAnsiTheme="minorBidi"/>
          <w:b/>
          <w:bCs/>
          <w:sz w:val="22"/>
          <w:szCs w:val="22"/>
        </w:rPr>
        <w:t>Figure 3</w:t>
      </w:r>
      <w:r w:rsidRPr="00FA4216">
        <w:rPr>
          <w:rFonts w:asciiTheme="minorBidi" w:hAnsiTheme="minorBidi"/>
          <w:sz w:val="22"/>
          <w:szCs w:val="22"/>
        </w:rPr>
        <w:t xml:space="preserve">: </w:t>
      </w:r>
      <w:r w:rsidRPr="00FA4216">
        <w:rPr>
          <w:rFonts w:asciiTheme="minorBidi" w:hAnsiTheme="minorBidi"/>
          <w:i/>
          <w:iCs/>
          <w:sz w:val="22"/>
          <w:szCs w:val="22"/>
        </w:rPr>
        <w:t>Topographic Map of the Study Area</w:t>
      </w:r>
    </w:p>
    <w:p w14:paraId="6FFA73FA" w14:textId="77777777" w:rsidR="00AC0377" w:rsidRPr="00FA4216" w:rsidRDefault="00AC0377" w:rsidP="004B1F44">
      <w:pPr>
        <w:pStyle w:val="Heading1"/>
        <w:rPr>
          <w:rFonts w:cstheme="minorBidi"/>
          <w:szCs w:val="22"/>
        </w:rPr>
      </w:pPr>
      <w:r w:rsidRPr="00FA4216">
        <w:rPr>
          <w:rFonts w:cstheme="minorBidi"/>
          <w:szCs w:val="22"/>
        </w:rPr>
        <w:lastRenderedPageBreak/>
        <w:t>3. Geological Setting</w:t>
      </w:r>
    </w:p>
    <w:p w14:paraId="76404177" w14:textId="77777777" w:rsidR="004B1F44" w:rsidRPr="00FA4216" w:rsidRDefault="00AC0377" w:rsidP="000E42FF">
      <w:pPr>
        <w:pStyle w:val="Heading2"/>
        <w:rPr>
          <w:rFonts w:cstheme="minorBidi"/>
          <w:szCs w:val="22"/>
        </w:rPr>
      </w:pPr>
      <w:r w:rsidRPr="00FA4216">
        <w:rPr>
          <w:rFonts w:cstheme="minorBidi"/>
          <w:szCs w:val="22"/>
        </w:rPr>
        <w:t>3.1 Regional Geology</w:t>
      </w:r>
    </w:p>
    <w:p w14:paraId="1A1C77FB" w14:textId="77777777" w:rsidR="000E42FF" w:rsidRPr="00FA4216" w:rsidRDefault="000E42FF" w:rsidP="000E42FF">
      <w:pPr>
        <w:ind w:firstLine="432"/>
        <w:rPr>
          <w:rFonts w:asciiTheme="minorBidi" w:hAnsiTheme="minorBidi"/>
          <w:sz w:val="22"/>
          <w:szCs w:val="22"/>
        </w:rPr>
      </w:pPr>
      <w:r w:rsidRPr="00FA4216">
        <w:rPr>
          <w:rFonts w:asciiTheme="minorBidi" w:hAnsiTheme="minorBidi"/>
          <w:sz w:val="22"/>
          <w:szCs w:val="22"/>
        </w:rPr>
        <w:t>The study area is located within Borgu Local Government Area of Niger State, Nigeria, and forms part of the Nigerian Basement Complex of the Pan-African Mobile Belt (Figure 4). This terrain was extensively reworked during the Pan-African Orogeny (~600 ± 150 Ma) and is dominated by Precambrian crystalline rocks such as migmatites, gneisses, schists, and granitoids that experienced multiple phases of deformation, metamorphism, and magmatic intrusion (</w:t>
      </w:r>
      <w:proofErr w:type="spellStart"/>
      <w:r w:rsidRPr="00FA4216">
        <w:rPr>
          <w:rFonts w:asciiTheme="minorBidi" w:hAnsiTheme="minorBidi"/>
          <w:sz w:val="22"/>
          <w:szCs w:val="22"/>
        </w:rPr>
        <w:t>Akingboye</w:t>
      </w:r>
      <w:proofErr w:type="spellEnd"/>
      <w:r w:rsidRPr="00FA4216">
        <w:rPr>
          <w:rFonts w:asciiTheme="minorBidi" w:hAnsiTheme="minorBidi"/>
          <w:sz w:val="22"/>
          <w:szCs w:val="22"/>
        </w:rPr>
        <w:t xml:space="preserve"> and </w:t>
      </w:r>
      <w:proofErr w:type="spellStart"/>
      <w:r w:rsidRPr="00FA4216">
        <w:rPr>
          <w:rFonts w:asciiTheme="minorBidi" w:hAnsiTheme="minorBidi"/>
          <w:sz w:val="22"/>
          <w:szCs w:val="22"/>
        </w:rPr>
        <w:t>Osazua</w:t>
      </w:r>
      <w:proofErr w:type="spellEnd"/>
      <w:r w:rsidRPr="00FA4216">
        <w:rPr>
          <w:rFonts w:asciiTheme="minorBidi" w:hAnsiTheme="minorBidi"/>
          <w:sz w:val="22"/>
          <w:szCs w:val="22"/>
        </w:rPr>
        <w:t xml:space="preserve">, 2016; </w:t>
      </w:r>
      <w:proofErr w:type="spellStart"/>
      <w:r w:rsidRPr="00FA4216">
        <w:rPr>
          <w:rFonts w:asciiTheme="minorBidi" w:hAnsiTheme="minorBidi"/>
          <w:sz w:val="22"/>
          <w:szCs w:val="22"/>
        </w:rPr>
        <w:t>Ekeleme</w:t>
      </w:r>
      <w:proofErr w:type="spellEnd"/>
      <w:r w:rsidRPr="00FA4216">
        <w:rPr>
          <w:rFonts w:asciiTheme="minorBidi" w:hAnsiTheme="minorBidi"/>
          <w:sz w:val="22"/>
          <w:szCs w:val="22"/>
        </w:rPr>
        <w:t xml:space="preserve"> et al., 2024).</w:t>
      </w:r>
    </w:p>
    <w:p w14:paraId="51339480" w14:textId="77777777" w:rsidR="000E42FF" w:rsidRPr="00FA4216" w:rsidRDefault="000E42FF" w:rsidP="000E42FF">
      <w:pPr>
        <w:ind w:firstLine="432"/>
        <w:rPr>
          <w:rFonts w:asciiTheme="minorBidi" w:hAnsiTheme="minorBidi"/>
          <w:sz w:val="22"/>
          <w:szCs w:val="22"/>
        </w:rPr>
      </w:pPr>
      <w:r w:rsidRPr="00FA4216">
        <w:rPr>
          <w:rFonts w:asciiTheme="minorBidi" w:hAnsiTheme="minorBidi"/>
          <w:sz w:val="22"/>
          <w:szCs w:val="22"/>
        </w:rPr>
        <w:t>The Nigerian Basement Complex is broadly subdivided into the Migmatite-Gneiss Complex, the Schist Belts, and the Pan-African Older Granite suite (</w:t>
      </w:r>
      <w:proofErr w:type="spellStart"/>
      <w:r w:rsidRPr="00FA4216">
        <w:rPr>
          <w:rFonts w:asciiTheme="minorBidi" w:hAnsiTheme="minorBidi"/>
          <w:sz w:val="22"/>
          <w:szCs w:val="22"/>
        </w:rPr>
        <w:t>Oyawoye</w:t>
      </w:r>
      <w:proofErr w:type="spellEnd"/>
      <w:r w:rsidRPr="00FA4216">
        <w:rPr>
          <w:rFonts w:asciiTheme="minorBidi" w:hAnsiTheme="minorBidi"/>
          <w:sz w:val="22"/>
          <w:szCs w:val="22"/>
        </w:rPr>
        <w:t xml:space="preserve">, 1972; </w:t>
      </w:r>
      <w:proofErr w:type="spellStart"/>
      <w:r w:rsidRPr="00FA4216">
        <w:rPr>
          <w:rFonts w:asciiTheme="minorBidi" w:hAnsiTheme="minorBidi"/>
          <w:sz w:val="22"/>
          <w:szCs w:val="22"/>
        </w:rPr>
        <w:t>Rahaman</w:t>
      </w:r>
      <w:proofErr w:type="spellEnd"/>
      <w:r w:rsidRPr="00FA4216">
        <w:rPr>
          <w:rFonts w:asciiTheme="minorBidi" w:hAnsiTheme="minorBidi"/>
          <w:sz w:val="22"/>
          <w:szCs w:val="22"/>
        </w:rPr>
        <w:t>, 1988). These units record several tectono-metamorphic events and are associated with granitoid and pegmatitic intrusions that control the distribution of economically important mineralization.</w:t>
      </w:r>
    </w:p>
    <w:p w14:paraId="42D4D4CE" w14:textId="77777777" w:rsidR="000E42FF" w:rsidRPr="00FA4216" w:rsidRDefault="000E42FF" w:rsidP="000E42FF">
      <w:pPr>
        <w:ind w:firstLine="432"/>
        <w:rPr>
          <w:rFonts w:asciiTheme="minorBidi" w:hAnsiTheme="minorBidi"/>
          <w:sz w:val="22"/>
          <w:szCs w:val="22"/>
        </w:rPr>
      </w:pPr>
      <w:r w:rsidRPr="00FA4216">
        <w:rPr>
          <w:rFonts w:asciiTheme="minorBidi" w:hAnsiTheme="minorBidi"/>
          <w:sz w:val="22"/>
          <w:szCs w:val="22"/>
        </w:rPr>
        <w:t>Regionally, the Borgu area is dominated by migmatite-gneiss complexes and Pan-African granitoids intruded by pegmatite and quartz veins. These pegmatites are significant hosts for rare-metal mineralization including lithium-bearing minerals, beryl, and tourmaline (Küster, 1990; Chukwu and Obiora, 2021).</w:t>
      </w:r>
    </w:p>
    <w:p w14:paraId="79F4C8A9" w14:textId="77777777" w:rsidR="00AC0377" w:rsidRPr="00FA4216" w:rsidRDefault="00AC0377" w:rsidP="004B1F44">
      <w:pPr>
        <w:pStyle w:val="Heading2"/>
        <w:rPr>
          <w:rFonts w:cstheme="minorBidi"/>
          <w:szCs w:val="22"/>
        </w:rPr>
      </w:pPr>
      <w:r w:rsidRPr="00FA4216">
        <w:rPr>
          <w:rFonts w:cstheme="minorBidi"/>
          <w:szCs w:val="22"/>
        </w:rPr>
        <w:t>3.2 Local Geology</w:t>
      </w:r>
    </w:p>
    <w:p w14:paraId="3EC2F5D4" w14:textId="77777777" w:rsidR="000E42FF" w:rsidRPr="00FA4216" w:rsidRDefault="000E42FF" w:rsidP="000E42FF">
      <w:pPr>
        <w:ind w:firstLine="720"/>
        <w:rPr>
          <w:rFonts w:asciiTheme="minorBidi" w:hAnsiTheme="minorBidi"/>
          <w:sz w:val="22"/>
          <w:szCs w:val="22"/>
        </w:rPr>
      </w:pPr>
      <w:r w:rsidRPr="00FA4216">
        <w:rPr>
          <w:rFonts w:asciiTheme="minorBidi" w:hAnsiTheme="minorBidi"/>
          <w:sz w:val="22"/>
          <w:szCs w:val="22"/>
        </w:rPr>
        <w:t>The local geology of the study area is dominated by granite gneiss (Figure 4), a high-grade metamorphic rock of granitic origin characterized by well-developed gneissic foliation defined by alternating quartz-feldspar rich and ferromagnesian mineral bands.</w:t>
      </w:r>
    </w:p>
    <w:p w14:paraId="585D985C" w14:textId="77777777" w:rsidR="000E42FF" w:rsidRPr="00FA4216" w:rsidRDefault="000E42FF" w:rsidP="000E42FF">
      <w:pPr>
        <w:ind w:firstLine="720"/>
        <w:rPr>
          <w:rFonts w:asciiTheme="minorBidi" w:hAnsiTheme="minorBidi"/>
          <w:sz w:val="22"/>
          <w:szCs w:val="22"/>
        </w:rPr>
      </w:pPr>
      <w:r w:rsidRPr="00FA4216">
        <w:rPr>
          <w:rFonts w:asciiTheme="minorBidi" w:hAnsiTheme="minorBidi"/>
          <w:sz w:val="22"/>
          <w:szCs w:val="22"/>
        </w:rPr>
        <w:t>The granite gneiss forms the basement host for later pegmatite and quartz vein intrusions, which are important targets for rare-metal mineralization such as lithium, beryl, and tourmaline. Structural features such as fractures, joints, and shear zones within the gneiss also provide pathways for hydrothermal fluids responsible for quartz vein-hosted gold mineralization.</w:t>
      </w:r>
    </w:p>
    <w:p w14:paraId="19AAF32A" w14:textId="77777777" w:rsidR="00AC0377" w:rsidRPr="00FA4216" w:rsidRDefault="00AC0377" w:rsidP="00AC0377">
      <w:pPr>
        <w:ind w:firstLine="720"/>
        <w:rPr>
          <w:rFonts w:asciiTheme="minorBidi" w:hAnsiTheme="minorBidi"/>
          <w:sz w:val="22"/>
          <w:szCs w:val="22"/>
        </w:rPr>
      </w:pPr>
    </w:p>
    <w:p w14:paraId="4E3F61C2" w14:textId="77777777" w:rsidR="00AC0377" w:rsidRPr="00FA4216" w:rsidRDefault="00AC0377" w:rsidP="00AC0377">
      <w:pPr>
        <w:rPr>
          <w:rFonts w:asciiTheme="minorBidi" w:hAnsiTheme="minorBidi"/>
          <w:sz w:val="22"/>
          <w:szCs w:val="22"/>
        </w:rPr>
      </w:pPr>
    </w:p>
    <w:p w14:paraId="70961E99" w14:textId="77777777" w:rsidR="00AC0377" w:rsidRPr="00FA4216" w:rsidRDefault="00AC0377" w:rsidP="00AC0377">
      <w:pPr>
        <w:rPr>
          <w:rFonts w:asciiTheme="minorBidi" w:hAnsiTheme="minorBidi"/>
          <w:sz w:val="22"/>
          <w:szCs w:val="22"/>
        </w:rPr>
      </w:pPr>
      <w:r w:rsidRPr="00FA4216">
        <w:rPr>
          <w:rFonts w:asciiTheme="minorBidi" w:hAnsiTheme="minorBidi"/>
          <w:noProof/>
          <w:sz w:val="22"/>
          <w:szCs w:val="22"/>
        </w:rPr>
        <w:lastRenderedPageBreak/>
        <w:drawing>
          <wp:inline distT="0" distB="0" distL="0" distR="0" wp14:anchorId="56623024" wp14:editId="0FDDC6AC">
            <wp:extent cx="5703570" cy="5152390"/>
            <wp:effectExtent l="19050" t="19050" r="11430" b="10160"/>
            <wp:docPr id="14863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3652" cy="5152464"/>
                    </a:xfrm>
                    <a:prstGeom prst="rect">
                      <a:avLst/>
                    </a:prstGeom>
                    <a:noFill/>
                    <a:ln w="12700">
                      <a:solidFill>
                        <a:schemeClr val="tx1"/>
                      </a:solidFill>
                    </a:ln>
                  </pic:spPr>
                </pic:pic>
              </a:graphicData>
            </a:graphic>
          </wp:inline>
        </w:drawing>
      </w:r>
    </w:p>
    <w:p w14:paraId="4A20CC97" w14:textId="77777777" w:rsidR="00AC0377" w:rsidRPr="00FA4216" w:rsidRDefault="00AC0377" w:rsidP="00AC0377">
      <w:pPr>
        <w:jc w:val="center"/>
        <w:rPr>
          <w:rFonts w:asciiTheme="minorBidi" w:hAnsiTheme="minorBidi"/>
          <w:i/>
          <w:iCs/>
          <w:sz w:val="22"/>
          <w:szCs w:val="22"/>
        </w:rPr>
      </w:pPr>
      <w:r w:rsidRPr="00FA4216">
        <w:rPr>
          <w:rFonts w:asciiTheme="minorBidi" w:hAnsiTheme="minorBidi"/>
          <w:b/>
          <w:bCs/>
          <w:sz w:val="22"/>
          <w:szCs w:val="22"/>
        </w:rPr>
        <w:t>Figure 4</w:t>
      </w:r>
      <w:r w:rsidRPr="00FA4216">
        <w:rPr>
          <w:rFonts w:asciiTheme="minorBidi" w:hAnsiTheme="minorBidi"/>
          <w:i/>
          <w:iCs/>
          <w:sz w:val="22"/>
          <w:szCs w:val="22"/>
        </w:rPr>
        <w:t>: Geologic map of the study area showing the dominant Granite Genesis.</w:t>
      </w:r>
    </w:p>
    <w:p w14:paraId="6755A42E" w14:textId="77777777" w:rsidR="00AC0377" w:rsidRPr="00FA4216" w:rsidRDefault="00AC0377" w:rsidP="000E42FF">
      <w:pPr>
        <w:pStyle w:val="Heading2"/>
        <w:rPr>
          <w:rFonts w:cstheme="minorBidi"/>
          <w:szCs w:val="22"/>
        </w:rPr>
      </w:pPr>
      <w:r w:rsidRPr="00FA4216">
        <w:rPr>
          <w:rFonts w:cstheme="minorBidi"/>
          <w:szCs w:val="22"/>
        </w:rPr>
        <w:t>3.3 Mineralization Controls</w:t>
      </w:r>
    </w:p>
    <w:p w14:paraId="5B88650E" w14:textId="77777777" w:rsidR="000E42FF" w:rsidRPr="00FA4216" w:rsidRDefault="000E42FF" w:rsidP="000E42FF">
      <w:pPr>
        <w:ind w:firstLine="720"/>
        <w:rPr>
          <w:rFonts w:asciiTheme="minorBidi" w:hAnsiTheme="minorBidi"/>
          <w:sz w:val="22"/>
          <w:szCs w:val="22"/>
        </w:rPr>
      </w:pPr>
      <w:r w:rsidRPr="00FA4216">
        <w:rPr>
          <w:rFonts w:asciiTheme="minorBidi" w:hAnsiTheme="minorBidi"/>
          <w:sz w:val="22"/>
          <w:szCs w:val="22"/>
        </w:rPr>
        <w:t xml:space="preserve">Mineralization within the study area is largely controlled by structural features and magmatic processes. Rare-metal pegmatites are typically emplaced along fractures, joints, and shear zones that act as conduits for mineralizing fluids (Cerny and </w:t>
      </w:r>
      <w:proofErr w:type="spellStart"/>
      <w:r w:rsidRPr="00FA4216">
        <w:rPr>
          <w:rFonts w:asciiTheme="minorBidi" w:hAnsiTheme="minorBidi"/>
          <w:sz w:val="22"/>
          <w:szCs w:val="22"/>
        </w:rPr>
        <w:t>Ercit</w:t>
      </w:r>
      <w:proofErr w:type="spellEnd"/>
      <w:r w:rsidRPr="00FA4216">
        <w:rPr>
          <w:rFonts w:asciiTheme="minorBidi" w:hAnsiTheme="minorBidi"/>
          <w:sz w:val="22"/>
          <w:szCs w:val="22"/>
        </w:rPr>
        <w:t>, 2005; London, 2008). Similarly, gold mineralization in basement terrains is structurally controlled and commonly occurs within quartz veins and deformation-related fracture systems (Groves et al., 1998; Goldfarb et al., 2001).</w:t>
      </w:r>
    </w:p>
    <w:p w14:paraId="1A99BCF4" w14:textId="77777777" w:rsidR="000E42FF" w:rsidRPr="00FA4216" w:rsidRDefault="000E42FF" w:rsidP="00133CD3">
      <w:pPr>
        <w:ind w:firstLine="720"/>
        <w:rPr>
          <w:rFonts w:asciiTheme="minorBidi" w:hAnsiTheme="minorBidi"/>
          <w:sz w:val="22"/>
          <w:szCs w:val="22"/>
        </w:rPr>
      </w:pPr>
      <w:r w:rsidRPr="00FA4216">
        <w:rPr>
          <w:rFonts w:asciiTheme="minorBidi" w:hAnsiTheme="minorBidi"/>
          <w:sz w:val="22"/>
          <w:szCs w:val="22"/>
        </w:rPr>
        <w:t xml:space="preserve">These geological conditions suggest significant potential for rare-metal pegmatite and structurally controlled gold mineralization in the Borgu area. The Lithium–Cesium–Tantalum (LCT) pegmatite family, which hosts lithium, beryl, and tourmaline, is commonly associated with evolved S-type granites and typically exhibits low magnetic signatures due to magnetite depletion (Cerny and </w:t>
      </w:r>
      <w:proofErr w:type="spellStart"/>
      <w:r w:rsidRPr="00FA4216">
        <w:rPr>
          <w:rFonts w:asciiTheme="minorBidi" w:hAnsiTheme="minorBidi"/>
          <w:sz w:val="22"/>
          <w:szCs w:val="22"/>
        </w:rPr>
        <w:t>Ercit</w:t>
      </w:r>
      <w:proofErr w:type="spellEnd"/>
      <w:r w:rsidRPr="00FA4216">
        <w:rPr>
          <w:rFonts w:asciiTheme="minorBidi" w:hAnsiTheme="minorBidi"/>
          <w:sz w:val="22"/>
          <w:szCs w:val="22"/>
        </w:rPr>
        <w:t>, 2005).</w:t>
      </w:r>
    </w:p>
    <w:p w14:paraId="16F2A194" w14:textId="77777777" w:rsidR="00AC0377" w:rsidRPr="00FA4216" w:rsidRDefault="00AC0377" w:rsidP="00133CD3">
      <w:pPr>
        <w:pStyle w:val="Heading1"/>
        <w:rPr>
          <w:rFonts w:cstheme="minorBidi"/>
          <w:szCs w:val="22"/>
        </w:rPr>
      </w:pPr>
      <w:r w:rsidRPr="00FA4216">
        <w:rPr>
          <w:rFonts w:cstheme="minorBidi"/>
          <w:szCs w:val="22"/>
        </w:rPr>
        <w:lastRenderedPageBreak/>
        <w:t>4. Methodology</w:t>
      </w:r>
    </w:p>
    <w:p w14:paraId="752D626F" w14:textId="77777777" w:rsidR="00AC0377" w:rsidRPr="00FA4216" w:rsidRDefault="00AC0377" w:rsidP="00133CD3">
      <w:pPr>
        <w:pStyle w:val="Heading2"/>
        <w:rPr>
          <w:rFonts w:cstheme="minorBidi"/>
          <w:szCs w:val="22"/>
        </w:rPr>
      </w:pPr>
      <w:r w:rsidRPr="00FA4216">
        <w:rPr>
          <w:rFonts w:cstheme="minorBidi"/>
          <w:szCs w:val="22"/>
        </w:rPr>
        <w:t>4.1 Data Acquisition</w:t>
      </w:r>
    </w:p>
    <w:p w14:paraId="69263AF3" w14:textId="77777777" w:rsidR="003D000A" w:rsidRPr="00FA4216" w:rsidRDefault="003D000A" w:rsidP="003D000A">
      <w:pPr>
        <w:ind w:firstLine="720"/>
        <w:rPr>
          <w:rFonts w:asciiTheme="minorBidi" w:hAnsiTheme="minorBidi"/>
          <w:sz w:val="22"/>
          <w:szCs w:val="22"/>
        </w:rPr>
      </w:pPr>
      <w:r w:rsidRPr="00FA4216">
        <w:rPr>
          <w:rFonts w:asciiTheme="minorBidi" w:hAnsiTheme="minorBidi"/>
          <w:sz w:val="22"/>
          <w:szCs w:val="22"/>
        </w:rPr>
        <w:t>This study adopted a desktop-based exploration approach using existing geoscientific datasets to evaluate the mineral potential of the exploration license area in Borgu LGA, Niger State. The datasets used include airborne geophysical data (aeromagnetic and radiometric), Landsat satellite imagery, Digital Elevation Model (DEM) data, and regional geological maps supported by published literature.</w:t>
      </w:r>
    </w:p>
    <w:p w14:paraId="7AB07B94" w14:textId="77777777" w:rsidR="00AC0377" w:rsidRPr="00FA4216" w:rsidRDefault="00AC0377" w:rsidP="00133CD3">
      <w:pPr>
        <w:pStyle w:val="Heading2"/>
        <w:rPr>
          <w:rFonts w:cstheme="minorBidi"/>
          <w:szCs w:val="22"/>
        </w:rPr>
      </w:pPr>
      <w:r w:rsidRPr="00FA4216">
        <w:rPr>
          <w:rFonts w:cstheme="minorBidi"/>
          <w:szCs w:val="22"/>
        </w:rPr>
        <w:t>4.2 Aeromagnetic Data Processing</w:t>
      </w:r>
    </w:p>
    <w:p w14:paraId="5F81CDE8" w14:textId="77777777" w:rsidR="003D000A" w:rsidRPr="00FA4216" w:rsidRDefault="003D000A" w:rsidP="003D000A">
      <w:pPr>
        <w:ind w:firstLine="720"/>
        <w:rPr>
          <w:rFonts w:asciiTheme="minorBidi" w:hAnsiTheme="minorBidi"/>
          <w:sz w:val="22"/>
          <w:szCs w:val="22"/>
        </w:rPr>
      </w:pPr>
      <w:r w:rsidRPr="00FA4216">
        <w:rPr>
          <w:rFonts w:asciiTheme="minorBidi" w:hAnsiTheme="minorBidi"/>
          <w:sz w:val="22"/>
          <w:szCs w:val="22"/>
        </w:rPr>
        <w:t>The aeromagnetic data were processed using several enhancement techniques to extract geological and structural information. Total Magnetic Intensity (TMI) was used to identify variations in subsurface magnetic properties and delineate lithological boundaries and intrusive bodies (Figure 5). The First Vertical Derivative (1VD) enhanced shallow magnetic features and structural contacts (Figure 6), while the Second Vertical Derivative (2VD) highlighted near-surface fractures and localized structures (Figure 7).</w:t>
      </w:r>
    </w:p>
    <w:p w14:paraId="11C521EA" w14:textId="77777777" w:rsidR="00AC0377" w:rsidRPr="00FA4216" w:rsidRDefault="003D000A" w:rsidP="003D000A">
      <w:pPr>
        <w:ind w:firstLine="720"/>
        <w:rPr>
          <w:rFonts w:asciiTheme="minorBidi" w:hAnsiTheme="minorBidi"/>
          <w:sz w:val="22"/>
          <w:szCs w:val="22"/>
        </w:rPr>
      </w:pPr>
      <w:r w:rsidRPr="00FA4216">
        <w:rPr>
          <w:rFonts w:asciiTheme="minorBidi" w:hAnsiTheme="minorBidi"/>
          <w:sz w:val="22"/>
          <w:szCs w:val="22"/>
        </w:rPr>
        <w:t>Source Parameter Imaging (SPI) was used to estimate the depth to magnetic sources (Figure 8). The Analytical Signal (AS) helped delineate magnetic source edges irrespective of magnetization direction (Figure 10), while the Tilt Derivative (TDR) was used to enhance structural features and fault geometries (Figure 11).</w:t>
      </w:r>
    </w:p>
    <w:p w14:paraId="52B2BF4F" w14:textId="77777777" w:rsidR="00AC0377" w:rsidRPr="00FA4216" w:rsidRDefault="00AC0377" w:rsidP="00133CD3">
      <w:pPr>
        <w:pStyle w:val="Heading2"/>
        <w:rPr>
          <w:rFonts w:cstheme="minorBidi"/>
          <w:szCs w:val="22"/>
        </w:rPr>
      </w:pPr>
      <w:r w:rsidRPr="00FA4216">
        <w:rPr>
          <w:rFonts w:cstheme="minorBidi"/>
          <w:szCs w:val="22"/>
        </w:rPr>
        <w:t>4.3 Remote Sensing Analysis</w:t>
      </w:r>
    </w:p>
    <w:p w14:paraId="2E622778" w14:textId="77777777" w:rsidR="003D000A" w:rsidRPr="00FA4216" w:rsidRDefault="003D000A" w:rsidP="003D000A">
      <w:pPr>
        <w:ind w:firstLine="720"/>
        <w:rPr>
          <w:rFonts w:asciiTheme="minorBidi" w:hAnsiTheme="minorBidi"/>
          <w:sz w:val="22"/>
          <w:szCs w:val="22"/>
        </w:rPr>
      </w:pPr>
      <w:r w:rsidRPr="00FA4216">
        <w:rPr>
          <w:rFonts w:asciiTheme="minorBidi" w:hAnsiTheme="minorBidi"/>
          <w:sz w:val="22"/>
          <w:szCs w:val="22"/>
        </w:rPr>
        <w:t xml:space="preserve">Landsat imagery was processed using image enhancement and band ratio techniques to identify lithological variations and hydrothermal alteration zones. The indices computed include Iron Oxide Index (Band 4/Band 2) for ferric minerals (Figure </w:t>
      </w:r>
      <w:r w:rsidR="0075542E" w:rsidRPr="00FA4216">
        <w:rPr>
          <w:rFonts w:asciiTheme="minorBidi" w:hAnsiTheme="minorBidi"/>
          <w:sz w:val="22"/>
          <w:szCs w:val="22"/>
        </w:rPr>
        <w:t>13</w:t>
      </w:r>
      <w:r w:rsidRPr="00FA4216">
        <w:rPr>
          <w:rFonts w:asciiTheme="minorBidi" w:hAnsiTheme="minorBidi"/>
          <w:sz w:val="22"/>
          <w:szCs w:val="22"/>
        </w:rPr>
        <w:t xml:space="preserve">), Clay Index (Band 6/Band 7) for hydroxyl-bearing minerals (Figure </w:t>
      </w:r>
      <w:r w:rsidR="0075542E" w:rsidRPr="00FA4216">
        <w:rPr>
          <w:rFonts w:asciiTheme="minorBidi" w:hAnsiTheme="minorBidi"/>
          <w:sz w:val="22"/>
          <w:szCs w:val="22"/>
        </w:rPr>
        <w:t>14</w:t>
      </w:r>
      <w:r w:rsidRPr="00FA4216">
        <w:rPr>
          <w:rFonts w:asciiTheme="minorBidi" w:hAnsiTheme="minorBidi"/>
          <w:sz w:val="22"/>
          <w:szCs w:val="22"/>
        </w:rPr>
        <w:t xml:space="preserve">), Ferric Iron Index for oxidation intensity (Figure </w:t>
      </w:r>
      <w:r w:rsidR="00CD5FDE" w:rsidRPr="00FA4216">
        <w:rPr>
          <w:rFonts w:asciiTheme="minorBidi" w:hAnsiTheme="minorBidi"/>
          <w:sz w:val="22"/>
          <w:szCs w:val="22"/>
        </w:rPr>
        <w:t>15</w:t>
      </w:r>
      <w:r w:rsidRPr="00FA4216">
        <w:rPr>
          <w:rFonts w:asciiTheme="minorBidi" w:hAnsiTheme="minorBidi"/>
          <w:sz w:val="22"/>
          <w:szCs w:val="22"/>
        </w:rPr>
        <w:t xml:space="preserve">), Ferrous Index (Band 6/Band 5) for ferrous minerals, Quartz Index for silicification zones (Figure </w:t>
      </w:r>
      <w:r w:rsidR="0075542E" w:rsidRPr="00FA4216">
        <w:rPr>
          <w:rFonts w:asciiTheme="minorBidi" w:hAnsiTheme="minorBidi"/>
          <w:sz w:val="22"/>
          <w:szCs w:val="22"/>
        </w:rPr>
        <w:t>14</w:t>
      </w:r>
      <w:r w:rsidRPr="00FA4216">
        <w:rPr>
          <w:rFonts w:asciiTheme="minorBidi" w:hAnsiTheme="minorBidi"/>
          <w:sz w:val="22"/>
          <w:szCs w:val="22"/>
        </w:rPr>
        <w:t xml:space="preserve">), and NDVI to assess vegetation influence on spectral responses (Figure </w:t>
      </w:r>
      <w:r w:rsidR="0075542E" w:rsidRPr="00FA4216">
        <w:rPr>
          <w:rFonts w:asciiTheme="minorBidi" w:hAnsiTheme="minorBidi"/>
          <w:sz w:val="22"/>
          <w:szCs w:val="22"/>
        </w:rPr>
        <w:t>18</w:t>
      </w:r>
      <w:r w:rsidRPr="00FA4216">
        <w:rPr>
          <w:rFonts w:asciiTheme="minorBidi" w:hAnsiTheme="minorBidi"/>
          <w:sz w:val="22"/>
          <w:szCs w:val="22"/>
        </w:rPr>
        <w:t>).</w:t>
      </w:r>
    </w:p>
    <w:p w14:paraId="06910468" w14:textId="77777777" w:rsidR="00AC0377" w:rsidRPr="00FA4216" w:rsidRDefault="00AC0377" w:rsidP="00133CD3">
      <w:pPr>
        <w:pStyle w:val="Heading2"/>
        <w:rPr>
          <w:rFonts w:cstheme="minorBidi"/>
          <w:szCs w:val="22"/>
        </w:rPr>
      </w:pPr>
      <w:r w:rsidRPr="00FA4216">
        <w:rPr>
          <w:rFonts w:cstheme="minorBidi"/>
          <w:szCs w:val="22"/>
        </w:rPr>
        <w:t>4.4 GIS Integration and Target Delineation</w:t>
      </w:r>
    </w:p>
    <w:p w14:paraId="0462CD25"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The results obtained from aeromagnetic interpretation, remote sensing analysis, and DEM evaluation were integrated within a Geographic Information System (GIS) environment. This integrated approach allowed for overlay and comparison of different datasets, including geological structures, lineaments, elevation data, and alteration indicators, to identify areas where these features coincide. Zones exhibiting favorable geological and structural characteristics were identified as potential exploration targets.</w:t>
      </w:r>
    </w:p>
    <w:p w14:paraId="5D64C33B" w14:textId="77777777" w:rsidR="00AC0377" w:rsidRPr="00FA4216" w:rsidRDefault="00AC0377" w:rsidP="00AC0377">
      <w:pPr>
        <w:rPr>
          <w:rFonts w:asciiTheme="minorBidi" w:hAnsiTheme="minorBidi"/>
          <w:sz w:val="22"/>
          <w:szCs w:val="22"/>
        </w:rPr>
      </w:pPr>
      <w:r w:rsidRPr="00FA4216">
        <w:rPr>
          <w:rFonts w:asciiTheme="minorBidi" w:hAnsiTheme="minorBidi"/>
          <w:sz w:val="22"/>
          <w:szCs w:val="22"/>
        </w:rPr>
        <w:br w:type="page"/>
      </w:r>
    </w:p>
    <w:p w14:paraId="7DA29083" w14:textId="77777777" w:rsidR="00AC0377" w:rsidRPr="00FA4216" w:rsidRDefault="00AC0377" w:rsidP="00CD5FDE">
      <w:pPr>
        <w:pStyle w:val="Heading1"/>
        <w:rPr>
          <w:rFonts w:cstheme="minorBidi"/>
          <w:szCs w:val="22"/>
        </w:rPr>
      </w:pPr>
      <w:r w:rsidRPr="00FA4216">
        <w:rPr>
          <w:rFonts w:cstheme="minorBidi"/>
          <w:szCs w:val="22"/>
        </w:rPr>
        <w:lastRenderedPageBreak/>
        <w:t>5. Results</w:t>
      </w:r>
    </w:p>
    <w:p w14:paraId="608EE8E0" w14:textId="77777777" w:rsidR="00AC0377" w:rsidRPr="00FA4216" w:rsidRDefault="00AC0377" w:rsidP="00CD5FDE">
      <w:pPr>
        <w:pStyle w:val="Heading2"/>
        <w:rPr>
          <w:rFonts w:cstheme="minorBidi"/>
          <w:szCs w:val="22"/>
        </w:rPr>
      </w:pPr>
      <w:r w:rsidRPr="00FA4216">
        <w:rPr>
          <w:rFonts w:cstheme="minorBidi"/>
          <w:szCs w:val="22"/>
        </w:rPr>
        <w:t>5.1 Aeromagnetic Interpretation</w:t>
      </w:r>
    </w:p>
    <w:p w14:paraId="6588B9CE" w14:textId="77777777" w:rsidR="00AC0377" w:rsidRPr="00FA4216" w:rsidRDefault="00AC0377" w:rsidP="00365F11">
      <w:pPr>
        <w:pStyle w:val="Heading3"/>
        <w:rPr>
          <w:rFonts w:cstheme="minorBidi"/>
          <w:szCs w:val="22"/>
        </w:rPr>
      </w:pPr>
      <w:r w:rsidRPr="00FA4216">
        <w:rPr>
          <w:rFonts w:cstheme="minorBidi"/>
          <w:szCs w:val="22"/>
        </w:rPr>
        <w:t>5.1.1 Total Magnetic Intensity (TMI)</w:t>
      </w:r>
    </w:p>
    <w:p w14:paraId="494D0B45"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The Total Magnetic Intensity map</w:t>
      </w:r>
      <w:r w:rsidR="00CD5FDE" w:rsidRPr="00FA4216">
        <w:rPr>
          <w:rFonts w:asciiTheme="minorBidi" w:hAnsiTheme="minorBidi"/>
          <w:sz w:val="22"/>
          <w:szCs w:val="22"/>
        </w:rPr>
        <w:t xml:space="preserve"> (Figure 5)</w:t>
      </w:r>
      <w:r w:rsidRPr="00FA4216">
        <w:rPr>
          <w:rFonts w:asciiTheme="minorBidi" w:hAnsiTheme="minorBidi"/>
          <w:sz w:val="22"/>
          <w:szCs w:val="22"/>
        </w:rPr>
        <w:t xml:space="preserve"> of the study area shows relatively low magnetic relief within the license area compared to high-intensity clusters to the northwest and southeast. This suggests the exploration license is underlain by a suite of non-magnetic rocks, likely metasediments (schists or phyllites) or highly fractionated, magnetite-poor S-type granites. These are the classic host environments for LCT pegmatites (Lithium-Cesium-Tantalum) because these melts are typically depleted in iron and magnetite. From an orogenic gold perspective, the EL sits in a magnetic low trough, a high-priority exploration signature as these lows often represent major crustal-scale shear zones where hydrothermal fluids have washed out the magnetite (magnetite destruction).</w:t>
      </w:r>
    </w:p>
    <w:p w14:paraId="2BB64470" w14:textId="77777777" w:rsidR="00AC0377" w:rsidRPr="00FA4216" w:rsidRDefault="00AC0377" w:rsidP="00AC0377">
      <w:pPr>
        <w:rPr>
          <w:rFonts w:asciiTheme="minorBidi" w:hAnsiTheme="minorBidi"/>
          <w:sz w:val="22"/>
          <w:szCs w:val="22"/>
        </w:rPr>
      </w:pPr>
    </w:p>
    <w:p w14:paraId="0A6C4585" w14:textId="77777777" w:rsidR="00AC0377" w:rsidRPr="00FA4216" w:rsidRDefault="00AC0377" w:rsidP="00AC0377">
      <w:pPr>
        <w:rPr>
          <w:rFonts w:asciiTheme="minorBidi" w:hAnsiTheme="minorBidi"/>
          <w:sz w:val="22"/>
          <w:szCs w:val="22"/>
        </w:rPr>
      </w:pPr>
      <w:r w:rsidRPr="00FA4216">
        <w:rPr>
          <w:rFonts w:asciiTheme="minorBidi" w:hAnsiTheme="minorBidi"/>
          <w:noProof/>
          <w:sz w:val="22"/>
          <w:szCs w:val="22"/>
        </w:rPr>
        <w:drawing>
          <wp:inline distT="0" distB="0" distL="0" distR="0" wp14:anchorId="4A1B760C" wp14:editId="1A8C81BA">
            <wp:extent cx="5668645" cy="4789170"/>
            <wp:effectExtent l="19050" t="19050" r="27305" b="11430"/>
            <wp:docPr id="20578508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1442" cy="4791533"/>
                    </a:xfrm>
                    <a:prstGeom prst="rect">
                      <a:avLst/>
                    </a:prstGeom>
                    <a:noFill/>
                    <a:ln w="12700">
                      <a:solidFill>
                        <a:schemeClr val="tx1"/>
                      </a:solidFill>
                    </a:ln>
                  </pic:spPr>
                </pic:pic>
              </a:graphicData>
            </a:graphic>
          </wp:inline>
        </w:drawing>
      </w:r>
    </w:p>
    <w:p w14:paraId="76B3C812" w14:textId="77777777" w:rsidR="00AC0377" w:rsidRPr="00FA4216" w:rsidRDefault="00AC0377" w:rsidP="00AC0377">
      <w:pPr>
        <w:jc w:val="center"/>
        <w:rPr>
          <w:rFonts w:asciiTheme="minorBidi" w:hAnsiTheme="minorBidi"/>
          <w:sz w:val="22"/>
          <w:szCs w:val="22"/>
        </w:rPr>
      </w:pPr>
      <w:r w:rsidRPr="00FA4216">
        <w:rPr>
          <w:rFonts w:asciiTheme="minorBidi" w:hAnsiTheme="minorBidi"/>
          <w:b/>
          <w:bCs/>
          <w:sz w:val="22"/>
          <w:szCs w:val="22"/>
        </w:rPr>
        <w:t>Figure 5</w:t>
      </w:r>
      <w:r w:rsidRPr="00FA4216">
        <w:rPr>
          <w:rFonts w:asciiTheme="minorBidi" w:hAnsiTheme="minorBidi"/>
          <w:i/>
          <w:iCs/>
          <w:sz w:val="22"/>
          <w:szCs w:val="22"/>
        </w:rPr>
        <w:t>: Total Magnetic Intensity</w:t>
      </w:r>
    </w:p>
    <w:p w14:paraId="6A0F42B0" w14:textId="77777777" w:rsidR="00AC0377" w:rsidRPr="00FA4216" w:rsidRDefault="00AC0377" w:rsidP="00365F11">
      <w:pPr>
        <w:pStyle w:val="Heading3"/>
        <w:rPr>
          <w:rFonts w:cstheme="minorBidi"/>
          <w:szCs w:val="22"/>
        </w:rPr>
      </w:pPr>
      <w:r w:rsidRPr="00FA4216">
        <w:rPr>
          <w:rFonts w:cstheme="minorBidi"/>
          <w:szCs w:val="22"/>
        </w:rPr>
        <w:lastRenderedPageBreak/>
        <w:t>5.1.2 Vertical Derivative Analysis</w:t>
      </w:r>
    </w:p>
    <w:p w14:paraId="667E465B"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The First Vertical Derivative (1VD) map</w:t>
      </w:r>
      <w:r w:rsidR="00CD5FDE" w:rsidRPr="00FA4216">
        <w:rPr>
          <w:rFonts w:asciiTheme="minorBidi" w:hAnsiTheme="minorBidi"/>
          <w:sz w:val="22"/>
          <w:szCs w:val="22"/>
        </w:rPr>
        <w:t xml:space="preserve"> (Figure 6)</w:t>
      </w:r>
      <w:r w:rsidRPr="00FA4216">
        <w:rPr>
          <w:rFonts w:asciiTheme="minorBidi" w:hAnsiTheme="minorBidi"/>
          <w:sz w:val="22"/>
          <w:szCs w:val="22"/>
        </w:rPr>
        <w:t xml:space="preserve"> reveals a series of distinct NE-SW trending linear features that represent the primary lithological contacts and major fault planes defining the architecture of the basement rocks. These 1VD lineaments are important indicators for pegmatite exploration as pegmatitic melts typically follow these regional structural grains. The Second Vertical Derivative (2VD) map</w:t>
      </w:r>
      <w:r w:rsidR="00CD5FDE" w:rsidRPr="00FA4216">
        <w:rPr>
          <w:rFonts w:asciiTheme="minorBidi" w:hAnsiTheme="minorBidi"/>
          <w:sz w:val="22"/>
          <w:szCs w:val="22"/>
        </w:rPr>
        <w:t xml:space="preserve"> (Figure 7)</w:t>
      </w:r>
      <w:r w:rsidRPr="00FA4216">
        <w:rPr>
          <w:rFonts w:asciiTheme="minorBidi" w:hAnsiTheme="minorBidi"/>
          <w:sz w:val="22"/>
          <w:szCs w:val="22"/>
        </w:rPr>
        <w:t xml:space="preserve"> shows that the major NE-SW corridor is composed of multiple, closely spaced parallel fractures and small-scale shears. This high level of structural lining is a classic signature for orogenic gold mineralization, with secondary and tertiary fractures providing the necessary surface area for hydrothermal fluid reactions.</w:t>
      </w:r>
    </w:p>
    <w:p w14:paraId="155E0AE5" w14:textId="77777777" w:rsidR="00AC0377" w:rsidRPr="00FA4216" w:rsidRDefault="00AC0377" w:rsidP="00AC0377">
      <w:pPr>
        <w:ind w:firstLine="720"/>
        <w:rPr>
          <w:rFonts w:asciiTheme="minorBidi" w:hAnsiTheme="minorBidi"/>
          <w:sz w:val="22"/>
          <w:szCs w:val="22"/>
        </w:rPr>
      </w:pPr>
    </w:p>
    <w:p w14:paraId="53D4B401" w14:textId="77777777" w:rsidR="00AC0377" w:rsidRPr="00FA4216" w:rsidRDefault="00AC0377" w:rsidP="00AC0377">
      <w:pPr>
        <w:rPr>
          <w:rFonts w:asciiTheme="minorBidi" w:hAnsiTheme="minorBidi"/>
          <w:sz w:val="22"/>
          <w:szCs w:val="22"/>
        </w:rPr>
      </w:pPr>
      <w:r w:rsidRPr="00FA4216">
        <w:rPr>
          <w:rFonts w:asciiTheme="minorBidi" w:hAnsiTheme="minorBidi"/>
          <w:noProof/>
          <w:sz w:val="22"/>
          <w:szCs w:val="22"/>
        </w:rPr>
        <w:drawing>
          <wp:inline distT="0" distB="0" distL="0" distR="0" wp14:anchorId="1B598E78" wp14:editId="55BB5986">
            <wp:extent cx="5600700" cy="5504180"/>
            <wp:effectExtent l="19050" t="19050" r="19050" b="20320"/>
            <wp:docPr id="6222952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0700" cy="5504180"/>
                    </a:xfrm>
                    <a:prstGeom prst="rect">
                      <a:avLst/>
                    </a:prstGeom>
                    <a:noFill/>
                    <a:ln w="12700">
                      <a:solidFill>
                        <a:schemeClr val="tx1"/>
                      </a:solidFill>
                    </a:ln>
                  </pic:spPr>
                </pic:pic>
              </a:graphicData>
            </a:graphic>
          </wp:inline>
        </w:drawing>
      </w:r>
    </w:p>
    <w:p w14:paraId="220A68C6" w14:textId="77777777" w:rsidR="00AC0377" w:rsidRPr="00FA4216" w:rsidRDefault="00AC0377" w:rsidP="00AC0377">
      <w:pPr>
        <w:jc w:val="center"/>
        <w:rPr>
          <w:rFonts w:asciiTheme="minorBidi" w:hAnsiTheme="minorBidi"/>
          <w:i/>
          <w:iCs/>
          <w:sz w:val="22"/>
          <w:szCs w:val="22"/>
        </w:rPr>
      </w:pPr>
      <w:r w:rsidRPr="00FA4216">
        <w:rPr>
          <w:rFonts w:asciiTheme="minorBidi" w:hAnsiTheme="minorBidi"/>
          <w:b/>
          <w:bCs/>
          <w:sz w:val="22"/>
          <w:szCs w:val="22"/>
        </w:rPr>
        <w:t>Figure 6</w:t>
      </w:r>
      <w:r w:rsidRPr="00FA4216">
        <w:rPr>
          <w:rFonts w:asciiTheme="minorBidi" w:hAnsiTheme="minorBidi"/>
          <w:i/>
          <w:iCs/>
          <w:sz w:val="22"/>
          <w:szCs w:val="22"/>
        </w:rPr>
        <w:t>: First Vertical Derivatives</w:t>
      </w:r>
    </w:p>
    <w:p w14:paraId="046248AD" w14:textId="77777777" w:rsidR="00AC0377" w:rsidRPr="00FA4216" w:rsidRDefault="00AC0377" w:rsidP="00AC0377">
      <w:pPr>
        <w:rPr>
          <w:rFonts w:asciiTheme="minorBidi" w:hAnsiTheme="minorBidi"/>
          <w:sz w:val="22"/>
          <w:szCs w:val="22"/>
        </w:rPr>
      </w:pPr>
    </w:p>
    <w:p w14:paraId="498AD908" w14:textId="77777777" w:rsidR="00AC0377" w:rsidRPr="00FA4216" w:rsidRDefault="00AC0377" w:rsidP="00AC0377">
      <w:pPr>
        <w:jc w:val="center"/>
        <w:rPr>
          <w:rFonts w:asciiTheme="minorBidi" w:hAnsiTheme="minorBidi"/>
          <w:sz w:val="22"/>
          <w:szCs w:val="22"/>
        </w:rPr>
      </w:pPr>
      <w:r w:rsidRPr="00FA4216">
        <w:rPr>
          <w:rFonts w:asciiTheme="minorBidi" w:hAnsiTheme="minorBidi"/>
          <w:noProof/>
          <w:sz w:val="22"/>
          <w:szCs w:val="22"/>
        </w:rPr>
        <w:lastRenderedPageBreak/>
        <w:drawing>
          <wp:inline distT="0" distB="0" distL="0" distR="0" wp14:anchorId="0F6651E9" wp14:editId="6360FE28">
            <wp:extent cx="5665470" cy="5970905"/>
            <wp:effectExtent l="19050" t="19050" r="11430" b="10795"/>
            <wp:docPr id="14684407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65842" cy="5971297"/>
                    </a:xfrm>
                    <a:prstGeom prst="rect">
                      <a:avLst/>
                    </a:prstGeom>
                    <a:noFill/>
                    <a:ln w="12700">
                      <a:solidFill>
                        <a:schemeClr val="tx1"/>
                      </a:solidFill>
                    </a:ln>
                  </pic:spPr>
                </pic:pic>
              </a:graphicData>
            </a:graphic>
          </wp:inline>
        </w:drawing>
      </w:r>
    </w:p>
    <w:p w14:paraId="6EB4ECFB" w14:textId="77777777" w:rsidR="00AC0377" w:rsidRPr="00FA4216" w:rsidRDefault="00AC0377" w:rsidP="00AC0377">
      <w:pPr>
        <w:jc w:val="center"/>
        <w:rPr>
          <w:rFonts w:asciiTheme="minorBidi" w:hAnsiTheme="minorBidi"/>
          <w:i/>
          <w:iCs/>
          <w:sz w:val="22"/>
          <w:szCs w:val="22"/>
        </w:rPr>
      </w:pPr>
      <w:r w:rsidRPr="00FA4216">
        <w:rPr>
          <w:rFonts w:asciiTheme="minorBidi" w:hAnsiTheme="minorBidi"/>
          <w:b/>
          <w:bCs/>
          <w:sz w:val="22"/>
          <w:szCs w:val="22"/>
        </w:rPr>
        <w:t>Figure 7</w:t>
      </w:r>
      <w:r w:rsidRPr="00FA4216">
        <w:rPr>
          <w:rFonts w:asciiTheme="minorBidi" w:hAnsiTheme="minorBidi"/>
          <w:i/>
          <w:iCs/>
          <w:sz w:val="22"/>
          <w:szCs w:val="22"/>
        </w:rPr>
        <w:t>: Second Vertical Derivatives</w:t>
      </w:r>
    </w:p>
    <w:p w14:paraId="2DF45AA9" w14:textId="77777777" w:rsidR="00AC0377" w:rsidRPr="00FA4216" w:rsidRDefault="00AC0377" w:rsidP="00AC0377">
      <w:pPr>
        <w:jc w:val="center"/>
        <w:rPr>
          <w:rFonts w:asciiTheme="minorBidi" w:hAnsiTheme="minorBidi"/>
          <w:i/>
          <w:iCs/>
          <w:sz w:val="22"/>
          <w:szCs w:val="22"/>
        </w:rPr>
      </w:pPr>
    </w:p>
    <w:p w14:paraId="1246DA71" w14:textId="77777777" w:rsidR="00AC0377" w:rsidRPr="00FA4216" w:rsidRDefault="00AC0377" w:rsidP="00AC0377">
      <w:pPr>
        <w:jc w:val="center"/>
        <w:rPr>
          <w:rFonts w:asciiTheme="minorBidi" w:hAnsiTheme="minorBidi"/>
          <w:i/>
          <w:iCs/>
          <w:sz w:val="22"/>
          <w:szCs w:val="22"/>
        </w:rPr>
      </w:pPr>
    </w:p>
    <w:p w14:paraId="4336DABF" w14:textId="77777777" w:rsidR="00AC0377" w:rsidRPr="00FA4216" w:rsidRDefault="00AC0377" w:rsidP="00AC0377">
      <w:pPr>
        <w:jc w:val="center"/>
        <w:rPr>
          <w:rFonts w:asciiTheme="minorBidi" w:hAnsiTheme="minorBidi"/>
          <w:i/>
          <w:iCs/>
          <w:sz w:val="22"/>
          <w:szCs w:val="22"/>
        </w:rPr>
      </w:pPr>
    </w:p>
    <w:p w14:paraId="2A72A5FB" w14:textId="77777777" w:rsidR="00AC0377" w:rsidRPr="00FA4216" w:rsidRDefault="00AC0377" w:rsidP="00AC0377">
      <w:pPr>
        <w:jc w:val="center"/>
        <w:rPr>
          <w:rFonts w:asciiTheme="minorBidi" w:hAnsiTheme="minorBidi"/>
          <w:i/>
          <w:iCs/>
          <w:sz w:val="22"/>
          <w:szCs w:val="22"/>
        </w:rPr>
      </w:pPr>
    </w:p>
    <w:p w14:paraId="0B566ACC" w14:textId="77777777" w:rsidR="00AC0377" w:rsidRPr="00FA4216" w:rsidRDefault="00AC0377" w:rsidP="00AC0377">
      <w:pPr>
        <w:jc w:val="center"/>
        <w:rPr>
          <w:rFonts w:asciiTheme="minorBidi" w:hAnsiTheme="minorBidi"/>
          <w:i/>
          <w:iCs/>
          <w:sz w:val="22"/>
          <w:szCs w:val="22"/>
        </w:rPr>
      </w:pPr>
    </w:p>
    <w:p w14:paraId="0D4BDB12" w14:textId="77777777" w:rsidR="00AC0377" w:rsidRPr="00FA4216" w:rsidRDefault="00AC0377" w:rsidP="00AC0377">
      <w:pPr>
        <w:jc w:val="center"/>
        <w:rPr>
          <w:rFonts w:asciiTheme="minorBidi" w:hAnsiTheme="minorBidi"/>
          <w:i/>
          <w:iCs/>
          <w:sz w:val="22"/>
          <w:szCs w:val="22"/>
        </w:rPr>
      </w:pPr>
    </w:p>
    <w:p w14:paraId="321FF58A" w14:textId="77777777" w:rsidR="00AC0377" w:rsidRPr="00FA4216" w:rsidRDefault="00AC0377" w:rsidP="00AC0377">
      <w:pPr>
        <w:jc w:val="center"/>
        <w:rPr>
          <w:rFonts w:asciiTheme="minorBidi" w:hAnsiTheme="minorBidi"/>
          <w:i/>
          <w:iCs/>
          <w:sz w:val="22"/>
          <w:szCs w:val="22"/>
        </w:rPr>
      </w:pPr>
    </w:p>
    <w:p w14:paraId="0F1B8B39" w14:textId="77777777" w:rsidR="00AC0377" w:rsidRPr="00FA4216" w:rsidRDefault="00AC0377" w:rsidP="00AC0377">
      <w:pPr>
        <w:jc w:val="center"/>
        <w:rPr>
          <w:rFonts w:asciiTheme="minorBidi" w:hAnsiTheme="minorBidi"/>
          <w:i/>
          <w:iCs/>
          <w:sz w:val="22"/>
          <w:szCs w:val="22"/>
        </w:rPr>
      </w:pPr>
    </w:p>
    <w:p w14:paraId="2EB8C640" w14:textId="77777777" w:rsidR="00AC0377" w:rsidRPr="00FA4216" w:rsidRDefault="00AC0377" w:rsidP="00CD5FDE">
      <w:pPr>
        <w:rPr>
          <w:rFonts w:asciiTheme="minorBidi" w:hAnsiTheme="minorBidi"/>
          <w:i/>
          <w:iCs/>
          <w:sz w:val="22"/>
          <w:szCs w:val="22"/>
        </w:rPr>
      </w:pPr>
    </w:p>
    <w:p w14:paraId="019A561A" w14:textId="77777777" w:rsidR="00AC0377" w:rsidRPr="00FA4216" w:rsidRDefault="00AC0377" w:rsidP="00365F11">
      <w:pPr>
        <w:pStyle w:val="Heading3"/>
        <w:rPr>
          <w:rFonts w:cstheme="minorBidi"/>
          <w:szCs w:val="22"/>
        </w:rPr>
      </w:pPr>
      <w:r w:rsidRPr="00FA4216">
        <w:rPr>
          <w:rFonts w:cstheme="minorBidi"/>
          <w:szCs w:val="22"/>
        </w:rPr>
        <w:lastRenderedPageBreak/>
        <w:t>5.1.3 Source Parameter Imaging (SPI)</w:t>
      </w:r>
    </w:p>
    <w:p w14:paraId="18E5D68D"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 xml:space="preserve">The </w:t>
      </w:r>
      <w:r w:rsidR="00CD5FDE" w:rsidRPr="00FA4216">
        <w:rPr>
          <w:rFonts w:asciiTheme="minorBidi" w:hAnsiTheme="minorBidi"/>
          <w:color w:val="auto"/>
          <w:sz w:val="22"/>
          <w:szCs w:val="22"/>
        </w:rPr>
        <w:t>Source Parameter Imaging</w:t>
      </w:r>
      <w:r w:rsidR="00CD5FDE" w:rsidRPr="00FA4216">
        <w:rPr>
          <w:rFonts w:asciiTheme="minorBidi" w:hAnsiTheme="minorBidi"/>
          <w:b/>
          <w:bCs/>
          <w:color w:val="auto"/>
          <w:sz w:val="22"/>
          <w:szCs w:val="22"/>
        </w:rPr>
        <w:t xml:space="preserve"> (</w:t>
      </w:r>
      <w:r w:rsidRPr="00FA4216">
        <w:rPr>
          <w:rFonts w:asciiTheme="minorBidi" w:hAnsiTheme="minorBidi"/>
          <w:sz w:val="22"/>
          <w:szCs w:val="22"/>
        </w:rPr>
        <w:t>SPI</w:t>
      </w:r>
      <w:r w:rsidR="00CD5FDE" w:rsidRPr="00FA4216">
        <w:rPr>
          <w:rFonts w:asciiTheme="minorBidi" w:hAnsiTheme="minorBidi"/>
          <w:sz w:val="22"/>
          <w:szCs w:val="22"/>
        </w:rPr>
        <w:t>)</w:t>
      </w:r>
      <w:r w:rsidRPr="00FA4216">
        <w:rPr>
          <w:rFonts w:asciiTheme="minorBidi" w:hAnsiTheme="minorBidi"/>
          <w:sz w:val="22"/>
          <w:szCs w:val="22"/>
        </w:rPr>
        <w:t xml:space="preserve"> map </w:t>
      </w:r>
      <w:r w:rsidR="00CD5FDE" w:rsidRPr="00FA4216">
        <w:rPr>
          <w:rFonts w:asciiTheme="minorBidi" w:hAnsiTheme="minorBidi"/>
          <w:sz w:val="22"/>
          <w:szCs w:val="22"/>
        </w:rPr>
        <w:t xml:space="preserve">(Figure 8) </w:t>
      </w:r>
      <w:r w:rsidRPr="00FA4216">
        <w:rPr>
          <w:rFonts w:asciiTheme="minorBidi" w:hAnsiTheme="minorBidi"/>
          <w:sz w:val="22"/>
          <w:szCs w:val="22"/>
        </w:rPr>
        <w:t>provides critical depth-to-source estimates for magnetic features within the study area. It indicates that the magnetic basement is relatively shallow, ranging between 120 m and 180 m. This is an encouraging depth as it suggests that any mineralization associated with the basement-cover interface or shallow intrusive bodies is within reach of standard drilling. The shallowest signatures are concentrated on the western flank of the license, representing priority areas for trenching or pitting where cover material is likely thinnest.</w:t>
      </w:r>
    </w:p>
    <w:p w14:paraId="44648E0E" w14:textId="77777777" w:rsidR="00AC0377" w:rsidRPr="00FA4216" w:rsidRDefault="00AC0377" w:rsidP="00AC0377">
      <w:pPr>
        <w:rPr>
          <w:rFonts w:asciiTheme="minorBidi" w:hAnsiTheme="minorBidi"/>
          <w:sz w:val="22"/>
          <w:szCs w:val="22"/>
        </w:rPr>
      </w:pPr>
    </w:p>
    <w:p w14:paraId="60AA8238" w14:textId="77777777" w:rsidR="00AC0377" w:rsidRPr="00FA4216" w:rsidRDefault="00AC0377" w:rsidP="00AC0377">
      <w:pPr>
        <w:rPr>
          <w:rFonts w:asciiTheme="minorBidi" w:hAnsiTheme="minorBidi"/>
          <w:sz w:val="22"/>
          <w:szCs w:val="22"/>
        </w:rPr>
      </w:pPr>
    </w:p>
    <w:p w14:paraId="0852794F" w14:textId="77777777" w:rsidR="00AC0377" w:rsidRPr="00FA4216" w:rsidRDefault="00AC0377" w:rsidP="00AC0377">
      <w:pPr>
        <w:rPr>
          <w:rFonts w:asciiTheme="minorBidi" w:hAnsiTheme="minorBidi"/>
          <w:sz w:val="22"/>
          <w:szCs w:val="22"/>
        </w:rPr>
      </w:pPr>
      <w:r w:rsidRPr="00FA4216">
        <w:rPr>
          <w:rFonts w:asciiTheme="minorBidi" w:hAnsiTheme="minorBidi"/>
          <w:noProof/>
          <w:sz w:val="22"/>
          <w:szCs w:val="22"/>
        </w:rPr>
        <w:drawing>
          <wp:inline distT="0" distB="0" distL="0" distR="0" wp14:anchorId="1B032C4F" wp14:editId="63C79C21">
            <wp:extent cx="5903429" cy="5669280"/>
            <wp:effectExtent l="19050" t="19050" r="21590" b="26670"/>
            <wp:docPr id="18128711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3429" cy="5669280"/>
                    </a:xfrm>
                    <a:prstGeom prst="rect">
                      <a:avLst/>
                    </a:prstGeom>
                    <a:noFill/>
                    <a:ln w="12700">
                      <a:solidFill>
                        <a:schemeClr val="tx1"/>
                      </a:solidFill>
                    </a:ln>
                  </pic:spPr>
                </pic:pic>
              </a:graphicData>
            </a:graphic>
          </wp:inline>
        </w:drawing>
      </w:r>
    </w:p>
    <w:p w14:paraId="5F0492CE" w14:textId="77777777" w:rsidR="00AC0377" w:rsidRPr="00FA4216" w:rsidRDefault="00AC0377" w:rsidP="00AC0377">
      <w:pPr>
        <w:ind w:left="720"/>
        <w:jc w:val="center"/>
        <w:rPr>
          <w:rFonts w:asciiTheme="minorBidi" w:hAnsiTheme="minorBidi"/>
          <w:i/>
          <w:iCs/>
          <w:sz w:val="22"/>
          <w:szCs w:val="22"/>
        </w:rPr>
      </w:pPr>
      <w:r w:rsidRPr="00FA4216">
        <w:rPr>
          <w:rFonts w:asciiTheme="minorBidi" w:hAnsiTheme="minorBidi"/>
          <w:b/>
          <w:bCs/>
          <w:sz w:val="22"/>
          <w:szCs w:val="22"/>
        </w:rPr>
        <w:t>Figure 8</w:t>
      </w:r>
      <w:r w:rsidRPr="00FA4216">
        <w:rPr>
          <w:rFonts w:asciiTheme="minorBidi" w:hAnsiTheme="minorBidi"/>
          <w:i/>
          <w:iCs/>
          <w:sz w:val="22"/>
          <w:szCs w:val="22"/>
        </w:rPr>
        <w:t>: Source Parameter Imaging</w:t>
      </w:r>
    </w:p>
    <w:p w14:paraId="4D80D123" w14:textId="77777777" w:rsidR="00AC0377" w:rsidRPr="00FA4216" w:rsidRDefault="00AC0377" w:rsidP="00365F11">
      <w:pPr>
        <w:pStyle w:val="Heading3"/>
        <w:rPr>
          <w:rFonts w:cstheme="minorBidi"/>
          <w:szCs w:val="22"/>
        </w:rPr>
      </w:pPr>
      <w:r w:rsidRPr="00FA4216">
        <w:rPr>
          <w:rFonts w:cstheme="minorBidi"/>
          <w:szCs w:val="22"/>
        </w:rPr>
        <w:lastRenderedPageBreak/>
        <w:t>5.1.4 Radiometric Data</w:t>
      </w:r>
    </w:p>
    <w:p w14:paraId="61E3FF8F"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The radiometric signature within the license area provides compelling evidence for lithium and beryl prospecting. The area is dominated by a cyan-to-white color on the K-Th-U ternary map</w:t>
      </w:r>
      <w:r w:rsidR="00CD5FDE" w:rsidRPr="00FA4216">
        <w:rPr>
          <w:rFonts w:asciiTheme="minorBidi" w:hAnsiTheme="minorBidi"/>
          <w:sz w:val="22"/>
          <w:szCs w:val="22"/>
        </w:rPr>
        <w:t xml:space="preserve"> (Figure 9)</w:t>
      </w:r>
      <w:r w:rsidRPr="00FA4216">
        <w:rPr>
          <w:rFonts w:asciiTheme="minorBidi" w:hAnsiTheme="minorBidi"/>
          <w:sz w:val="22"/>
          <w:szCs w:val="22"/>
        </w:rPr>
        <w:t>, indicating strong enrichment in Potassium (K) and Thorium (Th). In the Nigerian Basement Complex, this specific ternary signature typically identifies evolved granitic facies or pegmatitic swarms that have intruded the metasedimentary host rock. The white zones represent areas where K, Th, and U are all elevated simultaneously, a key indicator for highly fractionated pegmatites.</w:t>
      </w:r>
    </w:p>
    <w:p w14:paraId="02CFF49C" w14:textId="77777777" w:rsidR="00AC0377" w:rsidRPr="00FA4216" w:rsidRDefault="00AC0377" w:rsidP="00AC0377">
      <w:pPr>
        <w:ind w:firstLine="720"/>
        <w:rPr>
          <w:rFonts w:asciiTheme="minorBidi" w:hAnsiTheme="minorBidi"/>
          <w:sz w:val="22"/>
          <w:szCs w:val="22"/>
        </w:rPr>
      </w:pPr>
    </w:p>
    <w:p w14:paraId="7EE7A81C" w14:textId="77777777" w:rsidR="00AC0377" w:rsidRPr="00FA4216" w:rsidRDefault="00AC0377" w:rsidP="00AC0377">
      <w:pPr>
        <w:ind w:firstLine="720"/>
        <w:rPr>
          <w:rFonts w:asciiTheme="minorBidi" w:hAnsiTheme="minorBidi"/>
          <w:sz w:val="22"/>
          <w:szCs w:val="22"/>
        </w:rPr>
      </w:pPr>
    </w:p>
    <w:p w14:paraId="18293728" w14:textId="77777777" w:rsidR="00AC0377" w:rsidRPr="00FA4216" w:rsidRDefault="00AC0377" w:rsidP="00AC0377">
      <w:pPr>
        <w:rPr>
          <w:rFonts w:asciiTheme="minorBidi" w:hAnsiTheme="minorBidi"/>
          <w:sz w:val="22"/>
          <w:szCs w:val="22"/>
        </w:rPr>
      </w:pPr>
      <w:r w:rsidRPr="00FA4216">
        <w:rPr>
          <w:rFonts w:asciiTheme="minorBidi" w:hAnsiTheme="minorBidi"/>
          <w:noProof/>
          <w:sz w:val="22"/>
          <w:szCs w:val="22"/>
        </w:rPr>
        <w:drawing>
          <wp:inline distT="0" distB="0" distL="0" distR="0" wp14:anchorId="7BBD7820" wp14:editId="2EB6512C">
            <wp:extent cx="5731510" cy="5252085"/>
            <wp:effectExtent l="19050" t="19050" r="21590" b="24765"/>
            <wp:docPr id="14111013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5252085"/>
                    </a:xfrm>
                    <a:prstGeom prst="rect">
                      <a:avLst/>
                    </a:prstGeom>
                    <a:noFill/>
                    <a:ln w="12700">
                      <a:solidFill>
                        <a:schemeClr val="tx1"/>
                      </a:solidFill>
                    </a:ln>
                  </pic:spPr>
                </pic:pic>
              </a:graphicData>
            </a:graphic>
          </wp:inline>
        </w:drawing>
      </w:r>
    </w:p>
    <w:p w14:paraId="0035C331" w14:textId="77777777" w:rsidR="00AC0377" w:rsidRPr="00FA4216" w:rsidRDefault="00AC0377" w:rsidP="00AC0377">
      <w:pPr>
        <w:ind w:left="720"/>
        <w:jc w:val="center"/>
        <w:rPr>
          <w:rFonts w:asciiTheme="minorBidi" w:hAnsiTheme="minorBidi"/>
          <w:i/>
          <w:iCs/>
          <w:sz w:val="22"/>
          <w:szCs w:val="22"/>
        </w:rPr>
      </w:pPr>
      <w:r w:rsidRPr="00FA4216">
        <w:rPr>
          <w:rFonts w:asciiTheme="minorBidi" w:hAnsiTheme="minorBidi"/>
          <w:b/>
          <w:bCs/>
          <w:sz w:val="22"/>
          <w:szCs w:val="22"/>
        </w:rPr>
        <w:t>Figure 9</w:t>
      </w:r>
      <w:r w:rsidRPr="00FA4216">
        <w:rPr>
          <w:rFonts w:asciiTheme="minorBidi" w:hAnsiTheme="minorBidi"/>
          <w:i/>
          <w:iCs/>
          <w:sz w:val="22"/>
          <w:szCs w:val="22"/>
        </w:rPr>
        <w:t xml:space="preserve">: Radiometric </w:t>
      </w:r>
      <w:proofErr w:type="spellStart"/>
      <w:r w:rsidRPr="00FA4216">
        <w:rPr>
          <w:rFonts w:asciiTheme="minorBidi" w:hAnsiTheme="minorBidi"/>
          <w:i/>
          <w:iCs/>
          <w:sz w:val="22"/>
          <w:szCs w:val="22"/>
        </w:rPr>
        <w:t>Tenanry</w:t>
      </w:r>
      <w:proofErr w:type="spellEnd"/>
      <w:r w:rsidRPr="00FA4216">
        <w:rPr>
          <w:rFonts w:asciiTheme="minorBidi" w:hAnsiTheme="minorBidi"/>
          <w:i/>
          <w:iCs/>
          <w:sz w:val="22"/>
          <w:szCs w:val="22"/>
        </w:rPr>
        <w:t xml:space="preserve"> Image</w:t>
      </w:r>
    </w:p>
    <w:p w14:paraId="298DD11F" w14:textId="77777777" w:rsidR="00AC0377" w:rsidRPr="00FA4216" w:rsidRDefault="00AC0377" w:rsidP="00365F11">
      <w:pPr>
        <w:pStyle w:val="Heading3"/>
        <w:rPr>
          <w:rFonts w:cstheme="minorBidi"/>
          <w:szCs w:val="22"/>
        </w:rPr>
      </w:pPr>
      <w:r w:rsidRPr="00FA4216">
        <w:rPr>
          <w:rFonts w:cstheme="minorBidi"/>
          <w:szCs w:val="22"/>
        </w:rPr>
        <w:lastRenderedPageBreak/>
        <w:t>5.1.5 Analytical Signal (AS) Map</w:t>
      </w:r>
    </w:p>
    <w:p w14:paraId="409C4D15" w14:textId="77777777" w:rsidR="00AC0377" w:rsidRPr="00FA4216" w:rsidRDefault="00AC0377" w:rsidP="00AC0377">
      <w:pPr>
        <w:rPr>
          <w:rFonts w:asciiTheme="minorBidi" w:hAnsiTheme="minorBidi"/>
          <w:sz w:val="22"/>
          <w:szCs w:val="22"/>
        </w:rPr>
      </w:pPr>
      <w:r w:rsidRPr="00FA4216">
        <w:rPr>
          <w:rFonts w:asciiTheme="minorBidi" w:hAnsiTheme="minorBidi"/>
          <w:sz w:val="22"/>
          <w:szCs w:val="22"/>
        </w:rPr>
        <w:t>The Analytical Signal map</w:t>
      </w:r>
      <w:r w:rsidR="00CD5FDE" w:rsidRPr="00FA4216">
        <w:rPr>
          <w:rFonts w:asciiTheme="minorBidi" w:hAnsiTheme="minorBidi"/>
          <w:sz w:val="22"/>
          <w:szCs w:val="22"/>
        </w:rPr>
        <w:t xml:space="preserve"> (Figure 10)</w:t>
      </w:r>
      <w:r w:rsidRPr="00FA4216">
        <w:rPr>
          <w:rFonts w:asciiTheme="minorBidi" w:hAnsiTheme="minorBidi"/>
          <w:sz w:val="22"/>
          <w:szCs w:val="22"/>
        </w:rPr>
        <w:t xml:space="preserve"> confirms that the license area is a magnetic low zone, showing very low amplitudes compared to the surrounding basement. This is a positive sign for LCT pegmatite exploration, as it confirms the absence of massive mafic or magnetic intrusions within the license. However, the AS map does show very subtle, isolated highs along the western edge of the license area. These likely represent deeper magnetic basement features or small, buried mafic dykes. These features are important because they create rheological contrasts - harder rocks next to softer schists - which often provide the structural trap needed for gold mineralization.</w:t>
      </w:r>
    </w:p>
    <w:p w14:paraId="4745F70B" w14:textId="77777777" w:rsidR="00AC0377" w:rsidRPr="00FA4216" w:rsidRDefault="00AC0377" w:rsidP="00AC0377">
      <w:pPr>
        <w:rPr>
          <w:rFonts w:asciiTheme="minorBidi" w:hAnsiTheme="minorBidi"/>
          <w:sz w:val="22"/>
          <w:szCs w:val="22"/>
        </w:rPr>
      </w:pPr>
    </w:p>
    <w:p w14:paraId="622347B9" w14:textId="77777777" w:rsidR="00AC0377" w:rsidRPr="00FA4216" w:rsidRDefault="00AC0377" w:rsidP="00AC0377">
      <w:pPr>
        <w:jc w:val="center"/>
        <w:rPr>
          <w:rFonts w:asciiTheme="minorBidi" w:hAnsiTheme="minorBidi"/>
          <w:sz w:val="22"/>
          <w:szCs w:val="22"/>
        </w:rPr>
      </w:pPr>
      <w:r w:rsidRPr="00FA4216">
        <w:rPr>
          <w:rFonts w:asciiTheme="minorBidi" w:hAnsiTheme="minorBidi"/>
          <w:noProof/>
          <w:sz w:val="22"/>
          <w:szCs w:val="22"/>
        </w:rPr>
        <w:drawing>
          <wp:inline distT="0" distB="0" distL="0" distR="0" wp14:anchorId="2354CE0B" wp14:editId="0771334C">
            <wp:extent cx="5522563" cy="5303520"/>
            <wp:effectExtent l="19050" t="19050" r="21590" b="11430"/>
            <wp:docPr id="9463767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22563" cy="5303520"/>
                    </a:xfrm>
                    <a:prstGeom prst="rect">
                      <a:avLst/>
                    </a:prstGeom>
                    <a:noFill/>
                    <a:ln w="12700">
                      <a:solidFill>
                        <a:schemeClr val="tx1"/>
                      </a:solidFill>
                    </a:ln>
                  </pic:spPr>
                </pic:pic>
              </a:graphicData>
            </a:graphic>
          </wp:inline>
        </w:drawing>
      </w:r>
    </w:p>
    <w:p w14:paraId="7E835F2B" w14:textId="77777777" w:rsidR="00AC0377" w:rsidRPr="00FA4216" w:rsidRDefault="00AC0377" w:rsidP="00AC0377">
      <w:pPr>
        <w:ind w:left="720"/>
        <w:jc w:val="center"/>
        <w:rPr>
          <w:rFonts w:asciiTheme="minorBidi" w:hAnsiTheme="minorBidi"/>
          <w:i/>
          <w:iCs/>
          <w:sz w:val="22"/>
          <w:szCs w:val="22"/>
        </w:rPr>
      </w:pPr>
      <w:r w:rsidRPr="00FA4216">
        <w:rPr>
          <w:rFonts w:asciiTheme="minorBidi" w:hAnsiTheme="minorBidi"/>
          <w:b/>
          <w:bCs/>
          <w:sz w:val="22"/>
          <w:szCs w:val="22"/>
        </w:rPr>
        <w:t>Figure 10</w:t>
      </w:r>
      <w:r w:rsidRPr="00FA4216">
        <w:rPr>
          <w:rFonts w:asciiTheme="minorBidi" w:hAnsiTheme="minorBidi"/>
          <w:i/>
          <w:iCs/>
          <w:sz w:val="22"/>
          <w:szCs w:val="22"/>
        </w:rPr>
        <w:t>: Analytical Signal Map</w:t>
      </w:r>
    </w:p>
    <w:p w14:paraId="10E6E218" w14:textId="77777777" w:rsidR="00AC0377" w:rsidRPr="00FA4216" w:rsidRDefault="00AC0377" w:rsidP="00365F11">
      <w:pPr>
        <w:pStyle w:val="Heading3"/>
        <w:rPr>
          <w:rFonts w:cstheme="minorBidi"/>
          <w:szCs w:val="22"/>
        </w:rPr>
      </w:pPr>
      <w:r w:rsidRPr="00FA4216">
        <w:rPr>
          <w:rFonts w:cstheme="minorBidi"/>
          <w:szCs w:val="22"/>
        </w:rPr>
        <w:lastRenderedPageBreak/>
        <w:t>5.1.6 Tilt Derivative (TDR) Map</w:t>
      </w:r>
    </w:p>
    <w:p w14:paraId="047C74BC"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The Tilt Derivative equalizes the signal from both shallow and deep sources, revealing a structural kink or bend in the center of the license</w:t>
      </w:r>
      <w:r w:rsidR="00365F11" w:rsidRPr="00FA4216">
        <w:rPr>
          <w:rFonts w:asciiTheme="minorBidi" w:hAnsiTheme="minorBidi"/>
          <w:sz w:val="22"/>
          <w:szCs w:val="22"/>
        </w:rPr>
        <w:t xml:space="preserve"> (Figure 11)</w:t>
      </w:r>
      <w:r w:rsidRPr="00FA4216">
        <w:rPr>
          <w:rFonts w:asciiTheme="minorBidi" w:hAnsiTheme="minorBidi"/>
          <w:sz w:val="22"/>
          <w:szCs w:val="22"/>
        </w:rPr>
        <w:t>. This geometric anomaly suggests a localized zone of dilation where the NE-SW faults have been slightly rotated or offset. In orogenic gold systems, these are the primary targets because they represent low-pressure sites where mineral-bearing fluids are sucked in, causing gold and tourmaline to precipitate. This structural intersection in the middle of the license is a good target for ground-truth mapping and initial soil sampling.</w:t>
      </w:r>
    </w:p>
    <w:p w14:paraId="359704BF" w14:textId="77777777" w:rsidR="00AC0377" w:rsidRPr="00FA4216" w:rsidRDefault="00AC0377" w:rsidP="00AC0377">
      <w:pPr>
        <w:ind w:firstLine="720"/>
        <w:rPr>
          <w:rFonts w:asciiTheme="minorBidi" w:hAnsiTheme="minorBidi"/>
          <w:sz w:val="22"/>
          <w:szCs w:val="22"/>
        </w:rPr>
      </w:pPr>
    </w:p>
    <w:p w14:paraId="7D9DF2EB" w14:textId="77777777" w:rsidR="00AC0377" w:rsidRPr="00FA4216" w:rsidRDefault="00AC0377" w:rsidP="00AC0377">
      <w:pPr>
        <w:rPr>
          <w:rFonts w:asciiTheme="minorBidi" w:hAnsiTheme="minorBidi"/>
          <w:sz w:val="22"/>
          <w:szCs w:val="22"/>
        </w:rPr>
      </w:pPr>
      <w:r w:rsidRPr="00FA4216">
        <w:rPr>
          <w:rFonts w:asciiTheme="minorBidi" w:hAnsiTheme="minorBidi"/>
          <w:noProof/>
          <w:sz w:val="22"/>
          <w:szCs w:val="22"/>
        </w:rPr>
        <w:drawing>
          <wp:inline distT="0" distB="0" distL="0" distR="0" wp14:anchorId="1CC9A009" wp14:editId="7E0D404C">
            <wp:extent cx="5731510" cy="5504180"/>
            <wp:effectExtent l="19050" t="19050" r="21590" b="20320"/>
            <wp:docPr id="13739758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5504180"/>
                    </a:xfrm>
                    <a:prstGeom prst="rect">
                      <a:avLst/>
                    </a:prstGeom>
                    <a:noFill/>
                    <a:ln w="12700">
                      <a:solidFill>
                        <a:schemeClr val="tx1"/>
                      </a:solidFill>
                    </a:ln>
                  </pic:spPr>
                </pic:pic>
              </a:graphicData>
            </a:graphic>
          </wp:inline>
        </w:drawing>
      </w:r>
    </w:p>
    <w:p w14:paraId="2F7D11EA" w14:textId="77777777" w:rsidR="00AC0377" w:rsidRPr="00FA4216" w:rsidRDefault="00AC0377" w:rsidP="00AC0377">
      <w:pPr>
        <w:ind w:firstLine="720"/>
        <w:jc w:val="center"/>
        <w:rPr>
          <w:rFonts w:asciiTheme="minorBidi" w:hAnsiTheme="minorBidi"/>
          <w:i/>
          <w:iCs/>
          <w:sz w:val="22"/>
          <w:szCs w:val="22"/>
        </w:rPr>
      </w:pPr>
      <w:r w:rsidRPr="00FA4216">
        <w:rPr>
          <w:rFonts w:asciiTheme="minorBidi" w:hAnsiTheme="minorBidi"/>
          <w:b/>
          <w:bCs/>
          <w:sz w:val="22"/>
          <w:szCs w:val="22"/>
        </w:rPr>
        <w:t>Figure 11</w:t>
      </w:r>
      <w:r w:rsidRPr="00FA4216">
        <w:rPr>
          <w:rFonts w:asciiTheme="minorBidi" w:hAnsiTheme="minorBidi"/>
          <w:i/>
          <w:iCs/>
          <w:sz w:val="22"/>
          <w:szCs w:val="22"/>
        </w:rPr>
        <w:t>: TILT Derivatives Map</w:t>
      </w:r>
    </w:p>
    <w:p w14:paraId="6C251140" w14:textId="77777777" w:rsidR="00AC0377" w:rsidRPr="00FA4216" w:rsidRDefault="00AC0377" w:rsidP="00365F11">
      <w:pPr>
        <w:pStyle w:val="Heading3"/>
        <w:rPr>
          <w:rFonts w:cstheme="minorBidi"/>
          <w:szCs w:val="22"/>
        </w:rPr>
      </w:pPr>
      <w:r w:rsidRPr="00FA4216">
        <w:rPr>
          <w:rFonts w:cstheme="minorBidi"/>
          <w:szCs w:val="22"/>
        </w:rPr>
        <w:lastRenderedPageBreak/>
        <w:t>5.1.7 Lineament Map</w:t>
      </w:r>
    </w:p>
    <w:p w14:paraId="6513BCE2"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 xml:space="preserve">The Lineament Map </w:t>
      </w:r>
      <w:r w:rsidR="00CD5FDE" w:rsidRPr="00FA4216">
        <w:rPr>
          <w:rFonts w:asciiTheme="minorBidi" w:hAnsiTheme="minorBidi"/>
          <w:sz w:val="22"/>
          <w:szCs w:val="22"/>
        </w:rPr>
        <w:t>of</w:t>
      </w:r>
      <w:r w:rsidRPr="00FA4216">
        <w:rPr>
          <w:rFonts w:asciiTheme="minorBidi" w:hAnsiTheme="minorBidi"/>
          <w:sz w:val="22"/>
          <w:szCs w:val="22"/>
        </w:rPr>
        <w:t xml:space="preserve"> the study area highlights a prominent NE-SW structural grain</w:t>
      </w:r>
      <w:r w:rsidR="00CD5FDE" w:rsidRPr="00FA4216">
        <w:rPr>
          <w:rFonts w:asciiTheme="minorBidi" w:hAnsiTheme="minorBidi"/>
          <w:sz w:val="22"/>
          <w:szCs w:val="22"/>
        </w:rPr>
        <w:t xml:space="preserve"> (Figure 12)</w:t>
      </w:r>
      <w:r w:rsidRPr="00FA4216">
        <w:rPr>
          <w:rFonts w:asciiTheme="minorBidi" w:hAnsiTheme="minorBidi"/>
          <w:sz w:val="22"/>
          <w:szCs w:val="22"/>
        </w:rPr>
        <w:t>. While the rocks inside the license area have low magnetic contrast, by cross-referencing this with the 1VD and TDR, the structures can be confirmed to continue through the license. This confirms that the license sits directly within a major structural corridor. The fact that the lineaments appear to converge or pinch as they enter the license area from the south suggests a high-strain environment. This is an ideal setting for gold mineralization, as high strain typically leads to the development of extensive fracture networks required for large-scale fluid flow.</w:t>
      </w:r>
    </w:p>
    <w:p w14:paraId="41421506" w14:textId="77777777" w:rsidR="00AC0377" w:rsidRPr="00FA4216" w:rsidRDefault="00AC0377" w:rsidP="00365F11">
      <w:pPr>
        <w:rPr>
          <w:rFonts w:asciiTheme="minorBidi" w:hAnsiTheme="minorBidi"/>
          <w:b/>
          <w:bCs/>
          <w:sz w:val="22"/>
          <w:szCs w:val="22"/>
        </w:rPr>
      </w:pPr>
      <w:r w:rsidRPr="00FA4216">
        <w:rPr>
          <w:rFonts w:asciiTheme="minorBidi" w:hAnsiTheme="minorBidi"/>
          <w:noProof/>
          <w:sz w:val="22"/>
          <w:szCs w:val="22"/>
        </w:rPr>
        <w:drawing>
          <wp:inline distT="0" distB="0" distL="0" distR="0" wp14:anchorId="5D68AB4E" wp14:editId="1380A761">
            <wp:extent cx="5731510" cy="6008370"/>
            <wp:effectExtent l="19050" t="19050" r="21590" b="11430"/>
            <wp:docPr id="13528690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6008370"/>
                    </a:xfrm>
                    <a:prstGeom prst="rect">
                      <a:avLst/>
                    </a:prstGeom>
                    <a:noFill/>
                    <a:ln w="12700">
                      <a:solidFill>
                        <a:schemeClr val="tx1"/>
                      </a:solidFill>
                    </a:ln>
                  </pic:spPr>
                </pic:pic>
              </a:graphicData>
            </a:graphic>
          </wp:inline>
        </w:drawing>
      </w:r>
    </w:p>
    <w:p w14:paraId="1F2D68BD" w14:textId="77777777" w:rsidR="00AC0377" w:rsidRPr="00FA4216" w:rsidRDefault="00AC0377" w:rsidP="00AC0377">
      <w:pPr>
        <w:ind w:firstLine="720"/>
        <w:jc w:val="center"/>
        <w:rPr>
          <w:rFonts w:asciiTheme="minorBidi" w:hAnsiTheme="minorBidi"/>
          <w:i/>
          <w:iCs/>
          <w:sz w:val="22"/>
          <w:szCs w:val="22"/>
        </w:rPr>
      </w:pPr>
      <w:r w:rsidRPr="00FA4216">
        <w:rPr>
          <w:rFonts w:asciiTheme="minorBidi" w:hAnsiTheme="minorBidi"/>
          <w:b/>
          <w:bCs/>
          <w:sz w:val="22"/>
          <w:szCs w:val="22"/>
        </w:rPr>
        <w:t>Figure 12</w:t>
      </w:r>
      <w:r w:rsidRPr="00FA4216">
        <w:rPr>
          <w:rFonts w:asciiTheme="minorBidi" w:hAnsiTheme="minorBidi"/>
          <w:i/>
          <w:iCs/>
          <w:sz w:val="22"/>
          <w:szCs w:val="22"/>
        </w:rPr>
        <w:t>: Lineament Map</w:t>
      </w:r>
    </w:p>
    <w:p w14:paraId="2C17E12B" w14:textId="77777777" w:rsidR="00AC0377" w:rsidRPr="00FA4216" w:rsidRDefault="00AC0377" w:rsidP="006C2078">
      <w:pPr>
        <w:pStyle w:val="Heading2"/>
        <w:rPr>
          <w:rFonts w:cstheme="minorBidi"/>
          <w:szCs w:val="22"/>
        </w:rPr>
      </w:pPr>
      <w:r w:rsidRPr="00FA4216">
        <w:rPr>
          <w:rFonts w:cstheme="minorBidi"/>
          <w:szCs w:val="22"/>
        </w:rPr>
        <w:lastRenderedPageBreak/>
        <w:t>5.2 Remote Sensing Results</w:t>
      </w:r>
    </w:p>
    <w:p w14:paraId="2B26058A" w14:textId="77777777" w:rsidR="00AC0377" w:rsidRPr="00FA4216" w:rsidRDefault="00AC0377" w:rsidP="006C2078">
      <w:pPr>
        <w:pStyle w:val="Heading3"/>
        <w:rPr>
          <w:rFonts w:cstheme="minorBidi"/>
          <w:szCs w:val="22"/>
        </w:rPr>
      </w:pPr>
      <w:r w:rsidRPr="00FA4216">
        <w:rPr>
          <w:rFonts w:cstheme="minorBidi"/>
          <w:szCs w:val="22"/>
        </w:rPr>
        <w:t>5.2.1 Alteration Indices</w:t>
      </w:r>
    </w:p>
    <w:p w14:paraId="6CAF4D95"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 xml:space="preserve">Remote sensing analysis using Landsat imagery identified significant alteration indicators across the study area. </w:t>
      </w:r>
    </w:p>
    <w:p w14:paraId="1C402DCA"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The Iron Oxide Index (Ratio 4/2) identifies the presence of ferric iron minerals like hematite and goethite</w:t>
      </w:r>
      <w:r w:rsidR="00365F11" w:rsidRPr="00FA4216">
        <w:rPr>
          <w:rFonts w:asciiTheme="minorBidi" w:hAnsiTheme="minorBidi"/>
          <w:sz w:val="22"/>
          <w:szCs w:val="22"/>
        </w:rPr>
        <w:t xml:space="preserve"> (Figure 13)</w:t>
      </w:r>
      <w:r w:rsidRPr="00FA4216">
        <w:rPr>
          <w:rFonts w:asciiTheme="minorBidi" w:hAnsiTheme="minorBidi"/>
          <w:sz w:val="22"/>
          <w:szCs w:val="22"/>
        </w:rPr>
        <w:t>, which often form gossans or ferruginous caps over mineralized zones. High values in this index may point to the oxidation of sulfide minerals (pyrite/arsenopyrite) commonly associated with gold mineralization. These iron-stained zones are high-priority targets for ground-truthing as they often coincide with the margins of hydrothermal systems.</w:t>
      </w:r>
    </w:p>
    <w:p w14:paraId="65295E25" w14:textId="77777777" w:rsidR="00AC0377" w:rsidRPr="00FA4216" w:rsidRDefault="00AC0377" w:rsidP="00AC0377">
      <w:pPr>
        <w:rPr>
          <w:rFonts w:asciiTheme="minorBidi" w:hAnsiTheme="minorBidi"/>
          <w:sz w:val="22"/>
          <w:szCs w:val="22"/>
        </w:rPr>
      </w:pPr>
      <w:r w:rsidRPr="00FA4216">
        <w:rPr>
          <w:rFonts w:asciiTheme="minorBidi" w:hAnsiTheme="minorBidi"/>
          <w:noProof/>
          <w:sz w:val="22"/>
          <w:szCs w:val="22"/>
        </w:rPr>
        <w:drawing>
          <wp:inline distT="0" distB="0" distL="0" distR="0" wp14:anchorId="49A1F820" wp14:editId="65B8ACD4">
            <wp:extent cx="5777230" cy="5071110"/>
            <wp:effectExtent l="19050" t="19050" r="13970" b="15240"/>
            <wp:docPr id="20981680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77635" cy="5071465"/>
                    </a:xfrm>
                    <a:prstGeom prst="rect">
                      <a:avLst/>
                    </a:prstGeom>
                    <a:noFill/>
                    <a:ln w="12700">
                      <a:solidFill>
                        <a:schemeClr val="tx1"/>
                      </a:solidFill>
                    </a:ln>
                  </pic:spPr>
                </pic:pic>
              </a:graphicData>
            </a:graphic>
          </wp:inline>
        </w:drawing>
      </w:r>
    </w:p>
    <w:p w14:paraId="7F0DA161" w14:textId="77777777" w:rsidR="00AC0377" w:rsidRPr="00C64DB8" w:rsidRDefault="00AC0377" w:rsidP="00C64DB8">
      <w:pPr>
        <w:jc w:val="center"/>
        <w:rPr>
          <w:rFonts w:asciiTheme="minorBidi" w:hAnsiTheme="minorBidi"/>
          <w:i/>
          <w:iCs/>
          <w:sz w:val="22"/>
          <w:szCs w:val="22"/>
        </w:rPr>
      </w:pPr>
      <w:r w:rsidRPr="00FA4216">
        <w:rPr>
          <w:rFonts w:asciiTheme="minorBidi" w:hAnsiTheme="minorBidi"/>
          <w:b/>
          <w:bCs/>
          <w:sz w:val="22"/>
          <w:szCs w:val="22"/>
        </w:rPr>
        <w:t>Figure 13</w:t>
      </w:r>
      <w:r w:rsidRPr="00FA4216">
        <w:rPr>
          <w:rFonts w:asciiTheme="minorBidi" w:hAnsiTheme="minorBidi"/>
          <w:i/>
          <w:iCs/>
          <w:sz w:val="22"/>
          <w:szCs w:val="22"/>
        </w:rPr>
        <w:t>: Iron Oxide Index</w:t>
      </w:r>
    </w:p>
    <w:p w14:paraId="48F514AD" w14:textId="77777777" w:rsidR="00AC0377" w:rsidRPr="00FA4216" w:rsidRDefault="00AC0377" w:rsidP="00365F11">
      <w:pPr>
        <w:rPr>
          <w:rFonts w:asciiTheme="minorBidi" w:hAnsiTheme="minorBidi"/>
          <w:sz w:val="22"/>
          <w:szCs w:val="22"/>
        </w:rPr>
      </w:pPr>
    </w:p>
    <w:p w14:paraId="7D271639"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 xml:space="preserve">The Clay Index (Ratio 6/7) targets the hydroxyl absorption features characteristic of minerals like kaolinite, </w:t>
      </w:r>
      <w:proofErr w:type="spellStart"/>
      <w:r w:rsidRPr="00FA4216">
        <w:rPr>
          <w:rFonts w:asciiTheme="minorBidi" w:hAnsiTheme="minorBidi"/>
          <w:sz w:val="22"/>
          <w:szCs w:val="22"/>
        </w:rPr>
        <w:t>illite</w:t>
      </w:r>
      <w:proofErr w:type="spellEnd"/>
      <w:r w:rsidRPr="00FA4216">
        <w:rPr>
          <w:rFonts w:asciiTheme="minorBidi" w:hAnsiTheme="minorBidi"/>
          <w:sz w:val="22"/>
          <w:szCs w:val="22"/>
        </w:rPr>
        <w:t>, and muscovite</w:t>
      </w:r>
      <w:r w:rsidR="00365F11" w:rsidRPr="00FA4216">
        <w:rPr>
          <w:rFonts w:asciiTheme="minorBidi" w:hAnsiTheme="minorBidi"/>
          <w:sz w:val="22"/>
          <w:szCs w:val="22"/>
        </w:rPr>
        <w:t xml:space="preserve"> (Figure 14)</w:t>
      </w:r>
      <w:r w:rsidRPr="00FA4216">
        <w:rPr>
          <w:rFonts w:asciiTheme="minorBidi" w:hAnsiTheme="minorBidi"/>
          <w:sz w:val="22"/>
          <w:szCs w:val="22"/>
        </w:rPr>
        <w:t xml:space="preserve">. In the context of lithium and gold </w:t>
      </w:r>
      <w:r w:rsidRPr="00FA4216">
        <w:rPr>
          <w:rFonts w:asciiTheme="minorBidi" w:hAnsiTheme="minorBidi"/>
          <w:sz w:val="22"/>
          <w:szCs w:val="22"/>
        </w:rPr>
        <w:lastRenderedPageBreak/>
        <w:t>prospecting, high clay anomalies often represent hydrothermal alteration zones. For gold, this suggests argillic alteration around quartz veins. For lithium, these anomalies may highlight the weathered caps of pegmatite bodies or the presence of muscovite/lepidolite, which are key indicators of highly fractionated granitic systems.</w:t>
      </w:r>
    </w:p>
    <w:p w14:paraId="5F8C7FB1" w14:textId="77777777" w:rsidR="00AC0377" w:rsidRPr="00FA4216" w:rsidRDefault="00AC0377" w:rsidP="00AC0377">
      <w:pPr>
        <w:rPr>
          <w:rFonts w:asciiTheme="minorBidi" w:hAnsiTheme="minorBidi"/>
          <w:sz w:val="22"/>
          <w:szCs w:val="22"/>
        </w:rPr>
      </w:pPr>
    </w:p>
    <w:p w14:paraId="2C0B943A" w14:textId="77777777" w:rsidR="00AC0377" w:rsidRPr="00FA4216" w:rsidRDefault="00AC0377" w:rsidP="00AC0377">
      <w:pPr>
        <w:rPr>
          <w:rFonts w:asciiTheme="minorBidi" w:hAnsiTheme="minorBidi"/>
          <w:sz w:val="22"/>
          <w:szCs w:val="22"/>
        </w:rPr>
      </w:pPr>
      <w:r w:rsidRPr="00FA4216">
        <w:rPr>
          <w:rFonts w:asciiTheme="minorBidi" w:hAnsiTheme="minorBidi"/>
          <w:noProof/>
          <w:sz w:val="22"/>
          <w:szCs w:val="22"/>
        </w:rPr>
        <w:drawing>
          <wp:inline distT="0" distB="0" distL="0" distR="0" wp14:anchorId="78CB2C9C" wp14:editId="257B5695">
            <wp:extent cx="5722620" cy="6217829"/>
            <wp:effectExtent l="19050" t="19050" r="11430" b="12065"/>
            <wp:docPr id="8324621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2620" cy="6217829"/>
                    </a:xfrm>
                    <a:prstGeom prst="rect">
                      <a:avLst/>
                    </a:prstGeom>
                    <a:noFill/>
                    <a:ln w="12700">
                      <a:solidFill>
                        <a:schemeClr val="tx1"/>
                      </a:solidFill>
                    </a:ln>
                  </pic:spPr>
                </pic:pic>
              </a:graphicData>
            </a:graphic>
          </wp:inline>
        </w:drawing>
      </w:r>
    </w:p>
    <w:p w14:paraId="53423043" w14:textId="77777777" w:rsidR="00AC0377" w:rsidRPr="00FA4216" w:rsidRDefault="00AC0377" w:rsidP="00365F11">
      <w:pPr>
        <w:jc w:val="center"/>
        <w:rPr>
          <w:rFonts w:asciiTheme="minorBidi" w:hAnsiTheme="minorBidi"/>
          <w:i/>
          <w:iCs/>
          <w:sz w:val="22"/>
          <w:szCs w:val="22"/>
        </w:rPr>
      </w:pPr>
      <w:r w:rsidRPr="00FA4216">
        <w:rPr>
          <w:rFonts w:asciiTheme="minorBidi" w:hAnsiTheme="minorBidi"/>
          <w:b/>
          <w:bCs/>
          <w:sz w:val="22"/>
          <w:szCs w:val="22"/>
        </w:rPr>
        <w:t>Figure 14</w:t>
      </w:r>
      <w:r w:rsidRPr="00FA4216">
        <w:rPr>
          <w:rFonts w:asciiTheme="minorBidi" w:hAnsiTheme="minorBidi"/>
          <w:i/>
          <w:iCs/>
          <w:sz w:val="22"/>
          <w:szCs w:val="22"/>
        </w:rPr>
        <w:t xml:space="preserve">: Clay Index </w:t>
      </w:r>
    </w:p>
    <w:p w14:paraId="2D426736"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The Ferric Iron Index delineates</w:t>
      </w:r>
      <w:r w:rsidR="00365F11" w:rsidRPr="00FA4216">
        <w:rPr>
          <w:rFonts w:asciiTheme="minorBidi" w:hAnsiTheme="minorBidi"/>
          <w:sz w:val="22"/>
          <w:szCs w:val="22"/>
        </w:rPr>
        <w:t xml:space="preserve"> (Figure 15)</w:t>
      </w:r>
      <w:r w:rsidRPr="00FA4216">
        <w:rPr>
          <w:rFonts w:asciiTheme="minorBidi" w:hAnsiTheme="minorBidi"/>
          <w:sz w:val="22"/>
          <w:szCs w:val="22"/>
        </w:rPr>
        <w:t xml:space="preserve"> highly oxidized surface materials and lateritic weathering crusts, while the Ferrous Index (Ratio 6/5) identifies </w:t>
      </w:r>
      <w:proofErr w:type="spellStart"/>
      <w:r w:rsidRPr="00FA4216">
        <w:rPr>
          <w:rFonts w:asciiTheme="minorBidi" w:hAnsiTheme="minorBidi"/>
          <w:sz w:val="22"/>
          <w:szCs w:val="22"/>
        </w:rPr>
        <w:t>FeO</w:t>
      </w:r>
      <w:proofErr w:type="spellEnd"/>
      <w:r w:rsidR="00EB702E">
        <w:rPr>
          <w:rFonts w:asciiTheme="minorBidi" w:hAnsiTheme="minorBidi"/>
          <w:sz w:val="22"/>
          <w:szCs w:val="22"/>
        </w:rPr>
        <w:t xml:space="preserve"> </w:t>
      </w:r>
      <w:r w:rsidRPr="00FA4216">
        <w:rPr>
          <w:rFonts w:asciiTheme="minorBidi" w:hAnsiTheme="minorBidi"/>
          <w:sz w:val="22"/>
          <w:szCs w:val="22"/>
        </w:rPr>
        <w:t xml:space="preserve">bearing minerals like chlorite and biotite. A high ferrous response in the metasedimentary units may indicate propylitic alteration, which typically forms the distal envelope of gold mineralization. The spatial </w:t>
      </w:r>
      <w:r w:rsidRPr="00FA4216">
        <w:rPr>
          <w:rFonts w:asciiTheme="minorBidi" w:hAnsiTheme="minorBidi"/>
          <w:sz w:val="22"/>
          <w:szCs w:val="22"/>
        </w:rPr>
        <w:lastRenderedPageBreak/>
        <w:t>transition from ferrous-rich to ferric-rich zones helps in mapping the intensity of the paleo-weathering profile.</w:t>
      </w:r>
    </w:p>
    <w:p w14:paraId="677E5988" w14:textId="77777777" w:rsidR="00AC0377" w:rsidRPr="00FA4216" w:rsidRDefault="00AC0377" w:rsidP="00AC0377">
      <w:pPr>
        <w:rPr>
          <w:rFonts w:asciiTheme="minorBidi" w:hAnsiTheme="minorBidi"/>
          <w:sz w:val="22"/>
          <w:szCs w:val="22"/>
        </w:rPr>
      </w:pPr>
      <w:r w:rsidRPr="00FA4216">
        <w:rPr>
          <w:rFonts w:asciiTheme="minorBidi" w:hAnsiTheme="minorBidi"/>
          <w:noProof/>
          <w:sz w:val="22"/>
          <w:szCs w:val="22"/>
        </w:rPr>
        <w:drawing>
          <wp:inline distT="0" distB="0" distL="0" distR="0" wp14:anchorId="07B559FD" wp14:editId="5349F9CE">
            <wp:extent cx="5564798" cy="6309360"/>
            <wp:effectExtent l="19050" t="19050" r="17145" b="15240"/>
            <wp:docPr id="8983324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64798" cy="6309360"/>
                    </a:xfrm>
                    <a:prstGeom prst="rect">
                      <a:avLst/>
                    </a:prstGeom>
                    <a:noFill/>
                    <a:ln w="12700">
                      <a:solidFill>
                        <a:schemeClr val="tx1"/>
                      </a:solidFill>
                    </a:ln>
                  </pic:spPr>
                </pic:pic>
              </a:graphicData>
            </a:graphic>
          </wp:inline>
        </w:drawing>
      </w:r>
    </w:p>
    <w:p w14:paraId="753DAB37" w14:textId="77777777" w:rsidR="00AC0377" w:rsidRPr="00FA4216" w:rsidRDefault="00AC0377" w:rsidP="00AC0377">
      <w:pPr>
        <w:jc w:val="center"/>
        <w:rPr>
          <w:rFonts w:asciiTheme="minorBidi" w:hAnsiTheme="minorBidi"/>
          <w:sz w:val="22"/>
          <w:szCs w:val="22"/>
        </w:rPr>
      </w:pPr>
      <w:r w:rsidRPr="00FA4216">
        <w:rPr>
          <w:rFonts w:asciiTheme="minorBidi" w:hAnsiTheme="minorBidi"/>
          <w:b/>
          <w:bCs/>
          <w:sz w:val="22"/>
          <w:szCs w:val="22"/>
        </w:rPr>
        <w:t>Figure 15</w:t>
      </w:r>
      <w:r w:rsidRPr="00FA4216">
        <w:rPr>
          <w:rFonts w:asciiTheme="minorBidi" w:hAnsiTheme="minorBidi"/>
          <w:i/>
          <w:iCs/>
          <w:sz w:val="22"/>
          <w:szCs w:val="22"/>
        </w:rPr>
        <w:t>: Ferric Iron Index</w:t>
      </w:r>
    </w:p>
    <w:p w14:paraId="59DE6400" w14:textId="77777777" w:rsidR="00AC0377" w:rsidRPr="00FA4216" w:rsidRDefault="00AC0377" w:rsidP="006C2078">
      <w:pPr>
        <w:pStyle w:val="Heading3"/>
        <w:rPr>
          <w:rFonts w:cstheme="minorBidi"/>
          <w:szCs w:val="22"/>
        </w:rPr>
      </w:pPr>
      <w:r w:rsidRPr="00FA4216">
        <w:rPr>
          <w:rFonts w:cstheme="minorBidi"/>
          <w:szCs w:val="22"/>
        </w:rPr>
        <w:t>5.2.2 Quartz Index and False Color Composite</w:t>
      </w:r>
    </w:p>
    <w:p w14:paraId="43AF3A21"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The Quartz Index map</w:t>
      </w:r>
      <w:r w:rsidR="00365F11" w:rsidRPr="00FA4216">
        <w:rPr>
          <w:rFonts w:asciiTheme="minorBidi" w:hAnsiTheme="minorBidi"/>
          <w:sz w:val="22"/>
          <w:szCs w:val="22"/>
        </w:rPr>
        <w:t xml:space="preserve"> (Figure 16)</w:t>
      </w:r>
      <w:r w:rsidRPr="00FA4216">
        <w:rPr>
          <w:rFonts w:asciiTheme="minorBidi" w:hAnsiTheme="minorBidi"/>
          <w:sz w:val="22"/>
          <w:szCs w:val="22"/>
        </w:rPr>
        <w:t xml:space="preserve">, utilizing SWIR ratios to isolate the silicate response, identifies zones of silicification and quartz-vein proliferation. Given that both LCT pegmatites and orogenic gold deposits are silica-saturated systems, the bright anomalies on this map are critical exploration targets. The NNE-trending linear quartz anomalies are interpreted as </w:t>
      </w:r>
      <w:r w:rsidRPr="00FA4216">
        <w:rPr>
          <w:rFonts w:asciiTheme="minorBidi" w:hAnsiTheme="minorBidi"/>
          <w:sz w:val="22"/>
          <w:szCs w:val="22"/>
        </w:rPr>
        <w:lastRenderedPageBreak/>
        <w:t>prospective auriferous reef zones or large-scale pegmatitic bodies within the schist-gneiss contact zones.</w:t>
      </w:r>
    </w:p>
    <w:p w14:paraId="3455CD92" w14:textId="77777777" w:rsidR="00AC0377" w:rsidRPr="00FA4216" w:rsidRDefault="00AC0377" w:rsidP="00AC0377">
      <w:pPr>
        <w:rPr>
          <w:rFonts w:asciiTheme="minorBidi" w:hAnsiTheme="minorBidi"/>
          <w:sz w:val="22"/>
          <w:szCs w:val="22"/>
        </w:rPr>
      </w:pPr>
      <w:r w:rsidRPr="00FA4216">
        <w:rPr>
          <w:rFonts w:asciiTheme="minorBidi" w:hAnsiTheme="minorBidi"/>
          <w:noProof/>
          <w:sz w:val="22"/>
          <w:szCs w:val="22"/>
        </w:rPr>
        <w:drawing>
          <wp:inline distT="0" distB="0" distL="0" distR="0" wp14:anchorId="580124D5" wp14:editId="3EEEE6C8">
            <wp:extent cx="5481763" cy="6492240"/>
            <wp:effectExtent l="19050" t="19050" r="24130" b="22860"/>
            <wp:docPr id="9425899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1763" cy="6492240"/>
                    </a:xfrm>
                    <a:prstGeom prst="rect">
                      <a:avLst/>
                    </a:prstGeom>
                    <a:noFill/>
                    <a:ln w="12700">
                      <a:solidFill>
                        <a:schemeClr val="tx1"/>
                      </a:solidFill>
                    </a:ln>
                  </pic:spPr>
                </pic:pic>
              </a:graphicData>
            </a:graphic>
          </wp:inline>
        </w:drawing>
      </w:r>
    </w:p>
    <w:p w14:paraId="5ABC1BC0" w14:textId="77777777" w:rsidR="00AC0377" w:rsidRPr="00FA4216" w:rsidRDefault="00AC0377" w:rsidP="00365F11">
      <w:pPr>
        <w:jc w:val="center"/>
        <w:rPr>
          <w:rFonts w:asciiTheme="minorBidi" w:hAnsiTheme="minorBidi"/>
          <w:sz w:val="22"/>
          <w:szCs w:val="22"/>
        </w:rPr>
      </w:pPr>
      <w:r w:rsidRPr="00FA4216">
        <w:rPr>
          <w:rFonts w:asciiTheme="minorBidi" w:hAnsiTheme="minorBidi"/>
          <w:b/>
          <w:bCs/>
          <w:sz w:val="22"/>
          <w:szCs w:val="22"/>
        </w:rPr>
        <w:t>Figure 16</w:t>
      </w:r>
      <w:r w:rsidRPr="00FA4216">
        <w:rPr>
          <w:rFonts w:asciiTheme="minorBidi" w:hAnsiTheme="minorBidi"/>
          <w:i/>
          <w:iCs/>
          <w:sz w:val="22"/>
          <w:szCs w:val="22"/>
        </w:rPr>
        <w:t xml:space="preserve">: Quartz Index </w:t>
      </w:r>
    </w:p>
    <w:p w14:paraId="7D817A0D"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The False Color Composite (FCC)</w:t>
      </w:r>
      <w:r w:rsidR="00365F11" w:rsidRPr="00FA4216">
        <w:rPr>
          <w:rFonts w:asciiTheme="minorBidi" w:hAnsiTheme="minorBidi"/>
          <w:sz w:val="22"/>
          <w:szCs w:val="22"/>
        </w:rPr>
        <w:t xml:space="preserve"> Map (Figure 17)</w:t>
      </w:r>
      <w:r w:rsidRPr="00FA4216">
        <w:rPr>
          <w:rFonts w:asciiTheme="minorBidi" w:hAnsiTheme="minorBidi"/>
          <w:sz w:val="22"/>
          <w:szCs w:val="22"/>
        </w:rPr>
        <w:t xml:space="preserve"> serves as the foundational litho-structural layer for the study area. By assigning Short-Wave Infrared (SWIR) and Near-Infrared (NIR) bands to the RGB channels, this composite enhances the contrast between metasedimentary sequences and igneous intrusions. The map reveals a dominant NNE-SSW to NE-SW structural grain, typical of the Nigerian schist belts. Tonal variations in the cyan-to-brown spectrum distinguish the more resistive granitic and gneissic bodies from the low-lying </w:t>
      </w:r>
      <w:r w:rsidRPr="00FA4216">
        <w:rPr>
          <w:rFonts w:asciiTheme="minorBidi" w:hAnsiTheme="minorBidi"/>
          <w:sz w:val="22"/>
          <w:szCs w:val="22"/>
        </w:rPr>
        <w:lastRenderedPageBreak/>
        <w:t>schistose units, while the linear features identified are interpreted as shear zones or brittle-ductile faults that likely governed the emplacement of mineralized pegmatites and quartz veins.</w:t>
      </w:r>
    </w:p>
    <w:p w14:paraId="6B3434BD" w14:textId="77777777" w:rsidR="00AC0377" w:rsidRPr="00FA4216" w:rsidRDefault="00AC0377" w:rsidP="00AC0377">
      <w:pPr>
        <w:rPr>
          <w:rFonts w:asciiTheme="minorBidi" w:hAnsiTheme="minorBidi"/>
          <w:sz w:val="22"/>
          <w:szCs w:val="22"/>
        </w:rPr>
      </w:pPr>
      <w:r w:rsidRPr="00FA4216">
        <w:rPr>
          <w:rFonts w:asciiTheme="minorBidi" w:hAnsiTheme="minorBidi"/>
          <w:noProof/>
          <w:sz w:val="22"/>
          <w:szCs w:val="22"/>
        </w:rPr>
        <w:drawing>
          <wp:inline distT="0" distB="0" distL="0" distR="0" wp14:anchorId="6E18539B" wp14:editId="364C500E">
            <wp:extent cx="5689806" cy="6035040"/>
            <wp:effectExtent l="19050" t="19050" r="25400" b="22860"/>
            <wp:docPr id="19450593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89806" cy="6035040"/>
                    </a:xfrm>
                    <a:prstGeom prst="rect">
                      <a:avLst/>
                    </a:prstGeom>
                    <a:noFill/>
                    <a:ln w="12700">
                      <a:solidFill>
                        <a:schemeClr val="tx1"/>
                      </a:solidFill>
                    </a:ln>
                  </pic:spPr>
                </pic:pic>
              </a:graphicData>
            </a:graphic>
          </wp:inline>
        </w:drawing>
      </w:r>
    </w:p>
    <w:p w14:paraId="4CD825C7" w14:textId="77777777" w:rsidR="00AC0377" w:rsidRPr="00FA4216" w:rsidRDefault="00AC0377" w:rsidP="00AC0377">
      <w:pPr>
        <w:jc w:val="center"/>
        <w:rPr>
          <w:rFonts w:asciiTheme="minorBidi" w:hAnsiTheme="minorBidi"/>
          <w:sz w:val="22"/>
          <w:szCs w:val="22"/>
        </w:rPr>
      </w:pPr>
      <w:r w:rsidRPr="00FA4216">
        <w:rPr>
          <w:rFonts w:asciiTheme="minorBidi" w:hAnsiTheme="minorBidi"/>
          <w:b/>
          <w:bCs/>
          <w:sz w:val="22"/>
          <w:szCs w:val="22"/>
        </w:rPr>
        <w:t>Figure 17</w:t>
      </w:r>
      <w:r w:rsidRPr="00FA4216">
        <w:rPr>
          <w:rFonts w:asciiTheme="minorBidi" w:hAnsiTheme="minorBidi"/>
          <w:i/>
          <w:iCs/>
          <w:sz w:val="22"/>
          <w:szCs w:val="22"/>
        </w:rPr>
        <w:t>: False Color Composite</w:t>
      </w:r>
    </w:p>
    <w:p w14:paraId="1B2E2B85" w14:textId="77777777" w:rsidR="00AC0377" w:rsidRPr="00FA4216" w:rsidRDefault="00AC0377" w:rsidP="006C2078">
      <w:pPr>
        <w:pStyle w:val="Heading3"/>
        <w:rPr>
          <w:rFonts w:cstheme="minorBidi"/>
          <w:szCs w:val="22"/>
        </w:rPr>
      </w:pPr>
      <w:r w:rsidRPr="00FA4216">
        <w:rPr>
          <w:rFonts w:cstheme="minorBidi"/>
          <w:szCs w:val="22"/>
        </w:rPr>
        <w:t>5.2.3 NDVI Analysis</w:t>
      </w:r>
    </w:p>
    <w:p w14:paraId="55485A31"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The Normalized Differential Vegetation Index (NDVI) was utilized as a spectral constraint to assess the validity of the lithological indices. The map</w:t>
      </w:r>
      <w:r w:rsidR="00365F11" w:rsidRPr="00FA4216">
        <w:rPr>
          <w:rFonts w:asciiTheme="minorBidi" w:hAnsiTheme="minorBidi"/>
          <w:sz w:val="22"/>
          <w:szCs w:val="22"/>
        </w:rPr>
        <w:t xml:space="preserve"> (Figure 18)</w:t>
      </w:r>
      <w:r w:rsidRPr="00FA4216">
        <w:rPr>
          <w:rFonts w:asciiTheme="minorBidi" w:hAnsiTheme="minorBidi"/>
          <w:sz w:val="22"/>
          <w:szCs w:val="22"/>
        </w:rPr>
        <w:t xml:space="preserve"> shows low-to-moderate index values across the central and western portions of the license, indicating areas of exposed rock and thin regolith suitable for direct spectral analysis. Areas of high NDVI coincide with riparian vegetation along drainage channels; these zones require cautious </w:t>
      </w:r>
      <w:r w:rsidRPr="00FA4216">
        <w:rPr>
          <w:rFonts w:asciiTheme="minorBidi" w:hAnsiTheme="minorBidi"/>
          <w:sz w:val="22"/>
          <w:szCs w:val="22"/>
        </w:rPr>
        <w:lastRenderedPageBreak/>
        <w:t>interpretation as the biomass may mask the underlying rock signatures. For prospecting, the low-NDVI anomalies represent primary targets for surface geochemical sampling.</w:t>
      </w:r>
    </w:p>
    <w:p w14:paraId="53B8F193" w14:textId="77777777" w:rsidR="00AC0377" w:rsidRPr="00FA4216" w:rsidRDefault="00AC0377" w:rsidP="00AC0377">
      <w:pPr>
        <w:rPr>
          <w:rFonts w:asciiTheme="minorBidi" w:hAnsiTheme="minorBidi"/>
          <w:sz w:val="22"/>
          <w:szCs w:val="22"/>
        </w:rPr>
      </w:pPr>
      <w:r w:rsidRPr="00FA4216">
        <w:rPr>
          <w:rFonts w:asciiTheme="minorBidi" w:hAnsiTheme="minorBidi"/>
          <w:noProof/>
          <w:sz w:val="22"/>
          <w:szCs w:val="22"/>
        </w:rPr>
        <w:drawing>
          <wp:inline distT="0" distB="0" distL="0" distR="0" wp14:anchorId="28A7EE8C" wp14:editId="4D7732F2">
            <wp:extent cx="5675172" cy="5943600"/>
            <wp:effectExtent l="19050" t="19050" r="20955" b="19050"/>
            <wp:docPr id="18761193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75172" cy="5943600"/>
                    </a:xfrm>
                    <a:prstGeom prst="rect">
                      <a:avLst/>
                    </a:prstGeom>
                    <a:noFill/>
                    <a:ln w="12700">
                      <a:solidFill>
                        <a:schemeClr val="tx1"/>
                      </a:solidFill>
                    </a:ln>
                  </pic:spPr>
                </pic:pic>
              </a:graphicData>
            </a:graphic>
          </wp:inline>
        </w:drawing>
      </w:r>
    </w:p>
    <w:p w14:paraId="79188431" w14:textId="77777777" w:rsidR="00AC0377" w:rsidRPr="00FA4216" w:rsidRDefault="00AC0377" w:rsidP="00AC0377">
      <w:pPr>
        <w:jc w:val="center"/>
        <w:rPr>
          <w:rFonts w:asciiTheme="minorBidi" w:hAnsiTheme="minorBidi"/>
          <w:sz w:val="22"/>
          <w:szCs w:val="22"/>
        </w:rPr>
      </w:pPr>
      <w:r w:rsidRPr="00FA4216">
        <w:rPr>
          <w:rFonts w:asciiTheme="minorBidi" w:hAnsiTheme="minorBidi"/>
          <w:b/>
          <w:bCs/>
          <w:sz w:val="22"/>
          <w:szCs w:val="22"/>
        </w:rPr>
        <w:t>Figure 18</w:t>
      </w:r>
      <w:r w:rsidRPr="00FA4216">
        <w:rPr>
          <w:rFonts w:asciiTheme="minorBidi" w:hAnsiTheme="minorBidi"/>
          <w:i/>
          <w:iCs/>
          <w:sz w:val="22"/>
          <w:szCs w:val="22"/>
        </w:rPr>
        <w:t xml:space="preserve">: Normalized Differential Vegetation Index </w:t>
      </w:r>
    </w:p>
    <w:p w14:paraId="3C944C4E" w14:textId="77777777" w:rsidR="00AC0377" w:rsidRPr="00FA4216" w:rsidRDefault="00AC0377" w:rsidP="006C2078">
      <w:pPr>
        <w:pStyle w:val="Heading2"/>
        <w:rPr>
          <w:rFonts w:cstheme="minorBidi"/>
          <w:szCs w:val="22"/>
        </w:rPr>
      </w:pPr>
      <w:r w:rsidRPr="00FA4216">
        <w:rPr>
          <w:rFonts w:cstheme="minorBidi"/>
          <w:szCs w:val="22"/>
        </w:rPr>
        <w:t>5.3 Prospectivity Mapping</w:t>
      </w:r>
    </w:p>
    <w:p w14:paraId="20401398"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 xml:space="preserve">Integration of all datasets enabled the generation of mineral-specific prospectivity maps. </w:t>
      </w:r>
    </w:p>
    <w:p w14:paraId="553C7E17"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The gold prospectivity map</w:t>
      </w:r>
      <w:r w:rsidR="00365F11" w:rsidRPr="00FA4216">
        <w:rPr>
          <w:rFonts w:asciiTheme="minorBidi" w:hAnsiTheme="minorBidi"/>
          <w:sz w:val="22"/>
          <w:szCs w:val="22"/>
        </w:rPr>
        <w:t xml:space="preserve"> (Figure 19)</w:t>
      </w:r>
      <w:r w:rsidRPr="00FA4216">
        <w:rPr>
          <w:rFonts w:asciiTheme="minorBidi" w:hAnsiTheme="minorBidi"/>
          <w:sz w:val="22"/>
          <w:szCs w:val="22"/>
        </w:rPr>
        <w:t xml:space="preserve"> was generated through weighted overlay of Clay Index, Iron Oxide Index, Ferric Iron Index, and NDVI. Areas of high prospectivity correspond to zones where elevated clay alteration, iron oxide concentration, and ferric iron responses coincide with relatively low vegetation cover.</w:t>
      </w:r>
    </w:p>
    <w:p w14:paraId="0CBE2A53" w14:textId="77777777" w:rsidR="00AC0377" w:rsidRPr="00FA4216" w:rsidRDefault="00AC0377" w:rsidP="00AC0377">
      <w:pPr>
        <w:rPr>
          <w:rFonts w:asciiTheme="minorBidi" w:hAnsiTheme="minorBidi"/>
          <w:sz w:val="22"/>
          <w:szCs w:val="22"/>
        </w:rPr>
      </w:pPr>
      <w:r w:rsidRPr="00FA4216">
        <w:rPr>
          <w:rFonts w:asciiTheme="minorBidi" w:hAnsiTheme="minorBidi"/>
          <w:noProof/>
          <w:sz w:val="22"/>
          <w:szCs w:val="22"/>
        </w:rPr>
        <w:lastRenderedPageBreak/>
        <w:drawing>
          <wp:inline distT="0" distB="0" distL="0" distR="0" wp14:anchorId="70EA4FB1" wp14:editId="68003B13">
            <wp:extent cx="5694552" cy="6309360"/>
            <wp:effectExtent l="19050" t="19050" r="20955" b="15240"/>
            <wp:docPr id="16865550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94552" cy="6309360"/>
                    </a:xfrm>
                    <a:prstGeom prst="rect">
                      <a:avLst/>
                    </a:prstGeom>
                    <a:noFill/>
                    <a:ln w="12700">
                      <a:solidFill>
                        <a:schemeClr val="tx1"/>
                      </a:solidFill>
                    </a:ln>
                  </pic:spPr>
                </pic:pic>
              </a:graphicData>
            </a:graphic>
          </wp:inline>
        </w:drawing>
      </w:r>
    </w:p>
    <w:p w14:paraId="766A7031" w14:textId="77777777" w:rsidR="00AC0377" w:rsidRPr="00FA4216" w:rsidRDefault="00AC0377" w:rsidP="00AC0377">
      <w:pPr>
        <w:jc w:val="center"/>
        <w:rPr>
          <w:rFonts w:asciiTheme="minorBidi" w:hAnsiTheme="minorBidi"/>
          <w:sz w:val="22"/>
          <w:szCs w:val="22"/>
        </w:rPr>
      </w:pPr>
      <w:r w:rsidRPr="00FA4216">
        <w:rPr>
          <w:rFonts w:asciiTheme="minorBidi" w:hAnsiTheme="minorBidi"/>
          <w:b/>
          <w:bCs/>
          <w:sz w:val="22"/>
          <w:szCs w:val="22"/>
        </w:rPr>
        <w:t>Figure 19</w:t>
      </w:r>
      <w:r w:rsidRPr="00FA4216">
        <w:rPr>
          <w:rFonts w:asciiTheme="minorBidi" w:hAnsiTheme="minorBidi"/>
          <w:i/>
          <w:iCs/>
          <w:sz w:val="22"/>
          <w:szCs w:val="22"/>
        </w:rPr>
        <w:t>: Gold prospectivity map</w:t>
      </w:r>
    </w:p>
    <w:p w14:paraId="6C5EF0EC"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The beryl prospectivity map</w:t>
      </w:r>
      <w:r w:rsidR="00365F11" w:rsidRPr="00FA4216">
        <w:rPr>
          <w:rFonts w:asciiTheme="minorBidi" w:hAnsiTheme="minorBidi"/>
          <w:sz w:val="22"/>
          <w:szCs w:val="22"/>
        </w:rPr>
        <w:t xml:space="preserve"> (Figure 20)</w:t>
      </w:r>
      <w:r w:rsidRPr="00FA4216">
        <w:rPr>
          <w:rFonts w:asciiTheme="minorBidi" w:hAnsiTheme="minorBidi"/>
          <w:sz w:val="22"/>
          <w:szCs w:val="22"/>
        </w:rPr>
        <w:t xml:space="preserve"> was produced by combining Silica Index, Clay Index, Ferrous Mineral Index, and NDVI. Areas of elevated prospectivity correspond to locations where strong spectral responses from silica, clay, and ferrous mineral indices overlap in areas with relatively low vegetation cover.</w:t>
      </w:r>
    </w:p>
    <w:p w14:paraId="114D87F2" w14:textId="77777777" w:rsidR="00AC0377" w:rsidRPr="00FA4216" w:rsidRDefault="00AC0377" w:rsidP="00AC0377">
      <w:pPr>
        <w:rPr>
          <w:rFonts w:asciiTheme="minorBidi" w:hAnsiTheme="minorBidi"/>
          <w:sz w:val="22"/>
          <w:szCs w:val="22"/>
        </w:rPr>
      </w:pPr>
      <w:r w:rsidRPr="00FA4216">
        <w:rPr>
          <w:rFonts w:asciiTheme="minorBidi" w:hAnsiTheme="minorBidi"/>
          <w:noProof/>
          <w:sz w:val="22"/>
          <w:szCs w:val="22"/>
        </w:rPr>
        <w:lastRenderedPageBreak/>
        <w:drawing>
          <wp:inline distT="0" distB="0" distL="0" distR="0" wp14:anchorId="6BE738D1" wp14:editId="207B9FDD">
            <wp:extent cx="5750058" cy="6309360"/>
            <wp:effectExtent l="19050" t="19050" r="22225" b="15240"/>
            <wp:docPr id="18994827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0058" cy="6309360"/>
                    </a:xfrm>
                    <a:prstGeom prst="rect">
                      <a:avLst/>
                    </a:prstGeom>
                    <a:noFill/>
                    <a:ln w="12700">
                      <a:solidFill>
                        <a:schemeClr val="tx1"/>
                      </a:solidFill>
                    </a:ln>
                  </pic:spPr>
                </pic:pic>
              </a:graphicData>
            </a:graphic>
          </wp:inline>
        </w:drawing>
      </w:r>
    </w:p>
    <w:p w14:paraId="66650C47" w14:textId="77777777" w:rsidR="00AC0377" w:rsidRPr="00FA4216" w:rsidRDefault="00AC0377" w:rsidP="00AC0377">
      <w:pPr>
        <w:jc w:val="center"/>
        <w:rPr>
          <w:rFonts w:asciiTheme="minorBidi" w:hAnsiTheme="minorBidi"/>
          <w:i/>
          <w:iCs/>
          <w:sz w:val="22"/>
          <w:szCs w:val="22"/>
        </w:rPr>
      </w:pPr>
      <w:r w:rsidRPr="00FA4216">
        <w:rPr>
          <w:rFonts w:asciiTheme="minorBidi" w:hAnsiTheme="minorBidi"/>
          <w:b/>
          <w:bCs/>
          <w:sz w:val="22"/>
          <w:szCs w:val="22"/>
        </w:rPr>
        <w:t>Figure 20</w:t>
      </w:r>
      <w:r w:rsidRPr="00FA4216">
        <w:rPr>
          <w:rFonts w:asciiTheme="minorBidi" w:hAnsiTheme="minorBidi"/>
          <w:i/>
          <w:iCs/>
          <w:sz w:val="22"/>
          <w:szCs w:val="22"/>
        </w:rPr>
        <w:t>:</w:t>
      </w:r>
      <w:r w:rsidRPr="00FA4216">
        <w:rPr>
          <w:rFonts w:asciiTheme="minorBidi" w:hAnsiTheme="minorBidi"/>
          <w:sz w:val="22"/>
          <w:szCs w:val="22"/>
        </w:rPr>
        <w:t xml:space="preserve"> </w:t>
      </w:r>
      <w:r w:rsidRPr="00FA4216">
        <w:rPr>
          <w:rFonts w:asciiTheme="minorBidi" w:hAnsiTheme="minorBidi"/>
          <w:i/>
          <w:iCs/>
          <w:sz w:val="22"/>
          <w:szCs w:val="22"/>
        </w:rPr>
        <w:t>Beryl prospectivity map</w:t>
      </w:r>
    </w:p>
    <w:p w14:paraId="4D94F6EE" w14:textId="77777777" w:rsidR="00AC0377" w:rsidRPr="00FA4216" w:rsidRDefault="00AC0377" w:rsidP="00AC0377">
      <w:pPr>
        <w:rPr>
          <w:rFonts w:asciiTheme="minorBidi" w:hAnsiTheme="minorBidi"/>
          <w:sz w:val="22"/>
          <w:szCs w:val="22"/>
        </w:rPr>
      </w:pPr>
    </w:p>
    <w:p w14:paraId="66D1DAF4" w14:textId="77777777" w:rsidR="00AC0377" w:rsidRPr="00FA4216" w:rsidRDefault="00AC0377" w:rsidP="00AC0377">
      <w:pPr>
        <w:rPr>
          <w:rFonts w:asciiTheme="minorBidi" w:hAnsiTheme="minorBidi"/>
          <w:sz w:val="22"/>
          <w:szCs w:val="22"/>
        </w:rPr>
      </w:pPr>
    </w:p>
    <w:p w14:paraId="1BC9C252"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The tourmaline prospectivity map</w:t>
      </w:r>
      <w:r w:rsidR="00365F11" w:rsidRPr="00FA4216">
        <w:rPr>
          <w:rFonts w:asciiTheme="minorBidi" w:hAnsiTheme="minorBidi"/>
          <w:sz w:val="22"/>
          <w:szCs w:val="22"/>
        </w:rPr>
        <w:t xml:space="preserve"> (Figure 21)</w:t>
      </w:r>
      <w:r w:rsidRPr="00FA4216">
        <w:rPr>
          <w:rFonts w:asciiTheme="minorBidi" w:hAnsiTheme="minorBidi"/>
          <w:sz w:val="22"/>
          <w:szCs w:val="22"/>
        </w:rPr>
        <w:t xml:space="preserve"> was generated through a weighted combination of Silica Index, Clay Index, Iron Oxide Index, Ferrous Mineral Index, and NDVI. Areas of highest prospectivity correspond to locations where strong silica enrichment coincides with clay alteration and elevated iron oxide responses in areas with relatively low vegetation cover.</w:t>
      </w:r>
    </w:p>
    <w:p w14:paraId="26308B0C" w14:textId="77777777" w:rsidR="00AC0377" w:rsidRPr="00FA4216" w:rsidRDefault="00AC0377" w:rsidP="00AC0377">
      <w:pPr>
        <w:rPr>
          <w:rFonts w:asciiTheme="minorBidi" w:hAnsiTheme="minorBidi"/>
          <w:sz w:val="22"/>
          <w:szCs w:val="22"/>
        </w:rPr>
      </w:pPr>
      <w:r w:rsidRPr="00FA4216">
        <w:rPr>
          <w:rFonts w:asciiTheme="minorBidi" w:hAnsiTheme="minorBidi"/>
          <w:noProof/>
          <w:sz w:val="22"/>
          <w:szCs w:val="22"/>
        </w:rPr>
        <w:lastRenderedPageBreak/>
        <w:drawing>
          <wp:inline distT="0" distB="0" distL="0" distR="0" wp14:anchorId="41B0B787" wp14:editId="337D9281">
            <wp:extent cx="5730240" cy="6034424"/>
            <wp:effectExtent l="19050" t="19050" r="22860" b="23495"/>
            <wp:docPr id="19638008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096" cy="6035325"/>
                    </a:xfrm>
                    <a:prstGeom prst="rect">
                      <a:avLst/>
                    </a:prstGeom>
                    <a:noFill/>
                    <a:ln w="12700">
                      <a:solidFill>
                        <a:schemeClr val="tx1"/>
                      </a:solidFill>
                    </a:ln>
                  </pic:spPr>
                </pic:pic>
              </a:graphicData>
            </a:graphic>
          </wp:inline>
        </w:drawing>
      </w:r>
    </w:p>
    <w:p w14:paraId="2F531B3C" w14:textId="77777777" w:rsidR="00AC0377" w:rsidRPr="00FA4216" w:rsidRDefault="00AC0377" w:rsidP="00AC0377">
      <w:pPr>
        <w:rPr>
          <w:rFonts w:asciiTheme="minorBidi" w:hAnsiTheme="minorBidi"/>
          <w:sz w:val="22"/>
          <w:szCs w:val="22"/>
        </w:rPr>
      </w:pPr>
    </w:p>
    <w:p w14:paraId="22489867" w14:textId="77777777" w:rsidR="00AC0377" w:rsidRPr="00FA4216" w:rsidRDefault="00AC0377" w:rsidP="00AC0377">
      <w:pPr>
        <w:jc w:val="center"/>
        <w:rPr>
          <w:rFonts w:asciiTheme="minorBidi" w:hAnsiTheme="minorBidi"/>
          <w:sz w:val="22"/>
          <w:szCs w:val="22"/>
        </w:rPr>
      </w:pPr>
      <w:r w:rsidRPr="00FA4216">
        <w:rPr>
          <w:rFonts w:asciiTheme="minorBidi" w:hAnsiTheme="minorBidi"/>
          <w:b/>
          <w:bCs/>
          <w:sz w:val="22"/>
          <w:szCs w:val="22"/>
        </w:rPr>
        <w:t>Figure 21</w:t>
      </w:r>
      <w:r w:rsidRPr="00FA4216">
        <w:rPr>
          <w:rFonts w:asciiTheme="minorBidi" w:hAnsiTheme="minorBidi"/>
          <w:i/>
          <w:iCs/>
          <w:sz w:val="22"/>
          <w:szCs w:val="22"/>
        </w:rPr>
        <w:t>:</w:t>
      </w:r>
      <w:r w:rsidRPr="00FA4216">
        <w:rPr>
          <w:rFonts w:asciiTheme="minorBidi" w:hAnsiTheme="minorBidi"/>
          <w:sz w:val="22"/>
          <w:szCs w:val="22"/>
        </w:rPr>
        <w:t xml:space="preserve"> </w:t>
      </w:r>
      <w:r w:rsidRPr="00FA4216">
        <w:rPr>
          <w:rFonts w:asciiTheme="minorBidi" w:hAnsiTheme="minorBidi"/>
          <w:i/>
          <w:iCs/>
          <w:sz w:val="22"/>
          <w:szCs w:val="22"/>
        </w:rPr>
        <w:t>Tourmaline prospectivity map</w:t>
      </w:r>
    </w:p>
    <w:p w14:paraId="560B6575" w14:textId="77777777" w:rsidR="00AC0377" w:rsidRPr="00FA4216" w:rsidRDefault="00AC0377" w:rsidP="00AC0377">
      <w:pPr>
        <w:rPr>
          <w:rFonts w:asciiTheme="minorBidi" w:hAnsiTheme="minorBidi"/>
          <w:sz w:val="22"/>
          <w:szCs w:val="22"/>
        </w:rPr>
      </w:pPr>
    </w:p>
    <w:p w14:paraId="0E4022A2"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The lithium prospectivity map</w:t>
      </w:r>
      <w:r w:rsidR="00365F11" w:rsidRPr="00FA4216">
        <w:rPr>
          <w:rFonts w:asciiTheme="minorBidi" w:hAnsiTheme="minorBidi"/>
          <w:sz w:val="22"/>
          <w:szCs w:val="22"/>
        </w:rPr>
        <w:t xml:space="preserve"> (Figure 22)</w:t>
      </w:r>
      <w:r w:rsidRPr="00FA4216">
        <w:rPr>
          <w:rFonts w:asciiTheme="minorBidi" w:hAnsiTheme="minorBidi"/>
          <w:sz w:val="22"/>
          <w:szCs w:val="22"/>
        </w:rPr>
        <w:t xml:space="preserve"> reveals high-value anomalies concentrated in the southwestern and eastern parts of the mapped area, with values ranging from 2.05 to 3.65. These clusters suggest potential lithium mineralization zones likely associated with pegmatitic bodies or structurally controlled mineralization. The moderate lithium zones appear as scattered areas surrounding the high-value anomalies and may represent geochemical dispersion halos around the main mineralized zones.</w:t>
      </w:r>
    </w:p>
    <w:p w14:paraId="4D7D4E42" w14:textId="77777777" w:rsidR="00AC0377" w:rsidRPr="00FA4216" w:rsidRDefault="00AC0377" w:rsidP="00AC0377">
      <w:pPr>
        <w:rPr>
          <w:rFonts w:asciiTheme="minorBidi" w:hAnsiTheme="minorBidi"/>
          <w:sz w:val="22"/>
          <w:szCs w:val="22"/>
        </w:rPr>
      </w:pPr>
      <w:r w:rsidRPr="00FA4216">
        <w:rPr>
          <w:rFonts w:asciiTheme="minorBidi" w:hAnsiTheme="minorBidi"/>
          <w:noProof/>
          <w:sz w:val="22"/>
          <w:szCs w:val="22"/>
        </w:rPr>
        <w:lastRenderedPageBreak/>
        <w:drawing>
          <wp:inline distT="0" distB="0" distL="0" distR="0" wp14:anchorId="736A3E3F" wp14:editId="4DE2D97E">
            <wp:extent cx="5803077" cy="5303520"/>
            <wp:effectExtent l="19050" t="19050" r="26670" b="11430"/>
            <wp:docPr id="15088277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03077" cy="5303520"/>
                    </a:xfrm>
                    <a:prstGeom prst="rect">
                      <a:avLst/>
                    </a:prstGeom>
                    <a:noFill/>
                    <a:ln w="12700">
                      <a:solidFill>
                        <a:schemeClr val="tx1"/>
                      </a:solidFill>
                    </a:ln>
                  </pic:spPr>
                </pic:pic>
              </a:graphicData>
            </a:graphic>
          </wp:inline>
        </w:drawing>
      </w:r>
    </w:p>
    <w:p w14:paraId="5B3016A9" w14:textId="77777777" w:rsidR="00AC0377" w:rsidRPr="00FA4216" w:rsidRDefault="00AC0377" w:rsidP="00AC0377">
      <w:pPr>
        <w:rPr>
          <w:rFonts w:asciiTheme="minorBidi" w:hAnsiTheme="minorBidi"/>
          <w:sz w:val="22"/>
          <w:szCs w:val="22"/>
        </w:rPr>
      </w:pPr>
    </w:p>
    <w:p w14:paraId="5EE245AF" w14:textId="77777777" w:rsidR="00AC0377" w:rsidRPr="00FA4216" w:rsidRDefault="00AC0377" w:rsidP="00AC0377">
      <w:pPr>
        <w:jc w:val="center"/>
        <w:rPr>
          <w:rFonts w:asciiTheme="minorBidi" w:hAnsiTheme="minorBidi"/>
          <w:i/>
          <w:iCs/>
          <w:sz w:val="22"/>
          <w:szCs w:val="22"/>
        </w:rPr>
      </w:pPr>
      <w:r w:rsidRPr="00FA4216">
        <w:rPr>
          <w:rFonts w:asciiTheme="minorBidi" w:hAnsiTheme="minorBidi"/>
          <w:b/>
          <w:bCs/>
          <w:sz w:val="22"/>
          <w:szCs w:val="22"/>
        </w:rPr>
        <w:t>Figure 22</w:t>
      </w:r>
      <w:r w:rsidRPr="00FA4216">
        <w:rPr>
          <w:rFonts w:asciiTheme="minorBidi" w:hAnsiTheme="minorBidi"/>
          <w:i/>
          <w:iCs/>
          <w:sz w:val="22"/>
          <w:szCs w:val="22"/>
        </w:rPr>
        <w:t>: Lithium prospectivity map</w:t>
      </w:r>
    </w:p>
    <w:p w14:paraId="299820D2" w14:textId="77777777" w:rsidR="00AC0377" w:rsidRPr="00FA4216" w:rsidRDefault="00AC0377" w:rsidP="00AC0377">
      <w:pPr>
        <w:rPr>
          <w:rFonts w:asciiTheme="minorBidi" w:hAnsiTheme="minorBidi"/>
          <w:sz w:val="22"/>
          <w:szCs w:val="22"/>
        </w:rPr>
      </w:pPr>
    </w:p>
    <w:tbl>
      <w:tblPr>
        <w:tblW w:w="5000" w:type="pct"/>
        <w:tblInd w:w="120" w:type="dxa"/>
        <w:tblBorders>
          <w:top w:val="single" w:sz="12" w:space="0" w:color="000000"/>
          <w:left w:val="nil"/>
          <w:bottom w:val="single" w:sz="12" w:space="0" w:color="000000"/>
          <w:right w:val="nil"/>
          <w:insideH w:val="single" w:sz="4" w:space="0" w:color="000000"/>
          <w:insideV w:val="nil"/>
        </w:tblBorders>
        <w:tblCellMar>
          <w:top w:w="80" w:type="dxa"/>
          <w:left w:w="120" w:type="dxa"/>
          <w:bottom w:w="80" w:type="dxa"/>
          <w:right w:w="120" w:type="dxa"/>
        </w:tblCellMar>
        <w:tblLook w:val="0000" w:firstRow="0" w:lastRow="0" w:firstColumn="0" w:lastColumn="0" w:noHBand="0" w:noVBand="0"/>
      </w:tblPr>
      <w:tblGrid>
        <w:gridCol w:w="1340"/>
        <w:gridCol w:w="2232"/>
        <w:gridCol w:w="3125"/>
        <w:gridCol w:w="2329"/>
      </w:tblGrid>
      <w:tr w:rsidR="00AC0377" w:rsidRPr="00FA4216" w14:paraId="30D2F7A1" w14:textId="77777777" w:rsidTr="00F045A4">
        <w:trPr>
          <w:trHeight w:val="400"/>
          <w:tblHeader/>
        </w:trPr>
        <w:tc>
          <w:tcPr>
            <w:tcW w:w="1200" w:type="dxa"/>
            <w:tcBorders>
              <w:bottom w:val="single" w:sz="8" w:space="0" w:color="000000"/>
            </w:tcBorders>
            <w:shd w:val="clear" w:color="auto" w:fill="E8E8E8"/>
            <w:vAlign w:val="center"/>
          </w:tcPr>
          <w:p w14:paraId="4C2FCE63" w14:textId="77777777" w:rsidR="00AC0377" w:rsidRPr="00FA4216" w:rsidRDefault="00AC0377" w:rsidP="00F045A4">
            <w:pPr>
              <w:jc w:val="center"/>
              <w:rPr>
                <w:rFonts w:asciiTheme="minorBidi" w:hAnsiTheme="minorBidi"/>
                <w:sz w:val="22"/>
                <w:szCs w:val="22"/>
              </w:rPr>
            </w:pPr>
            <w:r w:rsidRPr="00FA4216">
              <w:rPr>
                <w:rFonts w:asciiTheme="minorBidi" w:hAnsiTheme="minorBidi"/>
                <w:b/>
                <w:sz w:val="22"/>
                <w:szCs w:val="22"/>
              </w:rPr>
              <w:t>Target ID</w:t>
            </w:r>
          </w:p>
        </w:tc>
        <w:tc>
          <w:tcPr>
            <w:tcW w:w="2000" w:type="dxa"/>
            <w:tcBorders>
              <w:bottom w:val="single" w:sz="8" w:space="0" w:color="000000"/>
            </w:tcBorders>
            <w:shd w:val="clear" w:color="auto" w:fill="E8E8E8"/>
            <w:vAlign w:val="center"/>
          </w:tcPr>
          <w:p w14:paraId="610D8B59" w14:textId="77777777" w:rsidR="00AC0377" w:rsidRPr="00FA4216" w:rsidRDefault="00AC0377" w:rsidP="00F045A4">
            <w:pPr>
              <w:jc w:val="center"/>
              <w:rPr>
                <w:rFonts w:asciiTheme="minorBidi" w:hAnsiTheme="minorBidi"/>
                <w:sz w:val="22"/>
                <w:szCs w:val="22"/>
              </w:rPr>
            </w:pPr>
            <w:r w:rsidRPr="00FA4216">
              <w:rPr>
                <w:rFonts w:asciiTheme="minorBidi" w:hAnsiTheme="minorBidi"/>
                <w:b/>
                <w:sz w:val="22"/>
                <w:szCs w:val="22"/>
              </w:rPr>
              <w:t>Longitude</w:t>
            </w:r>
          </w:p>
        </w:tc>
        <w:tc>
          <w:tcPr>
            <w:tcW w:w="2800" w:type="dxa"/>
            <w:tcBorders>
              <w:bottom w:val="single" w:sz="8" w:space="0" w:color="000000"/>
            </w:tcBorders>
            <w:shd w:val="clear" w:color="auto" w:fill="E8E8E8"/>
            <w:vAlign w:val="center"/>
          </w:tcPr>
          <w:p w14:paraId="5FA7B7F0" w14:textId="77777777" w:rsidR="00AC0377" w:rsidRPr="00FA4216" w:rsidRDefault="00AC0377" w:rsidP="00F045A4">
            <w:pPr>
              <w:jc w:val="center"/>
              <w:rPr>
                <w:rFonts w:asciiTheme="minorBidi" w:hAnsiTheme="minorBidi"/>
                <w:sz w:val="22"/>
                <w:szCs w:val="22"/>
              </w:rPr>
            </w:pPr>
            <w:r w:rsidRPr="00FA4216">
              <w:rPr>
                <w:rFonts w:asciiTheme="minorBidi" w:hAnsiTheme="minorBidi"/>
                <w:b/>
                <w:sz w:val="22"/>
                <w:szCs w:val="22"/>
              </w:rPr>
              <w:t>Latitude</w:t>
            </w:r>
          </w:p>
        </w:tc>
        <w:tc>
          <w:tcPr>
            <w:tcW w:w="2000" w:type="dxa"/>
            <w:tcBorders>
              <w:bottom w:val="single" w:sz="8" w:space="0" w:color="000000"/>
            </w:tcBorders>
            <w:shd w:val="clear" w:color="auto" w:fill="E8E8E8"/>
            <w:vAlign w:val="center"/>
          </w:tcPr>
          <w:p w14:paraId="40484D87" w14:textId="77777777" w:rsidR="00AC0377" w:rsidRPr="00FA4216" w:rsidRDefault="00AC0377" w:rsidP="00F045A4">
            <w:pPr>
              <w:jc w:val="center"/>
              <w:rPr>
                <w:rFonts w:asciiTheme="minorBidi" w:hAnsiTheme="minorBidi"/>
                <w:sz w:val="22"/>
                <w:szCs w:val="22"/>
              </w:rPr>
            </w:pPr>
            <w:r w:rsidRPr="00FA4216">
              <w:rPr>
                <w:rFonts w:asciiTheme="minorBidi" w:hAnsiTheme="minorBidi"/>
                <w:b/>
                <w:sz w:val="22"/>
                <w:szCs w:val="22"/>
              </w:rPr>
              <w:t>Primary Target</w:t>
            </w:r>
          </w:p>
        </w:tc>
      </w:tr>
      <w:tr w:rsidR="00AC0377" w:rsidRPr="00FA4216" w14:paraId="61EA2804" w14:textId="77777777" w:rsidTr="00F045A4">
        <w:trPr>
          <w:trHeight w:val="360"/>
        </w:trPr>
        <w:tc>
          <w:tcPr>
            <w:tcW w:w="1200" w:type="dxa"/>
            <w:vAlign w:val="center"/>
          </w:tcPr>
          <w:p w14:paraId="2872AF2F"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1</w:t>
            </w:r>
          </w:p>
        </w:tc>
        <w:tc>
          <w:tcPr>
            <w:tcW w:w="2000" w:type="dxa"/>
            <w:vAlign w:val="center"/>
          </w:tcPr>
          <w:p w14:paraId="52B773CB"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4° 16' 45"</w:t>
            </w:r>
          </w:p>
        </w:tc>
        <w:tc>
          <w:tcPr>
            <w:tcW w:w="2800" w:type="dxa"/>
            <w:vAlign w:val="center"/>
          </w:tcPr>
          <w:p w14:paraId="62E204CA"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10° 04' 00"</w:t>
            </w:r>
          </w:p>
        </w:tc>
        <w:tc>
          <w:tcPr>
            <w:tcW w:w="2000" w:type="dxa"/>
            <w:vAlign w:val="center"/>
          </w:tcPr>
          <w:p w14:paraId="13DEB59E"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Gold</w:t>
            </w:r>
          </w:p>
        </w:tc>
      </w:tr>
      <w:tr w:rsidR="00AC0377" w:rsidRPr="00FA4216" w14:paraId="7945A998" w14:textId="77777777" w:rsidTr="00F045A4">
        <w:trPr>
          <w:trHeight w:val="360"/>
        </w:trPr>
        <w:tc>
          <w:tcPr>
            <w:tcW w:w="1200" w:type="dxa"/>
            <w:vAlign w:val="center"/>
          </w:tcPr>
          <w:p w14:paraId="6F0E1571"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2</w:t>
            </w:r>
          </w:p>
        </w:tc>
        <w:tc>
          <w:tcPr>
            <w:tcW w:w="2000" w:type="dxa"/>
            <w:vAlign w:val="center"/>
          </w:tcPr>
          <w:p w14:paraId="0A5970C9"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4° 17' 15"</w:t>
            </w:r>
          </w:p>
        </w:tc>
        <w:tc>
          <w:tcPr>
            <w:tcW w:w="2800" w:type="dxa"/>
            <w:vAlign w:val="center"/>
          </w:tcPr>
          <w:p w14:paraId="244895AE"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10° 03' 45"</w:t>
            </w:r>
          </w:p>
        </w:tc>
        <w:tc>
          <w:tcPr>
            <w:tcW w:w="2000" w:type="dxa"/>
            <w:vAlign w:val="center"/>
          </w:tcPr>
          <w:p w14:paraId="0FA2F2B4"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Gold</w:t>
            </w:r>
          </w:p>
        </w:tc>
      </w:tr>
      <w:tr w:rsidR="00AC0377" w:rsidRPr="00FA4216" w14:paraId="5C0E0D4C" w14:textId="77777777" w:rsidTr="00F045A4">
        <w:trPr>
          <w:trHeight w:val="360"/>
        </w:trPr>
        <w:tc>
          <w:tcPr>
            <w:tcW w:w="1200" w:type="dxa"/>
            <w:vAlign w:val="center"/>
          </w:tcPr>
          <w:p w14:paraId="008833FE"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3</w:t>
            </w:r>
          </w:p>
        </w:tc>
        <w:tc>
          <w:tcPr>
            <w:tcW w:w="2000" w:type="dxa"/>
            <w:vAlign w:val="center"/>
          </w:tcPr>
          <w:p w14:paraId="043F4FD9"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4° 17' 00"</w:t>
            </w:r>
          </w:p>
        </w:tc>
        <w:tc>
          <w:tcPr>
            <w:tcW w:w="2800" w:type="dxa"/>
            <w:vAlign w:val="center"/>
          </w:tcPr>
          <w:p w14:paraId="0BE6F0A2"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10° 03' 15"</w:t>
            </w:r>
          </w:p>
        </w:tc>
        <w:tc>
          <w:tcPr>
            <w:tcW w:w="2000" w:type="dxa"/>
            <w:vAlign w:val="center"/>
          </w:tcPr>
          <w:p w14:paraId="35AA29B0"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Gold</w:t>
            </w:r>
          </w:p>
        </w:tc>
      </w:tr>
      <w:tr w:rsidR="00AC0377" w:rsidRPr="00FA4216" w14:paraId="71C65726" w14:textId="77777777" w:rsidTr="00F045A4">
        <w:trPr>
          <w:trHeight w:val="360"/>
        </w:trPr>
        <w:tc>
          <w:tcPr>
            <w:tcW w:w="1200" w:type="dxa"/>
            <w:vAlign w:val="center"/>
          </w:tcPr>
          <w:p w14:paraId="22211027"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4</w:t>
            </w:r>
          </w:p>
        </w:tc>
        <w:tc>
          <w:tcPr>
            <w:tcW w:w="2000" w:type="dxa"/>
            <w:vAlign w:val="center"/>
          </w:tcPr>
          <w:p w14:paraId="69755F17"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4° 17' 30"</w:t>
            </w:r>
          </w:p>
        </w:tc>
        <w:tc>
          <w:tcPr>
            <w:tcW w:w="2800" w:type="dxa"/>
            <w:vAlign w:val="center"/>
          </w:tcPr>
          <w:p w14:paraId="56CDD4AA"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10° 04' 30"</w:t>
            </w:r>
          </w:p>
        </w:tc>
        <w:tc>
          <w:tcPr>
            <w:tcW w:w="2000" w:type="dxa"/>
            <w:vAlign w:val="center"/>
          </w:tcPr>
          <w:p w14:paraId="31645965"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Beryl</w:t>
            </w:r>
          </w:p>
        </w:tc>
      </w:tr>
      <w:tr w:rsidR="00AC0377" w:rsidRPr="00FA4216" w14:paraId="01873A1A" w14:textId="77777777" w:rsidTr="00F045A4">
        <w:trPr>
          <w:trHeight w:val="360"/>
        </w:trPr>
        <w:tc>
          <w:tcPr>
            <w:tcW w:w="1200" w:type="dxa"/>
            <w:vAlign w:val="center"/>
          </w:tcPr>
          <w:p w14:paraId="610A3661"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5</w:t>
            </w:r>
          </w:p>
        </w:tc>
        <w:tc>
          <w:tcPr>
            <w:tcW w:w="2000" w:type="dxa"/>
            <w:vAlign w:val="center"/>
          </w:tcPr>
          <w:p w14:paraId="5FD4FE87"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4° 18' 00"</w:t>
            </w:r>
          </w:p>
        </w:tc>
        <w:tc>
          <w:tcPr>
            <w:tcW w:w="2800" w:type="dxa"/>
            <w:vAlign w:val="center"/>
          </w:tcPr>
          <w:p w14:paraId="09357257"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10° 03' 30"</w:t>
            </w:r>
          </w:p>
        </w:tc>
        <w:tc>
          <w:tcPr>
            <w:tcW w:w="2000" w:type="dxa"/>
            <w:vAlign w:val="center"/>
          </w:tcPr>
          <w:p w14:paraId="6270194B"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Beryl</w:t>
            </w:r>
          </w:p>
        </w:tc>
      </w:tr>
      <w:tr w:rsidR="00AC0377" w:rsidRPr="00FA4216" w14:paraId="639C1625" w14:textId="77777777" w:rsidTr="00F045A4">
        <w:trPr>
          <w:trHeight w:val="360"/>
        </w:trPr>
        <w:tc>
          <w:tcPr>
            <w:tcW w:w="1200" w:type="dxa"/>
            <w:vAlign w:val="center"/>
          </w:tcPr>
          <w:p w14:paraId="3BCCA17B"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6</w:t>
            </w:r>
          </w:p>
        </w:tc>
        <w:tc>
          <w:tcPr>
            <w:tcW w:w="2000" w:type="dxa"/>
            <w:vAlign w:val="center"/>
          </w:tcPr>
          <w:p w14:paraId="345BC1B4"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4° 17' 12"</w:t>
            </w:r>
          </w:p>
        </w:tc>
        <w:tc>
          <w:tcPr>
            <w:tcW w:w="2800" w:type="dxa"/>
            <w:vAlign w:val="center"/>
          </w:tcPr>
          <w:p w14:paraId="3F22E969"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10° 04' 00"</w:t>
            </w:r>
          </w:p>
        </w:tc>
        <w:tc>
          <w:tcPr>
            <w:tcW w:w="2000" w:type="dxa"/>
            <w:vAlign w:val="center"/>
          </w:tcPr>
          <w:p w14:paraId="396144E0"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Beryl</w:t>
            </w:r>
          </w:p>
        </w:tc>
      </w:tr>
      <w:tr w:rsidR="00AC0377" w:rsidRPr="00FA4216" w14:paraId="31DD9F65" w14:textId="77777777" w:rsidTr="00F045A4">
        <w:trPr>
          <w:trHeight w:val="360"/>
        </w:trPr>
        <w:tc>
          <w:tcPr>
            <w:tcW w:w="1200" w:type="dxa"/>
            <w:vAlign w:val="center"/>
          </w:tcPr>
          <w:p w14:paraId="760A824C"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lastRenderedPageBreak/>
              <w:t>7</w:t>
            </w:r>
          </w:p>
        </w:tc>
        <w:tc>
          <w:tcPr>
            <w:tcW w:w="2000" w:type="dxa"/>
            <w:vAlign w:val="center"/>
          </w:tcPr>
          <w:p w14:paraId="0C359D4A"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4° 17' 00"</w:t>
            </w:r>
          </w:p>
        </w:tc>
        <w:tc>
          <w:tcPr>
            <w:tcW w:w="2800" w:type="dxa"/>
            <w:vAlign w:val="center"/>
          </w:tcPr>
          <w:p w14:paraId="7FDFE723"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10° 03' 30"</w:t>
            </w:r>
          </w:p>
        </w:tc>
        <w:tc>
          <w:tcPr>
            <w:tcW w:w="2000" w:type="dxa"/>
            <w:vAlign w:val="center"/>
          </w:tcPr>
          <w:p w14:paraId="4BB31FF4"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Tourmaline</w:t>
            </w:r>
          </w:p>
        </w:tc>
      </w:tr>
      <w:tr w:rsidR="00AC0377" w:rsidRPr="00FA4216" w14:paraId="4C7CCF53" w14:textId="77777777" w:rsidTr="00F045A4">
        <w:trPr>
          <w:trHeight w:val="360"/>
        </w:trPr>
        <w:tc>
          <w:tcPr>
            <w:tcW w:w="1200" w:type="dxa"/>
            <w:vAlign w:val="center"/>
          </w:tcPr>
          <w:p w14:paraId="1E38B1AC"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8</w:t>
            </w:r>
          </w:p>
        </w:tc>
        <w:tc>
          <w:tcPr>
            <w:tcW w:w="2000" w:type="dxa"/>
            <w:vAlign w:val="center"/>
          </w:tcPr>
          <w:p w14:paraId="0004CE02"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4° 16' 30"</w:t>
            </w:r>
          </w:p>
        </w:tc>
        <w:tc>
          <w:tcPr>
            <w:tcW w:w="2800" w:type="dxa"/>
            <w:vAlign w:val="center"/>
          </w:tcPr>
          <w:p w14:paraId="535FD0E2"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10° 03' 30"</w:t>
            </w:r>
          </w:p>
        </w:tc>
        <w:tc>
          <w:tcPr>
            <w:tcW w:w="2000" w:type="dxa"/>
            <w:vAlign w:val="center"/>
          </w:tcPr>
          <w:p w14:paraId="1DDD43C0"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Lithium/Tourmaline</w:t>
            </w:r>
          </w:p>
        </w:tc>
      </w:tr>
      <w:tr w:rsidR="00AC0377" w:rsidRPr="00FA4216" w14:paraId="20BA99B7" w14:textId="77777777" w:rsidTr="00F045A4">
        <w:trPr>
          <w:trHeight w:val="360"/>
        </w:trPr>
        <w:tc>
          <w:tcPr>
            <w:tcW w:w="1200" w:type="dxa"/>
            <w:vAlign w:val="center"/>
          </w:tcPr>
          <w:p w14:paraId="6B2A944B"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9</w:t>
            </w:r>
          </w:p>
        </w:tc>
        <w:tc>
          <w:tcPr>
            <w:tcW w:w="2000" w:type="dxa"/>
            <w:vAlign w:val="center"/>
          </w:tcPr>
          <w:p w14:paraId="5B87E5B9"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4° 18' 00"</w:t>
            </w:r>
          </w:p>
        </w:tc>
        <w:tc>
          <w:tcPr>
            <w:tcW w:w="2800" w:type="dxa"/>
            <w:vAlign w:val="center"/>
          </w:tcPr>
          <w:p w14:paraId="0784DA61"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10° 03' 45"</w:t>
            </w:r>
          </w:p>
        </w:tc>
        <w:tc>
          <w:tcPr>
            <w:tcW w:w="2000" w:type="dxa"/>
            <w:vAlign w:val="center"/>
          </w:tcPr>
          <w:p w14:paraId="0EBA6B7F"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Lithium</w:t>
            </w:r>
          </w:p>
        </w:tc>
      </w:tr>
      <w:tr w:rsidR="00AC0377" w:rsidRPr="00FA4216" w14:paraId="4293417A" w14:textId="77777777" w:rsidTr="00F045A4">
        <w:trPr>
          <w:trHeight w:val="360"/>
        </w:trPr>
        <w:tc>
          <w:tcPr>
            <w:tcW w:w="1200" w:type="dxa"/>
            <w:vAlign w:val="center"/>
          </w:tcPr>
          <w:p w14:paraId="31A7CC43"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10</w:t>
            </w:r>
          </w:p>
        </w:tc>
        <w:tc>
          <w:tcPr>
            <w:tcW w:w="2000" w:type="dxa"/>
            <w:vAlign w:val="center"/>
          </w:tcPr>
          <w:p w14:paraId="0D53E475"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4° 17' 00"</w:t>
            </w:r>
          </w:p>
        </w:tc>
        <w:tc>
          <w:tcPr>
            <w:tcW w:w="2800" w:type="dxa"/>
            <w:vAlign w:val="center"/>
          </w:tcPr>
          <w:p w14:paraId="6670263B"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10° 03' 25"</w:t>
            </w:r>
          </w:p>
        </w:tc>
        <w:tc>
          <w:tcPr>
            <w:tcW w:w="2000" w:type="dxa"/>
            <w:vAlign w:val="center"/>
          </w:tcPr>
          <w:p w14:paraId="77779B71"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Lithium</w:t>
            </w:r>
          </w:p>
        </w:tc>
      </w:tr>
    </w:tbl>
    <w:p w14:paraId="2643AFE0" w14:textId="77777777" w:rsidR="00AC0377" w:rsidRPr="00FA4216" w:rsidRDefault="00AC0377" w:rsidP="00AC0377">
      <w:pPr>
        <w:spacing w:before="120" w:after="360"/>
        <w:jc w:val="center"/>
        <w:rPr>
          <w:rFonts w:asciiTheme="minorBidi" w:hAnsiTheme="minorBidi"/>
          <w:sz w:val="22"/>
          <w:szCs w:val="22"/>
        </w:rPr>
      </w:pPr>
      <w:r w:rsidRPr="00FA4216">
        <w:rPr>
          <w:rFonts w:asciiTheme="minorBidi" w:hAnsiTheme="minorBidi"/>
          <w:i/>
          <w:sz w:val="22"/>
          <w:szCs w:val="22"/>
        </w:rPr>
        <w:t>Table 1: Summary of identified exploration targets</w:t>
      </w:r>
    </w:p>
    <w:p w14:paraId="0DBEF3F4" w14:textId="77777777" w:rsidR="00AC0377" w:rsidRPr="00FA4216" w:rsidRDefault="00AC0377" w:rsidP="00AC0377">
      <w:pPr>
        <w:rPr>
          <w:rFonts w:asciiTheme="minorBidi" w:hAnsiTheme="minorBidi"/>
          <w:sz w:val="22"/>
          <w:szCs w:val="22"/>
        </w:rPr>
      </w:pPr>
      <w:r w:rsidRPr="00FA4216">
        <w:rPr>
          <w:rFonts w:asciiTheme="minorBidi" w:hAnsiTheme="minorBidi"/>
          <w:sz w:val="22"/>
          <w:szCs w:val="22"/>
        </w:rPr>
        <w:br w:type="page"/>
      </w:r>
    </w:p>
    <w:p w14:paraId="71A1875E" w14:textId="77777777" w:rsidR="00AC0377" w:rsidRPr="00FA4216" w:rsidRDefault="00AC0377" w:rsidP="006C2078">
      <w:pPr>
        <w:pStyle w:val="Heading1"/>
        <w:rPr>
          <w:rFonts w:cstheme="minorBidi"/>
          <w:szCs w:val="22"/>
        </w:rPr>
      </w:pPr>
      <w:r w:rsidRPr="00FA4216">
        <w:rPr>
          <w:rFonts w:cstheme="minorBidi"/>
          <w:szCs w:val="22"/>
        </w:rPr>
        <w:lastRenderedPageBreak/>
        <w:t>6. Discussion</w:t>
      </w:r>
    </w:p>
    <w:p w14:paraId="5CD31609" w14:textId="77777777" w:rsidR="00AC0377" w:rsidRDefault="00AC0377" w:rsidP="006C2078">
      <w:pPr>
        <w:pStyle w:val="Heading2"/>
        <w:rPr>
          <w:rFonts w:cstheme="minorBidi"/>
          <w:szCs w:val="22"/>
        </w:rPr>
      </w:pPr>
      <w:r w:rsidRPr="00FA4216">
        <w:rPr>
          <w:rFonts w:cstheme="minorBidi"/>
          <w:szCs w:val="22"/>
        </w:rPr>
        <w:t>6.1 Structural Controls on Mineralization</w:t>
      </w:r>
    </w:p>
    <w:p w14:paraId="29013EE6" w14:textId="77777777" w:rsidR="00D66677" w:rsidRPr="00D66677" w:rsidRDefault="00D66677" w:rsidP="00D66677">
      <w:pPr>
        <w:ind w:firstLine="720"/>
        <w:rPr>
          <w:rFonts w:asciiTheme="minorBidi" w:hAnsiTheme="minorBidi"/>
          <w:sz w:val="22"/>
          <w:szCs w:val="22"/>
        </w:rPr>
      </w:pPr>
      <w:r w:rsidRPr="00D66677">
        <w:rPr>
          <w:rFonts w:asciiTheme="minorBidi" w:hAnsiTheme="minorBidi"/>
          <w:sz w:val="22"/>
          <w:szCs w:val="22"/>
        </w:rPr>
        <w:t>The dominant NE–SW structural trend identified in this study is consistent with the regional tectonic framework of the Nigerian Basement Complex and the Pan-African Mobile Belt (</w:t>
      </w:r>
      <w:proofErr w:type="spellStart"/>
      <w:r w:rsidRPr="00D66677">
        <w:rPr>
          <w:rFonts w:asciiTheme="minorBidi" w:hAnsiTheme="minorBidi"/>
          <w:sz w:val="22"/>
          <w:szCs w:val="22"/>
        </w:rPr>
        <w:t>Feybesse</w:t>
      </w:r>
      <w:proofErr w:type="spellEnd"/>
      <w:r w:rsidRPr="00D66677">
        <w:rPr>
          <w:rFonts w:asciiTheme="minorBidi" w:hAnsiTheme="minorBidi"/>
          <w:sz w:val="22"/>
          <w:szCs w:val="22"/>
        </w:rPr>
        <w:t xml:space="preserve"> and </w:t>
      </w:r>
      <w:proofErr w:type="spellStart"/>
      <w:r w:rsidRPr="00D66677">
        <w:rPr>
          <w:rFonts w:asciiTheme="minorBidi" w:hAnsiTheme="minorBidi"/>
          <w:sz w:val="22"/>
          <w:szCs w:val="22"/>
        </w:rPr>
        <w:t>Milési</w:t>
      </w:r>
      <w:proofErr w:type="spellEnd"/>
      <w:r w:rsidRPr="00D66677">
        <w:rPr>
          <w:rFonts w:asciiTheme="minorBidi" w:hAnsiTheme="minorBidi"/>
          <w:sz w:val="22"/>
          <w:szCs w:val="22"/>
        </w:rPr>
        <w:t xml:space="preserve">, 1994; </w:t>
      </w:r>
      <w:proofErr w:type="spellStart"/>
      <w:r w:rsidRPr="00D66677">
        <w:rPr>
          <w:rFonts w:asciiTheme="minorBidi" w:hAnsiTheme="minorBidi"/>
          <w:sz w:val="22"/>
          <w:szCs w:val="22"/>
        </w:rPr>
        <w:t>Perrouty</w:t>
      </w:r>
      <w:proofErr w:type="spellEnd"/>
      <w:r w:rsidRPr="00D66677">
        <w:rPr>
          <w:rFonts w:asciiTheme="minorBidi" w:hAnsiTheme="minorBidi"/>
          <w:sz w:val="22"/>
          <w:szCs w:val="22"/>
        </w:rPr>
        <w:t xml:space="preserve"> et al., 2012). These structures are interpreted as products of Pan-African </w:t>
      </w:r>
      <w:proofErr w:type="spellStart"/>
      <w:r w:rsidRPr="00D66677">
        <w:rPr>
          <w:rFonts w:asciiTheme="minorBidi" w:hAnsiTheme="minorBidi"/>
          <w:sz w:val="22"/>
          <w:szCs w:val="22"/>
        </w:rPr>
        <w:t>transpressional</w:t>
      </w:r>
      <w:proofErr w:type="spellEnd"/>
      <w:r w:rsidRPr="00D66677">
        <w:rPr>
          <w:rFonts w:asciiTheme="minorBidi" w:hAnsiTheme="minorBidi"/>
          <w:sz w:val="22"/>
          <w:szCs w:val="22"/>
        </w:rPr>
        <w:t xml:space="preserve"> deformation and are widely recognized as major controls on mineralization across West Africa. The intersections of NE–SW and NW–SE structures identified from the 2VD analysis are particularly prospective for gold mineralization, as such structural intersections commonly form dilatational zones that enhance fluid migration and gold deposition (Robert and Poulsen, 2001).</w:t>
      </w:r>
    </w:p>
    <w:p w14:paraId="2FD6B90D" w14:textId="77777777" w:rsidR="00D66677" w:rsidRPr="00D66677" w:rsidRDefault="00D66677" w:rsidP="00D66677">
      <w:pPr>
        <w:ind w:firstLine="720"/>
      </w:pPr>
      <w:r w:rsidRPr="00D66677">
        <w:rPr>
          <w:rFonts w:asciiTheme="minorBidi" w:hAnsiTheme="minorBidi"/>
          <w:sz w:val="22"/>
          <w:szCs w:val="22"/>
        </w:rPr>
        <w:t>The magnetic low signatures observed in the TMI data are typical of LCT-type pegmatite environments and are comparable to signatures reported from pegmatite fields in Namibia, Senegal, and other parts of the West African Craton (Miller et al., 2009; Lambert-Smith et al., 2016). Their spatial association with radiometric potassium and thorium anomalies further supports the presence of evolved granitic systems favorable for rare-metal mineralization</w:t>
      </w:r>
      <w:r w:rsidRPr="00D66677">
        <w:t>.</w:t>
      </w:r>
    </w:p>
    <w:p w14:paraId="5B85E3BD" w14:textId="77777777" w:rsidR="00AC0377" w:rsidRDefault="00AC0377" w:rsidP="006C2078">
      <w:pPr>
        <w:pStyle w:val="Heading2"/>
        <w:rPr>
          <w:rFonts w:cstheme="minorBidi"/>
          <w:szCs w:val="22"/>
        </w:rPr>
      </w:pPr>
      <w:r w:rsidRPr="00FA4216">
        <w:rPr>
          <w:rFonts w:cstheme="minorBidi"/>
          <w:szCs w:val="22"/>
        </w:rPr>
        <w:t>6.2 Comparison with Regional Studies</w:t>
      </w:r>
    </w:p>
    <w:p w14:paraId="3A7EB675" w14:textId="77777777" w:rsidR="00D66677" w:rsidRPr="00D66677" w:rsidRDefault="00D66677" w:rsidP="00D66677">
      <w:pPr>
        <w:ind w:firstLine="720"/>
        <w:rPr>
          <w:rFonts w:asciiTheme="minorBidi" w:hAnsiTheme="minorBidi"/>
          <w:sz w:val="22"/>
          <w:szCs w:val="22"/>
        </w:rPr>
      </w:pPr>
      <w:r w:rsidRPr="00D66677">
        <w:rPr>
          <w:rFonts w:asciiTheme="minorBidi" w:hAnsiTheme="minorBidi"/>
          <w:sz w:val="22"/>
          <w:szCs w:val="22"/>
        </w:rPr>
        <w:t xml:space="preserve">The results obtained in this study agree with previous investigations of mineralization within the Nigerian Basement Complex. Similar structural controls have been reported by </w:t>
      </w:r>
      <w:proofErr w:type="spellStart"/>
      <w:r w:rsidRPr="00D66677">
        <w:rPr>
          <w:rFonts w:asciiTheme="minorBidi" w:hAnsiTheme="minorBidi"/>
          <w:sz w:val="22"/>
          <w:szCs w:val="22"/>
        </w:rPr>
        <w:t>Ekeleme</w:t>
      </w:r>
      <w:proofErr w:type="spellEnd"/>
      <w:r w:rsidRPr="00D66677">
        <w:rPr>
          <w:rFonts w:asciiTheme="minorBidi" w:hAnsiTheme="minorBidi"/>
          <w:sz w:val="22"/>
          <w:szCs w:val="22"/>
        </w:rPr>
        <w:t xml:space="preserve"> et al. (2024) for Pb–Zn–Fe–Au mineralization in north-central Nigeria, where mineralization is associated with </w:t>
      </w:r>
      <w:proofErr w:type="spellStart"/>
      <w:r w:rsidRPr="00D66677">
        <w:rPr>
          <w:rFonts w:asciiTheme="minorBidi" w:hAnsiTheme="minorBidi"/>
          <w:sz w:val="22"/>
          <w:szCs w:val="22"/>
        </w:rPr>
        <w:t>pegmatized</w:t>
      </w:r>
      <w:proofErr w:type="spellEnd"/>
      <w:r w:rsidRPr="00D66677">
        <w:rPr>
          <w:rFonts w:asciiTheme="minorBidi" w:hAnsiTheme="minorBidi"/>
          <w:sz w:val="22"/>
          <w:szCs w:val="22"/>
        </w:rPr>
        <w:t xml:space="preserve"> migmatites and shear zones. The radiometric characteristics observed in Borgu also compare well with signatures from other Nigerian pegmatite terrains (</w:t>
      </w:r>
      <w:proofErr w:type="spellStart"/>
      <w:r w:rsidRPr="00D66677">
        <w:rPr>
          <w:rFonts w:asciiTheme="minorBidi" w:hAnsiTheme="minorBidi"/>
          <w:sz w:val="22"/>
          <w:szCs w:val="22"/>
        </w:rPr>
        <w:t>Akoh</w:t>
      </w:r>
      <w:proofErr w:type="spellEnd"/>
      <w:r w:rsidRPr="00D66677">
        <w:rPr>
          <w:rFonts w:asciiTheme="minorBidi" w:hAnsiTheme="minorBidi"/>
          <w:sz w:val="22"/>
          <w:szCs w:val="22"/>
        </w:rPr>
        <w:t xml:space="preserve"> et al., 2015; Chukwu and Obiora, 2021).</w:t>
      </w:r>
    </w:p>
    <w:p w14:paraId="2A2A7674" w14:textId="77777777" w:rsidR="00D66677" w:rsidRPr="00D66677" w:rsidRDefault="00D66677" w:rsidP="00D66677">
      <w:pPr>
        <w:ind w:firstLine="720"/>
        <w:rPr>
          <w:rFonts w:asciiTheme="minorBidi" w:hAnsiTheme="minorBidi"/>
          <w:sz w:val="22"/>
          <w:szCs w:val="22"/>
        </w:rPr>
      </w:pPr>
      <w:r w:rsidRPr="00D66677">
        <w:rPr>
          <w:rFonts w:asciiTheme="minorBidi" w:hAnsiTheme="minorBidi"/>
          <w:sz w:val="22"/>
          <w:szCs w:val="22"/>
        </w:rPr>
        <w:t>Furthermore, the inferred orogenic gold potential corresponds with established models of gold mineralization within the West African Craton. The mesothermal conditions typical of orogenic gold systems (Groves et al., 1998) are compatible with the metamorphic conditions of the Nigerian Basement Complex. The structural architecture observed in Borgu, characterized by major shear zones, subsidiary fractures, and competent host rocks, is comparable to the geological settings of major gold deposits in Mali and Burkina Faso.</w:t>
      </w:r>
    </w:p>
    <w:p w14:paraId="3A0F12B6" w14:textId="77777777" w:rsidR="00AC0377" w:rsidRPr="00FA4216" w:rsidRDefault="00AC0377" w:rsidP="006C2078">
      <w:pPr>
        <w:pStyle w:val="Heading2"/>
        <w:rPr>
          <w:rFonts w:cstheme="minorBidi"/>
          <w:szCs w:val="22"/>
        </w:rPr>
      </w:pPr>
      <w:r w:rsidRPr="00FA4216">
        <w:rPr>
          <w:rFonts w:cstheme="minorBidi"/>
          <w:szCs w:val="22"/>
        </w:rPr>
        <w:t>6.3 Implications for Exploration</w:t>
      </w:r>
    </w:p>
    <w:p w14:paraId="6F4DB066" w14:textId="77777777" w:rsidR="00D66677" w:rsidRPr="00D66677" w:rsidRDefault="00D66677" w:rsidP="00D66677">
      <w:pPr>
        <w:ind w:firstLine="720"/>
        <w:rPr>
          <w:rFonts w:asciiTheme="minorBidi" w:hAnsiTheme="minorBidi"/>
          <w:sz w:val="22"/>
          <w:szCs w:val="22"/>
        </w:rPr>
      </w:pPr>
      <w:r w:rsidRPr="00D66677">
        <w:rPr>
          <w:rFonts w:asciiTheme="minorBidi" w:hAnsiTheme="minorBidi"/>
          <w:sz w:val="22"/>
          <w:szCs w:val="22"/>
        </w:rPr>
        <w:t>The integration of aeromagnetic, radiometric, and remote sensing datasets demonstrates a reliable and cost-effective approach for mineral targeting within the Borgu Basement terrain. The shallow depth to magnetic sources (120–180 m) derived from SPI analysis suggests that potential mineralized zones may be accessible through preliminary exploration methods such as trenching and pitting before drilling.</w:t>
      </w:r>
    </w:p>
    <w:p w14:paraId="1275228F" w14:textId="77777777" w:rsidR="00D66677" w:rsidRPr="00D66677" w:rsidRDefault="00D66677" w:rsidP="00D66677">
      <w:pPr>
        <w:ind w:firstLine="720"/>
        <w:rPr>
          <w:rFonts w:asciiTheme="minorBidi" w:hAnsiTheme="minorBidi"/>
          <w:sz w:val="22"/>
          <w:szCs w:val="22"/>
        </w:rPr>
      </w:pPr>
      <w:r w:rsidRPr="00D66677">
        <w:rPr>
          <w:rFonts w:asciiTheme="minorBidi" w:hAnsiTheme="minorBidi"/>
          <w:sz w:val="22"/>
          <w:szCs w:val="22"/>
        </w:rPr>
        <w:lastRenderedPageBreak/>
        <w:t>The ten priority targets delineated in this study provide a practical framework for follow-up exploration. Areas showing coincident lithium prospectivity, favorable structures, and hydrothermal alteration signatures</w:t>
      </w:r>
      <w:r>
        <w:rPr>
          <w:rFonts w:asciiTheme="minorBidi" w:hAnsiTheme="minorBidi"/>
          <w:sz w:val="22"/>
          <w:szCs w:val="22"/>
        </w:rPr>
        <w:t xml:space="preserve"> </w:t>
      </w:r>
      <w:r w:rsidRPr="00D66677">
        <w:rPr>
          <w:rFonts w:asciiTheme="minorBidi" w:hAnsiTheme="minorBidi"/>
          <w:sz w:val="22"/>
          <w:szCs w:val="22"/>
        </w:rPr>
        <w:t>particularly in the southwestern and eastern parts of the study area</w:t>
      </w:r>
      <w:r>
        <w:rPr>
          <w:rFonts w:asciiTheme="minorBidi" w:hAnsiTheme="minorBidi"/>
          <w:sz w:val="22"/>
          <w:szCs w:val="22"/>
        </w:rPr>
        <w:t xml:space="preserve"> </w:t>
      </w:r>
      <w:r w:rsidRPr="00D66677">
        <w:rPr>
          <w:rFonts w:asciiTheme="minorBidi" w:hAnsiTheme="minorBidi"/>
          <w:sz w:val="22"/>
          <w:szCs w:val="22"/>
        </w:rPr>
        <w:t>should be prioritized for field validation. Similarly, structurally controlled gold targets located at lineament intersections with strong alteration responses represent key areas for detailed geochemical investigation.</w:t>
      </w:r>
    </w:p>
    <w:p w14:paraId="32BB71D6" w14:textId="77777777" w:rsidR="00AC0377" w:rsidRPr="00FA4216" w:rsidRDefault="00AC0377" w:rsidP="00AC0377">
      <w:pPr>
        <w:rPr>
          <w:rFonts w:asciiTheme="minorBidi" w:hAnsiTheme="minorBidi"/>
          <w:sz w:val="22"/>
          <w:szCs w:val="22"/>
        </w:rPr>
      </w:pPr>
      <w:r w:rsidRPr="00FA4216">
        <w:rPr>
          <w:rFonts w:asciiTheme="minorBidi" w:hAnsiTheme="minorBidi"/>
          <w:sz w:val="22"/>
          <w:szCs w:val="22"/>
        </w:rPr>
        <w:br w:type="page"/>
      </w:r>
    </w:p>
    <w:p w14:paraId="5C0AE6D2" w14:textId="77777777" w:rsidR="00AC0377" w:rsidRPr="00FA4216" w:rsidRDefault="00AC0377" w:rsidP="006C2078">
      <w:pPr>
        <w:pStyle w:val="Heading1"/>
        <w:rPr>
          <w:rFonts w:cstheme="minorBidi"/>
          <w:szCs w:val="22"/>
        </w:rPr>
      </w:pPr>
      <w:r w:rsidRPr="00FA4216">
        <w:rPr>
          <w:rFonts w:cstheme="minorBidi"/>
          <w:szCs w:val="22"/>
        </w:rPr>
        <w:lastRenderedPageBreak/>
        <w:t>7. Conclusions and Recommendations</w:t>
      </w:r>
    </w:p>
    <w:p w14:paraId="2945FC74" w14:textId="77777777" w:rsidR="00AC0377" w:rsidRDefault="00AC0377" w:rsidP="006C2078">
      <w:pPr>
        <w:pStyle w:val="Heading2"/>
        <w:rPr>
          <w:rFonts w:cstheme="minorBidi"/>
          <w:szCs w:val="22"/>
        </w:rPr>
      </w:pPr>
      <w:r w:rsidRPr="00FA4216">
        <w:rPr>
          <w:rFonts w:cstheme="minorBidi"/>
          <w:szCs w:val="22"/>
        </w:rPr>
        <w:t>7.1 Conclusions</w:t>
      </w:r>
    </w:p>
    <w:p w14:paraId="7CF2B2C6" w14:textId="77777777" w:rsidR="00C64DB8" w:rsidRPr="00C64DB8" w:rsidRDefault="00C64DB8" w:rsidP="00C64DB8">
      <w:pPr>
        <w:ind w:firstLine="720"/>
        <w:rPr>
          <w:rFonts w:asciiTheme="minorBidi" w:hAnsiTheme="minorBidi"/>
          <w:sz w:val="22"/>
          <w:szCs w:val="22"/>
        </w:rPr>
      </w:pPr>
      <w:r w:rsidRPr="00C64DB8">
        <w:rPr>
          <w:rFonts w:asciiTheme="minorBidi" w:hAnsiTheme="minorBidi"/>
          <w:sz w:val="22"/>
          <w:szCs w:val="22"/>
        </w:rPr>
        <w:t>This study demonstrates the effectiveness of integrating airborne geophysical datasets with satellite remote sensing techniques for mineral prospectivity evaluation within the Borgu Basement terrain, northwestern Nigeria. The geological setting, dominated by granite gneiss of the Nigerian Basement Complex, provides a favorable environment for rare-metal pegmatite mineralization and structurally controlled orogenic gold systems.</w:t>
      </w:r>
    </w:p>
    <w:p w14:paraId="05C13E75" w14:textId="77777777" w:rsidR="00C64DB8" w:rsidRPr="00C64DB8" w:rsidRDefault="00C64DB8" w:rsidP="00C64DB8">
      <w:pPr>
        <w:ind w:firstLine="720"/>
        <w:rPr>
          <w:rFonts w:asciiTheme="minorBidi" w:hAnsiTheme="minorBidi"/>
          <w:sz w:val="22"/>
          <w:szCs w:val="22"/>
        </w:rPr>
      </w:pPr>
      <w:r w:rsidRPr="00C64DB8">
        <w:rPr>
          <w:rFonts w:asciiTheme="minorBidi" w:hAnsiTheme="minorBidi"/>
          <w:sz w:val="22"/>
          <w:szCs w:val="22"/>
        </w:rPr>
        <w:t>Aeromagnetic data interpretation revealed dominant NE–SW structural trends which likely acted as major conduits for mineralizing fluids and controlled the emplacement of pegmatitic intrusions. The occurrence of magnetic low zones further suggests favorable host environments for LCT-type pegmatites. Radiometric analysis showing potassium and thorium enrichment indicates evolved felsic magmatic systems commonly associated with rare-metal mineralization. In addition, remote sensing analysis identified hydrothermal alteration signatures characterized by iron oxide, clay, and silica enrichment, further supporting the mineral potential of the area.</w:t>
      </w:r>
    </w:p>
    <w:p w14:paraId="6185D0F7" w14:textId="77777777" w:rsidR="00C64DB8" w:rsidRPr="00C64DB8" w:rsidRDefault="00C64DB8" w:rsidP="00C64DB8">
      <w:pPr>
        <w:ind w:firstLine="720"/>
        <w:rPr>
          <w:rFonts w:asciiTheme="minorBidi" w:hAnsiTheme="minorBidi"/>
          <w:sz w:val="22"/>
          <w:szCs w:val="22"/>
        </w:rPr>
      </w:pPr>
      <w:r w:rsidRPr="00C64DB8">
        <w:rPr>
          <w:rFonts w:asciiTheme="minorBidi" w:hAnsiTheme="minorBidi"/>
          <w:sz w:val="22"/>
          <w:szCs w:val="22"/>
        </w:rPr>
        <w:t>The integration of structural, radiometric, and alteration datasets enabled the delineation of ten priority exploration targets. The estimated shallow depth to magnetic sources (120–180 m) suggests that the identified mineralization zones may be accessible for further exploration and possible economic evaluation. Overall, the study highlights the strong control of lithology, structural architecture, and hydrothermal processes on mineralization within the Borgu area.</w:t>
      </w:r>
    </w:p>
    <w:p w14:paraId="65AE71FD" w14:textId="77777777" w:rsidR="00AC0377" w:rsidRDefault="00AC0377" w:rsidP="006C2078">
      <w:pPr>
        <w:pStyle w:val="Heading2"/>
        <w:rPr>
          <w:rFonts w:cstheme="minorBidi"/>
          <w:szCs w:val="22"/>
        </w:rPr>
      </w:pPr>
      <w:r w:rsidRPr="00FA4216">
        <w:rPr>
          <w:rFonts w:cstheme="minorBidi"/>
          <w:szCs w:val="22"/>
        </w:rPr>
        <w:t>7.2 Recommendations</w:t>
      </w:r>
    </w:p>
    <w:p w14:paraId="7057E414" w14:textId="77777777" w:rsidR="00C64DB8" w:rsidRPr="00C64DB8" w:rsidRDefault="00C64DB8" w:rsidP="00C64DB8">
      <w:pPr>
        <w:ind w:firstLine="720"/>
        <w:rPr>
          <w:rFonts w:asciiTheme="minorBidi" w:hAnsiTheme="minorBidi"/>
          <w:sz w:val="22"/>
          <w:szCs w:val="22"/>
        </w:rPr>
      </w:pPr>
      <w:r w:rsidRPr="00C64DB8">
        <w:rPr>
          <w:rFonts w:asciiTheme="minorBidi" w:hAnsiTheme="minorBidi"/>
          <w:sz w:val="22"/>
          <w:szCs w:val="22"/>
        </w:rPr>
        <w:t>To further validate the mineral potential identified in this study, detailed field-based geological investigations are necessary to confirm lithological relationships, structural controls, and pegmatite occurrences within the priority target zones. Ground verification of remotely sensed alteration anomalies should also be undertaken to establish their relationship with mineralization.</w:t>
      </w:r>
    </w:p>
    <w:p w14:paraId="76D5C60E" w14:textId="77777777" w:rsidR="00C64DB8" w:rsidRPr="00C64DB8" w:rsidRDefault="00C64DB8" w:rsidP="00C64DB8">
      <w:pPr>
        <w:ind w:firstLine="720"/>
        <w:rPr>
          <w:rFonts w:asciiTheme="minorBidi" w:hAnsiTheme="minorBidi"/>
          <w:sz w:val="22"/>
          <w:szCs w:val="22"/>
        </w:rPr>
      </w:pPr>
      <w:r w:rsidRPr="00C64DB8">
        <w:rPr>
          <w:rFonts w:asciiTheme="minorBidi" w:hAnsiTheme="minorBidi"/>
          <w:sz w:val="22"/>
          <w:szCs w:val="22"/>
        </w:rPr>
        <w:t>In addition, systematic geochemical surveys involving soil, stream sediment, and rock sampling should be conducted, particularly along the major structural corridors identified from the aeromagnetic data. Detailed mapping and petrographic analysis of pegmatite bodies are also recommended to properly characterize their mineral assemblages and rare-metal potential.</w:t>
      </w:r>
    </w:p>
    <w:p w14:paraId="021BEB6B" w14:textId="77777777" w:rsidR="00C64DB8" w:rsidRPr="00C64DB8" w:rsidRDefault="00C64DB8" w:rsidP="00C64DB8">
      <w:pPr>
        <w:ind w:firstLine="720"/>
        <w:rPr>
          <w:rFonts w:asciiTheme="minorBidi" w:hAnsiTheme="minorBidi"/>
          <w:sz w:val="22"/>
          <w:szCs w:val="22"/>
        </w:rPr>
      </w:pPr>
      <w:r w:rsidRPr="00C64DB8">
        <w:rPr>
          <w:rFonts w:asciiTheme="minorBidi" w:hAnsiTheme="minorBidi"/>
          <w:sz w:val="22"/>
          <w:szCs w:val="22"/>
        </w:rPr>
        <w:t xml:space="preserve">Follow-up ground geophysical investigations, including detailed magnetic surveys, electrical resistivity tomography, and induced polarization methods, are necessary to improve the resolution of subsurface structural and mineralization models. Where coincident </w:t>
      </w:r>
      <w:r w:rsidRPr="00C64DB8">
        <w:rPr>
          <w:rFonts w:asciiTheme="minorBidi" w:hAnsiTheme="minorBidi"/>
          <w:sz w:val="22"/>
          <w:szCs w:val="22"/>
        </w:rPr>
        <w:lastRenderedPageBreak/>
        <w:t>geochemical, structural, and radiometric anomalies occur, shallow trenching or pitting is recommended to expose mineralized zones.</w:t>
      </w:r>
    </w:p>
    <w:p w14:paraId="042323BE" w14:textId="77777777" w:rsidR="00AA5E0C" w:rsidRPr="00AA5E0C" w:rsidRDefault="00C64DB8" w:rsidP="001D61AB">
      <w:pPr>
        <w:spacing w:after="240"/>
        <w:ind w:firstLine="720"/>
        <w:rPr>
          <w:rFonts w:asciiTheme="minorBidi" w:hAnsiTheme="minorBidi"/>
          <w:sz w:val="22"/>
          <w:szCs w:val="22"/>
        </w:rPr>
      </w:pPr>
      <w:r w:rsidRPr="00C64DB8">
        <w:rPr>
          <w:rFonts w:asciiTheme="minorBidi" w:hAnsiTheme="minorBidi"/>
          <w:sz w:val="22"/>
          <w:szCs w:val="22"/>
        </w:rPr>
        <w:t xml:space="preserve">Finally, where integrated results continue to indicate significant mineralization potential, a phased exploratory drilling </w:t>
      </w:r>
      <w:proofErr w:type="spellStart"/>
      <w:r w:rsidRPr="00C64DB8">
        <w:rPr>
          <w:rFonts w:asciiTheme="minorBidi" w:hAnsiTheme="minorBidi"/>
          <w:sz w:val="22"/>
          <w:szCs w:val="22"/>
        </w:rPr>
        <w:t>programme</w:t>
      </w:r>
      <w:proofErr w:type="spellEnd"/>
      <w:r w:rsidRPr="00C64DB8">
        <w:rPr>
          <w:rFonts w:asciiTheme="minorBidi" w:hAnsiTheme="minorBidi"/>
          <w:sz w:val="22"/>
          <w:szCs w:val="22"/>
        </w:rPr>
        <w:t xml:space="preserve"> should be implemented to evaluate the vertical continuity, grade distribution, and economic viability of the identified targets.</w:t>
      </w:r>
    </w:p>
    <w:p w14:paraId="531EE885" w14:textId="77777777" w:rsidR="00AA5E0C" w:rsidRPr="00AA5E0C" w:rsidRDefault="00AA5E0C" w:rsidP="002C5CFA">
      <w:pPr>
        <w:pStyle w:val="Heading2"/>
      </w:pPr>
      <w:r w:rsidRPr="00AA5E0C">
        <w:t>Declarations</w:t>
      </w:r>
    </w:p>
    <w:p w14:paraId="68211710" w14:textId="77777777" w:rsidR="00AA5E0C" w:rsidRPr="00AA5E0C" w:rsidRDefault="00AA5E0C" w:rsidP="002C5CFA">
      <w:pPr>
        <w:spacing w:after="120"/>
        <w:rPr>
          <w:rFonts w:asciiTheme="minorBidi" w:hAnsiTheme="minorBidi"/>
          <w:sz w:val="22"/>
          <w:szCs w:val="22"/>
        </w:rPr>
      </w:pPr>
      <w:r w:rsidRPr="00AA5E0C">
        <w:rPr>
          <w:rFonts w:asciiTheme="minorBidi" w:hAnsiTheme="minorBidi"/>
          <w:b/>
          <w:bCs/>
          <w:sz w:val="22"/>
          <w:szCs w:val="22"/>
        </w:rPr>
        <w:t>Data Availability</w:t>
      </w:r>
      <w:r>
        <w:rPr>
          <w:rFonts w:asciiTheme="minorBidi" w:hAnsiTheme="minorBidi"/>
          <w:b/>
          <w:bCs/>
          <w:sz w:val="22"/>
          <w:szCs w:val="22"/>
        </w:rPr>
        <w:t xml:space="preserve">: </w:t>
      </w:r>
      <w:r w:rsidRPr="00AA5E0C">
        <w:rPr>
          <w:rFonts w:asciiTheme="minorBidi" w:hAnsiTheme="minorBidi"/>
          <w:sz w:val="22"/>
          <w:szCs w:val="22"/>
        </w:rPr>
        <w:t>The datasets used in this study were obtained from Dexter Roy Geo</w:t>
      </w:r>
      <w:r>
        <w:rPr>
          <w:rFonts w:asciiTheme="minorBidi" w:hAnsiTheme="minorBidi"/>
          <w:sz w:val="22"/>
          <w:szCs w:val="22"/>
        </w:rPr>
        <w:t>C</w:t>
      </w:r>
      <w:r w:rsidRPr="00AA5E0C">
        <w:rPr>
          <w:rFonts w:asciiTheme="minorBidi" w:hAnsiTheme="minorBidi"/>
          <w:sz w:val="22"/>
          <w:szCs w:val="22"/>
        </w:rPr>
        <w:t>onsult Limited and are not publicly available due to data confidentiality restrictions but may be made available from the author upon reasonable request and with permission from the company.</w:t>
      </w:r>
    </w:p>
    <w:p w14:paraId="04DA9907" w14:textId="77777777" w:rsidR="00561CF4" w:rsidRDefault="00561CF4" w:rsidP="001D61AB">
      <w:pPr>
        <w:spacing w:after="120"/>
        <w:rPr>
          <w:rFonts w:asciiTheme="minorBidi" w:hAnsiTheme="minorBidi"/>
          <w:sz w:val="22"/>
          <w:szCs w:val="22"/>
        </w:rPr>
      </w:pPr>
    </w:p>
    <w:p w14:paraId="3C24DD13" w14:textId="77777777" w:rsidR="00561CF4" w:rsidRPr="00561CF4" w:rsidRDefault="00561CF4" w:rsidP="00561CF4">
      <w:pPr>
        <w:spacing w:after="120"/>
        <w:rPr>
          <w:rFonts w:asciiTheme="minorBidi" w:hAnsiTheme="minorBidi"/>
          <w:sz w:val="22"/>
          <w:szCs w:val="22"/>
        </w:rPr>
      </w:pPr>
      <w:r w:rsidRPr="00561CF4">
        <w:rPr>
          <w:rFonts w:asciiTheme="minorBidi" w:hAnsiTheme="minorBidi"/>
          <w:sz w:val="22"/>
          <w:szCs w:val="22"/>
        </w:rPr>
        <w:t>COMPETING INTERESTS DISCLAIMER:</w:t>
      </w:r>
    </w:p>
    <w:p w14:paraId="6D41E64F" w14:textId="77777777" w:rsidR="00561CF4" w:rsidRPr="00561CF4" w:rsidRDefault="00561CF4" w:rsidP="00561CF4">
      <w:pPr>
        <w:spacing w:after="120"/>
        <w:rPr>
          <w:rFonts w:asciiTheme="minorBidi" w:hAnsiTheme="minorBidi"/>
          <w:sz w:val="22"/>
          <w:szCs w:val="22"/>
        </w:rPr>
      </w:pPr>
      <w:r w:rsidRPr="00561CF4">
        <w:rPr>
          <w:rFonts w:asciiTheme="minorBidi" w:hAnsiTheme="minorBidi"/>
          <w:sz w:val="22"/>
          <w:szCs w:val="22"/>
        </w:rPr>
        <w:t>Authors have declared that they have no known competing financial interests OR non-financial interests OR personal relationships that could have appeared to influence the work reported in this paper.</w:t>
      </w:r>
    </w:p>
    <w:p w14:paraId="142D5EAF" w14:textId="77777777" w:rsidR="00561CF4" w:rsidRPr="00561CF4" w:rsidRDefault="00561CF4" w:rsidP="00561CF4">
      <w:pPr>
        <w:spacing w:after="120"/>
        <w:rPr>
          <w:rFonts w:asciiTheme="minorBidi" w:hAnsiTheme="minorBidi"/>
          <w:sz w:val="22"/>
          <w:szCs w:val="22"/>
        </w:rPr>
      </w:pPr>
    </w:p>
    <w:p w14:paraId="1CC7108B" w14:textId="77777777" w:rsidR="00CA10C2" w:rsidRPr="00CA3906" w:rsidRDefault="00CA10C2" w:rsidP="00CA10C2">
      <w:pPr>
        <w:rPr>
          <w:b/>
          <w:highlight w:val="yellow"/>
        </w:rPr>
      </w:pPr>
      <w:r w:rsidRPr="00CA3906">
        <w:rPr>
          <w:b/>
          <w:highlight w:val="yellow"/>
        </w:rPr>
        <w:t>Disclaimer (Artificial intelligence)</w:t>
      </w:r>
    </w:p>
    <w:p w14:paraId="1BD25773" w14:textId="77777777" w:rsidR="00CA10C2" w:rsidRPr="00740879" w:rsidRDefault="00CA10C2" w:rsidP="00CA10C2">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538AEDD5" w14:textId="77777777" w:rsidR="00561CF4" w:rsidRPr="001D61AB" w:rsidRDefault="00561CF4" w:rsidP="001D61AB">
      <w:pPr>
        <w:spacing w:after="120"/>
        <w:rPr>
          <w:rFonts w:asciiTheme="minorBidi" w:hAnsiTheme="minorBidi"/>
          <w:sz w:val="22"/>
          <w:szCs w:val="22"/>
        </w:rPr>
      </w:pPr>
    </w:p>
    <w:p w14:paraId="52AEBE16" w14:textId="77777777" w:rsidR="00AC0377" w:rsidRPr="00FA4216" w:rsidRDefault="00AC0377" w:rsidP="006C2078">
      <w:pPr>
        <w:pStyle w:val="Heading1"/>
        <w:rPr>
          <w:rFonts w:cstheme="minorBidi"/>
        </w:rPr>
      </w:pPr>
      <w:r w:rsidRPr="00FA4216">
        <w:rPr>
          <w:rFonts w:cstheme="minorBidi"/>
        </w:rPr>
        <w:t>References</w:t>
      </w:r>
    </w:p>
    <w:p w14:paraId="14BF3C9E"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Adams, C., Melcher, F., Gutzmer, J., &amp; Gilbert, S. (2023). Nb-Ta oxide mineralogy of the Winneba pegmatite, Ghana. Ore Geology Reviews, 154, 105299.</w:t>
      </w:r>
    </w:p>
    <w:p w14:paraId="07853F16"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 xml:space="preserve">Ahmed, A.H., </w:t>
      </w:r>
      <w:proofErr w:type="spellStart"/>
      <w:r w:rsidRPr="00FA4216">
        <w:rPr>
          <w:rFonts w:asciiTheme="minorBidi" w:hAnsiTheme="minorBidi"/>
          <w:sz w:val="22"/>
        </w:rPr>
        <w:t>Attourabi</w:t>
      </w:r>
      <w:proofErr w:type="spellEnd"/>
      <w:r w:rsidRPr="00FA4216">
        <w:rPr>
          <w:rFonts w:asciiTheme="minorBidi" w:hAnsiTheme="minorBidi"/>
          <w:sz w:val="22"/>
        </w:rPr>
        <w:t xml:space="preserve">, A.A., El </w:t>
      </w:r>
      <w:proofErr w:type="spellStart"/>
      <w:r w:rsidRPr="00FA4216">
        <w:rPr>
          <w:rFonts w:asciiTheme="minorBidi" w:hAnsiTheme="minorBidi"/>
          <w:sz w:val="22"/>
        </w:rPr>
        <w:t>Amrani</w:t>
      </w:r>
      <w:proofErr w:type="spellEnd"/>
      <w:r w:rsidRPr="00FA4216">
        <w:rPr>
          <w:rFonts w:asciiTheme="minorBidi" w:hAnsiTheme="minorBidi"/>
          <w:sz w:val="22"/>
        </w:rPr>
        <w:t xml:space="preserve">, E., &amp; El </w:t>
      </w:r>
      <w:proofErr w:type="spellStart"/>
      <w:r w:rsidRPr="00FA4216">
        <w:rPr>
          <w:rFonts w:asciiTheme="minorBidi" w:hAnsiTheme="minorBidi"/>
          <w:sz w:val="22"/>
        </w:rPr>
        <w:t>Atrchi</w:t>
      </w:r>
      <w:proofErr w:type="spellEnd"/>
      <w:r w:rsidRPr="00FA4216">
        <w:rPr>
          <w:rFonts w:asciiTheme="minorBidi" w:hAnsiTheme="minorBidi"/>
          <w:sz w:val="22"/>
        </w:rPr>
        <w:t xml:space="preserve">, F. (2023). The </w:t>
      </w:r>
      <w:proofErr w:type="spellStart"/>
      <w:r w:rsidRPr="00FA4216">
        <w:rPr>
          <w:rFonts w:asciiTheme="minorBidi" w:hAnsiTheme="minorBidi"/>
          <w:sz w:val="22"/>
        </w:rPr>
        <w:t>Dibilo</w:t>
      </w:r>
      <w:proofErr w:type="spellEnd"/>
      <w:r w:rsidRPr="00FA4216">
        <w:rPr>
          <w:rFonts w:asciiTheme="minorBidi" w:hAnsiTheme="minorBidi"/>
          <w:sz w:val="22"/>
        </w:rPr>
        <w:t xml:space="preserve"> lithium pegmatite field, </w:t>
      </w:r>
      <w:proofErr w:type="spellStart"/>
      <w:r w:rsidRPr="00FA4216">
        <w:rPr>
          <w:rFonts w:asciiTheme="minorBidi" w:hAnsiTheme="minorBidi"/>
          <w:sz w:val="22"/>
        </w:rPr>
        <w:t>Liptako</w:t>
      </w:r>
      <w:proofErr w:type="spellEnd"/>
      <w:r w:rsidRPr="00FA4216">
        <w:rPr>
          <w:rFonts w:asciiTheme="minorBidi" w:hAnsiTheme="minorBidi"/>
          <w:sz w:val="22"/>
        </w:rPr>
        <w:t>, Niger: Geology, mineralogy and geochemistry. Ore Geology Reviews, 157, 105388.</w:t>
      </w:r>
    </w:p>
    <w:p w14:paraId="1DD1DFA0" w14:textId="77777777" w:rsidR="00AC0377" w:rsidRPr="00FA4216" w:rsidRDefault="00AC0377" w:rsidP="00AC0377">
      <w:pPr>
        <w:spacing w:after="120" w:line="240" w:lineRule="auto"/>
        <w:ind w:left="720" w:hanging="720"/>
        <w:rPr>
          <w:rFonts w:asciiTheme="minorBidi" w:hAnsiTheme="minorBidi"/>
        </w:rPr>
      </w:pPr>
      <w:proofErr w:type="spellStart"/>
      <w:r w:rsidRPr="00FA4216">
        <w:rPr>
          <w:rFonts w:asciiTheme="minorBidi" w:hAnsiTheme="minorBidi"/>
          <w:sz w:val="22"/>
        </w:rPr>
        <w:t>Akoh</w:t>
      </w:r>
      <w:proofErr w:type="spellEnd"/>
      <w:r w:rsidRPr="00FA4216">
        <w:rPr>
          <w:rFonts w:asciiTheme="minorBidi" w:hAnsiTheme="minorBidi"/>
          <w:sz w:val="22"/>
        </w:rPr>
        <w:t xml:space="preserve">, J.U., </w:t>
      </w:r>
      <w:proofErr w:type="spellStart"/>
      <w:r w:rsidRPr="00FA4216">
        <w:rPr>
          <w:rFonts w:asciiTheme="minorBidi" w:hAnsiTheme="minorBidi"/>
          <w:sz w:val="22"/>
        </w:rPr>
        <w:t>Ogala</w:t>
      </w:r>
      <w:proofErr w:type="spellEnd"/>
      <w:r w:rsidRPr="00FA4216">
        <w:rPr>
          <w:rFonts w:asciiTheme="minorBidi" w:hAnsiTheme="minorBidi"/>
          <w:sz w:val="22"/>
        </w:rPr>
        <w:t xml:space="preserve">, J.E., &amp; Garba, I. (2015). Geochemical characterization of pegmatites from </w:t>
      </w:r>
      <w:proofErr w:type="spellStart"/>
      <w:r w:rsidRPr="00FA4216">
        <w:rPr>
          <w:rFonts w:asciiTheme="minorBidi" w:hAnsiTheme="minorBidi"/>
          <w:sz w:val="22"/>
        </w:rPr>
        <w:t>Angwan</w:t>
      </w:r>
      <w:proofErr w:type="spellEnd"/>
      <w:r w:rsidRPr="00FA4216">
        <w:rPr>
          <w:rFonts w:asciiTheme="minorBidi" w:hAnsiTheme="minorBidi"/>
          <w:sz w:val="22"/>
        </w:rPr>
        <w:t xml:space="preserve"> Doka area, north-central Nigeria. Journal of Mining and Geology, 51(1), 1-12.</w:t>
      </w:r>
    </w:p>
    <w:p w14:paraId="177CAC2F" w14:textId="77777777" w:rsidR="00AC0377" w:rsidRPr="00FA4216" w:rsidRDefault="00AC0377" w:rsidP="00AC0377">
      <w:pPr>
        <w:spacing w:after="120" w:line="240" w:lineRule="auto"/>
        <w:ind w:left="720" w:hanging="720"/>
        <w:rPr>
          <w:rFonts w:asciiTheme="minorBidi" w:hAnsiTheme="minorBidi"/>
        </w:rPr>
      </w:pPr>
      <w:proofErr w:type="spellStart"/>
      <w:r w:rsidRPr="00FA4216">
        <w:rPr>
          <w:rFonts w:asciiTheme="minorBidi" w:hAnsiTheme="minorBidi"/>
          <w:sz w:val="22"/>
        </w:rPr>
        <w:t>Akingboye</w:t>
      </w:r>
      <w:proofErr w:type="spellEnd"/>
      <w:r w:rsidRPr="00FA4216">
        <w:rPr>
          <w:rFonts w:asciiTheme="minorBidi" w:hAnsiTheme="minorBidi"/>
          <w:sz w:val="22"/>
        </w:rPr>
        <w:t xml:space="preserve">, A.S., &amp; </w:t>
      </w:r>
      <w:proofErr w:type="spellStart"/>
      <w:r w:rsidRPr="00FA4216">
        <w:rPr>
          <w:rFonts w:asciiTheme="minorBidi" w:hAnsiTheme="minorBidi"/>
          <w:sz w:val="22"/>
        </w:rPr>
        <w:t>Osazua</w:t>
      </w:r>
      <w:proofErr w:type="spellEnd"/>
      <w:r w:rsidRPr="00FA4216">
        <w:rPr>
          <w:rFonts w:asciiTheme="minorBidi" w:hAnsiTheme="minorBidi"/>
          <w:sz w:val="22"/>
        </w:rPr>
        <w:t>, I.M. (2016). The location of the Precambrian basement complex of Nigeria between the West African craton, the Congo craton and the southern part of the Tuareg shield. Nigerian Journal of Mining and Geology, 46(1), 23-35.</w:t>
      </w:r>
    </w:p>
    <w:p w14:paraId="24E63D40" w14:textId="77777777" w:rsidR="00AC0377" w:rsidRPr="00FA4216" w:rsidRDefault="00AC0377" w:rsidP="00AC0377">
      <w:pPr>
        <w:spacing w:after="120" w:line="240" w:lineRule="auto"/>
        <w:ind w:left="720" w:hanging="720"/>
        <w:rPr>
          <w:rFonts w:asciiTheme="minorBidi" w:hAnsiTheme="minorBidi"/>
        </w:rPr>
      </w:pPr>
      <w:proofErr w:type="spellStart"/>
      <w:r w:rsidRPr="00FA4216">
        <w:rPr>
          <w:rFonts w:asciiTheme="minorBidi" w:hAnsiTheme="minorBidi"/>
          <w:sz w:val="22"/>
        </w:rPr>
        <w:t>Attourabi</w:t>
      </w:r>
      <w:proofErr w:type="spellEnd"/>
      <w:r w:rsidRPr="00FA4216">
        <w:rPr>
          <w:rFonts w:asciiTheme="minorBidi" w:hAnsiTheme="minorBidi"/>
          <w:sz w:val="22"/>
        </w:rPr>
        <w:t xml:space="preserve">, A.A., Ahmed, A.H., El Amrani, E., &amp; El </w:t>
      </w:r>
      <w:proofErr w:type="spellStart"/>
      <w:r w:rsidRPr="00FA4216">
        <w:rPr>
          <w:rFonts w:asciiTheme="minorBidi" w:hAnsiTheme="minorBidi"/>
          <w:sz w:val="22"/>
        </w:rPr>
        <w:t>Atrchi</w:t>
      </w:r>
      <w:proofErr w:type="spellEnd"/>
      <w:r w:rsidRPr="00FA4216">
        <w:rPr>
          <w:rFonts w:asciiTheme="minorBidi" w:hAnsiTheme="minorBidi"/>
          <w:sz w:val="22"/>
        </w:rPr>
        <w:t xml:space="preserve">, F. (2024). Petrogenesis and </w:t>
      </w:r>
      <w:proofErr w:type="spellStart"/>
      <w:r w:rsidRPr="00FA4216">
        <w:rPr>
          <w:rFonts w:asciiTheme="minorBidi" w:hAnsiTheme="minorBidi"/>
          <w:sz w:val="22"/>
        </w:rPr>
        <w:t>metallogenesis</w:t>
      </w:r>
      <w:proofErr w:type="spellEnd"/>
      <w:r w:rsidRPr="00FA4216">
        <w:rPr>
          <w:rFonts w:asciiTheme="minorBidi" w:hAnsiTheme="minorBidi"/>
          <w:sz w:val="22"/>
        </w:rPr>
        <w:t xml:space="preserve"> of the </w:t>
      </w:r>
      <w:proofErr w:type="spellStart"/>
      <w:r w:rsidRPr="00FA4216">
        <w:rPr>
          <w:rFonts w:asciiTheme="minorBidi" w:hAnsiTheme="minorBidi"/>
          <w:sz w:val="22"/>
        </w:rPr>
        <w:t>Dibilo</w:t>
      </w:r>
      <w:proofErr w:type="spellEnd"/>
      <w:r w:rsidRPr="00FA4216">
        <w:rPr>
          <w:rFonts w:asciiTheme="minorBidi" w:hAnsiTheme="minorBidi"/>
          <w:sz w:val="22"/>
        </w:rPr>
        <w:t xml:space="preserve"> lithium pegmatite field, Niger. Economic Geology, 119(2), 387-410.</w:t>
      </w:r>
    </w:p>
    <w:p w14:paraId="2FC8803D"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 xml:space="preserve">Cerny, P., &amp; </w:t>
      </w:r>
      <w:proofErr w:type="spellStart"/>
      <w:r w:rsidRPr="00FA4216">
        <w:rPr>
          <w:rFonts w:asciiTheme="minorBidi" w:hAnsiTheme="minorBidi"/>
          <w:sz w:val="22"/>
        </w:rPr>
        <w:t>Ercit</w:t>
      </w:r>
      <w:proofErr w:type="spellEnd"/>
      <w:r w:rsidRPr="00FA4216">
        <w:rPr>
          <w:rFonts w:asciiTheme="minorBidi" w:hAnsiTheme="minorBidi"/>
          <w:sz w:val="22"/>
        </w:rPr>
        <w:t>, T.S. (2005). The classification of granitic pegmatites revisited. The Canadian Mineralogist, 43(6), 2005-2026.</w:t>
      </w:r>
    </w:p>
    <w:p w14:paraId="39EC82A5"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lastRenderedPageBreak/>
        <w:t>Chukwu, E., &amp; Obiora, S.C. (2021). Rare metal pegmatites of Nigeria: A review. Journal of African Earth Sciences, 178, 104184.</w:t>
      </w:r>
    </w:p>
    <w:p w14:paraId="415CCFA7" w14:textId="77777777" w:rsidR="00AC0377" w:rsidRPr="003E2E49" w:rsidRDefault="00AC0377" w:rsidP="00AC0377">
      <w:pPr>
        <w:spacing w:after="120" w:line="240" w:lineRule="auto"/>
        <w:ind w:left="720" w:hanging="720"/>
        <w:rPr>
          <w:rFonts w:asciiTheme="minorBidi" w:hAnsiTheme="minorBidi"/>
          <w:lang w:val="es-US"/>
        </w:rPr>
      </w:pPr>
      <w:r w:rsidRPr="00FA4216">
        <w:rPr>
          <w:rFonts w:asciiTheme="minorBidi" w:hAnsiTheme="minorBidi"/>
          <w:sz w:val="22"/>
        </w:rPr>
        <w:t xml:space="preserve">Delor, C., </w:t>
      </w:r>
      <w:proofErr w:type="spellStart"/>
      <w:r w:rsidRPr="00FA4216">
        <w:rPr>
          <w:rFonts w:asciiTheme="minorBidi" w:hAnsiTheme="minorBidi"/>
          <w:sz w:val="22"/>
        </w:rPr>
        <w:t>Lahondere</w:t>
      </w:r>
      <w:proofErr w:type="spellEnd"/>
      <w:r w:rsidRPr="00FA4216">
        <w:rPr>
          <w:rFonts w:asciiTheme="minorBidi" w:hAnsiTheme="minorBidi"/>
          <w:sz w:val="22"/>
        </w:rPr>
        <w:t xml:space="preserve">, D., Egal, E., &amp; </w:t>
      </w:r>
      <w:proofErr w:type="spellStart"/>
      <w:r w:rsidRPr="00FA4216">
        <w:rPr>
          <w:rFonts w:asciiTheme="minorBidi" w:hAnsiTheme="minorBidi"/>
          <w:sz w:val="22"/>
        </w:rPr>
        <w:t>Goujou</w:t>
      </w:r>
      <w:proofErr w:type="spellEnd"/>
      <w:r w:rsidRPr="00FA4216">
        <w:rPr>
          <w:rFonts w:asciiTheme="minorBidi" w:hAnsiTheme="minorBidi"/>
          <w:sz w:val="22"/>
        </w:rPr>
        <w:t xml:space="preserve">, J.C. (2010). </w:t>
      </w:r>
      <w:r w:rsidRPr="003E2E49">
        <w:rPr>
          <w:rFonts w:asciiTheme="minorBidi" w:hAnsiTheme="minorBidi"/>
          <w:sz w:val="22"/>
          <w:lang w:val="es-US"/>
        </w:rPr>
        <w:t xml:space="preserve">Notice </w:t>
      </w:r>
      <w:proofErr w:type="spellStart"/>
      <w:r w:rsidRPr="003E2E49">
        <w:rPr>
          <w:rFonts w:asciiTheme="minorBidi" w:hAnsiTheme="minorBidi"/>
          <w:sz w:val="22"/>
          <w:lang w:val="es-US"/>
        </w:rPr>
        <w:t>explicative</w:t>
      </w:r>
      <w:proofErr w:type="spellEnd"/>
      <w:r w:rsidRPr="003E2E49">
        <w:rPr>
          <w:rFonts w:asciiTheme="minorBidi" w:hAnsiTheme="minorBidi"/>
          <w:sz w:val="22"/>
          <w:lang w:val="es-US"/>
        </w:rPr>
        <w:t xml:space="preserve"> de la </w:t>
      </w:r>
      <w:proofErr w:type="spellStart"/>
      <w:r w:rsidRPr="003E2E49">
        <w:rPr>
          <w:rFonts w:asciiTheme="minorBidi" w:hAnsiTheme="minorBidi"/>
          <w:sz w:val="22"/>
          <w:lang w:val="es-US"/>
        </w:rPr>
        <w:t>carte</w:t>
      </w:r>
      <w:proofErr w:type="spellEnd"/>
      <w:r w:rsidRPr="003E2E49">
        <w:rPr>
          <w:rFonts w:asciiTheme="minorBidi" w:hAnsiTheme="minorBidi"/>
          <w:sz w:val="22"/>
          <w:lang w:val="es-US"/>
        </w:rPr>
        <w:t xml:space="preserve"> </w:t>
      </w:r>
      <w:proofErr w:type="spellStart"/>
      <w:r w:rsidRPr="003E2E49">
        <w:rPr>
          <w:rFonts w:asciiTheme="minorBidi" w:hAnsiTheme="minorBidi"/>
          <w:sz w:val="22"/>
          <w:lang w:val="es-US"/>
        </w:rPr>
        <w:t>geologique</w:t>
      </w:r>
      <w:proofErr w:type="spellEnd"/>
      <w:r w:rsidRPr="003E2E49">
        <w:rPr>
          <w:rFonts w:asciiTheme="minorBidi" w:hAnsiTheme="minorBidi"/>
          <w:sz w:val="22"/>
          <w:lang w:val="es-US"/>
        </w:rPr>
        <w:t xml:space="preserve"> et des </w:t>
      </w:r>
      <w:proofErr w:type="spellStart"/>
      <w:r w:rsidRPr="003E2E49">
        <w:rPr>
          <w:rFonts w:asciiTheme="minorBidi" w:hAnsiTheme="minorBidi"/>
          <w:sz w:val="22"/>
          <w:lang w:val="es-US"/>
        </w:rPr>
        <w:t>ressources</w:t>
      </w:r>
      <w:proofErr w:type="spellEnd"/>
      <w:r w:rsidRPr="003E2E49">
        <w:rPr>
          <w:rFonts w:asciiTheme="minorBidi" w:hAnsiTheme="minorBidi"/>
          <w:sz w:val="22"/>
          <w:lang w:val="es-US"/>
        </w:rPr>
        <w:t xml:space="preserve"> minerales de la Republique du Senegal a 1/500 000. </w:t>
      </w:r>
      <w:proofErr w:type="spellStart"/>
      <w:r w:rsidRPr="003E2E49">
        <w:rPr>
          <w:rFonts w:asciiTheme="minorBidi" w:hAnsiTheme="minorBidi"/>
          <w:sz w:val="22"/>
          <w:lang w:val="es-US"/>
        </w:rPr>
        <w:t>Direction</w:t>
      </w:r>
      <w:proofErr w:type="spellEnd"/>
      <w:r w:rsidRPr="003E2E49">
        <w:rPr>
          <w:rFonts w:asciiTheme="minorBidi" w:hAnsiTheme="minorBidi"/>
          <w:sz w:val="22"/>
          <w:lang w:val="es-US"/>
        </w:rPr>
        <w:t xml:space="preserve"> des Mines et de la </w:t>
      </w:r>
      <w:proofErr w:type="spellStart"/>
      <w:r w:rsidRPr="003E2E49">
        <w:rPr>
          <w:rFonts w:asciiTheme="minorBidi" w:hAnsiTheme="minorBidi"/>
          <w:sz w:val="22"/>
          <w:lang w:val="es-US"/>
        </w:rPr>
        <w:t>Geologie</w:t>
      </w:r>
      <w:proofErr w:type="spellEnd"/>
      <w:r w:rsidRPr="003E2E49">
        <w:rPr>
          <w:rFonts w:asciiTheme="minorBidi" w:hAnsiTheme="minorBidi"/>
          <w:sz w:val="22"/>
          <w:lang w:val="es-US"/>
        </w:rPr>
        <w:t>, Senegal.</w:t>
      </w:r>
    </w:p>
    <w:p w14:paraId="20972019" w14:textId="77777777" w:rsidR="00AC0377" w:rsidRPr="00FA4216" w:rsidRDefault="00AC0377" w:rsidP="00AC0377">
      <w:pPr>
        <w:spacing w:after="120" w:line="240" w:lineRule="auto"/>
        <w:ind w:left="720" w:hanging="720"/>
        <w:rPr>
          <w:rFonts w:asciiTheme="minorBidi" w:hAnsiTheme="minorBidi"/>
        </w:rPr>
      </w:pPr>
      <w:proofErr w:type="spellStart"/>
      <w:r w:rsidRPr="003E2E49">
        <w:rPr>
          <w:rFonts w:asciiTheme="minorBidi" w:hAnsiTheme="minorBidi"/>
          <w:sz w:val="22"/>
          <w:lang w:val="es-US"/>
        </w:rPr>
        <w:t>Ekeleme</w:t>
      </w:r>
      <w:proofErr w:type="spellEnd"/>
      <w:r w:rsidRPr="003E2E49">
        <w:rPr>
          <w:rFonts w:asciiTheme="minorBidi" w:hAnsiTheme="minorBidi"/>
          <w:sz w:val="22"/>
          <w:lang w:val="es-US"/>
        </w:rPr>
        <w:t xml:space="preserve">, I.A., </w:t>
      </w:r>
      <w:proofErr w:type="spellStart"/>
      <w:r w:rsidRPr="003E2E49">
        <w:rPr>
          <w:rFonts w:asciiTheme="minorBidi" w:hAnsiTheme="minorBidi"/>
          <w:sz w:val="22"/>
          <w:lang w:val="es-US"/>
        </w:rPr>
        <w:t>Haruna</w:t>
      </w:r>
      <w:proofErr w:type="spellEnd"/>
      <w:r w:rsidRPr="003E2E49">
        <w:rPr>
          <w:rFonts w:asciiTheme="minorBidi" w:hAnsiTheme="minorBidi"/>
          <w:sz w:val="22"/>
          <w:lang w:val="es-US"/>
        </w:rPr>
        <w:t xml:space="preserve">, A.I., </w:t>
      </w:r>
      <w:proofErr w:type="spellStart"/>
      <w:r w:rsidRPr="003E2E49">
        <w:rPr>
          <w:rFonts w:asciiTheme="minorBidi" w:hAnsiTheme="minorBidi"/>
          <w:sz w:val="22"/>
          <w:lang w:val="es-US"/>
        </w:rPr>
        <w:t>Olorunyomi</w:t>
      </w:r>
      <w:proofErr w:type="spellEnd"/>
      <w:r w:rsidRPr="003E2E49">
        <w:rPr>
          <w:rFonts w:asciiTheme="minorBidi" w:hAnsiTheme="minorBidi"/>
          <w:sz w:val="22"/>
          <w:lang w:val="es-US"/>
        </w:rPr>
        <w:t xml:space="preserve">, A.E., </w:t>
      </w:r>
      <w:proofErr w:type="spellStart"/>
      <w:r w:rsidRPr="003E2E49">
        <w:rPr>
          <w:rFonts w:asciiTheme="minorBidi" w:hAnsiTheme="minorBidi"/>
          <w:sz w:val="22"/>
          <w:lang w:val="es-US"/>
        </w:rPr>
        <w:t>Chollom</w:t>
      </w:r>
      <w:proofErr w:type="spellEnd"/>
      <w:r w:rsidRPr="003E2E49">
        <w:rPr>
          <w:rFonts w:asciiTheme="minorBidi" w:hAnsiTheme="minorBidi"/>
          <w:sz w:val="22"/>
          <w:lang w:val="es-US"/>
        </w:rPr>
        <w:t xml:space="preserve">, J.G., &amp; </w:t>
      </w:r>
      <w:proofErr w:type="spellStart"/>
      <w:r w:rsidRPr="003E2E49">
        <w:rPr>
          <w:rFonts w:asciiTheme="minorBidi" w:hAnsiTheme="minorBidi"/>
          <w:sz w:val="22"/>
          <w:lang w:val="es-US"/>
        </w:rPr>
        <w:t>Ochiba</w:t>
      </w:r>
      <w:proofErr w:type="spellEnd"/>
      <w:r w:rsidRPr="003E2E49">
        <w:rPr>
          <w:rFonts w:asciiTheme="minorBidi" w:hAnsiTheme="minorBidi"/>
          <w:sz w:val="22"/>
          <w:lang w:val="es-US"/>
        </w:rPr>
        <w:t xml:space="preserve">, I.E. (2024). </w:t>
      </w:r>
      <w:r w:rsidRPr="00FA4216">
        <w:rPr>
          <w:rFonts w:asciiTheme="minorBidi" w:hAnsiTheme="minorBidi"/>
          <w:sz w:val="22"/>
        </w:rPr>
        <w:t xml:space="preserve">Geology and petrography of the basement complex rocks and associated skarn mineralization in </w:t>
      </w:r>
      <w:proofErr w:type="spellStart"/>
      <w:r w:rsidRPr="00FA4216">
        <w:rPr>
          <w:rFonts w:asciiTheme="minorBidi" w:hAnsiTheme="minorBidi"/>
          <w:sz w:val="22"/>
        </w:rPr>
        <w:t>Tsauni</w:t>
      </w:r>
      <w:proofErr w:type="spellEnd"/>
      <w:r w:rsidRPr="00FA4216">
        <w:rPr>
          <w:rFonts w:asciiTheme="minorBidi" w:hAnsiTheme="minorBidi"/>
          <w:sz w:val="22"/>
        </w:rPr>
        <w:t xml:space="preserve"> area, north-central Nigeria. International Journal of Geological and Environmental Sciences, 10(1), 41-58.</w:t>
      </w:r>
    </w:p>
    <w:p w14:paraId="60B71E2C" w14:textId="77777777" w:rsidR="00AC0377" w:rsidRPr="00FA4216" w:rsidRDefault="00AC0377" w:rsidP="00AC0377">
      <w:pPr>
        <w:spacing w:after="120" w:line="240" w:lineRule="auto"/>
        <w:ind w:left="720" w:hanging="720"/>
        <w:rPr>
          <w:rFonts w:asciiTheme="minorBidi" w:hAnsiTheme="minorBidi"/>
        </w:rPr>
      </w:pPr>
      <w:proofErr w:type="spellStart"/>
      <w:r w:rsidRPr="00FA4216">
        <w:rPr>
          <w:rFonts w:asciiTheme="minorBidi" w:hAnsiTheme="minorBidi"/>
          <w:sz w:val="22"/>
        </w:rPr>
        <w:t>Feybesse</w:t>
      </w:r>
      <w:proofErr w:type="spellEnd"/>
      <w:r w:rsidRPr="00FA4216">
        <w:rPr>
          <w:rFonts w:asciiTheme="minorBidi" w:hAnsiTheme="minorBidi"/>
          <w:sz w:val="22"/>
        </w:rPr>
        <w:t xml:space="preserve">, J.L., &amp; </w:t>
      </w:r>
      <w:proofErr w:type="spellStart"/>
      <w:r w:rsidRPr="00FA4216">
        <w:rPr>
          <w:rFonts w:asciiTheme="minorBidi" w:hAnsiTheme="minorBidi"/>
          <w:sz w:val="22"/>
        </w:rPr>
        <w:t>Milési</w:t>
      </w:r>
      <w:proofErr w:type="spellEnd"/>
      <w:r w:rsidRPr="00FA4216">
        <w:rPr>
          <w:rFonts w:asciiTheme="minorBidi" w:hAnsiTheme="minorBidi"/>
          <w:sz w:val="22"/>
        </w:rPr>
        <w:t>, J.P. (1994). The Archaean and Proterozoic basement of West Africa: A review. In: Proterozoic Crustal Evolution (ed. K.C. Condie). Elsevier, Amsterdam, pp. 107-138.</w:t>
      </w:r>
    </w:p>
    <w:p w14:paraId="6C0D5593"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 xml:space="preserve">Goldfarb, R.J., Groves, D.I., &amp; </w:t>
      </w:r>
      <w:proofErr w:type="spellStart"/>
      <w:r w:rsidRPr="00FA4216">
        <w:rPr>
          <w:rFonts w:asciiTheme="minorBidi" w:hAnsiTheme="minorBidi"/>
          <w:sz w:val="22"/>
        </w:rPr>
        <w:t>Gardoll</w:t>
      </w:r>
      <w:proofErr w:type="spellEnd"/>
      <w:r w:rsidRPr="00FA4216">
        <w:rPr>
          <w:rFonts w:asciiTheme="minorBidi" w:hAnsiTheme="minorBidi"/>
          <w:sz w:val="22"/>
        </w:rPr>
        <w:t>, S. (2001). Orogenic gold and geologic time: A global synthesis. Ore Geology Reviews, 18(1-2), 1-75.</w:t>
      </w:r>
    </w:p>
    <w:p w14:paraId="5698CF34"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 xml:space="preserve">Goodenough, K.M., Schofield, D.I., Thomas, R.J., De Waele, B., Key, R.M., &amp; Bauer, W. (2014). Episodic granitic magmatism in the western part of the Pan-African </w:t>
      </w:r>
      <w:proofErr w:type="spellStart"/>
      <w:r w:rsidRPr="00FA4216">
        <w:rPr>
          <w:rFonts w:asciiTheme="minorBidi" w:hAnsiTheme="minorBidi"/>
          <w:sz w:val="22"/>
        </w:rPr>
        <w:t>Lufilian</w:t>
      </w:r>
      <w:proofErr w:type="spellEnd"/>
      <w:r w:rsidRPr="00FA4216">
        <w:rPr>
          <w:rFonts w:asciiTheme="minorBidi" w:hAnsiTheme="minorBidi"/>
          <w:sz w:val="22"/>
        </w:rPr>
        <w:t xml:space="preserve"> Arc, Central Africa. Precambrian Research, 242, 30-45.</w:t>
      </w:r>
    </w:p>
    <w:p w14:paraId="3F51DFD3"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Groves, D.I., Goldfarb, R.J., Gebre-Mariam, M., Hagemann, S.G., &amp; Robert, F. (1998). Orogenic gold deposits: A proposed classification in the context of their crustal distribution and relationship to other gold deposit types. Ore Geology Reviews, 13(1-5), 7-27.</w:t>
      </w:r>
    </w:p>
    <w:p w14:paraId="430464A3"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 xml:space="preserve">Hagemann, S.G., </w:t>
      </w:r>
      <w:proofErr w:type="spellStart"/>
      <w:r w:rsidRPr="00FA4216">
        <w:rPr>
          <w:rFonts w:asciiTheme="minorBidi" w:hAnsiTheme="minorBidi"/>
          <w:sz w:val="22"/>
        </w:rPr>
        <w:t>Lisitsin</w:t>
      </w:r>
      <w:proofErr w:type="spellEnd"/>
      <w:r w:rsidRPr="00FA4216">
        <w:rPr>
          <w:rFonts w:asciiTheme="minorBidi" w:hAnsiTheme="minorBidi"/>
          <w:sz w:val="22"/>
        </w:rPr>
        <w:t xml:space="preserve">, V.A., &amp; Huston, D.L. (2016). Mineral system analysis: Quo </w:t>
      </w:r>
      <w:proofErr w:type="spellStart"/>
      <w:r w:rsidRPr="00FA4216">
        <w:rPr>
          <w:rFonts w:asciiTheme="minorBidi" w:hAnsiTheme="minorBidi"/>
          <w:sz w:val="22"/>
        </w:rPr>
        <w:t>vadis</w:t>
      </w:r>
      <w:proofErr w:type="spellEnd"/>
      <w:r w:rsidRPr="00FA4216">
        <w:rPr>
          <w:rFonts w:asciiTheme="minorBidi" w:hAnsiTheme="minorBidi"/>
          <w:sz w:val="22"/>
        </w:rPr>
        <w:t>. Ore Geology Reviews, 76, 504-522.</w:t>
      </w:r>
    </w:p>
    <w:p w14:paraId="1A95A9E4"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Küster, D. (1990). Rare-metal pegmatites of the Ijebu-Jesa area, southwestern Nigeria. Journal of African Earth Sciences, 10(3), 549-560.</w:t>
      </w:r>
    </w:p>
    <w:p w14:paraId="7AA36026"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 xml:space="preserve">Lambert-Smith, J.S., Thomas, R.J., Treloar, P.J., &amp; Antwi, E.K. (2016). The </w:t>
      </w:r>
      <w:proofErr w:type="spellStart"/>
      <w:r w:rsidRPr="00FA4216">
        <w:rPr>
          <w:rFonts w:asciiTheme="minorBidi" w:hAnsiTheme="minorBidi"/>
          <w:sz w:val="22"/>
        </w:rPr>
        <w:t>Kédougou-Kenieba</w:t>
      </w:r>
      <w:proofErr w:type="spellEnd"/>
      <w:r w:rsidRPr="00FA4216">
        <w:rPr>
          <w:rFonts w:asciiTheme="minorBidi" w:hAnsiTheme="minorBidi"/>
          <w:sz w:val="22"/>
        </w:rPr>
        <w:t xml:space="preserve"> inlier, eastern Senegal, West Africa: Geology and ore deposits. Ore Geology Reviews, 78, 447-463.</w:t>
      </w:r>
    </w:p>
    <w:p w14:paraId="68AC8737"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 xml:space="preserve">Ledru, P., Johan, V., </w:t>
      </w:r>
      <w:proofErr w:type="spellStart"/>
      <w:r w:rsidRPr="00FA4216">
        <w:rPr>
          <w:rFonts w:asciiTheme="minorBidi" w:hAnsiTheme="minorBidi"/>
          <w:sz w:val="22"/>
        </w:rPr>
        <w:t>Milesi</w:t>
      </w:r>
      <w:proofErr w:type="spellEnd"/>
      <w:r w:rsidRPr="00FA4216">
        <w:rPr>
          <w:rFonts w:asciiTheme="minorBidi" w:hAnsiTheme="minorBidi"/>
          <w:sz w:val="22"/>
        </w:rPr>
        <w:t xml:space="preserve">, J.P., &amp; </w:t>
      </w:r>
      <w:proofErr w:type="spellStart"/>
      <w:r w:rsidRPr="00FA4216">
        <w:rPr>
          <w:rFonts w:asciiTheme="minorBidi" w:hAnsiTheme="minorBidi"/>
          <w:sz w:val="22"/>
        </w:rPr>
        <w:t>Tegyey</w:t>
      </w:r>
      <w:proofErr w:type="spellEnd"/>
      <w:r w:rsidRPr="00FA4216">
        <w:rPr>
          <w:rFonts w:asciiTheme="minorBidi" w:hAnsiTheme="minorBidi"/>
          <w:sz w:val="22"/>
        </w:rPr>
        <w:t xml:space="preserve">, M. (1991). Markers of the last stages of the Paleoproterozoic collision in the </w:t>
      </w:r>
      <w:proofErr w:type="spellStart"/>
      <w:r w:rsidRPr="00FA4216">
        <w:rPr>
          <w:rFonts w:asciiTheme="minorBidi" w:hAnsiTheme="minorBidi"/>
          <w:sz w:val="22"/>
        </w:rPr>
        <w:t>Ubendian</w:t>
      </w:r>
      <w:proofErr w:type="spellEnd"/>
      <w:r w:rsidRPr="00FA4216">
        <w:rPr>
          <w:rFonts w:asciiTheme="minorBidi" w:hAnsiTheme="minorBidi"/>
          <w:sz w:val="22"/>
        </w:rPr>
        <w:t xml:space="preserve"> belt (Tanzania, Malawi, Mozambique). Precambrian Research, 51(1-4), 179-194.</w:t>
      </w:r>
    </w:p>
    <w:p w14:paraId="3DCC3B19"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London, D. (2008). Pegmatites. The Canadian Mineralogist, Special Publication 10, 347 pp.</w:t>
      </w:r>
    </w:p>
    <w:p w14:paraId="5F03FA0F"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 xml:space="preserve">Miller, A., </w:t>
      </w:r>
      <w:proofErr w:type="spellStart"/>
      <w:r w:rsidRPr="00FA4216">
        <w:rPr>
          <w:rFonts w:asciiTheme="minorBidi" w:hAnsiTheme="minorBidi"/>
          <w:sz w:val="22"/>
        </w:rPr>
        <w:t>Röding</w:t>
      </w:r>
      <w:proofErr w:type="spellEnd"/>
      <w:r w:rsidRPr="00FA4216">
        <w:rPr>
          <w:rFonts w:asciiTheme="minorBidi" w:hAnsiTheme="minorBidi"/>
          <w:sz w:val="22"/>
        </w:rPr>
        <w:t xml:space="preserve">, C., &amp; </w:t>
      </w:r>
      <w:proofErr w:type="spellStart"/>
      <w:r w:rsidRPr="00FA4216">
        <w:rPr>
          <w:rFonts w:asciiTheme="minorBidi" w:hAnsiTheme="minorBidi"/>
          <w:sz w:val="22"/>
        </w:rPr>
        <w:t>Röller</w:t>
      </w:r>
      <w:proofErr w:type="spellEnd"/>
      <w:r w:rsidRPr="00FA4216">
        <w:rPr>
          <w:rFonts w:asciiTheme="minorBidi" w:hAnsiTheme="minorBidi"/>
          <w:sz w:val="22"/>
        </w:rPr>
        <w:t>, K. (2009). The significance of lithium pegmatites in the Damara Orogen, Namibia. Journal of African Earth Sciences, 53(4-5), 115-126.</w:t>
      </w:r>
    </w:p>
    <w:p w14:paraId="369CF255"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Nigerian Geological Survey Agency (2022). Mineral resources of Nigeria. Ministry of Mines and Steel Development, Abuja, Nigeria.</w:t>
      </w:r>
    </w:p>
    <w:p w14:paraId="3E097B66" w14:textId="77777777" w:rsidR="00AC0377" w:rsidRPr="00FA4216" w:rsidRDefault="00AC0377" w:rsidP="00AC0377">
      <w:pPr>
        <w:spacing w:after="120" w:line="240" w:lineRule="auto"/>
        <w:ind w:left="720" w:hanging="720"/>
        <w:rPr>
          <w:rFonts w:asciiTheme="minorBidi" w:hAnsiTheme="minorBidi"/>
        </w:rPr>
      </w:pPr>
      <w:proofErr w:type="spellStart"/>
      <w:r w:rsidRPr="00FA4216">
        <w:rPr>
          <w:rFonts w:asciiTheme="minorBidi" w:hAnsiTheme="minorBidi"/>
          <w:sz w:val="22"/>
        </w:rPr>
        <w:t>Oyawoye</w:t>
      </w:r>
      <w:proofErr w:type="spellEnd"/>
      <w:r w:rsidRPr="00FA4216">
        <w:rPr>
          <w:rFonts w:asciiTheme="minorBidi" w:hAnsiTheme="minorBidi"/>
          <w:sz w:val="22"/>
        </w:rPr>
        <w:t xml:space="preserve">, M.O. (1972). The basement complex of Nigeria. In: African Geology (eds. T.F.J. </w:t>
      </w:r>
      <w:proofErr w:type="spellStart"/>
      <w:r w:rsidRPr="00FA4216">
        <w:rPr>
          <w:rFonts w:asciiTheme="minorBidi" w:hAnsiTheme="minorBidi"/>
          <w:sz w:val="22"/>
        </w:rPr>
        <w:t>Dessauvagie</w:t>
      </w:r>
      <w:proofErr w:type="spellEnd"/>
      <w:r w:rsidRPr="00FA4216">
        <w:rPr>
          <w:rFonts w:asciiTheme="minorBidi" w:hAnsiTheme="minorBidi"/>
          <w:sz w:val="22"/>
        </w:rPr>
        <w:t xml:space="preserve"> &amp; A.J. Whiteman). University of Ibadan Press, pp. 67-98.</w:t>
      </w:r>
    </w:p>
    <w:p w14:paraId="0CCFCDB4" w14:textId="77777777" w:rsidR="00AC0377" w:rsidRPr="00FA4216" w:rsidRDefault="00AC0377" w:rsidP="00AC0377">
      <w:pPr>
        <w:spacing w:after="120" w:line="240" w:lineRule="auto"/>
        <w:ind w:left="720" w:hanging="720"/>
        <w:rPr>
          <w:rFonts w:asciiTheme="minorBidi" w:hAnsiTheme="minorBidi"/>
        </w:rPr>
      </w:pPr>
      <w:proofErr w:type="spellStart"/>
      <w:r w:rsidRPr="00FA4216">
        <w:rPr>
          <w:rFonts w:asciiTheme="minorBidi" w:hAnsiTheme="minorBidi"/>
          <w:sz w:val="22"/>
        </w:rPr>
        <w:t>Perrouty</w:t>
      </w:r>
      <w:proofErr w:type="spellEnd"/>
      <w:r w:rsidRPr="00FA4216">
        <w:rPr>
          <w:rFonts w:asciiTheme="minorBidi" w:hAnsiTheme="minorBidi"/>
          <w:sz w:val="22"/>
        </w:rPr>
        <w:t xml:space="preserve">, S., </w:t>
      </w:r>
      <w:proofErr w:type="spellStart"/>
      <w:r w:rsidRPr="00FA4216">
        <w:rPr>
          <w:rFonts w:asciiTheme="minorBidi" w:hAnsiTheme="minorBidi"/>
          <w:sz w:val="22"/>
        </w:rPr>
        <w:t>Aillères</w:t>
      </w:r>
      <w:proofErr w:type="spellEnd"/>
      <w:r w:rsidRPr="00FA4216">
        <w:rPr>
          <w:rFonts w:asciiTheme="minorBidi" w:hAnsiTheme="minorBidi"/>
          <w:sz w:val="22"/>
        </w:rPr>
        <w:t xml:space="preserve">, L., Jessell, M.W., Baratoux, L., Bourassa, Y., &amp; Crawford, B. (2012). Revised Eburnean geodynamic evolution of the Man-Leo shield, with reference to the Paleoproterozoic evolution of the </w:t>
      </w:r>
      <w:proofErr w:type="spellStart"/>
      <w:r w:rsidRPr="00FA4216">
        <w:rPr>
          <w:rFonts w:asciiTheme="minorBidi" w:hAnsiTheme="minorBidi"/>
          <w:sz w:val="22"/>
        </w:rPr>
        <w:t>Birimian</w:t>
      </w:r>
      <w:proofErr w:type="spellEnd"/>
      <w:r w:rsidRPr="00FA4216">
        <w:rPr>
          <w:rFonts w:asciiTheme="minorBidi" w:hAnsiTheme="minorBidi"/>
          <w:sz w:val="22"/>
        </w:rPr>
        <w:t xml:space="preserve"> belt. Precambrian Research, 214-215, 102-122.</w:t>
      </w:r>
    </w:p>
    <w:p w14:paraId="1B13171C"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Rahaman, M.A. (1988). Recent advances in the study of the basement complex of Nigeria. In: Precambrian Geology of Nigeria (ed. M.A. Rahaman). Geological Survey of Nigeria, pp. 11-43.</w:t>
      </w:r>
    </w:p>
    <w:p w14:paraId="466A40CC"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Robert, F., &amp; Poulsen, K.H. (2001). Vein formation and deformation in greenstone gold deposits. Reviews in Economic Geology, 14, 111-155.</w:t>
      </w:r>
    </w:p>
    <w:p w14:paraId="7ADE6A1A" w14:textId="77777777" w:rsidR="00E7798E" w:rsidRDefault="00AC0377" w:rsidP="00AC0377">
      <w:pPr>
        <w:spacing w:after="120" w:line="240" w:lineRule="auto"/>
        <w:ind w:left="720" w:hanging="720"/>
        <w:rPr>
          <w:rFonts w:asciiTheme="minorBidi" w:hAnsiTheme="minorBidi"/>
          <w:sz w:val="22"/>
        </w:rPr>
      </w:pPr>
      <w:r w:rsidRPr="00FA4216">
        <w:rPr>
          <w:rFonts w:asciiTheme="minorBidi" w:hAnsiTheme="minorBidi"/>
          <w:sz w:val="22"/>
        </w:rPr>
        <w:lastRenderedPageBreak/>
        <w:t xml:space="preserve">Thébaud, N., Hollis, S.P., &amp; Fiorentini, M.L. (2020). The </w:t>
      </w:r>
      <w:proofErr w:type="spellStart"/>
      <w:r w:rsidRPr="00FA4216">
        <w:rPr>
          <w:rFonts w:asciiTheme="minorBidi" w:hAnsiTheme="minorBidi"/>
          <w:sz w:val="22"/>
        </w:rPr>
        <w:t>Houndé</w:t>
      </w:r>
      <w:proofErr w:type="spellEnd"/>
      <w:r w:rsidRPr="00FA4216">
        <w:rPr>
          <w:rFonts w:asciiTheme="minorBidi" w:hAnsiTheme="minorBidi"/>
          <w:sz w:val="22"/>
        </w:rPr>
        <w:t xml:space="preserve"> gold camp, Burkina Faso: A review. Minerals, 10(12), 1089.</w:t>
      </w:r>
      <w:r w:rsidR="00E7798E">
        <w:rPr>
          <w:rFonts w:asciiTheme="minorBidi" w:hAnsiTheme="minorBidi"/>
          <w:sz w:val="22"/>
        </w:rPr>
        <w:t xml:space="preserve"> </w:t>
      </w:r>
    </w:p>
    <w:p w14:paraId="700E557A" w14:textId="77777777" w:rsidR="002F4B36" w:rsidRPr="003E2E49" w:rsidRDefault="00E7798E" w:rsidP="002F4B36">
      <w:pPr>
        <w:spacing w:after="120" w:line="240" w:lineRule="auto"/>
        <w:ind w:left="720" w:hanging="720"/>
        <w:rPr>
          <w:rFonts w:asciiTheme="minorBidi" w:hAnsiTheme="minorBidi"/>
          <w:sz w:val="22"/>
          <w:highlight w:val="yellow"/>
        </w:rPr>
      </w:pPr>
      <w:proofErr w:type="spellStart"/>
      <w:r w:rsidRPr="003E2E49">
        <w:rPr>
          <w:rFonts w:asciiTheme="minorBidi" w:hAnsiTheme="minorBidi"/>
          <w:sz w:val="22"/>
          <w:highlight w:val="yellow"/>
        </w:rPr>
        <w:t>Korgbeelo</w:t>
      </w:r>
      <w:proofErr w:type="spellEnd"/>
      <w:r w:rsidRPr="003E2E49">
        <w:rPr>
          <w:rFonts w:asciiTheme="minorBidi" w:hAnsiTheme="minorBidi"/>
          <w:sz w:val="22"/>
          <w:highlight w:val="yellow"/>
        </w:rPr>
        <w:t xml:space="preserve">, C., &amp; </w:t>
      </w:r>
      <w:proofErr w:type="spellStart"/>
      <w:r w:rsidRPr="003E2E49">
        <w:rPr>
          <w:rFonts w:asciiTheme="minorBidi" w:hAnsiTheme="minorBidi"/>
          <w:sz w:val="22"/>
          <w:highlight w:val="yellow"/>
        </w:rPr>
        <w:t>Ezekwu</w:t>
      </w:r>
      <w:proofErr w:type="spellEnd"/>
      <w:r w:rsidRPr="003E2E49">
        <w:rPr>
          <w:rFonts w:asciiTheme="minorBidi" w:hAnsiTheme="minorBidi"/>
          <w:sz w:val="22"/>
          <w:highlight w:val="yellow"/>
        </w:rPr>
        <w:t xml:space="preserve">, C. B. (2024). The role of solid mineral export in the development of the Nigerian economy: An empirical analysis. </w:t>
      </w:r>
      <w:r w:rsidRPr="003E2E49">
        <w:rPr>
          <w:rFonts w:asciiTheme="minorBidi" w:hAnsiTheme="minorBidi"/>
          <w:i/>
          <w:iCs/>
          <w:sz w:val="22"/>
          <w:highlight w:val="yellow"/>
        </w:rPr>
        <w:t>American Journal of Economics and Business Management, 7</w:t>
      </w:r>
      <w:r w:rsidRPr="003E2E49">
        <w:rPr>
          <w:rFonts w:asciiTheme="minorBidi" w:hAnsiTheme="minorBidi"/>
          <w:sz w:val="22"/>
          <w:highlight w:val="yellow"/>
        </w:rPr>
        <w:t>(11), 1212–1225.</w:t>
      </w:r>
      <w:r w:rsidR="002F4B36" w:rsidRPr="003E2E49">
        <w:rPr>
          <w:rFonts w:asciiTheme="minorBidi" w:hAnsiTheme="minorBidi"/>
          <w:sz w:val="22"/>
          <w:highlight w:val="yellow"/>
        </w:rPr>
        <w:t xml:space="preserve"> </w:t>
      </w:r>
    </w:p>
    <w:p w14:paraId="2D9BD48E" w14:textId="77777777" w:rsidR="002F4B36" w:rsidRPr="003E2E49" w:rsidRDefault="002F4B36" w:rsidP="002F4B36">
      <w:pPr>
        <w:spacing w:after="120" w:line="240" w:lineRule="auto"/>
        <w:ind w:left="720" w:hanging="720"/>
        <w:rPr>
          <w:rFonts w:asciiTheme="minorBidi" w:hAnsiTheme="minorBidi"/>
          <w:sz w:val="22"/>
          <w:highlight w:val="yellow"/>
        </w:rPr>
      </w:pPr>
      <w:r w:rsidRPr="003E2E49">
        <w:rPr>
          <w:rFonts w:asciiTheme="minorBidi" w:hAnsiTheme="minorBidi"/>
          <w:sz w:val="22"/>
          <w:highlight w:val="yellow"/>
          <w:lang w:val="es-US"/>
        </w:rPr>
        <w:t xml:space="preserve">Olajuyi, S. I., Adamu, H. A., </w:t>
      </w:r>
      <w:proofErr w:type="spellStart"/>
      <w:r w:rsidRPr="003E2E49">
        <w:rPr>
          <w:rFonts w:asciiTheme="minorBidi" w:hAnsiTheme="minorBidi"/>
          <w:sz w:val="22"/>
          <w:highlight w:val="yellow"/>
          <w:lang w:val="es-US"/>
        </w:rPr>
        <w:t>Ogunmodimu</w:t>
      </w:r>
      <w:proofErr w:type="spellEnd"/>
      <w:r w:rsidRPr="003E2E49">
        <w:rPr>
          <w:rFonts w:asciiTheme="minorBidi" w:hAnsiTheme="minorBidi"/>
          <w:sz w:val="22"/>
          <w:highlight w:val="yellow"/>
          <w:lang w:val="es-US"/>
        </w:rPr>
        <w:t xml:space="preserve">, O. S., &amp; Afolayan, D. O. (2025). </w:t>
      </w:r>
      <w:r w:rsidRPr="003E2E49">
        <w:rPr>
          <w:rFonts w:asciiTheme="minorBidi" w:hAnsiTheme="minorBidi"/>
          <w:sz w:val="22"/>
          <w:highlight w:val="yellow"/>
        </w:rPr>
        <w:t xml:space="preserve">Mechanistic insights into </w:t>
      </w:r>
      <w:proofErr w:type="spellStart"/>
      <w:r w:rsidRPr="003E2E49">
        <w:rPr>
          <w:rFonts w:asciiTheme="minorBidi" w:hAnsiTheme="minorBidi"/>
          <w:sz w:val="22"/>
          <w:highlight w:val="yellow"/>
        </w:rPr>
        <w:t>nigerian</w:t>
      </w:r>
      <w:proofErr w:type="spellEnd"/>
      <w:r w:rsidRPr="003E2E49">
        <w:rPr>
          <w:rFonts w:asciiTheme="minorBidi" w:hAnsiTheme="minorBidi"/>
          <w:sz w:val="22"/>
          <w:highlight w:val="yellow"/>
        </w:rPr>
        <w:t xml:space="preserve"> lithium ores: implications for energy and industrial applications. </w:t>
      </w:r>
      <w:r w:rsidRPr="003E2E49">
        <w:rPr>
          <w:rFonts w:asciiTheme="minorBidi" w:hAnsiTheme="minorBidi"/>
          <w:i/>
          <w:iCs/>
          <w:sz w:val="22"/>
          <w:highlight w:val="yellow"/>
        </w:rPr>
        <w:t>Frontiers in Geochemistry</w:t>
      </w:r>
      <w:r w:rsidRPr="003E2E49">
        <w:rPr>
          <w:rFonts w:asciiTheme="minorBidi" w:hAnsiTheme="minorBidi"/>
          <w:sz w:val="22"/>
          <w:highlight w:val="yellow"/>
        </w:rPr>
        <w:t>, </w:t>
      </w:r>
      <w:r w:rsidRPr="003E2E49">
        <w:rPr>
          <w:rFonts w:asciiTheme="minorBidi" w:hAnsiTheme="minorBidi"/>
          <w:i/>
          <w:iCs/>
          <w:sz w:val="22"/>
          <w:highlight w:val="yellow"/>
        </w:rPr>
        <w:t>3</w:t>
      </w:r>
      <w:r w:rsidRPr="003E2E49">
        <w:rPr>
          <w:rFonts w:asciiTheme="minorBidi" w:hAnsiTheme="minorBidi"/>
          <w:sz w:val="22"/>
          <w:highlight w:val="yellow"/>
        </w:rPr>
        <w:t xml:space="preserve">. </w:t>
      </w:r>
      <w:hyperlink r:id="rId30" w:history="1">
        <w:r w:rsidRPr="003E2E49">
          <w:rPr>
            <w:rStyle w:val="Hyperlink"/>
            <w:rFonts w:asciiTheme="minorBidi" w:hAnsiTheme="minorBidi"/>
            <w:sz w:val="22"/>
            <w:highlight w:val="yellow"/>
          </w:rPr>
          <w:t>https://doi.org/10.3389/fgeoc.2025.1659636</w:t>
        </w:r>
      </w:hyperlink>
      <w:r w:rsidRPr="003E2E49">
        <w:rPr>
          <w:rFonts w:asciiTheme="minorBidi" w:hAnsiTheme="minorBidi"/>
          <w:sz w:val="22"/>
          <w:highlight w:val="yellow"/>
        </w:rPr>
        <w:t xml:space="preserve"> </w:t>
      </w:r>
    </w:p>
    <w:p w14:paraId="3A97BA63" w14:textId="77777777" w:rsidR="003E2E49" w:rsidRPr="003E2E49" w:rsidRDefault="002F4B36" w:rsidP="002F4B36">
      <w:pPr>
        <w:spacing w:after="120" w:line="240" w:lineRule="auto"/>
        <w:ind w:left="720" w:hanging="720"/>
        <w:rPr>
          <w:rFonts w:asciiTheme="minorBidi" w:hAnsiTheme="minorBidi"/>
          <w:sz w:val="22"/>
          <w:highlight w:val="yellow"/>
          <w:lang w:val="es-US"/>
        </w:rPr>
      </w:pPr>
      <w:r w:rsidRPr="003E2E49">
        <w:rPr>
          <w:rFonts w:asciiTheme="minorBidi" w:hAnsiTheme="minorBidi"/>
          <w:sz w:val="22"/>
          <w:highlight w:val="yellow"/>
        </w:rPr>
        <w:t>Augie, A. I., Bery, A. A., &amp; Abir, I. A. (2026). INTEGRATED GEOPHYSICAL INVESTIGATION FOR LITHIUM (LI) BEARING PEGMATIC DEPOSITS WITHIN ZURU SCHIST BELTS OF KEBBI STATE, NW NIGERIA. </w:t>
      </w:r>
      <w:r w:rsidRPr="003E2E49">
        <w:rPr>
          <w:rFonts w:asciiTheme="minorBidi" w:hAnsiTheme="minorBidi"/>
          <w:i/>
          <w:iCs/>
          <w:sz w:val="22"/>
          <w:highlight w:val="yellow"/>
          <w:lang w:val="es-US"/>
        </w:rPr>
        <w:t>ACTA GEODYNAMICA ET GEOMATERIALIA</w:t>
      </w:r>
      <w:r w:rsidRPr="003E2E49">
        <w:rPr>
          <w:rFonts w:asciiTheme="minorBidi" w:hAnsiTheme="minorBidi"/>
          <w:sz w:val="22"/>
          <w:highlight w:val="yellow"/>
          <w:lang w:val="es-US"/>
        </w:rPr>
        <w:t>, </w:t>
      </w:r>
      <w:r w:rsidRPr="003E2E49">
        <w:rPr>
          <w:rFonts w:asciiTheme="minorBidi" w:hAnsiTheme="minorBidi"/>
          <w:i/>
          <w:iCs/>
          <w:sz w:val="22"/>
          <w:highlight w:val="yellow"/>
          <w:lang w:val="es-US"/>
        </w:rPr>
        <w:t>23</w:t>
      </w:r>
      <w:r w:rsidRPr="003E2E49">
        <w:rPr>
          <w:rFonts w:asciiTheme="minorBidi" w:hAnsiTheme="minorBidi"/>
          <w:sz w:val="22"/>
          <w:highlight w:val="yellow"/>
          <w:lang w:val="es-US"/>
        </w:rPr>
        <w:t>(1).</w:t>
      </w:r>
    </w:p>
    <w:p w14:paraId="3654BEAE" w14:textId="053E1AD3" w:rsidR="002F4B36" w:rsidRPr="003E2E49" w:rsidRDefault="003E2E49" w:rsidP="002F4B36">
      <w:pPr>
        <w:spacing w:after="120" w:line="240" w:lineRule="auto"/>
        <w:ind w:left="720" w:hanging="720"/>
        <w:rPr>
          <w:rFonts w:asciiTheme="minorBidi" w:hAnsiTheme="minorBidi"/>
          <w:sz w:val="22"/>
          <w:highlight w:val="yellow"/>
        </w:rPr>
      </w:pPr>
      <w:r w:rsidRPr="003E2E49">
        <w:rPr>
          <w:rFonts w:asciiTheme="minorBidi" w:hAnsiTheme="minorBidi"/>
          <w:sz w:val="22"/>
          <w:highlight w:val="yellow"/>
          <w:lang w:val="es-US"/>
        </w:rPr>
        <w:t xml:space="preserve"> </w:t>
      </w:r>
      <w:proofErr w:type="spellStart"/>
      <w:r w:rsidRPr="003E2E49">
        <w:rPr>
          <w:rFonts w:asciiTheme="minorBidi" w:hAnsiTheme="minorBidi"/>
          <w:sz w:val="22"/>
          <w:highlight w:val="yellow"/>
          <w:lang w:val="es-US"/>
        </w:rPr>
        <w:t>Okpoli</w:t>
      </w:r>
      <w:proofErr w:type="spellEnd"/>
      <w:r w:rsidRPr="003E2E49">
        <w:rPr>
          <w:rFonts w:asciiTheme="minorBidi" w:hAnsiTheme="minorBidi"/>
          <w:sz w:val="22"/>
          <w:highlight w:val="yellow"/>
          <w:lang w:val="es-US"/>
        </w:rPr>
        <w:t xml:space="preserve">, C. C., </w:t>
      </w:r>
      <w:proofErr w:type="spellStart"/>
      <w:r w:rsidRPr="003E2E49">
        <w:rPr>
          <w:rFonts w:asciiTheme="minorBidi" w:hAnsiTheme="minorBidi"/>
          <w:sz w:val="22"/>
          <w:highlight w:val="yellow"/>
          <w:lang w:val="es-US"/>
        </w:rPr>
        <w:t>Idakwo</w:t>
      </w:r>
      <w:proofErr w:type="spellEnd"/>
      <w:r w:rsidRPr="003E2E49">
        <w:rPr>
          <w:rFonts w:asciiTheme="minorBidi" w:hAnsiTheme="minorBidi"/>
          <w:sz w:val="22"/>
          <w:highlight w:val="yellow"/>
          <w:lang w:val="es-US"/>
        </w:rPr>
        <w:t xml:space="preserve">, S. O., Olaniyan, O., &amp; Chidi, P. E. (2025). </w:t>
      </w:r>
      <w:proofErr w:type="spellStart"/>
      <w:r w:rsidRPr="003E2E49">
        <w:rPr>
          <w:rFonts w:asciiTheme="minorBidi" w:hAnsiTheme="minorBidi"/>
          <w:sz w:val="22"/>
          <w:highlight w:val="yellow"/>
        </w:rPr>
        <w:t>Geotectonics</w:t>
      </w:r>
      <w:proofErr w:type="spellEnd"/>
      <w:r w:rsidRPr="003E2E49">
        <w:rPr>
          <w:rFonts w:asciiTheme="minorBidi" w:hAnsiTheme="minorBidi"/>
          <w:sz w:val="22"/>
          <w:highlight w:val="yellow"/>
        </w:rPr>
        <w:t xml:space="preserve"> and Exploration of Gold Mineralization in the </w:t>
      </w:r>
      <w:proofErr w:type="spellStart"/>
      <w:r w:rsidRPr="003E2E49">
        <w:rPr>
          <w:rFonts w:asciiTheme="minorBidi" w:hAnsiTheme="minorBidi"/>
          <w:sz w:val="22"/>
          <w:highlight w:val="yellow"/>
        </w:rPr>
        <w:t>Kushaka-Kusheriki</w:t>
      </w:r>
      <w:proofErr w:type="spellEnd"/>
      <w:r w:rsidRPr="003E2E49">
        <w:rPr>
          <w:rFonts w:asciiTheme="minorBidi" w:hAnsiTheme="minorBidi"/>
          <w:sz w:val="22"/>
          <w:highlight w:val="yellow"/>
        </w:rPr>
        <w:t xml:space="preserve"> Schist Belt North-Central Nigeria. </w:t>
      </w:r>
      <w:r w:rsidRPr="003E2E49">
        <w:rPr>
          <w:rFonts w:asciiTheme="minorBidi" w:hAnsiTheme="minorBidi"/>
          <w:i/>
          <w:iCs/>
          <w:sz w:val="22"/>
          <w:highlight w:val="yellow"/>
        </w:rPr>
        <w:t>Indonesian Journal of Earth Sciences</w:t>
      </w:r>
      <w:r w:rsidRPr="003E2E49">
        <w:rPr>
          <w:rFonts w:asciiTheme="minorBidi" w:hAnsiTheme="minorBidi"/>
          <w:sz w:val="22"/>
          <w:highlight w:val="yellow"/>
        </w:rPr>
        <w:t>, </w:t>
      </w:r>
      <w:r w:rsidRPr="003E2E49">
        <w:rPr>
          <w:rFonts w:asciiTheme="minorBidi" w:hAnsiTheme="minorBidi"/>
          <w:i/>
          <w:iCs/>
          <w:sz w:val="22"/>
          <w:highlight w:val="yellow"/>
        </w:rPr>
        <w:t>5</w:t>
      </w:r>
      <w:r w:rsidRPr="003E2E49">
        <w:rPr>
          <w:rFonts w:asciiTheme="minorBidi" w:hAnsiTheme="minorBidi"/>
          <w:sz w:val="22"/>
          <w:highlight w:val="yellow"/>
        </w:rPr>
        <w:t>(1), A1250-A1250.</w:t>
      </w:r>
    </w:p>
    <w:p w14:paraId="6C23F705" w14:textId="77777777" w:rsidR="002F4B36" w:rsidRPr="002F4B36" w:rsidRDefault="002F4B36" w:rsidP="002F4B36">
      <w:pPr>
        <w:spacing w:after="120" w:line="240" w:lineRule="auto"/>
        <w:ind w:left="720" w:hanging="720"/>
        <w:rPr>
          <w:rFonts w:asciiTheme="minorBidi" w:hAnsiTheme="minorBidi"/>
          <w:sz w:val="22"/>
        </w:rPr>
      </w:pPr>
      <w:r w:rsidRPr="003E2E49">
        <w:rPr>
          <w:rFonts w:asciiTheme="minorBidi" w:hAnsiTheme="minorBidi"/>
          <w:sz w:val="22"/>
          <w:highlight w:val="yellow"/>
        </w:rPr>
        <w:t>‌</w:t>
      </w:r>
    </w:p>
    <w:p w14:paraId="7544B1B7" w14:textId="3AC8648A" w:rsidR="00AC0377" w:rsidRPr="00FA4216" w:rsidRDefault="00AC0377" w:rsidP="00AC0377">
      <w:pPr>
        <w:spacing w:after="120" w:line="240" w:lineRule="auto"/>
        <w:ind w:left="720" w:hanging="720"/>
        <w:rPr>
          <w:rFonts w:asciiTheme="minorBidi" w:hAnsiTheme="minorBidi"/>
        </w:rPr>
      </w:pPr>
    </w:p>
    <w:p w14:paraId="6762B0FD" w14:textId="77777777" w:rsidR="00AC0377" w:rsidRDefault="00AC0377" w:rsidP="00AC0377"/>
    <w:p w14:paraId="502CCF52" w14:textId="77777777" w:rsidR="0025527C" w:rsidRDefault="0025527C"/>
    <w:sectPr w:rsidR="0025527C" w:rsidSect="00AC0377">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C5E29C" w14:textId="77777777" w:rsidR="00C544D5" w:rsidRDefault="00C544D5">
      <w:pPr>
        <w:spacing w:line="240" w:lineRule="auto"/>
      </w:pPr>
      <w:r>
        <w:separator/>
      </w:r>
    </w:p>
  </w:endnote>
  <w:endnote w:type="continuationSeparator" w:id="0">
    <w:p w14:paraId="1A9ECEFD" w14:textId="77777777" w:rsidR="00C544D5" w:rsidRDefault="00C544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C1625" w14:textId="77777777" w:rsidR="00F72E79" w:rsidRDefault="00F72E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71567" w14:textId="77777777" w:rsidR="00AC0377" w:rsidRDefault="00AC0377">
    <w:pPr>
      <w:jc w:val="center"/>
    </w:pPr>
    <w:r>
      <w:rPr>
        <w:sz w:val="20"/>
      </w:rPr>
      <w:fldChar w:fldCharType="begin"/>
    </w:r>
    <w:r>
      <w:instrText xml:space="preserve"> PAGE </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00639" w14:textId="77777777" w:rsidR="00F72E79" w:rsidRDefault="00F72E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521E5D" w14:textId="77777777" w:rsidR="00C544D5" w:rsidRDefault="00C544D5">
      <w:pPr>
        <w:spacing w:line="240" w:lineRule="auto"/>
      </w:pPr>
      <w:r>
        <w:separator/>
      </w:r>
    </w:p>
  </w:footnote>
  <w:footnote w:type="continuationSeparator" w:id="0">
    <w:p w14:paraId="70406626" w14:textId="77777777" w:rsidR="00C544D5" w:rsidRDefault="00C544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CD289" w14:textId="71C580FD" w:rsidR="00F72E79" w:rsidRDefault="00C544D5">
    <w:pPr>
      <w:pStyle w:val="Header"/>
    </w:pPr>
    <w:r>
      <w:rPr>
        <w:noProof/>
      </w:rPr>
      <w:pict w14:anchorId="375FD0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427594" o:spid="_x0000_s2050" type="#_x0000_t136" style="position:absolute;left:0;text-align:left;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9E597" w14:textId="4FAC3537" w:rsidR="00AC0377" w:rsidRPr="006C4536" w:rsidRDefault="00C544D5">
    <w:pPr>
      <w:jc w:val="right"/>
      <w:rPr>
        <w:rFonts w:asciiTheme="minorBidi" w:hAnsiTheme="minorBidi"/>
      </w:rPr>
    </w:pPr>
    <w:r>
      <w:rPr>
        <w:noProof/>
      </w:rPr>
      <w:pict w14:anchorId="6D2215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427595" o:spid="_x0000_s2051" type="#_x0000_t136" style="position:absolute;left:0;text-align:left;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E8984" w14:textId="0E150644" w:rsidR="00F72E79" w:rsidRDefault="00C544D5">
    <w:pPr>
      <w:pStyle w:val="Header"/>
    </w:pPr>
    <w:r>
      <w:rPr>
        <w:noProof/>
      </w:rPr>
      <w:pict w14:anchorId="406216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427593" o:spid="_x0000_s2049" type="#_x0000_t136" style="position:absolute;left:0;text-align:left;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A84B09"/>
    <w:multiLevelType w:val="hybridMultilevel"/>
    <w:tmpl w:val="94B0A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977CE7"/>
    <w:multiLevelType w:val="multilevel"/>
    <w:tmpl w:val="7F86DAEE"/>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Q0MzA1M7YwMjU0MDdQ0lEKTi0uzszPAykwrAUA5wLXHCwAAAA="/>
  </w:docVars>
  <w:rsids>
    <w:rsidRoot w:val="00AC0377"/>
    <w:rsid w:val="00012A47"/>
    <w:rsid w:val="00054CBA"/>
    <w:rsid w:val="000B0F39"/>
    <w:rsid w:val="000E42FF"/>
    <w:rsid w:val="00133CD3"/>
    <w:rsid w:val="001D61AB"/>
    <w:rsid w:val="00245095"/>
    <w:rsid w:val="0025527C"/>
    <w:rsid w:val="00287A1F"/>
    <w:rsid w:val="002A749A"/>
    <w:rsid w:val="002C5CFA"/>
    <w:rsid w:val="002D6626"/>
    <w:rsid w:val="002E50CC"/>
    <w:rsid w:val="002F4B36"/>
    <w:rsid w:val="00365F11"/>
    <w:rsid w:val="003B5FFF"/>
    <w:rsid w:val="003D000A"/>
    <w:rsid w:val="003E2E49"/>
    <w:rsid w:val="00421A69"/>
    <w:rsid w:val="004B1F44"/>
    <w:rsid w:val="005235CF"/>
    <w:rsid w:val="00561CF4"/>
    <w:rsid w:val="005717C5"/>
    <w:rsid w:val="005C7789"/>
    <w:rsid w:val="00635D28"/>
    <w:rsid w:val="00660345"/>
    <w:rsid w:val="006C2078"/>
    <w:rsid w:val="006C4536"/>
    <w:rsid w:val="006D7C48"/>
    <w:rsid w:val="0075542E"/>
    <w:rsid w:val="00781B37"/>
    <w:rsid w:val="00782614"/>
    <w:rsid w:val="007B03E0"/>
    <w:rsid w:val="008B4957"/>
    <w:rsid w:val="008C0CF0"/>
    <w:rsid w:val="00960112"/>
    <w:rsid w:val="00AA5E0C"/>
    <w:rsid w:val="00AC0377"/>
    <w:rsid w:val="00AE45FF"/>
    <w:rsid w:val="00B30282"/>
    <w:rsid w:val="00B364D2"/>
    <w:rsid w:val="00B55BD6"/>
    <w:rsid w:val="00B95AA7"/>
    <w:rsid w:val="00BD1FB9"/>
    <w:rsid w:val="00C133B2"/>
    <w:rsid w:val="00C3617F"/>
    <w:rsid w:val="00C544D5"/>
    <w:rsid w:val="00C64DB8"/>
    <w:rsid w:val="00C8609F"/>
    <w:rsid w:val="00CA10C2"/>
    <w:rsid w:val="00CD5FDE"/>
    <w:rsid w:val="00D66677"/>
    <w:rsid w:val="00D82D1D"/>
    <w:rsid w:val="00DC2D7B"/>
    <w:rsid w:val="00DD58D7"/>
    <w:rsid w:val="00E56772"/>
    <w:rsid w:val="00E7798E"/>
    <w:rsid w:val="00EA6E99"/>
    <w:rsid w:val="00EB702E"/>
    <w:rsid w:val="00ED5298"/>
    <w:rsid w:val="00F57048"/>
    <w:rsid w:val="00F72E79"/>
    <w:rsid w:val="00F75126"/>
    <w:rsid w:val="00FA4216"/>
    <w:rsid w:val="00FB52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EAA581"/>
  <w15:chartTrackingRefBased/>
  <w15:docId w15:val="{74DBE2A7-6DB3-4D8E-94A5-54FC61131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1F44"/>
    <w:pPr>
      <w:spacing w:after="0" w:line="360" w:lineRule="auto"/>
      <w:jc w:val="both"/>
    </w:pPr>
    <w:rPr>
      <w:rFonts w:ascii="Times New Roman" w:eastAsiaTheme="minorEastAsia" w:hAnsi="Times New Roman"/>
      <w:color w:val="000000"/>
    </w:rPr>
  </w:style>
  <w:style w:type="paragraph" w:styleId="Heading1">
    <w:name w:val="heading 1"/>
    <w:basedOn w:val="Normal"/>
    <w:next w:val="Normal"/>
    <w:link w:val="Heading1Char"/>
    <w:uiPriority w:val="9"/>
    <w:qFormat/>
    <w:rsid w:val="00FA4216"/>
    <w:pPr>
      <w:keepNext/>
      <w:keepLines/>
      <w:spacing w:before="360" w:after="80"/>
      <w:outlineLvl w:val="0"/>
    </w:pPr>
    <w:rPr>
      <w:rFonts w:asciiTheme="minorBidi" w:eastAsiaTheme="majorEastAsia" w:hAnsiTheme="minorBidi" w:cstheme="majorBidi"/>
      <w:b/>
      <w:color w:val="2F5496" w:themeColor="accent1" w:themeShade="BF"/>
      <w:sz w:val="22"/>
      <w:szCs w:val="40"/>
    </w:rPr>
  </w:style>
  <w:style w:type="paragraph" w:styleId="Heading2">
    <w:name w:val="heading 2"/>
    <w:basedOn w:val="Normal"/>
    <w:next w:val="Normal"/>
    <w:link w:val="Heading2Char"/>
    <w:uiPriority w:val="9"/>
    <w:unhideWhenUsed/>
    <w:qFormat/>
    <w:rsid w:val="00FA4216"/>
    <w:pPr>
      <w:keepNext/>
      <w:keepLines/>
      <w:spacing w:before="160" w:after="80"/>
      <w:outlineLvl w:val="1"/>
    </w:pPr>
    <w:rPr>
      <w:rFonts w:asciiTheme="minorBidi" w:eastAsiaTheme="majorEastAsia" w:hAnsiTheme="minorBidi" w:cstheme="majorBidi"/>
      <w:b/>
      <w:color w:val="auto"/>
      <w:sz w:val="22"/>
      <w:szCs w:val="32"/>
    </w:rPr>
  </w:style>
  <w:style w:type="paragraph" w:styleId="Heading3">
    <w:name w:val="heading 3"/>
    <w:basedOn w:val="Normal"/>
    <w:next w:val="Normal"/>
    <w:link w:val="Heading3Char"/>
    <w:uiPriority w:val="9"/>
    <w:unhideWhenUsed/>
    <w:qFormat/>
    <w:rsid w:val="00FA4216"/>
    <w:pPr>
      <w:keepNext/>
      <w:keepLines/>
      <w:spacing w:before="160" w:after="80"/>
      <w:outlineLvl w:val="2"/>
    </w:pPr>
    <w:rPr>
      <w:rFonts w:asciiTheme="minorBidi" w:eastAsiaTheme="majorEastAsia" w:hAnsiTheme="minorBidi" w:cstheme="majorBidi"/>
      <w:b/>
      <w:color w:val="auto"/>
      <w:sz w:val="22"/>
      <w:szCs w:val="28"/>
      <w:u w:val="single"/>
    </w:rPr>
  </w:style>
  <w:style w:type="paragraph" w:styleId="Heading4">
    <w:name w:val="heading 4"/>
    <w:basedOn w:val="Normal"/>
    <w:next w:val="Normal"/>
    <w:link w:val="Heading4Char"/>
    <w:uiPriority w:val="9"/>
    <w:semiHidden/>
    <w:unhideWhenUsed/>
    <w:qFormat/>
    <w:rsid w:val="00AC037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C037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C037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037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037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037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4216"/>
    <w:rPr>
      <w:rFonts w:asciiTheme="minorBidi" w:eastAsiaTheme="majorEastAsia" w:hAnsiTheme="minorBidi" w:cstheme="majorBidi"/>
      <w:b/>
      <w:color w:val="2F5496" w:themeColor="accent1" w:themeShade="BF"/>
      <w:sz w:val="22"/>
      <w:szCs w:val="40"/>
    </w:rPr>
  </w:style>
  <w:style w:type="character" w:customStyle="1" w:styleId="Heading2Char">
    <w:name w:val="Heading 2 Char"/>
    <w:basedOn w:val="DefaultParagraphFont"/>
    <w:link w:val="Heading2"/>
    <w:uiPriority w:val="9"/>
    <w:rsid w:val="00FA4216"/>
    <w:rPr>
      <w:rFonts w:asciiTheme="minorBidi" w:eastAsiaTheme="majorEastAsia" w:hAnsiTheme="minorBidi" w:cstheme="majorBidi"/>
      <w:b/>
      <w:sz w:val="22"/>
      <w:szCs w:val="32"/>
    </w:rPr>
  </w:style>
  <w:style w:type="character" w:customStyle="1" w:styleId="Heading3Char">
    <w:name w:val="Heading 3 Char"/>
    <w:basedOn w:val="DefaultParagraphFont"/>
    <w:link w:val="Heading3"/>
    <w:uiPriority w:val="9"/>
    <w:rsid w:val="00FA4216"/>
    <w:rPr>
      <w:rFonts w:asciiTheme="minorBidi" w:eastAsiaTheme="majorEastAsia" w:hAnsiTheme="minorBidi" w:cstheme="majorBidi"/>
      <w:b/>
      <w:sz w:val="22"/>
      <w:szCs w:val="28"/>
      <w:u w:val="single"/>
    </w:rPr>
  </w:style>
  <w:style w:type="character" w:customStyle="1" w:styleId="Heading4Char">
    <w:name w:val="Heading 4 Char"/>
    <w:basedOn w:val="DefaultParagraphFont"/>
    <w:link w:val="Heading4"/>
    <w:uiPriority w:val="9"/>
    <w:semiHidden/>
    <w:rsid w:val="00AC037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C037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C03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03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03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0377"/>
    <w:rPr>
      <w:rFonts w:eastAsiaTheme="majorEastAsia" w:cstheme="majorBidi"/>
      <w:color w:val="272727" w:themeColor="text1" w:themeTint="D8"/>
    </w:rPr>
  </w:style>
  <w:style w:type="paragraph" w:styleId="Title">
    <w:name w:val="Title"/>
    <w:basedOn w:val="Normal"/>
    <w:next w:val="Normal"/>
    <w:link w:val="TitleChar"/>
    <w:uiPriority w:val="10"/>
    <w:qFormat/>
    <w:rsid w:val="00AC03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03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037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03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0377"/>
    <w:pPr>
      <w:spacing w:before="160"/>
      <w:jc w:val="center"/>
    </w:pPr>
    <w:rPr>
      <w:i/>
      <w:iCs/>
      <w:color w:val="404040" w:themeColor="text1" w:themeTint="BF"/>
    </w:rPr>
  </w:style>
  <w:style w:type="character" w:customStyle="1" w:styleId="QuoteChar">
    <w:name w:val="Quote Char"/>
    <w:basedOn w:val="DefaultParagraphFont"/>
    <w:link w:val="Quote"/>
    <w:uiPriority w:val="29"/>
    <w:rsid w:val="00AC0377"/>
    <w:rPr>
      <w:i/>
      <w:iCs/>
      <w:color w:val="404040" w:themeColor="text1" w:themeTint="BF"/>
    </w:rPr>
  </w:style>
  <w:style w:type="paragraph" w:styleId="ListParagraph">
    <w:name w:val="List Paragraph"/>
    <w:basedOn w:val="Normal"/>
    <w:uiPriority w:val="34"/>
    <w:qFormat/>
    <w:rsid w:val="00AC0377"/>
    <w:pPr>
      <w:ind w:left="720"/>
      <w:contextualSpacing/>
    </w:pPr>
  </w:style>
  <w:style w:type="character" w:styleId="IntenseEmphasis">
    <w:name w:val="Intense Emphasis"/>
    <w:basedOn w:val="DefaultParagraphFont"/>
    <w:uiPriority w:val="21"/>
    <w:qFormat/>
    <w:rsid w:val="00AC0377"/>
    <w:rPr>
      <w:i/>
      <w:iCs/>
      <w:color w:val="2F5496" w:themeColor="accent1" w:themeShade="BF"/>
    </w:rPr>
  </w:style>
  <w:style w:type="paragraph" w:styleId="IntenseQuote">
    <w:name w:val="Intense Quote"/>
    <w:basedOn w:val="Normal"/>
    <w:next w:val="Normal"/>
    <w:link w:val="IntenseQuoteChar"/>
    <w:uiPriority w:val="30"/>
    <w:qFormat/>
    <w:rsid w:val="00AC037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C0377"/>
    <w:rPr>
      <w:i/>
      <w:iCs/>
      <w:color w:val="2F5496" w:themeColor="accent1" w:themeShade="BF"/>
    </w:rPr>
  </w:style>
  <w:style w:type="character" w:styleId="IntenseReference">
    <w:name w:val="Intense Reference"/>
    <w:basedOn w:val="DefaultParagraphFont"/>
    <w:uiPriority w:val="32"/>
    <w:qFormat/>
    <w:rsid w:val="00AC0377"/>
    <w:rPr>
      <w:b/>
      <w:bCs/>
      <w:smallCaps/>
      <w:color w:val="2F5496" w:themeColor="accent1" w:themeShade="BF"/>
      <w:spacing w:val="5"/>
    </w:rPr>
  </w:style>
  <w:style w:type="paragraph" w:customStyle="1" w:styleId="Abstract">
    <w:name w:val="Abstract"/>
    <w:basedOn w:val="Normal"/>
    <w:rsid w:val="00AC0377"/>
    <w:pPr>
      <w:spacing w:after="240" w:line="240" w:lineRule="auto"/>
      <w:ind w:left="720" w:right="720"/>
    </w:pPr>
    <w:rPr>
      <w:sz w:val="22"/>
    </w:rPr>
  </w:style>
  <w:style w:type="paragraph" w:customStyle="1" w:styleId="MDPI13authornames">
    <w:name w:val="MDPI_1.3_authornames"/>
    <w:basedOn w:val="Normal"/>
    <w:next w:val="Normal"/>
    <w:qFormat/>
    <w:rsid w:val="00AC0377"/>
    <w:pPr>
      <w:adjustRightInd w:val="0"/>
      <w:snapToGrid w:val="0"/>
      <w:spacing w:after="120" w:line="260" w:lineRule="atLeast"/>
      <w:jc w:val="left"/>
    </w:pPr>
    <w:rPr>
      <w:rFonts w:ascii="Palatino Linotype" w:eastAsia="Times New Roman" w:hAnsi="Palatino Linotype" w:cs="Times New Roman"/>
      <w:b/>
      <w:snapToGrid w:val="0"/>
      <w:kern w:val="0"/>
      <w:sz w:val="20"/>
      <w:szCs w:val="22"/>
      <w:lang w:eastAsia="de-DE" w:bidi="en-US"/>
    </w:rPr>
  </w:style>
  <w:style w:type="paragraph" w:customStyle="1" w:styleId="MDPI16affiliation">
    <w:name w:val="MDPI_1.6_affiliation"/>
    <w:basedOn w:val="Normal"/>
    <w:qFormat/>
    <w:rsid w:val="00AC0377"/>
    <w:pPr>
      <w:adjustRightInd w:val="0"/>
      <w:snapToGrid w:val="0"/>
      <w:spacing w:line="200" w:lineRule="atLeast"/>
      <w:ind w:left="311" w:hanging="198"/>
      <w:jc w:val="left"/>
    </w:pPr>
    <w:rPr>
      <w:rFonts w:ascii="Palatino Linotype" w:eastAsia="Times New Roman" w:hAnsi="Palatino Linotype" w:cs="Times New Roman"/>
      <w:snapToGrid w:val="0"/>
      <w:kern w:val="0"/>
      <w:sz w:val="18"/>
      <w:szCs w:val="18"/>
      <w:lang w:eastAsia="de-DE" w:bidi="en-US"/>
    </w:rPr>
  </w:style>
  <w:style w:type="character" w:styleId="Hyperlink">
    <w:name w:val="Hyperlink"/>
    <w:basedOn w:val="DefaultParagraphFont"/>
    <w:uiPriority w:val="99"/>
    <w:unhideWhenUsed/>
    <w:rsid w:val="00AC0377"/>
    <w:rPr>
      <w:color w:val="0563C1" w:themeColor="hyperlink"/>
      <w:u w:val="single"/>
    </w:rPr>
  </w:style>
  <w:style w:type="paragraph" w:styleId="NormalWeb">
    <w:name w:val="Normal (Web)"/>
    <w:basedOn w:val="Normal"/>
    <w:uiPriority w:val="99"/>
    <w:semiHidden/>
    <w:unhideWhenUsed/>
    <w:rsid w:val="000E42FF"/>
    <w:rPr>
      <w:rFonts w:cs="Times New Roman"/>
    </w:rPr>
  </w:style>
  <w:style w:type="paragraph" w:styleId="Header">
    <w:name w:val="header"/>
    <w:basedOn w:val="Normal"/>
    <w:link w:val="HeaderChar"/>
    <w:uiPriority w:val="99"/>
    <w:unhideWhenUsed/>
    <w:rsid w:val="006C4536"/>
    <w:pPr>
      <w:tabs>
        <w:tab w:val="center" w:pos="4680"/>
        <w:tab w:val="right" w:pos="9360"/>
      </w:tabs>
      <w:spacing w:line="240" w:lineRule="auto"/>
    </w:pPr>
  </w:style>
  <w:style w:type="character" w:customStyle="1" w:styleId="HeaderChar">
    <w:name w:val="Header Char"/>
    <w:basedOn w:val="DefaultParagraphFont"/>
    <w:link w:val="Header"/>
    <w:uiPriority w:val="99"/>
    <w:rsid w:val="006C4536"/>
    <w:rPr>
      <w:rFonts w:ascii="Times New Roman" w:eastAsiaTheme="minorEastAsia" w:hAnsi="Times New Roman"/>
      <w:color w:val="000000"/>
    </w:rPr>
  </w:style>
  <w:style w:type="paragraph" w:styleId="Footer">
    <w:name w:val="footer"/>
    <w:basedOn w:val="Normal"/>
    <w:link w:val="FooterChar"/>
    <w:uiPriority w:val="99"/>
    <w:unhideWhenUsed/>
    <w:rsid w:val="006C4536"/>
    <w:pPr>
      <w:tabs>
        <w:tab w:val="center" w:pos="4680"/>
        <w:tab w:val="right" w:pos="9360"/>
      </w:tabs>
      <w:spacing w:line="240" w:lineRule="auto"/>
    </w:pPr>
  </w:style>
  <w:style w:type="character" w:customStyle="1" w:styleId="FooterChar">
    <w:name w:val="Footer Char"/>
    <w:basedOn w:val="DefaultParagraphFont"/>
    <w:link w:val="Footer"/>
    <w:uiPriority w:val="99"/>
    <w:rsid w:val="006C4536"/>
    <w:rPr>
      <w:rFonts w:ascii="Times New Roman" w:eastAsiaTheme="minorEastAsia" w:hAnsi="Times New Roman"/>
      <w:color w:val="000000"/>
    </w:rPr>
  </w:style>
  <w:style w:type="character" w:styleId="UnresolvedMention">
    <w:name w:val="Unresolved Mention"/>
    <w:basedOn w:val="DefaultParagraphFont"/>
    <w:uiPriority w:val="99"/>
    <w:semiHidden/>
    <w:unhideWhenUsed/>
    <w:rsid w:val="00BD1FB9"/>
    <w:rPr>
      <w:color w:val="605E5C"/>
      <w:shd w:val="clear" w:color="auto" w:fill="E1DFDD"/>
    </w:rPr>
  </w:style>
  <w:style w:type="paragraph" w:styleId="Revision">
    <w:name w:val="Revision"/>
    <w:hidden/>
    <w:uiPriority w:val="99"/>
    <w:semiHidden/>
    <w:rsid w:val="005C7789"/>
    <w:pPr>
      <w:spacing w:after="0" w:line="240" w:lineRule="auto"/>
    </w:pPr>
    <w:rPr>
      <w:rFonts w:ascii="Times New Roman" w:eastAsiaTheme="minorEastAsia" w:hAnsi="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doi.org/10.3389/fgeoc.2025.1659636" TargetMode="External"/><Relationship Id="rId35"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A2C7AC-8339-4F04-BBE9-7E0E14764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35</Pages>
  <Words>5604</Words>
  <Characters>31944</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Abdul-Basit Yakub</dc:creator>
  <cp:keywords/>
  <dc:description/>
  <cp:lastModifiedBy>SDI 1089</cp:lastModifiedBy>
  <cp:revision>18</cp:revision>
  <dcterms:created xsi:type="dcterms:W3CDTF">2026-03-25T10:06:00Z</dcterms:created>
  <dcterms:modified xsi:type="dcterms:W3CDTF">2026-04-21T07:06:00Z</dcterms:modified>
</cp:coreProperties>
</file>