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162E" w14:textId="77777777" w:rsidR="00D53FFF" w:rsidRDefault="007B0606">
      <w:pPr>
        <w:pStyle w:val="NoSpacing"/>
        <w:rPr>
          <w:rFonts w:ascii="Times New Roman" w:hAnsi="Times New Roman" w:cs="Times New Roman"/>
          <w:b/>
          <w:sz w:val="24"/>
          <w:szCs w:val="24"/>
        </w:rPr>
      </w:pPr>
      <w:r>
        <w:rPr>
          <w:rFonts w:ascii="Times New Roman" w:hAnsi="Times New Roman" w:cs="Times New Roman"/>
          <w:b/>
          <w:sz w:val="24"/>
          <w:szCs w:val="24"/>
        </w:rPr>
        <w:t>YOUTHS’ WILLINGNESS TO EXPLOIT SOCIAL MEDIA PLATFORMS FOR POULTRY EGGS MARKETING IN SOUTH-EAST, NIGERIA</w:t>
      </w:r>
    </w:p>
    <w:p w14:paraId="5F3A9AE8" w14:textId="77777777" w:rsidR="00D53FFF" w:rsidRDefault="00D53FFF">
      <w:pPr>
        <w:pStyle w:val="NoSpacing"/>
        <w:rPr>
          <w:rFonts w:ascii="Times New Roman" w:hAnsi="Times New Roman" w:cs="Times New Roman"/>
          <w:b/>
          <w:sz w:val="24"/>
          <w:szCs w:val="24"/>
        </w:rPr>
      </w:pPr>
    </w:p>
    <w:p w14:paraId="665598F6" w14:textId="77777777" w:rsidR="00D53FFF" w:rsidRDefault="00D53FFF">
      <w:pPr>
        <w:pStyle w:val="NoSpacing"/>
        <w:rPr>
          <w:rFonts w:ascii="Times New Roman" w:hAnsi="Times New Roman" w:cs="Times New Roman"/>
          <w:b/>
          <w:sz w:val="24"/>
          <w:szCs w:val="24"/>
        </w:rPr>
      </w:pPr>
    </w:p>
    <w:p w14:paraId="50FF6750" w14:textId="77777777" w:rsidR="00D53FFF" w:rsidRDefault="007B06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12B3C34" w14:textId="251208F9" w:rsidR="00D53FFF" w:rsidRDefault="0052605E">
      <w:pPr>
        <w:autoSpaceDE w:val="0"/>
        <w:autoSpaceDN w:val="0"/>
        <w:adjustRightInd w:val="0"/>
        <w:spacing w:after="0" w:line="240" w:lineRule="auto"/>
        <w:jc w:val="both"/>
        <w:rPr>
          <w:rFonts w:ascii="Times New Roman" w:hAnsi="Times New Roman" w:cs="Times New Roman"/>
        </w:rPr>
      </w:pPr>
      <w:r w:rsidRPr="0052605E">
        <w:rPr>
          <w:rFonts w:ascii="Times New Roman" w:hAnsi="Times New Roman" w:cs="Times New Roman"/>
          <w:bCs/>
        </w:rPr>
        <w:t>Despite the growing demand for poultry eggs and the expanding use of social media among youths in South-East Nigeria, limited youth participation in digital agricultural marketing raises concerns about the sustainability and efficiency of poultry egg distribution systems.</w:t>
      </w:r>
      <w:r>
        <w:rPr>
          <w:rFonts w:ascii="Times New Roman" w:hAnsi="Times New Roman" w:cs="Times New Roman"/>
          <w:bCs/>
        </w:rPr>
        <w:t xml:space="preserve"> The study </w:t>
      </w:r>
      <w:r>
        <w:rPr>
          <w:rFonts w:ascii="Times New Roman" w:hAnsi="Times New Roman" w:cs="Times New Roman"/>
        </w:rPr>
        <w:t>analyzed youths’ willingness to exploit social media platforms for poultry eggs marketing</w:t>
      </w:r>
      <w:r>
        <w:rPr>
          <w:rFonts w:ascii="Times New Roman" w:hAnsi="Times New Roman" w:cs="Times New Roman"/>
          <w:b/>
          <w:bCs/>
        </w:rPr>
        <w:t xml:space="preserve"> </w:t>
      </w:r>
      <w:r>
        <w:rPr>
          <w:rFonts w:ascii="Times New Roman" w:hAnsi="Times New Roman" w:cs="Times New Roman"/>
        </w:rPr>
        <w:t xml:space="preserve">in South-East, Nigeria. </w:t>
      </w:r>
      <w:r>
        <w:rPr>
          <w:rFonts w:ascii="Times New Roman" w:hAnsi="Times New Roman" w:cs="Times New Roman"/>
          <w:bCs/>
        </w:rPr>
        <w:t xml:space="preserve">The specific objectives were to </w:t>
      </w:r>
      <w:r>
        <w:rPr>
          <w:rFonts w:ascii="Times New Roman" w:hAnsi="Times New Roman" w:cs="Times New Roman"/>
        </w:rPr>
        <w:t xml:space="preserve">analyze the willingness to exploit social media platforms by the youths in the marketing of poultry eggs, determine the factors influencing the willingness to exploit social media platforms among the youths in the marketing of poultry eggs, and examine youths’ perception of the effect of social media platforms on poultry egg sales in the South-East of Nigeria.  </w:t>
      </w:r>
      <w:r>
        <w:rPr>
          <w:rFonts w:ascii="Times New Roman" w:hAnsi="Times New Roman" w:cs="Times New Roman"/>
          <w:bCs/>
        </w:rPr>
        <w:t xml:space="preserve">Primary data was collected from 120 respondents using well-structured questionnaires and analysed using descriptive statistics, willingness to exploit the model, and a regression model. </w:t>
      </w:r>
      <w:r>
        <w:rPr>
          <w:rFonts w:ascii="Times New Roman" w:hAnsi="Times New Roman" w:cs="Times New Roman"/>
        </w:rPr>
        <w:t>The results of willingness to utilize social media platforms for marketing eggs showed a willingness to exploit (WTE) index of 1.35, a low willingness to exploit social media category (80.00%), a high willingness category (15.00%), and a medium willingness category (5.00%). Only Facebook (Mean = 3.78) and WhatsApp (Mean = 3.38) were highly exploited. The results of the determinants of factors influencing the willingness to exploit social media platforms among the youths showed that the coefficient of multiple determination (R</w:t>
      </w:r>
      <w:r>
        <w:rPr>
          <w:rFonts w:ascii="Times New Roman" w:hAnsi="Times New Roman" w:cs="Times New Roman"/>
          <w:vertAlign w:val="superscript"/>
        </w:rPr>
        <w:t>2</w:t>
      </w:r>
      <w:r>
        <w:rPr>
          <w:rFonts w:ascii="Times New Roman" w:hAnsi="Times New Roman" w:cs="Times New Roman"/>
        </w:rPr>
        <w:t xml:space="preserve">) showed that 73.2% of the variation in the factors influencing the willingness to exploit social media platforms among the youths in the study area was accounted for by the explanatory variables in the model. Variables such as age (p &lt; 0.01), gender (p &lt; 0.1), and usefulness of social media (P &lt;0.01) were significant. </w:t>
      </w:r>
      <w:r>
        <w:rPr>
          <w:rFonts w:ascii="Times New Roman" w:eastAsia="Times New Roman" w:hAnsi="Times New Roman" w:cs="Times New Roman"/>
        </w:rPr>
        <w:t>The results of youths’ perception of the effect of social media platforms on poultry egg sales showed</w:t>
      </w:r>
      <w:r>
        <w:rPr>
          <w:rFonts w:ascii="Times New Roman" w:hAnsi="Times New Roman" w:cs="Times New Roman"/>
        </w:rPr>
        <w:t xml:space="preserve"> that Facebook (mean effect 3.23) and WhatsApp (mean effect 3.10) have the most serious effect on the quantity of eggs sold among the youths. The study recommends that awareness and education should be intensified to show the usefulness of social media platforms as a reliable tool for marketing, stakeholders in the digital marketing should regulate the social media space, and the cost should be reduced to encourage more youths and older people in the use of social media to market their products.</w:t>
      </w:r>
    </w:p>
    <w:p w14:paraId="22B1966C" w14:textId="3BF00FEA" w:rsidR="00D53FFF" w:rsidRDefault="007B0606">
      <w:pPr>
        <w:spacing w:line="240" w:lineRule="auto"/>
        <w:jc w:val="both"/>
        <w:rPr>
          <w:rFonts w:ascii="Times New Roman" w:hAnsi="Times New Roman" w:cs="Times New Roman"/>
          <w:bCs/>
        </w:rPr>
      </w:pPr>
      <w:r>
        <w:rPr>
          <w:rFonts w:ascii="Times New Roman" w:hAnsi="Times New Roman" w:cs="Times New Roman"/>
          <w:b/>
          <w:bCs/>
        </w:rPr>
        <w:t>Keyword: Social media marketing, Poultry egg marketing, Willingness to exploit, Youth farmers, Digital adoption</w:t>
      </w:r>
    </w:p>
    <w:p w14:paraId="11E466B5" w14:textId="77777777" w:rsidR="00D53FFF" w:rsidRDefault="00D53FFF">
      <w:pPr>
        <w:spacing w:line="360" w:lineRule="auto"/>
        <w:jc w:val="both"/>
        <w:rPr>
          <w:rFonts w:ascii="Times New Roman" w:hAnsi="Times New Roman" w:cs="Times New Roman"/>
          <w:b/>
          <w:sz w:val="24"/>
          <w:szCs w:val="24"/>
        </w:rPr>
      </w:pPr>
    </w:p>
    <w:p w14:paraId="0244ED72"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955F107"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In Nigeria, agriculture plays a similarly critical role, particularly in the South-East region, where it sustains livelihoods and supports rural and urban economies alike. Despite its importance, the sector is increasingly dominated by an ageing population, with limited participation from youths (Tijani, 2023), even as youth unemployment continues to rise (World Bank, 2019). This imbalance raises concerns about the sustainability, innovation, and long-term productivity of agriculture in the region.</w:t>
      </w:r>
    </w:p>
    <w:p w14:paraId="610C5F60"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the agricultural sector, livestock production is essential for enhancing economic sustainability and improving human nutrition. It provides vital animal protein necessary for growth </w:t>
      </w:r>
      <w:r>
        <w:rPr>
          <w:rFonts w:ascii="Times New Roman" w:hAnsi="Times New Roman" w:cs="Times New Roman"/>
          <w:sz w:val="24"/>
          <w:szCs w:val="24"/>
        </w:rPr>
        <w:lastRenderedPageBreak/>
        <w:t xml:space="preserve">and development (Putritamara </w:t>
      </w:r>
      <w:r>
        <w:rPr>
          <w:rFonts w:ascii="Times New Roman" w:hAnsi="Times New Roman" w:cs="Times New Roman"/>
          <w:i/>
          <w:sz w:val="24"/>
          <w:szCs w:val="24"/>
        </w:rPr>
        <w:t>et al</w:t>
      </w:r>
      <w:r>
        <w:rPr>
          <w:rFonts w:ascii="Times New Roman" w:hAnsi="Times New Roman" w:cs="Times New Roman"/>
          <w:sz w:val="24"/>
          <w:szCs w:val="24"/>
        </w:rPr>
        <w:t>., 2018). Among livestock enterprises, poultry farming, particularly egg production, stands out as a viable and profitable venture in the South-East of Nigeria. Eggs are widely consumed due to their affordability and rich nutritional composition, including essential vitamins, minerals, and high-quality protein. The growing population, increasing levels of education, and rising awareness of nutritional requirements have collectively driven a steady increase in the demand for</w:t>
      </w:r>
      <w:r>
        <w:rPr>
          <w:rFonts w:ascii="Times New Roman" w:hAnsi="Times New Roman" w:cs="Times New Roman"/>
          <w:sz w:val="24"/>
          <w:szCs w:val="24"/>
        </w:rPr>
        <w:t xml:space="preserve"> poultry products such as eggs (Maulana </w:t>
      </w:r>
      <w:r>
        <w:rPr>
          <w:rFonts w:ascii="Times New Roman" w:hAnsi="Times New Roman" w:cs="Times New Roman"/>
          <w:i/>
          <w:sz w:val="24"/>
          <w:szCs w:val="24"/>
        </w:rPr>
        <w:t>et al</w:t>
      </w:r>
      <w:r>
        <w:rPr>
          <w:rFonts w:ascii="Times New Roman" w:hAnsi="Times New Roman" w:cs="Times New Roman"/>
          <w:sz w:val="24"/>
          <w:szCs w:val="24"/>
        </w:rPr>
        <w:t>., 2023). This expanding demand presents significant opportunities for income generation, employment creation, and economic empowerment, especially for young people.</w:t>
      </w:r>
    </w:p>
    <w:p w14:paraId="32B3E1C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However, meeting this rising demand requires efficient production and marketing systems. Traditionally, agricultural marketing in Nigeria has relied heavily on conventional methods, which often limit market reach, reduce profitability, and create inefficiencies in distribution. In recent years, advancements in information and communication technologies (ICTs), particularly social media, have introduced new possibilities for transforming agricultural marketing. Social media platforms such as Facebook, WhatsA</w:t>
      </w:r>
      <w:r>
        <w:rPr>
          <w:rFonts w:ascii="Times New Roman" w:hAnsi="Times New Roman" w:cs="Times New Roman"/>
          <w:sz w:val="24"/>
          <w:szCs w:val="24"/>
        </w:rPr>
        <w:t xml:space="preserve">pp, Instagram, Twitter, YouTube, and TikTok provide dynamic channels for product promotion, customer engagement, and direct sales. These platforms enable marketers to reach wider audiences, reduce transaction costs, and facilitate real-time communication with consumers (Falola </w:t>
      </w:r>
      <w:r>
        <w:rPr>
          <w:rFonts w:ascii="Times New Roman" w:hAnsi="Times New Roman" w:cs="Times New Roman"/>
          <w:i/>
          <w:sz w:val="24"/>
          <w:szCs w:val="24"/>
        </w:rPr>
        <w:t>et al.,</w:t>
      </w:r>
      <w:r>
        <w:rPr>
          <w:rFonts w:ascii="Times New Roman" w:hAnsi="Times New Roman" w:cs="Times New Roman"/>
          <w:sz w:val="24"/>
          <w:szCs w:val="24"/>
        </w:rPr>
        <w:t xml:space="preserve"> 2021).</w:t>
      </w:r>
    </w:p>
    <w:p w14:paraId="39EA864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increasing penetration of social media in developing countries further strengthens its relevance in agricultural marketing. Dixon (2023) noted that social media usage is expanding more rapidly in developing economies, creating new opportunities for local enterprises. In Nigeria, youths are the most active users of social media, leveraging these platforms for communication, innovation, and business activities. Their familiarity with digital technologies positions them as critical actors in modernizing ag</w:t>
      </w:r>
      <w:r>
        <w:rPr>
          <w:rFonts w:ascii="Times New Roman" w:hAnsi="Times New Roman" w:cs="Times New Roman"/>
          <w:sz w:val="24"/>
          <w:szCs w:val="24"/>
        </w:rPr>
        <w:t>ricultural marketing systems. Engaging youths in the use of social media for poultry egg marketing could therefore enhance their participation in agriculture, improve their income levels, and contribute to addressing unemployment challenges in the South-East.</w:t>
      </w:r>
    </w:p>
    <w:p w14:paraId="752F62CE"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evident opportunities in poultry egg production and marketing, youth participation in agricultural marketing remains relatively low in the South-East of Nigeria. Many young people perceive agriculture as a sector characterized by uncertainty, low financial returns, and instability, especially when compared to more modern sectors such as technology and finance. This perception discourages their involvement in agricultural enterprises. Furthermore, the physically demanding </w:t>
      </w:r>
      <w:r>
        <w:rPr>
          <w:rFonts w:ascii="Times New Roman" w:hAnsi="Times New Roman" w:cs="Times New Roman"/>
          <w:sz w:val="24"/>
          <w:szCs w:val="24"/>
        </w:rPr>
        <w:lastRenderedPageBreak/>
        <w:t>nature of agricultural activities, often involving long hours and exposure to harsh environmental conditions, serves as an additional deterrent to youth engagement (Adekoya, 2019).</w:t>
      </w:r>
    </w:p>
    <w:p w14:paraId="35EE7E6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Another major challenge is the perishability of poultry eggs, which necessitates efficient and timely marketing. In many parts of the South-East, limited access to reliable markets and inadequate information on prevailing prices often result in product losses and reduced profitability. High marketing costs also contribute to increased product prices, which in turn reduce consumer demand and force some marketers particularly youths out of the business. These constraints collectively weaken the attractiveness</w:t>
      </w:r>
      <w:r>
        <w:rPr>
          <w:rFonts w:ascii="Times New Roman" w:hAnsi="Times New Roman" w:cs="Times New Roman"/>
          <w:sz w:val="24"/>
          <w:szCs w:val="24"/>
        </w:rPr>
        <w:t xml:space="preserve"> of poultry egg marketing as a viable livelihood option.</w:t>
      </w:r>
    </w:p>
    <w:p w14:paraId="19753D12" w14:textId="77777777" w:rsidR="00D53FFF" w:rsidRDefault="00D53FFF">
      <w:pPr>
        <w:spacing w:line="360" w:lineRule="auto"/>
        <w:jc w:val="both"/>
        <w:rPr>
          <w:rFonts w:ascii="Times New Roman" w:hAnsi="Times New Roman" w:cs="Times New Roman"/>
          <w:sz w:val="24"/>
          <w:szCs w:val="24"/>
        </w:rPr>
      </w:pPr>
    </w:p>
    <w:p w14:paraId="41B49FB9"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emergence of social media offers a promising pathway to address these challenges. Social media platforms can facilitate access to reliable markets, provide real-time pricing information, reduce marketing costs, and expand customer reach (Inegbedion </w:t>
      </w:r>
      <w:r>
        <w:rPr>
          <w:rFonts w:ascii="Times New Roman" w:hAnsi="Times New Roman" w:cs="Times New Roman"/>
          <w:i/>
          <w:sz w:val="24"/>
          <w:szCs w:val="24"/>
        </w:rPr>
        <w:t>et al</w:t>
      </w:r>
      <w:r>
        <w:rPr>
          <w:rFonts w:ascii="Times New Roman" w:hAnsi="Times New Roman" w:cs="Times New Roman"/>
          <w:sz w:val="24"/>
          <w:szCs w:val="24"/>
        </w:rPr>
        <w:t xml:space="preserve">., 2020; Nnaji </w:t>
      </w:r>
      <w:r>
        <w:rPr>
          <w:rFonts w:ascii="Times New Roman" w:hAnsi="Times New Roman" w:cs="Times New Roman"/>
          <w:i/>
          <w:sz w:val="24"/>
          <w:szCs w:val="24"/>
        </w:rPr>
        <w:t>et al.,</w:t>
      </w:r>
      <w:r>
        <w:rPr>
          <w:rFonts w:ascii="Times New Roman" w:hAnsi="Times New Roman" w:cs="Times New Roman"/>
          <w:sz w:val="24"/>
          <w:szCs w:val="24"/>
        </w:rPr>
        <w:t xml:space="preserve"> 2021). By leveraging these platforms, youths can overcome traditional marketing barriers, minimize losses associated with perishability, and improve their overall profitability. Despite these potentials, the extent to which youths are willing to exploit social media for poultry egg marketing remains largely unclear in the South-East.</w:t>
      </w:r>
    </w:p>
    <w:p w14:paraId="49606149"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is theoretically anchored on the Technology Acceptance Model (TAM), Unified Theory of Acceptance and Use of Technology (UTAUT), and Diffusion of Innovation (DOI) theory. The Technology Acceptance Model developed by Davis(1989), who posited that perceived usefulness and perceived ease of use are the major determinants influencing behavioral intention toward technology utilization. In the case of poultry egg marketing, youths are more likely to utilize social media platforms when they percei</w:t>
      </w:r>
      <w:r>
        <w:rPr>
          <w:rFonts w:ascii="Times New Roman" w:hAnsi="Times New Roman" w:cs="Times New Roman"/>
          <w:sz w:val="24"/>
          <w:szCs w:val="24"/>
        </w:rPr>
        <w:t>ve such platforms as beneficial for improving market access, increasing sales, and reducing transaction costs.</w:t>
      </w:r>
    </w:p>
    <w:p w14:paraId="118108A3"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the Unified Theory of Acceptance and Use of Technology developed by Venkatesh in 2003, who emphasized that technology adoption behaviour is influenced by performance expectancy, effort expectancy, facilitating conditions, and social influence. Variables such as network availability, digital knowledge, and affordability of internet data in the present study align closely with facilitating conditions and effort expectancy under the UTAUT framework (Venkatesh et al., 2003.</w:t>
      </w:r>
    </w:p>
    <w:p w14:paraId="1E3503E6"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the study considered the Diffusion of Innovation theory that was advanced by Rogers in 2003, who explained how innovations spread through social systems over time. The theory suggests that adoption decisions are influenced by perceived relative advantage, compatibility, complexity, observability, and trialability of innovations (Rogers, 2003). The willingness of youths to exploit social media for egg marketing may therefore depend on the extent to which these platforms are perceived as advantag</w:t>
      </w:r>
      <w:r>
        <w:rPr>
          <w:rFonts w:ascii="Times New Roman" w:hAnsi="Times New Roman" w:cs="Times New Roman"/>
          <w:sz w:val="24"/>
          <w:szCs w:val="24"/>
        </w:rPr>
        <w:t>eous, user-friendly, and compatible with existing marketing practices.</w:t>
      </w:r>
    </w:p>
    <w:p w14:paraId="72E3483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these theories provides a robust conceptual basis for understanding youths’ willingness to exploit social media platforms for poultry egg marketing in the South-East of Nigeria.</w:t>
      </w:r>
    </w:p>
    <w:p w14:paraId="145793D9" w14:textId="77777777" w:rsidR="00D53FFF" w:rsidRDefault="00D53FFF">
      <w:pPr>
        <w:spacing w:line="360" w:lineRule="auto"/>
        <w:jc w:val="both"/>
        <w:rPr>
          <w:rFonts w:ascii="Times New Roman" w:hAnsi="Times New Roman" w:cs="Times New Roman"/>
          <w:sz w:val="24"/>
          <w:szCs w:val="24"/>
        </w:rPr>
      </w:pPr>
    </w:p>
    <w:p w14:paraId="7ECFA227"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several studies have examined agricultural marketing, youth participation, and the use of social media in Nigeria (Akintunde and Oladele, 2019; Eze </w:t>
      </w:r>
      <w:r>
        <w:rPr>
          <w:rFonts w:ascii="Times New Roman" w:hAnsi="Times New Roman" w:cs="Times New Roman"/>
          <w:i/>
          <w:sz w:val="24"/>
          <w:szCs w:val="24"/>
        </w:rPr>
        <w:t>et al</w:t>
      </w:r>
      <w:r>
        <w:rPr>
          <w:rFonts w:ascii="Times New Roman" w:hAnsi="Times New Roman" w:cs="Times New Roman"/>
          <w:sz w:val="24"/>
          <w:szCs w:val="24"/>
        </w:rPr>
        <w:t xml:space="preserve">., 2019; Hilman, 2021; Nnaji </w:t>
      </w:r>
      <w:r>
        <w:rPr>
          <w:rFonts w:ascii="Times New Roman" w:hAnsi="Times New Roman" w:cs="Times New Roman"/>
          <w:i/>
          <w:sz w:val="24"/>
          <w:szCs w:val="24"/>
        </w:rPr>
        <w:t>et al</w:t>
      </w:r>
      <w:r>
        <w:rPr>
          <w:rFonts w:ascii="Times New Roman" w:hAnsi="Times New Roman" w:cs="Times New Roman"/>
          <w:sz w:val="24"/>
          <w:szCs w:val="24"/>
        </w:rPr>
        <w:t xml:space="preserve">., 2021; Inegbedion </w:t>
      </w:r>
      <w:r>
        <w:rPr>
          <w:rFonts w:ascii="Times New Roman" w:hAnsi="Times New Roman" w:cs="Times New Roman"/>
          <w:i/>
          <w:sz w:val="24"/>
          <w:szCs w:val="24"/>
        </w:rPr>
        <w:t>et al</w:t>
      </w:r>
      <w:r>
        <w:rPr>
          <w:rFonts w:ascii="Times New Roman" w:hAnsi="Times New Roman" w:cs="Times New Roman"/>
          <w:sz w:val="24"/>
          <w:szCs w:val="24"/>
        </w:rPr>
        <w:t xml:space="preserve">., 2020; Maulana </w:t>
      </w:r>
      <w:r>
        <w:rPr>
          <w:rFonts w:ascii="Times New Roman" w:hAnsi="Times New Roman" w:cs="Times New Roman"/>
          <w:i/>
          <w:sz w:val="24"/>
          <w:szCs w:val="24"/>
        </w:rPr>
        <w:t>et al</w:t>
      </w:r>
      <w:r>
        <w:rPr>
          <w:rFonts w:ascii="Times New Roman" w:hAnsi="Times New Roman" w:cs="Times New Roman"/>
          <w:sz w:val="24"/>
          <w:szCs w:val="24"/>
        </w:rPr>
        <w:t>., 2023; Tijani, 2023), most of these studies are either generalized or focused on other regions of the country. There is a notable lack of region-specific empirical evidence addressing the unique socio-economic and technological realities of the South-East.</w:t>
      </w:r>
    </w:p>
    <w:p w14:paraId="7E8CA674"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More importantly, existing studies have largely concentrated on adoption patterns or general impacts of social media, with limited attention given to the behavioral dimension of .youths’ willingness to utilize these platforms for agricultural marketing. Additionally, few studies have focused specifically on poultry egg marketing, despite its importance as a perishable commodity requiring efficient distribution systems. This creates both a contextual and commodity-specific gap in the literature.</w:t>
      </w:r>
    </w:p>
    <w:p w14:paraId="74DAACBE"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these gaps, the study considered the following specific objectives to: (i) analyze the level of willingness among youths to utilize social media platforms for poultry egg marketing; (ii) determine the factors influencing their willingness to exploit these platforms; and (iii) examine youths’ perception of the effect of social media platforms on poultry egg sales in the South-East of Nigeria.</w:t>
      </w:r>
    </w:p>
    <w:p w14:paraId="0421F7ED" w14:textId="77777777" w:rsidR="00D53FFF" w:rsidRDefault="00D53FFF">
      <w:pPr>
        <w:rPr>
          <w:rFonts w:ascii="Times New Roman" w:hAnsi="Times New Roman" w:cs="Times New Roman"/>
          <w:sz w:val="24"/>
          <w:szCs w:val="24"/>
        </w:rPr>
      </w:pPr>
    </w:p>
    <w:p w14:paraId="2630FF2A" w14:textId="77777777" w:rsidR="00D53FFF" w:rsidRDefault="007B0606">
      <w:pPr>
        <w:rPr>
          <w:rFonts w:ascii="Times New Roman" w:hAnsi="Times New Roman" w:cs="Times New Roman"/>
          <w:b/>
          <w:sz w:val="24"/>
          <w:szCs w:val="24"/>
        </w:rPr>
      </w:pPr>
      <w:r>
        <w:rPr>
          <w:rFonts w:ascii="Times New Roman" w:hAnsi="Times New Roman" w:cs="Times New Roman"/>
          <w:b/>
          <w:sz w:val="24"/>
          <w:szCs w:val="24"/>
        </w:rPr>
        <w:lastRenderedPageBreak/>
        <w:t>METHODOLOGY</w:t>
      </w:r>
    </w:p>
    <w:p w14:paraId="40B9AD59"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The study was conducted in the South-East geopolitical zone of Nigeria. Geographically, the region lies between latitudes 4°47′35″N and longitudes 8°27′10″E. It comprises five States, Abia, Anambra, Ebonyi, Enugu, and Imo, with a total of eighty-five (85) Local Government Areas (LGAs). The South-East has an estimated population of 22,012,828 people (National Population Commission (NPC), 2021), which is projected to increase to about 29 million (NPC, 2024). The region occupies a land area of approximately 33</w:t>
      </w:r>
      <w:r>
        <w:rPr>
          <w:rFonts w:ascii="Times New Roman" w:eastAsia="Calibri" w:hAnsi="Times New Roman" w:cs="Times New Roman"/>
          <w:sz w:val="24"/>
          <w:szCs w:val="24"/>
        </w:rPr>
        <w:t xml:space="preserve">,664 km² (National Bureau of Statistics (NBS), 2019). It is bounded by the River Niger to the West, the riverine Niger Delta to the South, the North Central zone to the North, and the Cross River area to the East. Agriculture remains the mainstay of economic activities in the region, particularly among rural households. Farmers cultivate a wide range of food crops such as yam, cassava, maize, cocoyam, plantain, vegetables, banana, beans, rice, and groundnuts, as well as cash crops including oil palm, pear, </w:t>
      </w:r>
      <w:r>
        <w:rPr>
          <w:rFonts w:ascii="Times New Roman" w:eastAsia="Calibri" w:hAnsi="Times New Roman" w:cs="Times New Roman"/>
          <w:sz w:val="24"/>
          <w:szCs w:val="24"/>
        </w:rPr>
        <w:t>star apple, and mango. The region was selected for this study due to its significant contribution to poultry production, particularly egg supply, making it one of the major egg-producing zones in Nigeria.</w:t>
      </w:r>
    </w:p>
    <w:p w14:paraId="2E3C06ED"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A cross-sectional survey research design was adopted for the study. This design was considered appropriate because it enables the collection of data from respondents at a single point in time, thereby facilitating the analysis of relationships among key variables such as willingness to use social media, socio-economic characteristics, and marketing outcomes.</w:t>
      </w:r>
    </w:p>
    <w:p w14:paraId="4FE27289"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A multistage sampling technique was employed to select the respondents. In the first stage, three states were randomly selected from the five states in the South-East region. In the second stage, two agricultural zones were selected from each of the chosen states, resulting in a total of six agricultural zones. In the third stage, two Local Government Areas (LGAs) were randomly selected from each of the six agricultural zones, giving a total of twelve LGAs.</w:t>
      </w:r>
    </w:p>
    <w:p w14:paraId="3D50D3B4"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fourth stage, two communities were randomly selected from each of the twelve LGAs, resulting in twenty-four communities. In the fifth stage, one village was randomly selected from each of the twenty-four communities, bringing the total to twenty-four villages. Finally, in the last stage, five youths engaged in poultry egg marketing were randomly selected from each village using lists obtained from the Young Farmers Association of Nigeria (YFAN), specifically among registered poultry marketers. These </w:t>
      </w:r>
      <w:r>
        <w:rPr>
          <w:rFonts w:ascii="Times New Roman" w:eastAsia="Calibri" w:hAnsi="Times New Roman" w:cs="Times New Roman"/>
          <w:sz w:val="24"/>
          <w:szCs w:val="24"/>
        </w:rPr>
        <w:t xml:space="preserve">lists were compiled with the assistance of leaders of </w:t>
      </w:r>
      <w:r>
        <w:rPr>
          <w:rFonts w:ascii="Times New Roman" w:eastAsia="Calibri" w:hAnsi="Times New Roman" w:cs="Times New Roman"/>
          <w:sz w:val="24"/>
          <w:szCs w:val="24"/>
        </w:rPr>
        <w:lastRenderedPageBreak/>
        <w:t>marketers’ associations and youth leaders within the selected villages in the selected states. This process yielded a total sample size of 120 youth poultry egg marketers for the study.</w:t>
      </w:r>
    </w:p>
    <w:p w14:paraId="60D66360"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The questionnaire used for data collection was subjected to face and content validity procedures to ensure that the instrument adequately captured the objectives of the study. Experts in agricultural economics, extension, and marketing from the Department of Agricultural Economics, Federal University of Technology, Owerri, reviewed the instrument for clarity, relevance, comprehensiveness, and consistency with the study objectives.</w:t>
      </w:r>
    </w:p>
    <w:p w14:paraId="1BAF428D"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To further improve the quality of the instrument, a pilot study was conducted using 20 youth poultry marketers outside the sampled communities but within similar socio-economic conditions in the South-East region. Feedback obtained from the pilot survey assisted in refining ambiguous questions, improving item sequencing, and enhancing the overall clarity of the questionnaire.</w:t>
      </w:r>
    </w:p>
    <w:p w14:paraId="2D98EB8C"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The internal consistency and reliability of the measurement scales were assessed using Cronbach’s alpha reliability coefficient. The overall reliability coefficient obtained for the social media willingness scale was 0.81, indicating a high level of internal consistency and reliability for the instrument. According to Nunnally (1978), a Cronbach’s alpha coefficient of 0.70 or higher is considered acceptable for social science research.</w:t>
      </w:r>
    </w:p>
    <w:p w14:paraId="5E9128E8" w14:textId="77777777" w:rsidR="00D53FFF" w:rsidRDefault="007B0606">
      <w:pPr>
        <w:spacing w:after="100" w:afterAutospacing="1" w:line="360" w:lineRule="auto"/>
        <w:ind w:right="26"/>
        <w:jc w:val="both"/>
        <w:rPr>
          <w:rFonts w:ascii="Times New Roman" w:eastAsia="Calibri" w:hAnsi="Times New Roman" w:cs="Times New Roman"/>
          <w:sz w:val="24"/>
          <w:szCs w:val="24"/>
        </w:rPr>
      </w:pPr>
      <w:r>
        <w:rPr>
          <w:rFonts w:ascii="Times New Roman" w:eastAsia="Calibri" w:hAnsi="Times New Roman" w:cs="Times New Roman"/>
          <w:sz w:val="24"/>
          <w:szCs w:val="24"/>
        </w:rPr>
        <w:t>These procedures collectively improved the validity, reliability, and robustness of the data collection instrument used for the study.</w:t>
      </w:r>
    </w:p>
    <w:p w14:paraId="01DB3E54" w14:textId="77777777" w:rsidR="00D53FFF" w:rsidRDefault="00D53FFF">
      <w:pPr>
        <w:spacing w:after="100" w:afterAutospacing="1" w:line="360" w:lineRule="auto"/>
        <w:ind w:right="26"/>
        <w:jc w:val="both"/>
        <w:rPr>
          <w:rFonts w:ascii="Times New Roman" w:eastAsia="Calibri" w:hAnsi="Times New Roman" w:cs="Times New Roman"/>
          <w:sz w:val="24"/>
          <w:szCs w:val="24"/>
        </w:rPr>
      </w:pPr>
    </w:p>
    <w:p w14:paraId="52F2BB29" w14:textId="77777777" w:rsidR="00D53FFF" w:rsidRDefault="007B0606">
      <w:pPr>
        <w:spacing w:after="100" w:afterAutospacing="1" w:line="360" w:lineRule="auto"/>
        <w:ind w:right="26"/>
        <w:jc w:val="both"/>
        <w:rPr>
          <w:rFonts w:ascii="Times New Roman" w:eastAsia="Calibri" w:hAnsi="Times New Roman" w:cs="Times New Roman"/>
          <w:b/>
          <w:sz w:val="24"/>
          <w:szCs w:val="24"/>
        </w:rPr>
      </w:pPr>
      <w:r>
        <w:rPr>
          <w:rFonts w:ascii="Times New Roman" w:eastAsia="Calibri" w:hAnsi="Times New Roman" w:cs="Times New Roman"/>
          <w:b/>
          <w:sz w:val="24"/>
          <w:szCs w:val="24"/>
        </w:rPr>
        <w:t>MODEL SPECIFICATIONS</w:t>
      </w:r>
    </w:p>
    <w:p w14:paraId="4502F8E6"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willingness of youths to utilize social media platforms for poultry egg marketing in the study area was assessed using a Willingness-to-Exploit (WTE) Index. The index was designed to capture respondents’ behavioral inclination toward the use of social media platforms for marketing poultry eggs based on selected technology-related attributes.</w:t>
      </w:r>
    </w:p>
    <w:p w14:paraId="1E137AB4"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structured rating scale was employed to evaluate respondents’ perceptions regarding five major dimensions associated with social media utilization for poultry egg marketing. These dimensions </w:t>
      </w:r>
      <w:r>
        <w:rPr>
          <w:rFonts w:ascii="Times New Roman" w:hAnsi="Times New Roman" w:cs="Times New Roman"/>
          <w:sz w:val="24"/>
          <w:szCs w:val="24"/>
        </w:rPr>
        <w:lastRenderedPageBreak/>
        <w:t>included perceived usefulness, ease of use, network availability, cost of usage, and knowledge of the platform. The selection of these dimensions was theoretically informed by the Technology Acceptance Model (TAM), Unified Theory of Acceptance and Use of Technology (UTAUT), and Diffusion of Innovation (DOI) theory.</w:t>
      </w:r>
    </w:p>
    <w:p w14:paraId="6C571B7D"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Perceived usefulness and ease of use were derived directly from TAM and were assigned relatively higher weights because prior technology-adoption studies consistently identify them as the strongest predictors of behavioral intention and actual technology utilization. Studies by Davis (1989), Venkatesh et al. (2003), and Alalwan et al. (2018) showed that users are more likely to adopt digital technologies when they perceive them as beneficial and easy to operate.</w:t>
      </w:r>
    </w:p>
    <w:p w14:paraId="64C66AEA"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Network availability and cost of usage were also included based on the UTAUT framework, particularly the concept of facilitating conditions, which emphasizes the importance of infrastructural accessibility and affordability in technology utilization. In developing economies such as Nigeria, internet accessibility and data costs significantly shape the extent of digital participation among youths and small-scale agribusiness operators.</w:t>
      </w:r>
    </w:p>
    <w:p w14:paraId="2B00916A"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Knowledge of the platform was also included because digital literacy and prior familiarity with social media applications influence individuals’ confidence and willingness to utilize digital technologies. This position is consistent with Diffusion of Innovation theory, which identifies knowledge as a critical stage in the innovation-decision process.</w:t>
      </w:r>
    </w:p>
    <w:p w14:paraId="4FD75364"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weighting structure was therefore designed to reflect the relative theoretical importance of each construct in influencing willingness to exploit social media platforms. Perceived usefulness received the highest weight due to its dominant role in behavioral intention formation, followed by ease of use, network availability, cost considerations, and knowledge of the platform.</w:t>
      </w:r>
    </w:p>
    <w:p w14:paraId="12A712E6"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assigned weights were as follows:</w:t>
      </w:r>
    </w:p>
    <w:p w14:paraId="2E8CC6CA"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Perceived usefulness (PU) = 5</w:t>
      </w:r>
    </w:p>
    <w:p w14:paraId="69B306ED"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Ease of use (EU) = 4</w:t>
      </w:r>
    </w:p>
    <w:p w14:paraId="141DA03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Network availability (NA) = 3</w:t>
      </w:r>
    </w:p>
    <w:p w14:paraId="4F9944D0"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Cost of usage (CU) = 2</w:t>
      </w:r>
    </w:p>
    <w:p w14:paraId="45F1B4AE"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Knowledge of the platform (KSM) = 1</w:t>
      </w:r>
    </w:p>
    <w:p w14:paraId="64AD5E3C"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weighted scores obtained for each respondent were aggregated across the identified dimensions and standardized by dividing the total score by the number of social media platforms known to the respondent. This normalization procedure ensured comparability among respondents with varying levels of exposure to different social media platforms.</w:t>
      </w:r>
    </w:p>
    <w:p w14:paraId="6A051AA2"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is specified as follows:</w:t>
      </w:r>
    </w:p>
    <w:p w14:paraId="60DB95D6" w14:textId="77777777" w:rsidR="00D53FFF" w:rsidRDefault="007B0606">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ij</m:t>
                    </m:r>
                  </m:sub>
                </m:sSub>
              </m:e>
            </m:nary>
          </m:num>
          <m:den>
            <m:r>
              <w:rPr>
                <w:rFonts w:ascii="Cambria Math" w:eastAsiaTheme="minorEastAsia" w:hAnsi="Cambria Math" w:cs="Times New Roman"/>
                <w:sz w:val="24"/>
                <w:szCs w:val="24"/>
              </w:rPr>
              <m:t>n</m:t>
            </m:r>
          </m:den>
        </m:f>
      </m:oMath>
      <w:r>
        <w:rPr>
          <w:rFonts w:ascii="Times New Roman" w:eastAsiaTheme="minorEastAsia" w:hAnsi="Times New Roman" w:cs="Times New Roman"/>
          <w:sz w:val="24"/>
          <w:szCs w:val="24"/>
        </w:rPr>
        <w:t xml:space="preserve">                                                                                               - - -Equation (1)</w:t>
      </w:r>
    </w:p>
    <w:p w14:paraId="63101C8A" w14:textId="77777777" w:rsidR="00D53FFF" w:rsidRDefault="007B060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14:paraId="7C23C640" w14:textId="77777777" w:rsidR="00D53FFF" w:rsidRDefault="007B0606">
      <w:pPr>
        <w:spacing w:line="360" w:lineRule="auto"/>
        <w:jc w:val="both"/>
        <w:rPr>
          <w:rFonts w:ascii="Times New Roman" w:hAnsi="Times New Roman" w:cs="Times New Roman"/>
          <w:sz w:val="24"/>
          <w:szCs w:val="24"/>
        </w:rPr>
      </w:pPr>
      <m:oMath>
        <m:sSub>
          <m:sSubPr>
            <m:ctrlPr>
              <w:rPr>
                <w:rStyle w:val="vlist-s"/>
                <w:rFonts w:ascii="Cambria Math" w:hAnsi="Cambria Math" w:cs="Times New Roman"/>
                <w:i/>
                <w:sz w:val="24"/>
                <w:szCs w:val="24"/>
              </w:rPr>
            </m:ctrlPr>
          </m:sSubPr>
          <m:e>
            <m:r>
              <w:rPr>
                <w:rStyle w:val="vlist-s"/>
                <w:rFonts w:ascii="Cambria Math" w:hAnsi="Cambria Math" w:cs="Times New Roman"/>
                <w:sz w:val="24"/>
                <w:szCs w:val="24"/>
              </w:rPr>
              <m:t>W</m:t>
            </m:r>
          </m:e>
          <m:sub>
            <m:r>
              <w:rPr>
                <w:rStyle w:val="vlist-s"/>
                <w:rFonts w:ascii="Cambria Math" w:hAnsi="Cambria Math" w:cs="Times New Roman"/>
                <w:sz w:val="24"/>
                <w:szCs w:val="24"/>
              </w:rPr>
              <m:t>i</m:t>
            </m:r>
          </m:sub>
        </m:sSub>
      </m:oMath>
      <w:r>
        <w:rPr>
          <w:rStyle w:val="vlist-s"/>
          <w:rFonts w:ascii="Times New Roman" w:hAnsi="Times New Roman" w:cs="Times New Roman"/>
          <w:sz w:val="24"/>
          <w:szCs w:val="24"/>
        </w:rPr>
        <w:t>​</w:t>
      </w:r>
      <w:r>
        <w:rPr>
          <w:rFonts w:ascii="Times New Roman" w:hAnsi="Times New Roman" w:cs="Times New Roman"/>
          <w:sz w:val="24"/>
          <w:szCs w:val="24"/>
        </w:rPr>
        <w:t xml:space="preserve"> = Willingness-to-exploit index of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Cambria Math" w:hAnsi="Cambria Math" w:cs="Times New Roman"/>
                <w:sz w:val="24"/>
                <w:szCs w:val="24"/>
              </w:rPr>
              <m:t>h</m:t>
            </m:r>
          </m:sup>
        </m:sSup>
        <m:r>
          <w:rPr>
            <w:rFonts w:ascii="Cambria Math" w:hAnsi="Cambria Math" w:cs="Times New Roman"/>
            <w:sz w:val="24"/>
            <w:szCs w:val="24"/>
          </w:rPr>
          <m:t xml:space="preserve"> </m:t>
        </m:r>
      </m:oMath>
      <w:r>
        <w:rPr>
          <w:rFonts w:ascii="Times New Roman" w:hAnsi="Times New Roman" w:cs="Times New Roman"/>
          <w:sz w:val="24"/>
          <w:szCs w:val="24"/>
        </w:rPr>
        <w:t>respondent,</w:t>
      </w:r>
    </w:p>
    <w:p w14:paraId="03798994" w14:textId="77777777" w:rsidR="00D53FFF" w:rsidRDefault="007B0606">
      <w:pPr>
        <w:spacing w:line="360" w:lineRule="auto"/>
        <w:jc w:val="both"/>
        <w:rPr>
          <w:rFonts w:ascii="Times New Roman" w:hAnsi="Times New Roman" w:cs="Times New Roman"/>
          <w:sz w:val="24"/>
          <w:szCs w:val="24"/>
        </w:rPr>
      </w:pPr>
      <m:oMath>
        <m:sSub>
          <m:sSubPr>
            <m:ctrlPr>
              <w:rPr>
                <w:rStyle w:val="vlist-s"/>
                <w:rFonts w:ascii="Cambria Math" w:hAnsi="Cambria Math" w:cs="Times New Roman"/>
                <w:i/>
                <w:sz w:val="24"/>
                <w:szCs w:val="24"/>
              </w:rPr>
            </m:ctrlPr>
          </m:sSubPr>
          <m:e>
            <m:r>
              <w:rPr>
                <w:rStyle w:val="vlist-s"/>
                <w:rFonts w:ascii="Cambria Math" w:hAnsi="Cambria Math" w:cs="Times New Roman"/>
                <w:sz w:val="24"/>
                <w:szCs w:val="24"/>
              </w:rPr>
              <m:t>S</m:t>
            </m:r>
          </m:e>
          <m:sub>
            <m:r>
              <w:rPr>
                <w:rStyle w:val="vlist-s"/>
                <w:rFonts w:ascii="Cambria Math" w:hAnsi="Cambria Math" w:cs="Times New Roman"/>
                <w:sz w:val="24"/>
                <w:szCs w:val="24"/>
              </w:rPr>
              <m:t>ij</m:t>
            </m:r>
          </m:sub>
        </m:sSub>
      </m:oMath>
      <w:r>
        <w:rPr>
          <w:rStyle w:val="vlist-s"/>
          <w:rFonts w:ascii="Times New Roman" w:hAnsi="Times New Roman" w:cs="Times New Roman"/>
          <w:sz w:val="24"/>
          <w:szCs w:val="24"/>
        </w:rPr>
        <w:t>​</w:t>
      </w:r>
      <w:r>
        <w:rPr>
          <w:rFonts w:ascii="Times New Roman" w:hAnsi="Times New Roman" w:cs="Times New Roman"/>
          <w:sz w:val="24"/>
          <w:szCs w:val="24"/>
        </w:rPr>
        <w:t xml:space="preserve"> = Score assigned to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m:t>
            </m:r>
            <m:r>
              <w:rPr>
                <w:rFonts w:ascii="Cambria Math" w:hAnsi="Cambria Math" w:cs="Times New Roman"/>
                <w:sz w:val="24"/>
                <w:szCs w:val="24"/>
              </w:rPr>
              <m:t>h</m:t>
            </m:r>
          </m:sup>
        </m:sSup>
      </m:oMath>
      <w:r>
        <w:rPr>
          <w:rStyle w:val="katex-mathml"/>
          <w:rFonts w:ascii="Times New Roman" w:hAnsi="Times New Roman" w:cs="Times New Roman"/>
          <w:sz w:val="24"/>
          <w:szCs w:val="24"/>
        </w:rPr>
        <w:t xml:space="preserve"> </w:t>
      </w:r>
      <w:r>
        <w:rPr>
          <w:rFonts w:ascii="Times New Roman" w:hAnsi="Times New Roman" w:cs="Times New Roman"/>
          <w:sz w:val="24"/>
          <w:szCs w:val="24"/>
        </w:rPr>
        <w:t xml:space="preserve">social media platform factor by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Cambria Math" w:hAnsi="Cambria Math" w:cs="Times New Roman"/>
                <w:sz w:val="24"/>
                <w:szCs w:val="24"/>
              </w:rPr>
              <m:t>h</m:t>
            </m:r>
          </m:sup>
        </m:sSup>
      </m:oMath>
      <w:r>
        <w:rPr>
          <w:rFonts w:ascii="Times New Roman" w:hAnsi="Times New Roman" w:cs="Times New Roman"/>
          <w:sz w:val="24"/>
          <w:szCs w:val="24"/>
        </w:rPr>
        <w:t xml:space="preserve"> respondent,</w:t>
      </w:r>
    </w:p>
    <w:p w14:paraId="689F9DD9" w14:textId="77777777" w:rsidR="00D53FFF" w:rsidRDefault="007B0606">
      <w:pPr>
        <w:spacing w:line="360" w:lineRule="auto"/>
        <w:jc w:val="both"/>
        <w:rPr>
          <w:rFonts w:ascii="Times New Roman" w:hAnsi="Times New Roman" w:cs="Times New Roman"/>
          <w:sz w:val="24"/>
          <w:szCs w:val="24"/>
        </w:rPr>
      </w:pPr>
      <w:r>
        <w:rPr>
          <w:rStyle w:val="mord"/>
          <w:rFonts w:ascii="Times New Roman" w:hAnsi="Times New Roman" w:cs="Times New Roman"/>
          <w:sz w:val="24"/>
          <w:szCs w:val="24"/>
        </w:rPr>
        <w:t>n</w:t>
      </w:r>
      <w:r>
        <w:rPr>
          <w:rFonts w:ascii="Times New Roman" w:hAnsi="Times New Roman" w:cs="Times New Roman"/>
          <w:sz w:val="24"/>
          <w:szCs w:val="24"/>
        </w:rPr>
        <w:t xml:space="preserve"> = Number of social media platforms known by the respondent.</w:t>
      </w:r>
    </w:p>
    <w:p w14:paraId="4E7778AE" w14:textId="77777777" w:rsidR="00D53FFF" w:rsidRDefault="007B060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computed index value represents the respondent’s overall willingness to utilize social media platforms for poultry egg marketing. Higher index values indicate greater willingness to utilize social media platforms, while lower values indicate lower willingness.</w:t>
      </w:r>
    </w:p>
    <w:p w14:paraId="585D85CC" w14:textId="77777777" w:rsidR="00D53FFF" w:rsidRDefault="007B060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approach was adapted from the adoption index model proposed by Madu </w:t>
      </w:r>
      <w:r>
        <w:rPr>
          <w:rFonts w:ascii="Times New Roman" w:eastAsiaTheme="minorEastAsia" w:hAnsi="Times New Roman" w:cs="Times New Roman"/>
          <w:i/>
          <w:sz w:val="24"/>
          <w:szCs w:val="24"/>
        </w:rPr>
        <w:t>et al</w:t>
      </w:r>
      <w:r>
        <w:rPr>
          <w:rFonts w:ascii="Times New Roman" w:eastAsiaTheme="minorEastAsia" w:hAnsi="Times New Roman" w:cs="Times New Roman"/>
          <w:sz w:val="24"/>
          <w:szCs w:val="24"/>
        </w:rPr>
        <w:t>. (2024) which has been widely applied in studies relating to technology adoption behavior. However, the model was modified in the present study to measure behavioral willingness rather than actual adoption.</w:t>
      </w:r>
    </w:p>
    <w:p w14:paraId="16E2D41B" w14:textId="77777777" w:rsidR="00D53FFF" w:rsidRDefault="007B06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Decision Rule</w:t>
      </w:r>
    </w:p>
    <w:p w14:paraId="16EFBFFE" w14:textId="77777777" w:rsidR="00D53FFF" w:rsidRDefault="007B060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mean score of the index was used to categorize respondents into different levels of willingness. Since the weighted scale ranged from 1 to 5, the benchmark mean score was computed as follows:</w:t>
      </w:r>
    </w:p>
    <w:p w14:paraId="06A51EE3" w14:textId="77777777" w:rsidR="00D53FFF" w:rsidRDefault="007B0606">
      <w:pPr>
        <w:spacing w:line="480" w:lineRule="auto"/>
        <w:jc w:val="both"/>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5+4+3+2+1</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 xml:space="preserve">= </m:t>
        </m:r>
      </m:oMath>
      <w:r>
        <w:rPr>
          <w:rFonts w:ascii="Times New Roman" w:eastAsia="Times New Roman" w:hAnsi="Times New Roman" w:cs="Times New Roman"/>
          <w:sz w:val="24"/>
          <w:szCs w:val="24"/>
        </w:rPr>
        <w:t xml:space="preserve">3.0 </w:t>
      </w:r>
    </w:p>
    <w:p w14:paraId="079E9301" w14:textId="77777777" w:rsidR="00D53FFF" w:rsidRDefault="007B06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Pr>
          <w:rFonts w:ascii="Times New Roman" w:hAnsi="Times New Roman" w:cs="Times New Roman"/>
          <w:sz w:val="24"/>
          <w:szCs w:val="24"/>
        </w:rPr>
        <w:t xml:space="preserve"> = 3.0, Moderate willingness to exploit SM</w:t>
      </w:r>
    </w:p>
    <w:p w14:paraId="697A4B1A"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Pr>
          <w:rFonts w:ascii="Times New Roman" w:hAnsi="Times New Roman" w:cs="Times New Roman"/>
          <w:sz w:val="24"/>
          <w:szCs w:val="24"/>
        </w:rPr>
        <w:t xml:space="preserve"> &gt; 3.0, High willingness to exploit SM</w:t>
      </w:r>
    </w:p>
    <w:p w14:paraId="13A01810"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Pr>
          <w:rFonts w:ascii="Times New Roman" w:hAnsi="Times New Roman" w:cs="Times New Roman"/>
          <w:sz w:val="24"/>
          <w:szCs w:val="24"/>
        </w:rPr>
        <w:t xml:space="preserve"> &lt; 3.0, Low willingness to exploit SM</w:t>
      </w:r>
    </w:p>
    <w:p w14:paraId="7FC7DBB3"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This categorization enabled the classification of respondents according to their level of willingness to utilize social media platforms for poultry egg marketing in the study area.</w:t>
      </w:r>
    </w:p>
    <w:p w14:paraId="31446394"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factors influencing youths’ willingness to exploit social media platforms for poultry egg marketing in the study area were analyzed using a multiple regression framework. The model was specified following the approach of Ibe </w:t>
      </w:r>
      <w:r>
        <w:rPr>
          <w:rFonts w:ascii="Times New Roman" w:hAnsi="Times New Roman" w:cs="Times New Roman"/>
          <w:i/>
          <w:sz w:val="24"/>
          <w:szCs w:val="24"/>
        </w:rPr>
        <w:t>et al</w:t>
      </w:r>
      <w:r>
        <w:rPr>
          <w:rFonts w:ascii="Times New Roman" w:hAnsi="Times New Roman" w:cs="Times New Roman"/>
          <w:sz w:val="24"/>
          <w:szCs w:val="24"/>
        </w:rPr>
        <w:t>. (2022), which allows for the examination of the relationship between the willingness index and selected socio-economic and technology-related variables.</w:t>
      </w:r>
    </w:p>
    <w:p w14:paraId="27AD00DB"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model is stated implicitly as follows, as used by Ibe </w:t>
      </w:r>
      <w:r>
        <w:rPr>
          <w:rFonts w:ascii="Times New Roman" w:hAnsi="Times New Roman" w:cs="Times New Roman"/>
          <w:i/>
          <w:sz w:val="24"/>
          <w:szCs w:val="24"/>
        </w:rPr>
        <w:t>et al</w:t>
      </w:r>
      <w:r>
        <w:rPr>
          <w:rFonts w:ascii="Times New Roman" w:hAnsi="Times New Roman" w:cs="Times New Roman"/>
          <w:sz w:val="24"/>
          <w:szCs w:val="24"/>
        </w:rPr>
        <w:t xml:space="preserve">. (2022): </w:t>
      </w:r>
    </w:p>
    <w:p w14:paraId="33068E1A" w14:textId="77777777" w:rsidR="00D53FFF" w:rsidRDefault="007B0606">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Pr>
          <w:rFonts w:ascii="Times New Roman" w:hAnsi="Times New Roman" w:cs="Times New Roman"/>
          <w:sz w:val="24"/>
          <w:szCs w:val="24"/>
        </w:rPr>
        <w:t xml:space="preserve"> = f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w:t>
      </w:r>
      <w:r>
        <w:rPr>
          <w:rFonts w:ascii="Times New Roman" w:hAnsi="Times New Roman" w:cs="Times New Roman"/>
          <w:sz w:val="24"/>
          <w:szCs w:val="24"/>
          <w:vertAlign w:val="subscript"/>
        </w:rPr>
        <w:t>3</w:t>
      </w:r>
      <w:r>
        <w:rPr>
          <w:rFonts w:ascii="Times New Roman" w:hAnsi="Times New Roman" w:cs="Times New Roman"/>
          <w:sz w:val="24"/>
          <w:szCs w:val="24"/>
        </w:rPr>
        <w:t>, X</w:t>
      </w:r>
      <w:r>
        <w:rPr>
          <w:rFonts w:ascii="Times New Roman" w:hAnsi="Times New Roman" w:cs="Times New Roman"/>
          <w:sz w:val="24"/>
          <w:szCs w:val="24"/>
          <w:vertAlign w:val="subscript"/>
        </w:rPr>
        <w:t>4</w:t>
      </w:r>
      <w:r>
        <w:rPr>
          <w:rFonts w:ascii="Times New Roman" w:hAnsi="Times New Roman" w:cs="Times New Roman"/>
          <w:sz w:val="24"/>
          <w:szCs w:val="24"/>
        </w:rPr>
        <w:t>, X</w:t>
      </w:r>
      <w:r>
        <w:rPr>
          <w:rFonts w:ascii="Times New Roman" w:hAnsi="Times New Roman" w:cs="Times New Roman"/>
          <w:sz w:val="24"/>
          <w:szCs w:val="24"/>
          <w:vertAlign w:val="subscript"/>
        </w:rPr>
        <w:t>5</w:t>
      </w:r>
      <w:r>
        <w:rPr>
          <w:rFonts w:ascii="Times New Roman" w:hAnsi="Times New Roman" w:cs="Times New Roman"/>
          <w:sz w:val="24"/>
          <w:szCs w:val="24"/>
        </w:rPr>
        <w:t>, X</w:t>
      </w:r>
      <w:r>
        <w:rPr>
          <w:rFonts w:ascii="Times New Roman" w:hAnsi="Times New Roman" w:cs="Times New Roman"/>
          <w:sz w:val="24"/>
          <w:szCs w:val="24"/>
          <w:vertAlign w:val="subscript"/>
        </w:rPr>
        <w:t>6</w:t>
      </w:r>
      <w:r>
        <w:rPr>
          <w:rFonts w:ascii="Times New Roman" w:hAnsi="Times New Roman" w:cs="Times New Roman"/>
          <w:sz w:val="24"/>
          <w:szCs w:val="24"/>
        </w:rPr>
        <w:t>, X</w:t>
      </w:r>
      <w:r>
        <w:rPr>
          <w:rFonts w:ascii="Times New Roman" w:hAnsi="Times New Roman" w:cs="Times New Roman"/>
          <w:sz w:val="24"/>
          <w:szCs w:val="24"/>
          <w:vertAlign w:val="subscript"/>
        </w:rPr>
        <w:t>7</w:t>
      </w:r>
      <w:r>
        <w:rPr>
          <w:rFonts w:ascii="Times New Roman" w:hAnsi="Times New Roman" w:cs="Times New Roman"/>
          <w:sz w:val="24"/>
          <w:szCs w:val="24"/>
        </w:rPr>
        <w:t>) e</w:t>
      </w:r>
      <w:r>
        <w:rPr>
          <w:rFonts w:ascii="Times New Roman" w:hAnsi="Times New Roman" w:cs="Times New Roman"/>
          <w:sz w:val="24"/>
          <w:szCs w:val="24"/>
          <w:vertAlign w:val="subscript"/>
        </w:rPr>
        <w:t xml:space="preserve">i   </w:t>
      </w:r>
      <w:r>
        <w:rPr>
          <w:rFonts w:ascii="Times New Roman" w:hAnsi="Times New Roman" w:cs="Times New Roman"/>
          <w:sz w:val="24"/>
          <w:szCs w:val="24"/>
        </w:rPr>
        <w:t xml:space="preserve">                                                      ... Equation (2) </w:t>
      </w:r>
    </w:p>
    <w:p w14:paraId="1D864C4C"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429B2B6"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Pr>
          <w:rFonts w:ascii="Times New Roman" w:hAnsi="Times New Roman" w:cs="Times New Roman"/>
          <w:sz w:val="24"/>
          <w:szCs w:val="24"/>
        </w:rPr>
        <w:t xml:space="preserve"> = Willingness to exploit (index), </w:t>
      </w:r>
    </w:p>
    <w:p w14:paraId="0EB9C550"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Age (years), </w:t>
      </w:r>
    </w:p>
    <w:p w14:paraId="07D355B3"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Gender (female is 1; male is 0), </w:t>
      </w:r>
    </w:p>
    <w:p w14:paraId="518B5A04"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Marital status (married is 1; otherwise is 0), </w:t>
      </w:r>
    </w:p>
    <w:p w14:paraId="6A0928D0"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xml:space="preserve"> = Education level (years), </w:t>
      </w:r>
    </w:p>
    <w:p w14:paraId="7C6F99D6"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 xml:space="preserve"> = Amount of data (naira),  </w:t>
      </w:r>
    </w:p>
    <w:p w14:paraId="606DA49F"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Knowledge of the SM (1 = Yes, 0 = No),</w:t>
      </w:r>
    </w:p>
    <w:p w14:paraId="69514798"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Usefulness of SM (1= Yes, 0 = No), and </w:t>
      </w:r>
    </w:p>
    <w:p w14:paraId="6E347845"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i</w:t>
      </w:r>
      <w:r>
        <w:rPr>
          <w:rFonts w:ascii="Times New Roman" w:hAnsi="Times New Roman" w:cs="Times New Roman"/>
          <w:sz w:val="24"/>
          <w:szCs w:val="24"/>
        </w:rPr>
        <w:t xml:space="preserve"> = Stochastic error term. </w:t>
      </w:r>
    </w:p>
    <w:p w14:paraId="6DF6D80A"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explicitly represented in mathematical terms as follows;</w:t>
      </w:r>
    </w:p>
    <w:p w14:paraId="31CAE3E8" w14:textId="77777777" w:rsidR="00D53FFF" w:rsidRDefault="007B0606">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7</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 xml:space="preserve">+ </m:t>
        </m:r>
      </m:oMath>
      <w:r>
        <w:rPr>
          <w:rFonts w:ascii="Times New Roman" w:hAnsi="Times New Roman" w:cs="Times New Roman"/>
          <w:sz w:val="24"/>
          <w:szCs w:val="24"/>
        </w:rPr>
        <w:t>e</w:t>
      </w:r>
      <w:r>
        <w:rPr>
          <w:rFonts w:ascii="Times New Roman" w:hAnsi="Times New Roman" w:cs="Times New Roman"/>
          <w:sz w:val="24"/>
          <w:szCs w:val="24"/>
          <w:vertAlign w:val="subscript"/>
        </w:rPr>
        <w:t>i</w:t>
      </w:r>
      <w:r>
        <w:rPr>
          <w:rFonts w:ascii="Times New Roman" w:hAnsi="Times New Roman" w:cs="Times New Roman"/>
          <w:sz w:val="24"/>
          <w:szCs w:val="24"/>
        </w:rPr>
        <w:t xml:space="preserve">          - - - Equation (3)</w:t>
      </w:r>
    </w:p>
    <w:p w14:paraId="4F9600E4"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8ACFADA" w14:textId="77777777" w:rsidR="00D53FFF" w:rsidRDefault="007B0606">
      <w:pPr>
        <w:spacing w:line="360" w:lineRule="auto"/>
        <w:jc w:val="both"/>
        <w:rPr>
          <w:rStyle w:val="mord"/>
          <w:rFonts w:ascii="Times New Roman" w:hAnsi="Times New Roman" w:cs="Times New Roman"/>
        </w:rPr>
      </w:pPr>
      <m:oMath>
        <m:sSub>
          <m:sSubPr>
            <m:ctrlPr>
              <w:rPr>
                <w:rStyle w:val="mord"/>
                <w:rFonts w:ascii="Cambria Math" w:hAnsi="Cambria Math" w:cs="Times New Roman"/>
                <w:i/>
              </w:rPr>
            </m:ctrlPr>
          </m:sSubPr>
          <m:e>
            <m:r>
              <w:rPr>
                <w:rStyle w:val="mord"/>
                <w:rFonts w:ascii="Cambria Math" w:hAnsi="Cambria Math" w:cs="Times New Roman"/>
              </w:rPr>
              <m:t>b</m:t>
            </m:r>
          </m:e>
          <m:sub>
            <m:r>
              <w:rPr>
                <w:rStyle w:val="mord"/>
                <w:rFonts w:ascii="Cambria Math" w:hAnsi="Cambria Math" w:cs="Times New Roman"/>
              </w:rPr>
              <m:t>0</m:t>
            </m:r>
          </m:sub>
        </m:sSub>
      </m:oMath>
      <w:r>
        <w:rPr>
          <w:rStyle w:val="mord"/>
          <w:rFonts w:ascii="Times New Roman" w:hAnsi="Times New Roman" w:cs="Times New Roman"/>
        </w:rPr>
        <w:t xml:space="preserve"> = Intercept</w:t>
      </w:r>
    </w:p>
    <w:p w14:paraId="2F2056BC" w14:textId="77777777" w:rsidR="00D53FFF" w:rsidRDefault="007B0606">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7</m:t>
            </m:r>
          </m:sub>
        </m:sSub>
      </m:oMath>
      <w:r>
        <w:rPr>
          <w:rFonts w:ascii="Times New Roman" w:eastAsiaTheme="minorEastAsia" w:hAnsi="Times New Roman" w:cs="Times New Roman"/>
          <w:sz w:val="24"/>
          <w:szCs w:val="24"/>
        </w:rPr>
        <w:t xml:space="preserve"> = Parameters to be estimated </w:t>
      </w:r>
    </w:p>
    <w:p w14:paraId="06AC4676"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robustness and identify the best-fitting model, four functional forms were estimated, namely: linear, double-log, semi-log, and exponential functions. The lead (preferred) equation was </w:t>
      </w:r>
      <w:r>
        <w:rPr>
          <w:rFonts w:ascii="Times New Roman" w:hAnsi="Times New Roman" w:cs="Times New Roman"/>
          <w:sz w:val="24"/>
          <w:szCs w:val="24"/>
        </w:rPr>
        <w:lastRenderedPageBreak/>
        <w:t>selected based on standard econometric criteria, including the magnitude of the coefficient of multiple determination (R</w:t>
      </w:r>
      <w:r>
        <w:rPr>
          <w:rFonts w:ascii="Times New Roman" w:hAnsi="Times New Roman" w:cs="Times New Roman"/>
          <w:sz w:val="24"/>
          <w:szCs w:val="24"/>
          <w:vertAlign w:val="superscript"/>
        </w:rPr>
        <w:t>2</w:t>
      </w:r>
      <w:r>
        <w:rPr>
          <w:rFonts w:ascii="Times New Roman" w:hAnsi="Times New Roman" w:cs="Times New Roman"/>
          <w:sz w:val="24"/>
          <w:szCs w:val="24"/>
        </w:rPr>
        <w:t>), the significance of the overall model as indicated by the F-statistic, the number and significance of individual explanatory variables, the conformity of parameter estimates with a priori expectations, and the minimization of the mean square error (MSE).</w:t>
      </w:r>
    </w:p>
    <w:p w14:paraId="1A17E061" w14:textId="77777777" w:rsidR="00D53FFF" w:rsidRDefault="00D53FFF">
      <w:pPr>
        <w:spacing w:after="0" w:line="360" w:lineRule="auto"/>
        <w:jc w:val="both"/>
        <w:rPr>
          <w:rFonts w:ascii="Times New Roman" w:hAnsi="Times New Roman" w:cs="Times New Roman"/>
          <w:sz w:val="24"/>
          <w:szCs w:val="24"/>
        </w:rPr>
      </w:pPr>
    </w:p>
    <w:p w14:paraId="2107B5F8"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approach enhances the reliability of the results and ensures that the selected model provides the best explanatory power for the determinants of youths’ willingness to exploit social media platforms for poultry egg marketing.</w:t>
      </w:r>
    </w:p>
    <w:p w14:paraId="3FDC9E92" w14:textId="77777777" w:rsidR="00D53FFF" w:rsidRDefault="00D53FFF">
      <w:pPr>
        <w:spacing w:line="360" w:lineRule="auto"/>
        <w:jc w:val="both"/>
        <w:rPr>
          <w:rFonts w:ascii="Times New Roman" w:hAnsi="Times New Roman" w:cs="Times New Roman"/>
          <w:sz w:val="24"/>
          <w:szCs w:val="24"/>
        </w:rPr>
      </w:pPr>
    </w:p>
    <w:p w14:paraId="0DBC18B7"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perceived effect of social media platforms on the poultry eggs sold by youths in the study area was analyzed using descriptive statistics, specifically a Likert-type rating scale. Respondents were asked to assess the extent to which social media usage influenced their sales outcomes.</w:t>
      </w:r>
    </w:p>
    <w:p w14:paraId="040CD783"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5-point Likert scale was employed to capture these perceptions, with response categories defined as: Most Effect (5), More Effect (4), Moderate Effect (3), Slight Effect (2), and No Effect (1). The responses were weighted accordingly, and the mean score for each item was computed using the model adopted from Nnaji </w:t>
      </w:r>
      <w:r>
        <w:rPr>
          <w:rFonts w:ascii="Times New Roman" w:hAnsi="Times New Roman" w:cs="Times New Roman"/>
          <w:i/>
          <w:sz w:val="24"/>
          <w:szCs w:val="24"/>
        </w:rPr>
        <w:t>et al.</w:t>
      </w:r>
      <w:r>
        <w:rPr>
          <w:rFonts w:ascii="Times New Roman" w:hAnsi="Times New Roman" w:cs="Times New Roman"/>
          <w:sz w:val="24"/>
          <w:szCs w:val="24"/>
        </w:rPr>
        <w:t xml:space="preserve"> (2021). The model is specified as follows; </w:t>
      </w:r>
    </w:p>
    <w:p w14:paraId="7BB46473" w14:textId="77777777" w:rsidR="00D53FFF" w:rsidRDefault="00D53FFF">
      <w:pPr>
        <w:spacing w:after="0" w:line="360" w:lineRule="auto"/>
        <w:jc w:val="both"/>
        <w:rPr>
          <w:rFonts w:ascii="Times New Roman" w:hAnsi="Times New Roman" w:cs="Times New Roman"/>
          <w:sz w:val="24"/>
          <w:szCs w:val="24"/>
        </w:rPr>
      </w:pPr>
    </w:p>
    <w:p w14:paraId="527E81E4" w14:textId="77777777" w:rsidR="00D53FFF" w:rsidRDefault="007B0606">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M</m:t>
        </m:r>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m:t>
            </m:r>
            <m:r>
              <w:rPr>
                <w:rFonts w:ascii="Cambria Math" w:eastAsiaTheme="minorEastAsia" w:hAnsi="Cambria Math" w:cs="Times New Roman"/>
                <w:sz w:val="24"/>
                <w:szCs w:val="24"/>
              </w:rPr>
              <m:t>f</m:t>
            </m:r>
          </m:den>
        </m:f>
        <m:r>
          <w:rPr>
            <w:rFonts w:ascii="Cambria Math" w:eastAsiaTheme="minorEastAsia" w:hAnsi="Cambria Math" w:cs="Times New Roman"/>
            <w:sz w:val="24"/>
            <w:szCs w:val="24"/>
          </w:rPr>
          <m:t xml:space="preserve"> </m:t>
        </m:r>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5+4+3+2+1</m:t>
            </m:r>
          </m:num>
          <m:den>
            <m:r>
              <w:rPr>
                <w:rFonts w:ascii="Cambria Math" w:eastAsiaTheme="minorEastAsia" w:hAnsi="Cambria Math" w:cs="Times New Roman"/>
                <w:sz w:val="24"/>
                <w:szCs w:val="24"/>
              </w:rPr>
              <m:t>5</m:t>
            </m:r>
          </m:den>
        </m:f>
      </m:oMath>
      <w:r>
        <w:rPr>
          <w:rFonts w:ascii="Times New Roman" w:hAnsi="Times New Roman" w:cs="Times New Roman"/>
          <w:sz w:val="24"/>
          <w:szCs w:val="24"/>
        </w:rPr>
        <w:t xml:space="preserve"> = 3.0                                                                             - - -Equation (4)</w:t>
      </w:r>
    </w:p>
    <w:p w14:paraId="5A49FA3E"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 score = 3 (Serious Effect, SE)</w:t>
      </w:r>
    </w:p>
    <w:p w14:paraId="6312045F"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 score &gt; 3.0 (Most Serious Effect, MSE)</w:t>
      </w:r>
    </w:p>
    <w:p w14:paraId="453EA746" w14:textId="77777777" w:rsidR="00D53FFF" w:rsidRDefault="007B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 scale &lt; between 3.0 (Less Serious Effect, LSE)</w:t>
      </w:r>
    </w:p>
    <w:p w14:paraId="0FA3FE73"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This approach provides a clear and interpretable measure of the perceived impact of social media platforms on marketing performance among youth poultry egg marketers.</w:t>
      </w:r>
    </w:p>
    <w:p w14:paraId="21654956" w14:textId="77777777" w:rsidR="00D53FFF" w:rsidRDefault="00D53FFF">
      <w:pPr>
        <w:spacing w:line="360" w:lineRule="auto"/>
        <w:jc w:val="both"/>
        <w:rPr>
          <w:rFonts w:ascii="Times New Roman" w:hAnsi="Times New Roman" w:cs="Times New Roman"/>
          <w:sz w:val="24"/>
          <w:szCs w:val="24"/>
        </w:rPr>
      </w:pPr>
    </w:p>
    <w:p w14:paraId="45BB2DA0" w14:textId="77777777" w:rsidR="00D53FFF" w:rsidRDefault="007B0606">
      <w:pPr>
        <w:spacing w:after="100" w:afterAutospacing="1" w:line="360" w:lineRule="auto"/>
        <w:ind w:right="26"/>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RESULTS AND DISCUSSIONS</w:t>
      </w:r>
    </w:p>
    <w:p w14:paraId="38D2349C"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Willingness to Exploit Social Media Platforms</w:t>
      </w:r>
    </w:p>
    <w:p w14:paraId="73390435" w14:textId="77777777" w:rsidR="00D53FFF" w:rsidRDefault="007B060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results of the youth's willingness to exploit social media platforms and the categorization of willingness to exploit social media platform are shown in Table 1 &amp; 2. </w:t>
      </w:r>
    </w:p>
    <w:p w14:paraId="6D6366A7" w14:textId="77777777" w:rsidR="00D53FFF" w:rsidRDefault="00D53FFF">
      <w:pPr>
        <w:spacing w:line="360" w:lineRule="auto"/>
        <w:jc w:val="both"/>
        <w:rPr>
          <w:rFonts w:ascii="Times New Roman" w:hAnsi="Times New Roman" w:cs="Times New Roman"/>
          <w:b/>
          <w:sz w:val="24"/>
          <w:szCs w:val="24"/>
        </w:rPr>
      </w:pPr>
    </w:p>
    <w:p w14:paraId="1966092F"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Distribution according to willingness to exploit social media platforms by youths</w:t>
      </w:r>
    </w:p>
    <w:tbl>
      <w:tblPr>
        <w:tblStyle w:val="TableGrid"/>
        <w:tblW w:w="9639"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567"/>
        <w:gridCol w:w="708"/>
        <w:gridCol w:w="709"/>
        <w:gridCol w:w="851"/>
        <w:gridCol w:w="708"/>
        <w:gridCol w:w="834"/>
        <w:gridCol w:w="1434"/>
      </w:tblGrid>
      <w:tr w:rsidR="00D53FFF" w14:paraId="6B9FF132" w14:textId="77777777">
        <w:trPr>
          <w:trHeight w:val="118"/>
        </w:trPr>
        <w:tc>
          <w:tcPr>
            <w:tcW w:w="3119" w:type="dxa"/>
            <w:vMerge w:val="restart"/>
            <w:tcBorders>
              <w:top w:val="single" w:sz="4" w:space="0" w:color="auto"/>
              <w:bottom w:val="single" w:sz="4" w:space="0" w:color="auto"/>
            </w:tcBorders>
          </w:tcPr>
          <w:p w14:paraId="7A7B14EE"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Social Media Platform (SM)</w:t>
            </w:r>
          </w:p>
        </w:tc>
        <w:tc>
          <w:tcPr>
            <w:tcW w:w="4252" w:type="dxa"/>
            <w:gridSpan w:val="6"/>
            <w:tcBorders>
              <w:top w:val="single" w:sz="4" w:space="0" w:color="auto"/>
              <w:bottom w:val="single" w:sz="4" w:space="0" w:color="auto"/>
            </w:tcBorders>
          </w:tcPr>
          <w:p w14:paraId="5EDEEBE4"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Willingness to Exploit</w:t>
            </w:r>
          </w:p>
        </w:tc>
        <w:tc>
          <w:tcPr>
            <w:tcW w:w="834" w:type="dxa"/>
            <w:tcBorders>
              <w:top w:val="single" w:sz="4" w:space="0" w:color="auto"/>
              <w:bottom w:val="single" w:sz="4" w:space="0" w:color="auto"/>
            </w:tcBorders>
          </w:tcPr>
          <w:p w14:paraId="290C665E"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Mean WTE</w:t>
            </w:r>
          </w:p>
        </w:tc>
        <w:tc>
          <w:tcPr>
            <w:tcW w:w="1434" w:type="dxa"/>
            <w:tcBorders>
              <w:top w:val="single" w:sz="4" w:space="0" w:color="auto"/>
              <w:bottom w:val="single" w:sz="4" w:space="0" w:color="auto"/>
            </w:tcBorders>
          </w:tcPr>
          <w:p w14:paraId="5BBFE423"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Respondents willingness</w:t>
            </w:r>
          </w:p>
        </w:tc>
      </w:tr>
      <w:tr w:rsidR="00D53FFF" w14:paraId="7CDBC045" w14:textId="77777777">
        <w:trPr>
          <w:trHeight w:val="118"/>
        </w:trPr>
        <w:tc>
          <w:tcPr>
            <w:tcW w:w="3119" w:type="dxa"/>
            <w:vMerge/>
            <w:tcBorders>
              <w:top w:val="single" w:sz="4" w:space="0" w:color="auto"/>
            </w:tcBorders>
          </w:tcPr>
          <w:p w14:paraId="71F50D3D" w14:textId="77777777" w:rsidR="00D53FFF" w:rsidRDefault="00D53FFF">
            <w:pPr>
              <w:spacing w:after="0" w:line="360" w:lineRule="auto"/>
              <w:jc w:val="both"/>
              <w:rPr>
                <w:rFonts w:ascii="Times New Roman" w:hAnsi="Times New Roman" w:cs="Times New Roman"/>
                <w:sz w:val="20"/>
                <w:szCs w:val="20"/>
              </w:rPr>
            </w:pPr>
          </w:p>
        </w:tc>
        <w:tc>
          <w:tcPr>
            <w:tcW w:w="709" w:type="dxa"/>
            <w:tcBorders>
              <w:top w:val="single" w:sz="4" w:space="0" w:color="auto"/>
              <w:bottom w:val="single" w:sz="4" w:space="0" w:color="auto"/>
            </w:tcBorders>
          </w:tcPr>
          <w:p w14:paraId="6109C39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PU (5)</w:t>
            </w:r>
          </w:p>
        </w:tc>
        <w:tc>
          <w:tcPr>
            <w:tcW w:w="567" w:type="dxa"/>
            <w:tcBorders>
              <w:top w:val="single" w:sz="4" w:space="0" w:color="auto"/>
              <w:bottom w:val="single" w:sz="4" w:space="0" w:color="auto"/>
            </w:tcBorders>
          </w:tcPr>
          <w:p w14:paraId="4EA1370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EU (4)</w:t>
            </w:r>
          </w:p>
        </w:tc>
        <w:tc>
          <w:tcPr>
            <w:tcW w:w="708" w:type="dxa"/>
            <w:tcBorders>
              <w:top w:val="single" w:sz="4" w:space="0" w:color="auto"/>
              <w:bottom w:val="single" w:sz="4" w:space="0" w:color="auto"/>
            </w:tcBorders>
          </w:tcPr>
          <w:p w14:paraId="19C8996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NA (3)</w:t>
            </w:r>
          </w:p>
        </w:tc>
        <w:tc>
          <w:tcPr>
            <w:tcW w:w="709" w:type="dxa"/>
            <w:tcBorders>
              <w:top w:val="single" w:sz="4" w:space="0" w:color="auto"/>
              <w:bottom w:val="single" w:sz="4" w:space="0" w:color="auto"/>
            </w:tcBorders>
          </w:tcPr>
          <w:p w14:paraId="3FB0DA8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CU (2)</w:t>
            </w:r>
          </w:p>
        </w:tc>
        <w:tc>
          <w:tcPr>
            <w:tcW w:w="851" w:type="dxa"/>
            <w:tcBorders>
              <w:top w:val="single" w:sz="4" w:space="0" w:color="auto"/>
              <w:bottom w:val="single" w:sz="4" w:space="0" w:color="auto"/>
            </w:tcBorders>
          </w:tcPr>
          <w:p w14:paraId="7EBD5BE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KSM (1)</w:t>
            </w:r>
          </w:p>
        </w:tc>
        <w:tc>
          <w:tcPr>
            <w:tcW w:w="708" w:type="dxa"/>
            <w:tcBorders>
              <w:top w:val="single" w:sz="4" w:space="0" w:color="auto"/>
              <w:bottom w:val="single" w:sz="4" w:space="0" w:color="auto"/>
            </w:tcBorders>
          </w:tcPr>
          <w:p w14:paraId="417B1FA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NK (0)</w:t>
            </w:r>
          </w:p>
        </w:tc>
        <w:tc>
          <w:tcPr>
            <w:tcW w:w="834" w:type="dxa"/>
            <w:tcBorders>
              <w:top w:val="single" w:sz="4" w:space="0" w:color="auto"/>
            </w:tcBorders>
          </w:tcPr>
          <w:p w14:paraId="2B7A442D" w14:textId="77777777" w:rsidR="00D53FFF" w:rsidRDefault="00D53FFF">
            <w:pPr>
              <w:spacing w:after="0" w:line="360" w:lineRule="auto"/>
              <w:jc w:val="both"/>
              <w:rPr>
                <w:rFonts w:ascii="Times New Roman" w:hAnsi="Times New Roman" w:cs="Times New Roman"/>
                <w:sz w:val="20"/>
                <w:szCs w:val="20"/>
              </w:rPr>
            </w:pPr>
          </w:p>
        </w:tc>
        <w:tc>
          <w:tcPr>
            <w:tcW w:w="1434" w:type="dxa"/>
            <w:tcBorders>
              <w:top w:val="single" w:sz="4" w:space="0" w:color="auto"/>
            </w:tcBorders>
          </w:tcPr>
          <w:p w14:paraId="0C964B84" w14:textId="77777777" w:rsidR="00D53FFF" w:rsidRDefault="00D53FFF">
            <w:pPr>
              <w:spacing w:after="0" w:line="360" w:lineRule="auto"/>
              <w:jc w:val="both"/>
              <w:rPr>
                <w:rFonts w:ascii="Times New Roman" w:hAnsi="Times New Roman" w:cs="Times New Roman"/>
                <w:sz w:val="20"/>
                <w:szCs w:val="20"/>
              </w:rPr>
            </w:pPr>
          </w:p>
        </w:tc>
      </w:tr>
      <w:tr w:rsidR="00D53FFF" w14:paraId="5FD7CAE4" w14:textId="77777777">
        <w:tc>
          <w:tcPr>
            <w:tcW w:w="3119" w:type="dxa"/>
          </w:tcPr>
          <w:p w14:paraId="156C158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Facebook </w:t>
            </w:r>
          </w:p>
        </w:tc>
        <w:tc>
          <w:tcPr>
            <w:tcW w:w="709" w:type="dxa"/>
            <w:tcBorders>
              <w:top w:val="single" w:sz="4" w:space="0" w:color="auto"/>
            </w:tcBorders>
          </w:tcPr>
          <w:p w14:paraId="6E8366B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62</w:t>
            </w:r>
          </w:p>
        </w:tc>
        <w:tc>
          <w:tcPr>
            <w:tcW w:w="567" w:type="dxa"/>
            <w:tcBorders>
              <w:top w:val="single" w:sz="4" w:space="0" w:color="auto"/>
            </w:tcBorders>
          </w:tcPr>
          <w:p w14:paraId="42083F9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708" w:type="dxa"/>
            <w:tcBorders>
              <w:top w:val="single" w:sz="4" w:space="0" w:color="auto"/>
            </w:tcBorders>
          </w:tcPr>
          <w:p w14:paraId="517B636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709" w:type="dxa"/>
            <w:tcBorders>
              <w:top w:val="single" w:sz="4" w:space="0" w:color="auto"/>
            </w:tcBorders>
          </w:tcPr>
          <w:p w14:paraId="05A2774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851" w:type="dxa"/>
            <w:tcBorders>
              <w:top w:val="single" w:sz="4" w:space="0" w:color="auto"/>
            </w:tcBorders>
          </w:tcPr>
          <w:p w14:paraId="44C6FCD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708" w:type="dxa"/>
            <w:tcBorders>
              <w:top w:val="single" w:sz="4" w:space="0" w:color="auto"/>
            </w:tcBorders>
          </w:tcPr>
          <w:p w14:paraId="20DDBAD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834" w:type="dxa"/>
          </w:tcPr>
          <w:p w14:paraId="7555869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3.78</w:t>
            </w:r>
          </w:p>
        </w:tc>
        <w:tc>
          <w:tcPr>
            <w:tcW w:w="1434" w:type="dxa"/>
          </w:tcPr>
          <w:p w14:paraId="6D187F4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HWTE</w:t>
            </w:r>
          </w:p>
        </w:tc>
      </w:tr>
      <w:tr w:rsidR="00D53FFF" w14:paraId="1EDEF0D0" w14:textId="77777777">
        <w:tc>
          <w:tcPr>
            <w:tcW w:w="3119" w:type="dxa"/>
          </w:tcPr>
          <w:p w14:paraId="748F6FA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Instagram </w:t>
            </w:r>
          </w:p>
        </w:tc>
        <w:tc>
          <w:tcPr>
            <w:tcW w:w="709" w:type="dxa"/>
          </w:tcPr>
          <w:p w14:paraId="3DBB704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5ACF0B2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708" w:type="dxa"/>
          </w:tcPr>
          <w:p w14:paraId="53EC2D0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09" w:type="dxa"/>
          </w:tcPr>
          <w:p w14:paraId="2687B55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851" w:type="dxa"/>
          </w:tcPr>
          <w:p w14:paraId="3F45927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708" w:type="dxa"/>
          </w:tcPr>
          <w:p w14:paraId="6B11C03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52</w:t>
            </w:r>
          </w:p>
        </w:tc>
        <w:tc>
          <w:tcPr>
            <w:tcW w:w="834" w:type="dxa"/>
          </w:tcPr>
          <w:p w14:paraId="2307F30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1.40</w:t>
            </w:r>
          </w:p>
        </w:tc>
        <w:tc>
          <w:tcPr>
            <w:tcW w:w="1434" w:type="dxa"/>
          </w:tcPr>
          <w:p w14:paraId="0302D62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0A935F27" w14:textId="77777777">
        <w:tc>
          <w:tcPr>
            <w:tcW w:w="3119" w:type="dxa"/>
          </w:tcPr>
          <w:p w14:paraId="69C9101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Snapchat </w:t>
            </w:r>
          </w:p>
        </w:tc>
        <w:tc>
          <w:tcPr>
            <w:tcW w:w="709" w:type="dxa"/>
          </w:tcPr>
          <w:p w14:paraId="617B197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567" w:type="dxa"/>
          </w:tcPr>
          <w:p w14:paraId="4A8E007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708" w:type="dxa"/>
          </w:tcPr>
          <w:p w14:paraId="44B5B61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709" w:type="dxa"/>
          </w:tcPr>
          <w:p w14:paraId="0A16914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tcPr>
          <w:p w14:paraId="1ED0283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708" w:type="dxa"/>
          </w:tcPr>
          <w:p w14:paraId="32A45EA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834" w:type="dxa"/>
          </w:tcPr>
          <w:p w14:paraId="66D0639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1.45</w:t>
            </w:r>
          </w:p>
        </w:tc>
        <w:tc>
          <w:tcPr>
            <w:tcW w:w="1434" w:type="dxa"/>
          </w:tcPr>
          <w:p w14:paraId="63889A4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54889FE9" w14:textId="77777777">
        <w:tc>
          <w:tcPr>
            <w:tcW w:w="3119" w:type="dxa"/>
          </w:tcPr>
          <w:p w14:paraId="52B607F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WhatsApp </w:t>
            </w:r>
          </w:p>
        </w:tc>
        <w:tc>
          <w:tcPr>
            <w:tcW w:w="709" w:type="dxa"/>
          </w:tcPr>
          <w:p w14:paraId="2C5CCD2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7F360D2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708" w:type="dxa"/>
          </w:tcPr>
          <w:p w14:paraId="57A38AC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709" w:type="dxa"/>
          </w:tcPr>
          <w:p w14:paraId="380FC6A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851" w:type="dxa"/>
          </w:tcPr>
          <w:p w14:paraId="50444CF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708" w:type="dxa"/>
          </w:tcPr>
          <w:p w14:paraId="6749228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834" w:type="dxa"/>
          </w:tcPr>
          <w:p w14:paraId="7BBD7DF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3.38</w:t>
            </w:r>
          </w:p>
        </w:tc>
        <w:tc>
          <w:tcPr>
            <w:tcW w:w="1434" w:type="dxa"/>
          </w:tcPr>
          <w:p w14:paraId="2F97258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HWTE</w:t>
            </w:r>
          </w:p>
        </w:tc>
      </w:tr>
      <w:tr w:rsidR="00D53FFF" w14:paraId="24B91464" w14:textId="77777777">
        <w:tc>
          <w:tcPr>
            <w:tcW w:w="3119" w:type="dxa"/>
          </w:tcPr>
          <w:p w14:paraId="186B99F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TikTok</w:t>
            </w:r>
          </w:p>
        </w:tc>
        <w:tc>
          <w:tcPr>
            <w:tcW w:w="709" w:type="dxa"/>
          </w:tcPr>
          <w:p w14:paraId="72FF71C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4CBCA43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708" w:type="dxa"/>
          </w:tcPr>
          <w:p w14:paraId="7BF5231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28</w:t>
            </w:r>
          </w:p>
        </w:tc>
        <w:tc>
          <w:tcPr>
            <w:tcW w:w="709" w:type="dxa"/>
          </w:tcPr>
          <w:p w14:paraId="06509B1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851" w:type="dxa"/>
          </w:tcPr>
          <w:p w14:paraId="5D5A00D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708" w:type="dxa"/>
          </w:tcPr>
          <w:p w14:paraId="60DF293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52</w:t>
            </w:r>
          </w:p>
        </w:tc>
        <w:tc>
          <w:tcPr>
            <w:tcW w:w="834" w:type="dxa"/>
          </w:tcPr>
          <w:p w14:paraId="6C3E3A5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1.57</w:t>
            </w:r>
          </w:p>
        </w:tc>
        <w:tc>
          <w:tcPr>
            <w:tcW w:w="1434" w:type="dxa"/>
          </w:tcPr>
          <w:p w14:paraId="2A51F1E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0B5475C9" w14:textId="77777777">
        <w:tc>
          <w:tcPr>
            <w:tcW w:w="3119" w:type="dxa"/>
          </w:tcPr>
          <w:p w14:paraId="6B4FF70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Telegram </w:t>
            </w:r>
          </w:p>
        </w:tc>
        <w:tc>
          <w:tcPr>
            <w:tcW w:w="709" w:type="dxa"/>
          </w:tcPr>
          <w:p w14:paraId="75C491F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567" w:type="dxa"/>
          </w:tcPr>
          <w:p w14:paraId="111FD8F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708" w:type="dxa"/>
          </w:tcPr>
          <w:p w14:paraId="0DD4474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709" w:type="dxa"/>
          </w:tcPr>
          <w:p w14:paraId="23BFB28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851" w:type="dxa"/>
          </w:tcPr>
          <w:p w14:paraId="0C2FE9C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08" w:type="dxa"/>
          </w:tcPr>
          <w:p w14:paraId="2528A59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834" w:type="dxa"/>
          </w:tcPr>
          <w:p w14:paraId="2364E54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1.25</w:t>
            </w:r>
          </w:p>
        </w:tc>
        <w:tc>
          <w:tcPr>
            <w:tcW w:w="1434" w:type="dxa"/>
          </w:tcPr>
          <w:p w14:paraId="70BC855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43009DE8" w14:textId="77777777">
        <w:tc>
          <w:tcPr>
            <w:tcW w:w="3119" w:type="dxa"/>
          </w:tcPr>
          <w:p w14:paraId="42375A6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YouTube </w:t>
            </w:r>
          </w:p>
        </w:tc>
        <w:tc>
          <w:tcPr>
            <w:tcW w:w="709" w:type="dxa"/>
          </w:tcPr>
          <w:p w14:paraId="609374E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13F8EC8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708" w:type="dxa"/>
          </w:tcPr>
          <w:p w14:paraId="4F96E7B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09" w:type="dxa"/>
          </w:tcPr>
          <w:p w14:paraId="6B44F85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851" w:type="dxa"/>
          </w:tcPr>
          <w:p w14:paraId="4FF790F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708" w:type="dxa"/>
          </w:tcPr>
          <w:p w14:paraId="67816E0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834" w:type="dxa"/>
          </w:tcPr>
          <w:p w14:paraId="6B661C7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1.03</w:t>
            </w:r>
          </w:p>
        </w:tc>
        <w:tc>
          <w:tcPr>
            <w:tcW w:w="1434" w:type="dxa"/>
          </w:tcPr>
          <w:p w14:paraId="475FD87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6B4E9F2C" w14:textId="77777777">
        <w:tc>
          <w:tcPr>
            <w:tcW w:w="3119" w:type="dxa"/>
          </w:tcPr>
          <w:p w14:paraId="09B6A21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Messenger </w:t>
            </w:r>
          </w:p>
        </w:tc>
        <w:tc>
          <w:tcPr>
            <w:tcW w:w="709" w:type="dxa"/>
          </w:tcPr>
          <w:p w14:paraId="3E758A9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3E52F08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708" w:type="dxa"/>
          </w:tcPr>
          <w:p w14:paraId="0EE2B9A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709" w:type="dxa"/>
          </w:tcPr>
          <w:p w14:paraId="2AF7DA4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851" w:type="dxa"/>
          </w:tcPr>
          <w:p w14:paraId="017DEDF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08" w:type="dxa"/>
          </w:tcPr>
          <w:p w14:paraId="571F3FE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34</w:t>
            </w:r>
          </w:p>
        </w:tc>
        <w:tc>
          <w:tcPr>
            <w:tcW w:w="834" w:type="dxa"/>
          </w:tcPr>
          <w:p w14:paraId="64E4321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2.68</w:t>
            </w:r>
          </w:p>
        </w:tc>
        <w:tc>
          <w:tcPr>
            <w:tcW w:w="1434" w:type="dxa"/>
          </w:tcPr>
          <w:p w14:paraId="2162EDE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2E9DE7D9" w14:textId="77777777">
        <w:tc>
          <w:tcPr>
            <w:tcW w:w="3119" w:type="dxa"/>
          </w:tcPr>
          <w:p w14:paraId="423D416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Twitter (X )</w:t>
            </w:r>
          </w:p>
        </w:tc>
        <w:tc>
          <w:tcPr>
            <w:tcW w:w="709" w:type="dxa"/>
          </w:tcPr>
          <w:p w14:paraId="43033EA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Pr>
          <w:p w14:paraId="6E882B0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708" w:type="dxa"/>
          </w:tcPr>
          <w:p w14:paraId="78E827A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09" w:type="dxa"/>
          </w:tcPr>
          <w:p w14:paraId="7D46FA3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851" w:type="dxa"/>
          </w:tcPr>
          <w:p w14:paraId="26FA6FF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708" w:type="dxa"/>
          </w:tcPr>
          <w:p w14:paraId="70A5478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834" w:type="dxa"/>
          </w:tcPr>
          <w:p w14:paraId="0FB674E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1.03</w:t>
            </w:r>
          </w:p>
        </w:tc>
        <w:tc>
          <w:tcPr>
            <w:tcW w:w="1434" w:type="dxa"/>
          </w:tcPr>
          <w:p w14:paraId="65B0118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r w:rsidR="00D53FFF" w14:paraId="1A23F337" w14:textId="77777777">
        <w:tc>
          <w:tcPr>
            <w:tcW w:w="3119" w:type="dxa"/>
          </w:tcPr>
          <w:p w14:paraId="7AD44E5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LinkedIn </w:t>
            </w:r>
          </w:p>
        </w:tc>
        <w:tc>
          <w:tcPr>
            <w:tcW w:w="709" w:type="dxa"/>
          </w:tcPr>
          <w:p w14:paraId="3DCD552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Pr>
          <w:p w14:paraId="0948062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708" w:type="dxa"/>
          </w:tcPr>
          <w:p w14:paraId="2B20788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709" w:type="dxa"/>
          </w:tcPr>
          <w:p w14:paraId="17BCD10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851" w:type="dxa"/>
          </w:tcPr>
          <w:p w14:paraId="41AAAD7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708" w:type="dxa"/>
          </w:tcPr>
          <w:p w14:paraId="4BCC839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834" w:type="dxa"/>
          </w:tcPr>
          <w:p w14:paraId="7FE22DB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0.83</w:t>
            </w:r>
          </w:p>
        </w:tc>
        <w:tc>
          <w:tcPr>
            <w:tcW w:w="1434" w:type="dxa"/>
          </w:tcPr>
          <w:p w14:paraId="2301E11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LWTE</w:t>
            </w:r>
          </w:p>
        </w:tc>
      </w:tr>
    </w:tbl>
    <w:p w14:paraId="703634A2"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w:t>
      </w:r>
      <w:r>
        <w:rPr>
          <w:rFonts w:ascii="Times New Roman" w:hAnsi="Times New Roman" w:cs="Times New Roman"/>
          <w:sz w:val="24"/>
          <w:szCs w:val="24"/>
        </w:rPr>
        <w:t xml:space="preserve"> Field Survey Data Analysis, 2025 </w:t>
      </w:r>
      <w:r>
        <w:rPr>
          <w:rFonts w:ascii="Times New Roman" w:hAnsi="Times New Roman" w:cs="Times New Roman"/>
          <w:b/>
          <w:sz w:val="24"/>
          <w:szCs w:val="24"/>
        </w:rPr>
        <w:t>PU</w:t>
      </w:r>
      <w:r>
        <w:rPr>
          <w:rFonts w:ascii="Times New Roman" w:hAnsi="Times New Roman" w:cs="Times New Roman"/>
          <w:sz w:val="24"/>
          <w:szCs w:val="24"/>
        </w:rPr>
        <w:t xml:space="preserve"> (Perceived Usefulness) </w:t>
      </w:r>
      <w:r>
        <w:rPr>
          <w:rFonts w:ascii="Times New Roman" w:hAnsi="Times New Roman" w:cs="Times New Roman"/>
          <w:b/>
          <w:sz w:val="24"/>
          <w:szCs w:val="24"/>
        </w:rPr>
        <w:t>EU</w:t>
      </w:r>
      <w:r>
        <w:rPr>
          <w:rFonts w:ascii="Times New Roman" w:hAnsi="Times New Roman" w:cs="Times New Roman"/>
          <w:sz w:val="24"/>
          <w:szCs w:val="24"/>
        </w:rPr>
        <w:t xml:space="preserve"> (Ease of Use), </w:t>
      </w:r>
      <w:r>
        <w:rPr>
          <w:rFonts w:ascii="Times New Roman" w:hAnsi="Times New Roman" w:cs="Times New Roman"/>
          <w:b/>
          <w:sz w:val="24"/>
          <w:szCs w:val="24"/>
        </w:rPr>
        <w:t>NA</w:t>
      </w:r>
      <w:r>
        <w:rPr>
          <w:rFonts w:ascii="Times New Roman" w:hAnsi="Times New Roman" w:cs="Times New Roman"/>
          <w:sz w:val="24"/>
          <w:szCs w:val="24"/>
        </w:rPr>
        <w:t xml:space="preserve"> (Network Availability, </w:t>
      </w:r>
      <w:r>
        <w:rPr>
          <w:rFonts w:ascii="Times New Roman" w:hAnsi="Times New Roman" w:cs="Times New Roman"/>
          <w:b/>
          <w:sz w:val="24"/>
          <w:szCs w:val="24"/>
        </w:rPr>
        <w:t>CU</w:t>
      </w:r>
      <w:r>
        <w:rPr>
          <w:rFonts w:ascii="Times New Roman" w:hAnsi="Times New Roman" w:cs="Times New Roman"/>
          <w:sz w:val="24"/>
          <w:szCs w:val="24"/>
        </w:rPr>
        <w:t xml:space="preserve"> (Cost of Use), </w:t>
      </w:r>
      <w:r>
        <w:rPr>
          <w:rFonts w:ascii="Times New Roman" w:hAnsi="Times New Roman" w:cs="Times New Roman"/>
          <w:b/>
          <w:sz w:val="24"/>
          <w:szCs w:val="24"/>
        </w:rPr>
        <w:t>KSM</w:t>
      </w:r>
      <w:r>
        <w:rPr>
          <w:rFonts w:ascii="Times New Roman" w:hAnsi="Times New Roman" w:cs="Times New Roman"/>
          <w:sz w:val="24"/>
          <w:szCs w:val="24"/>
        </w:rPr>
        <w:t xml:space="preserve"> (Knowledge of social media), </w:t>
      </w:r>
      <w:r>
        <w:rPr>
          <w:rFonts w:ascii="Times New Roman" w:hAnsi="Times New Roman" w:cs="Times New Roman"/>
          <w:b/>
          <w:sz w:val="24"/>
          <w:szCs w:val="24"/>
        </w:rPr>
        <w:t>N</w:t>
      </w:r>
      <w:r>
        <w:rPr>
          <w:rFonts w:ascii="Times New Roman" w:hAnsi="Times New Roman" w:cs="Times New Roman"/>
          <w:sz w:val="24"/>
          <w:szCs w:val="24"/>
        </w:rPr>
        <w:t xml:space="preserve"> (No Knowledge of social media)  Mean WTE = 3.0 Moderate Willingness to Exploit (MWTE), Mean WTE &gt; 3.0 High willingness to Exploit Mean WTE &lt; 3.0 Low Willing to Exploit</w:t>
      </w:r>
    </w:p>
    <w:p w14:paraId="6A8E18C5" w14:textId="77777777" w:rsidR="00D53FFF" w:rsidRDefault="007B060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Distribution according to categorization of willingness to exploit social media platforms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559"/>
        <w:gridCol w:w="1335"/>
        <w:gridCol w:w="2066"/>
      </w:tblGrid>
      <w:tr w:rsidR="00D53FFF" w14:paraId="41452B2A" w14:textId="77777777">
        <w:tc>
          <w:tcPr>
            <w:tcW w:w="4390" w:type="dxa"/>
            <w:tcBorders>
              <w:top w:val="single" w:sz="4" w:space="0" w:color="auto"/>
              <w:bottom w:val="single" w:sz="4" w:space="0" w:color="auto"/>
            </w:tcBorders>
          </w:tcPr>
          <w:p w14:paraId="68592963" w14:textId="77777777" w:rsidR="00D53FFF" w:rsidRDefault="007B0606">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Category of WTE</w:t>
            </w:r>
          </w:p>
        </w:tc>
        <w:tc>
          <w:tcPr>
            <w:tcW w:w="1559" w:type="dxa"/>
            <w:tcBorders>
              <w:top w:val="single" w:sz="4" w:space="0" w:color="auto"/>
              <w:bottom w:val="single" w:sz="4" w:space="0" w:color="auto"/>
            </w:tcBorders>
          </w:tcPr>
          <w:p w14:paraId="3F95A36A" w14:textId="77777777" w:rsidR="00D53FFF" w:rsidRDefault="007B0606">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Frequency </w:t>
            </w:r>
          </w:p>
        </w:tc>
        <w:tc>
          <w:tcPr>
            <w:tcW w:w="1335" w:type="dxa"/>
            <w:tcBorders>
              <w:top w:val="single" w:sz="4" w:space="0" w:color="auto"/>
              <w:bottom w:val="single" w:sz="4" w:space="0" w:color="auto"/>
            </w:tcBorders>
          </w:tcPr>
          <w:p w14:paraId="6AAAFB49" w14:textId="77777777" w:rsidR="00D53FFF" w:rsidRDefault="007B0606">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Per cent</w:t>
            </w:r>
          </w:p>
        </w:tc>
        <w:tc>
          <w:tcPr>
            <w:tcW w:w="2066" w:type="dxa"/>
            <w:tcBorders>
              <w:top w:val="single" w:sz="4" w:space="0" w:color="auto"/>
              <w:bottom w:val="single" w:sz="4" w:space="0" w:color="auto"/>
            </w:tcBorders>
          </w:tcPr>
          <w:p w14:paraId="3C77214C" w14:textId="77777777" w:rsidR="00D53FFF" w:rsidRDefault="007B0606">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WTE Index </w:t>
            </w:r>
          </w:p>
        </w:tc>
      </w:tr>
      <w:tr w:rsidR="00D53FFF" w14:paraId="5D0C348E" w14:textId="77777777">
        <w:tc>
          <w:tcPr>
            <w:tcW w:w="4390" w:type="dxa"/>
            <w:tcBorders>
              <w:top w:val="single" w:sz="4" w:space="0" w:color="auto"/>
            </w:tcBorders>
          </w:tcPr>
          <w:p w14:paraId="1595B9D6"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Low Willingness to Exploit (LWTE)</w:t>
            </w:r>
          </w:p>
        </w:tc>
        <w:tc>
          <w:tcPr>
            <w:tcW w:w="1559" w:type="dxa"/>
            <w:tcBorders>
              <w:top w:val="single" w:sz="4" w:space="0" w:color="auto"/>
            </w:tcBorders>
          </w:tcPr>
          <w:p w14:paraId="2C06F679"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96</w:t>
            </w:r>
          </w:p>
        </w:tc>
        <w:tc>
          <w:tcPr>
            <w:tcW w:w="1335" w:type="dxa"/>
            <w:tcBorders>
              <w:top w:val="single" w:sz="4" w:space="0" w:color="auto"/>
            </w:tcBorders>
          </w:tcPr>
          <w:p w14:paraId="222A4E7C"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80.00</w:t>
            </w:r>
          </w:p>
        </w:tc>
        <w:tc>
          <w:tcPr>
            <w:tcW w:w="2066" w:type="dxa"/>
            <w:tcBorders>
              <w:top w:val="single" w:sz="4" w:space="0" w:color="auto"/>
            </w:tcBorders>
          </w:tcPr>
          <w:p w14:paraId="4C11AC4F" w14:textId="77777777" w:rsidR="00D53FFF" w:rsidRDefault="00D53FFF">
            <w:pPr>
              <w:autoSpaceDE w:val="0"/>
              <w:autoSpaceDN w:val="0"/>
              <w:adjustRightInd w:val="0"/>
              <w:spacing w:after="0" w:line="360" w:lineRule="auto"/>
              <w:jc w:val="both"/>
              <w:rPr>
                <w:rFonts w:ascii="Times New Roman" w:hAnsi="Times New Roman" w:cs="Times New Roman"/>
                <w:sz w:val="20"/>
                <w:szCs w:val="20"/>
              </w:rPr>
            </w:pPr>
          </w:p>
        </w:tc>
      </w:tr>
      <w:tr w:rsidR="00D53FFF" w14:paraId="04E07FC1" w14:textId="77777777">
        <w:tc>
          <w:tcPr>
            <w:tcW w:w="4390" w:type="dxa"/>
          </w:tcPr>
          <w:p w14:paraId="38490DF8"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High Willingness to Exploit (HWTE)</w:t>
            </w:r>
          </w:p>
        </w:tc>
        <w:tc>
          <w:tcPr>
            <w:tcW w:w="1559" w:type="dxa"/>
          </w:tcPr>
          <w:p w14:paraId="65A9A986"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18</w:t>
            </w:r>
          </w:p>
        </w:tc>
        <w:tc>
          <w:tcPr>
            <w:tcW w:w="1335" w:type="dxa"/>
          </w:tcPr>
          <w:p w14:paraId="38D96FFE"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15.00</w:t>
            </w:r>
          </w:p>
        </w:tc>
        <w:tc>
          <w:tcPr>
            <w:tcW w:w="2066" w:type="dxa"/>
          </w:tcPr>
          <w:p w14:paraId="08AA35D9" w14:textId="77777777" w:rsidR="00D53FFF" w:rsidRDefault="007B0606">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1.35</w:t>
            </w:r>
          </w:p>
        </w:tc>
      </w:tr>
      <w:tr w:rsidR="00D53FFF" w14:paraId="0F5480D7" w14:textId="77777777">
        <w:tc>
          <w:tcPr>
            <w:tcW w:w="4390" w:type="dxa"/>
          </w:tcPr>
          <w:p w14:paraId="3391D240"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Medium Willingness to Exploit (MWTE)</w:t>
            </w:r>
          </w:p>
        </w:tc>
        <w:tc>
          <w:tcPr>
            <w:tcW w:w="1559" w:type="dxa"/>
          </w:tcPr>
          <w:p w14:paraId="7C3BB17F"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6</w:t>
            </w:r>
          </w:p>
        </w:tc>
        <w:tc>
          <w:tcPr>
            <w:tcW w:w="1335" w:type="dxa"/>
          </w:tcPr>
          <w:p w14:paraId="19154395" w14:textId="77777777" w:rsidR="00D53FFF" w:rsidRDefault="007B060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5.00</w:t>
            </w:r>
          </w:p>
        </w:tc>
        <w:tc>
          <w:tcPr>
            <w:tcW w:w="2066" w:type="dxa"/>
          </w:tcPr>
          <w:p w14:paraId="5FCE7B13" w14:textId="77777777" w:rsidR="00D53FFF" w:rsidRDefault="00D53FFF">
            <w:pPr>
              <w:autoSpaceDE w:val="0"/>
              <w:autoSpaceDN w:val="0"/>
              <w:adjustRightInd w:val="0"/>
              <w:spacing w:after="0" w:line="360" w:lineRule="auto"/>
              <w:jc w:val="both"/>
              <w:rPr>
                <w:rFonts w:ascii="Times New Roman" w:hAnsi="Times New Roman" w:cs="Times New Roman"/>
                <w:sz w:val="20"/>
                <w:szCs w:val="20"/>
              </w:rPr>
            </w:pPr>
          </w:p>
        </w:tc>
      </w:tr>
    </w:tbl>
    <w:p w14:paraId="37DF7207"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Computed from Field Survey Data, 2025</w:t>
      </w:r>
    </w:p>
    <w:p w14:paraId="122639AF" w14:textId="77777777" w:rsidR="00D53FFF" w:rsidRDefault="007B0606">
      <w:pPr>
        <w:spacing w:line="360" w:lineRule="auto"/>
        <w:jc w:val="both"/>
        <w:rPr>
          <w:rFonts w:ascii="Times New Roman" w:hAnsi="Times New Roman" w:cs="Times New Roman"/>
          <w:sz w:val="24"/>
          <w:szCs w:val="24"/>
        </w:rPr>
      </w:pPr>
      <w:bookmarkStart w:id="0" w:name="_Hlk190657886"/>
      <w:r>
        <w:rPr>
          <w:rFonts w:ascii="Times New Roman" w:hAnsi="Times New Roman" w:cs="Times New Roman"/>
          <w:sz w:val="24"/>
          <w:szCs w:val="24"/>
        </w:rPr>
        <w:t xml:space="preserve">Table 1 presents the distribution of youths’ willingness to exploit social media platforms for poultry egg marketing in the study area. The results indicate a clear preference for Facebook (Mean = 3.78) and WhatsApp (Mean = 3.38), both of which fall within the high willingness category. This suggests that respondents perceive these platforms as more useful, accessible, and easier to operate for marketing purposes. Their widespread adoption may also be attributed to their </w:t>
      </w:r>
      <w:r>
        <w:rPr>
          <w:rFonts w:ascii="Times New Roman" w:hAnsi="Times New Roman" w:cs="Times New Roman"/>
          <w:sz w:val="24"/>
          <w:szCs w:val="24"/>
        </w:rPr>
        <w:lastRenderedPageBreak/>
        <w:t>familiarity among users and their effectiveness in facilitating direct communication and transactions with customers.</w:t>
      </w:r>
    </w:p>
    <w:p w14:paraId="5F7F9875"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other platforms such as Instagram, Snapchat, TikTok, Telegram, YouTube, Twitter (X), and LinkedIn recorded relatively low mean scores, indicating low willingness among respondents to utilize them for egg marketing. This low inclination can be linked to several constraints, including inadequate knowledge of how to effectively use these platforms for business purposes, limited access to reliable internet networks, and the high cost of data required for their operation. Additionally, some of</w:t>
      </w:r>
      <w:r>
        <w:rPr>
          <w:rFonts w:ascii="Times New Roman" w:hAnsi="Times New Roman" w:cs="Times New Roman"/>
          <w:sz w:val="24"/>
          <w:szCs w:val="24"/>
        </w:rPr>
        <w:t xml:space="preserve"> these platforms are perceived as less relevant for commercial transactions, further reducing their attractiveness to youth marketers. This finding is in line with the study of Ibrahim </w:t>
      </w:r>
      <w:r>
        <w:rPr>
          <w:rFonts w:ascii="Times New Roman" w:hAnsi="Times New Roman" w:cs="Times New Roman"/>
          <w:i/>
          <w:sz w:val="24"/>
          <w:szCs w:val="24"/>
        </w:rPr>
        <w:t>et al.</w:t>
      </w:r>
      <w:r>
        <w:rPr>
          <w:rFonts w:ascii="Times New Roman" w:hAnsi="Times New Roman" w:cs="Times New Roman"/>
          <w:sz w:val="24"/>
          <w:szCs w:val="24"/>
        </w:rPr>
        <w:t xml:space="preserve"> (2025), who reported that many farmers lack training in advanced marketing strategies, especially on visually demanding platforms like Instagram and TikTok. Oyeniyi (2025) also collaborated with the findings that various obstacles prevented Nigerian farmers from adopting social media marketing at full speed. He reporte</w:t>
      </w:r>
      <w:r>
        <w:rPr>
          <w:rFonts w:ascii="Times New Roman" w:hAnsi="Times New Roman" w:cs="Times New Roman"/>
          <w:sz w:val="24"/>
          <w:szCs w:val="24"/>
        </w:rPr>
        <w:t>d that widespread adoption of social media marketing by Nigerian farmers remains limited because of insufficient internet connectivity, high data expenses and limited digital knowledge.</w:t>
      </w:r>
    </w:p>
    <w:p w14:paraId="3D08AEF3"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Karanja </w:t>
      </w:r>
      <w:r>
        <w:rPr>
          <w:rFonts w:ascii="Times New Roman" w:hAnsi="Times New Roman" w:cs="Times New Roman"/>
          <w:i/>
          <w:sz w:val="24"/>
          <w:szCs w:val="24"/>
        </w:rPr>
        <w:t>et al.</w:t>
      </w:r>
      <w:r>
        <w:rPr>
          <w:rFonts w:ascii="Times New Roman" w:hAnsi="Times New Roman" w:cs="Times New Roman"/>
          <w:sz w:val="24"/>
          <w:szCs w:val="24"/>
        </w:rPr>
        <w:t xml:space="preserve"> (2023) in their study, reported that many smallholder farmers in rural areas encounter challenges such as insufficient training and a lack of awareness regarding the benefits of social media marketing. These barriers can lead to resistance or hesitation in adopting these valuable tools.</w:t>
      </w:r>
    </w:p>
    <w:p w14:paraId="112C7014"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categorization of willingness to exploit the social media platform in Table 2 showed that </w:t>
      </w:r>
      <w:bookmarkStart w:id="1" w:name="_Hlk190658076"/>
      <w:r>
        <w:rPr>
          <w:rFonts w:ascii="Times New Roman" w:hAnsi="Times New Roman" w:cs="Times New Roman"/>
          <w:sz w:val="24"/>
          <w:szCs w:val="24"/>
        </w:rPr>
        <w:t>80.00% of respondents exhibited a low willingness to exploit social media, while 15.00% demonstrated a high willingness, and only 5.00% fell into the medium willingness category.</w:t>
      </w:r>
      <w:bookmarkEnd w:id="1"/>
      <w:r>
        <w:rPr>
          <w:rFonts w:ascii="Times New Roman" w:hAnsi="Times New Roman" w:cs="Times New Roman"/>
          <w:sz w:val="24"/>
          <w:szCs w:val="24"/>
        </w:rPr>
        <w:t xml:space="preserve"> The lack of enthusiasm for using social media platforms can often be attributed to several barriers, including limited digital literacy, inadequate technological access, and perceived complexity. </w:t>
      </w:r>
    </w:p>
    <w:p w14:paraId="70D473E6" w14:textId="77777777" w:rsidR="00D53FFF" w:rsidRDefault="00D53FFF">
      <w:pPr>
        <w:spacing w:line="360" w:lineRule="auto"/>
        <w:jc w:val="both"/>
        <w:rPr>
          <w:rFonts w:ascii="Times New Roman" w:hAnsi="Times New Roman" w:cs="Times New Roman"/>
          <w:sz w:val="24"/>
          <w:szCs w:val="24"/>
        </w:rPr>
      </w:pPr>
    </w:p>
    <w:p w14:paraId="216F2715"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further show that respondents' willingness to use social media platforms for marketing eggs in the study area averaged 1.35. </w:t>
      </w:r>
      <w:bookmarkEnd w:id="0"/>
      <w:r>
        <w:rPr>
          <w:rFonts w:ascii="Times New Roman" w:hAnsi="Times New Roman" w:cs="Times New Roman"/>
          <w:sz w:val="24"/>
          <w:szCs w:val="24"/>
        </w:rPr>
        <w:t xml:space="preserve">This value is below the midpoint of 3.0, indicating </w:t>
      </w:r>
      <w:bookmarkStart w:id="2" w:name="_Hlk190659760"/>
      <w:r>
        <w:rPr>
          <w:rFonts w:ascii="Times New Roman" w:hAnsi="Times New Roman" w:cs="Times New Roman"/>
          <w:sz w:val="24"/>
          <w:szCs w:val="24"/>
        </w:rPr>
        <w:t xml:space="preserve">a low </w:t>
      </w:r>
      <w:r>
        <w:rPr>
          <w:rFonts w:ascii="Times New Roman" w:hAnsi="Times New Roman" w:cs="Times New Roman"/>
          <w:sz w:val="24"/>
          <w:szCs w:val="24"/>
        </w:rPr>
        <w:lastRenderedPageBreak/>
        <w:t>willingness among respondents to use social media</w:t>
      </w:r>
      <w:bookmarkEnd w:id="2"/>
      <w:r>
        <w:rPr>
          <w:rFonts w:ascii="Times New Roman" w:hAnsi="Times New Roman" w:cs="Times New Roman"/>
          <w:sz w:val="24"/>
          <w:szCs w:val="24"/>
        </w:rPr>
        <w:t>. This low engagement may be due to a general reluctance to use these platforms.</w:t>
      </w:r>
    </w:p>
    <w:p w14:paraId="403B1317" w14:textId="77777777" w:rsidR="00D53FFF" w:rsidRDefault="00D53FFF">
      <w:pPr>
        <w:spacing w:line="360" w:lineRule="auto"/>
        <w:jc w:val="both"/>
        <w:rPr>
          <w:rFonts w:ascii="Times New Roman" w:hAnsi="Times New Roman" w:cs="Times New Roman"/>
          <w:b/>
          <w:sz w:val="24"/>
          <w:szCs w:val="24"/>
        </w:rPr>
      </w:pPr>
    </w:p>
    <w:p w14:paraId="3558379E"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Factors Influencing the Willingness to Exploit Social Media Platforms among Youths </w:t>
      </w:r>
    </w:p>
    <w:p w14:paraId="145A6F35"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the determinants of factors influencing the willingness to exploit social media platforms among the youths are presented in Table 3.</w:t>
      </w:r>
    </w:p>
    <w:p w14:paraId="6C6910AE"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Factors influencing the willingness to exploit social media platforms</w:t>
      </w:r>
    </w:p>
    <w:tbl>
      <w:tblPr>
        <w:tblStyle w:val="TableGrid"/>
        <w:tblW w:w="10490"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2213"/>
        <w:gridCol w:w="2040"/>
        <w:gridCol w:w="2268"/>
      </w:tblGrid>
      <w:tr w:rsidR="00D53FFF" w14:paraId="6420F44F" w14:textId="77777777">
        <w:tc>
          <w:tcPr>
            <w:tcW w:w="2127" w:type="dxa"/>
            <w:tcBorders>
              <w:top w:val="single" w:sz="4" w:space="0" w:color="auto"/>
              <w:bottom w:val="single" w:sz="4" w:space="0" w:color="auto"/>
            </w:tcBorders>
          </w:tcPr>
          <w:p w14:paraId="15B1C78B" w14:textId="77777777" w:rsidR="00D53FFF" w:rsidRDefault="007B0606">
            <w:pPr>
              <w:spacing w:after="0" w:line="360" w:lineRule="auto"/>
              <w:jc w:val="both"/>
              <w:rPr>
                <w:rFonts w:ascii="Times New Roman" w:hAnsi="Times New Roman" w:cs="Times New Roman"/>
                <w:b/>
                <w:sz w:val="16"/>
                <w:szCs w:val="16"/>
              </w:rPr>
            </w:pPr>
            <w:r>
              <w:rPr>
                <w:rFonts w:ascii="Times New Roman" w:hAnsi="Times New Roman" w:cs="Times New Roman"/>
                <w:b/>
                <w:sz w:val="16"/>
                <w:szCs w:val="16"/>
              </w:rPr>
              <w:t>Explanatory Variable</w:t>
            </w:r>
          </w:p>
        </w:tc>
        <w:tc>
          <w:tcPr>
            <w:tcW w:w="1842" w:type="dxa"/>
            <w:tcBorders>
              <w:top w:val="single" w:sz="4" w:space="0" w:color="auto"/>
              <w:bottom w:val="single" w:sz="4" w:space="0" w:color="auto"/>
            </w:tcBorders>
          </w:tcPr>
          <w:p w14:paraId="6040DB5D" w14:textId="77777777" w:rsidR="00D53FFF" w:rsidRDefault="007B0606">
            <w:pPr>
              <w:spacing w:after="0" w:line="360" w:lineRule="auto"/>
              <w:jc w:val="both"/>
              <w:rPr>
                <w:rFonts w:ascii="Times New Roman" w:hAnsi="Times New Roman" w:cs="Times New Roman"/>
                <w:b/>
                <w:sz w:val="16"/>
                <w:szCs w:val="16"/>
              </w:rPr>
            </w:pPr>
            <w:r>
              <w:rPr>
                <w:rFonts w:ascii="Times New Roman" w:hAnsi="Times New Roman" w:cs="Times New Roman"/>
                <w:b/>
                <w:sz w:val="16"/>
                <w:szCs w:val="16"/>
              </w:rPr>
              <w:t>+Linear function</w:t>
            </w:r>
          </w:p>
        </w:tc>
        <w:tc>
          <w:tcPr>
            <w:tcW w:w="2213" w:type="dxa"/>
            <w:tcBorders>
              <w:top w:val="single" w:sz="4" w:space="0" w:color="auto"/>
              <w:bottom w:val="single" w:sz="4" w:space="0" w:color="auto"/>
            </w:tcBorders>
          </w:tcPr>
          <w:p w14:paraId="332C5DA5" w14:textId="77777777" w:rsidR="00D53FFF" w:rsidRDefault="007B0606">
            <w:pPr>
              <w:spacing w:after="0" w:line="360" w:lineRule="auto"/>
              <w:jc w:val="both"/>
              <w:rPr>
                <w:rFonts w:ascii="Times New Roman" w:hAnsi="Times New Roman" w:cs="Times New Roman"/>
                <w:b/>
                <w:sz w:val="16"/>
                <w:szCs w:val="16"/>
              </w:rPr>
            </w:pPr>
            <w:r>
              <w:rPr>
                <w:rFonts w:ascii="Times New Roman" w:hAnsi="Times New Roman" w:cs="Times New Roman"/>
                <w:b/>
                <w:sz w:val="16"/>
                <w:szCs w:val="16"/>
              </w:rPr>
              <w:t xml:space="preserve">Exponential function </w:t>
            </w:r>
          </w:p>
        </w:tc>
        <w:tc>
          <w:tcPr>
            <w:tcW w:w="2040" w:type="dxa"/>
            <w:tcBorders>
              <w:top w:val="single" w:sz="4" w:space="0" w:color="auto"/>
              <w:bottom w:val="single" w:sz="4" w:space="0" w:color="auto"/>
            </w:tcBorders>
          </w:tcPr>
          <w:p w14:paraId="48115B22" w14:textId="77777777" w:rsidR="00D53FFF" w:rsidRDefault="007B0606">
            <w:pPr>
              <w:spacing w:after="0" w:line="360" w:lineRule="auto"/>
              <w:jc w:val="both"/>
              <w:rPr>
                <w:rFonts w:ascii="Times New Roman" w:hAnsi="Times New Roman" w:cs="Times New Roman"/>
                <w:b/>
                <w:sz w:val="16"/>
                <w:szCs w:val="16"/>
              </w:rPr>
            </w:pPr>
            <w:r>
              <w:rPr>
                <w:rFonts w:ascii="Times New Roman" w:hAnsi="Times New Roman" w:cs="Times New Roman"/>
                <w:b/>
                <w:sz w:val="16"/>
                <w:szCs w:val="16"/>
              </w:rPr>
              <w:t xml:space="preserve">Double-Log function </w:t>
            </w:r>
          </w:p>
        </w:tc>
        <w:tc>
          <w:tcPr>
            <w:tcW w:w="2268" w:type="dxa"/>
            <w:tcBorders>
              <w:top w:val="single" w:sz="4" w:space="0" w:color="auto"/>
              <w:bottom w:val="single" w:sz="4" w:space="0" w:color="auto"/>
            </w:tcBorders>
          </w:tcPr>
          <w:p w14:paraId="5CE1F92C" w14:textId="77777777" w:rsidR="00D53FFF" w:rsidRDefault="007B0606">
            <w:pPr>
              <w:spacing w:after="0" w:line="360" w:lineRule="auto"/>
              <w:jc w:val="both"/>
              <w:rPr>
                <w:rFonts w:ascii="Times New Roman" w:hAnsi="Times New Roman" w:cs="Times New Roman"/>
                <w:b/>
                <w:sz w:val="16"/>
                <w:szCs w:val="16"/>
              </w:rPr>
            </w:pPr>
            <w:r>
              <w:rPr>
                <w:rFonts w:ascii="Times New Roman" w:hAnsi="Times New Roman" w:cs="Times New Roman"/>
                <w:b/>
                <w:sz w:val="16"/>
                <w:szCs w:val="16"/>
              </w:rPr>
              <w:t>Semi-Log function</w:t>
            </w:r>
          </w:p>
        </w:tc>
      </w:tr>
      <w:tr w:rsidR="00D53FFF" w14:paraId="64051864" w14:textId="77777777">
        <w:tc>
          <w:tcPr>
            <w:tcW w:w="2127" w:type="dxa"/>
            <w:tcBorders>
              <w:top w:val="single" w:sz="4" w:space="0" w:color="auto"/>
            </w:tcBorders>
          </w:tcPr>
          <w:p w14:paraId="5F49670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Constant</w:t>
            </w:r>
          </w:p>
        </w:tc>
        <w:tc>
          <w:tcPr>
            <w:tcW w:w="1842" w:type="dxa"/>
            <w:tcBorders>
              <w:top w:val="single" w:sz="4" w:space="0" w:color="auto"/>
            </w:tcBorders>
          </w:tcPr>
          <w:p w14:paraId="1E0303DD"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2.829</w:t>
            </w:r>
          </w:p>
          <w:p w14:paraId="74B7FA37"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(4.745) ***</w:t>
            </w:r>
          </w:p>
        </w:tc>
        <w:tc>
          <w:tcPr>
            <w:tcW w:w="2213" w:type="dxa"/>
            <w:tcBorders>
              <w:top w:val="single" w:sz="4" w:space="0" w:color="auto"/>
            </w:tcBorders>
          </w:tcPr>
          <w:p w14:paraId="5107146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0.897</w:t>
            </w:r>
          </w:p>
          <w:p w14:paraId="17A5A59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(2.071) **</w:t>
            </w:r>
          </w:p>
        </w:tc>
        <w:tc>
          <w:tcPr>
            <w:tcW w:w="2040" w:type="dxa"/>
            <w:tcBorders>
              <w:top w:val="single" w:sz="4" w:space="0" w:color="auto"/>
            </w:tcBorders>
          </w:tcPr>
          <w:p w14:paraId="48CDFE86"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1.904</w:t>
            </w:r>
          </w:p>
          <w:p w14:paraId="21AA39C4"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(2.180) **</w:t>
            </w:r>
          </w:p>
        </w:tc>
        <w:tc>
          <w:tcPr>
            <w:tcW w:w="2268" w:type="dxa"/>
            <w:tcBorders>
              <w:top w:val="single" w:sz="4" w:space="0" w:color="auto"/>
            </w:tcBorders>
          </w:tcPr>
          <w:p w14:paraId="1A76DAF0"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5.432</w:t>
            </w:r>
          </w:p>
          <w:p w14:paraId="5CB9EEA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(2.185) **</w:t>
            </w:r>
          </w:p>
        </w:tc>
      </w:tr>
      <w:tr w:rsidR="00D53FFF" w14:paraId="4DD9F211" w14:textId="77777777">
        <w:tc>
          <w:tcPr>
            <w:tcW w:w="2127" w:type="dxa"/>
          </w:tcPr>
          <w:p w14:paraId="3285961C"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Age </w:t>
            </w:r>
          </w:p>
        </w:tc>
        <w:tc>
          <w:tcPr>
            <w:tcW w:w="1842" w:type="dxa"/>
          </w:tcPr>
          <w:p w14:paraId="49DC8B96"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-0.052</w:t>
            </w:r>
          </w:p>
          <w:p w14:paraId="2CE3C40C"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(-3.523) ***</w:t>
            </w:r>
          </w:p>
        </w:tc>
        <w:tc>
          <w:tcPr>
            <w:tcW w:w="2213" w:type="dxa"/>
          </w:tcPr>
          <w:p w14:paraId="38E4CFEF"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-0.024</w:t>
            </w:r>
          </w:p>
          <w:p w14:paraId="3D09D9E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(-2.183) **</w:t>
            </w:r>
          </w:p>
        </w:tc>
        <w:tc>
          <w:tcPr>
            <w:tcW w:w="2040" w:type="dxa"/>
          </w:tcPr>
          <w:p w14:paraId="3DF9DAE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-0.219</w:t>
            </w:r>
          </w:p>
          <w:p w14:paraId="354F6AD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(-1.139)</w:t>
            </w:r>
          </w:p>
        </w:tc>
        <w:tc>
          <w:tcPr>
            <w:tcW w:w="2268" w:type="dxa"/>
          </w:tcPr>
          <w:p w14:paraId="42C1B5C8"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-0.643</w:t>
            </w:r>
          </w:p>
          <w:p w14:paraId="1C679C0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(-1.174)</w:t>
            </w:r>
          </w:p>
        </w:tc>
      </w:tr>
      <w:tr w:rsidR="00D53FFF" w14:paraId="5AC72F3E" w14:textId="77777777">
        <w:tc>
          <w:tcPr>
            <w:tcW w:w="2127" w:type="dxa"/>
          </w:tcPr>
          <w:p w14:paraId="3D284620"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Gender </w:t>
            </w:r>
          </w:p>
        </w:tc>
        <w:tc>
          <w:tcPr>
            <w:tcW w:w="1842" w:type="dxa"/>
          </w:tcPr>
          <w:p w14:paraId="4D170C3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0.331</w:t>
            </w:r>
          </w:p>
          <w:p w14:paraId="083BBA7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(1.911) *</w:t>
            </w:r>
          </w:p>
        </w:tc>
        <w:tc>
          <w:tcPr>
            <w:tcW w:w="2213" w:type="dxa"/>
          </w:tcPr>
          <w:p w14:paraId="766C90E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0.168</w:t>
            </w:r>
          </w:p>
          <w:p w14:paraId="3E00314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(1.336)</w:t>
            </w:r>
          </w:p>
        </w:tc>
        <w:tc>
          <w:tcPr>
            <w:tcW w:w="2040" w:type="dxa"/>
          </w:tcPr>
          <w:p w14:paraId="286E792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0.042</w:t>
            </w:r>
          </w:p>
          <w:p w14:paraId="3129E41F"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(0.655)</w:t>
            </w:r>
          </w:p>
        </w:tc>
        <w:tc>
          <w:tcPr>
            <w:tcW w:w="2268" w:type="dxa"/>
          </w:tcPr>
          <w:p w14:paraId="2F2139C7"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0.114</w:t>
            </w:r>
          </w:p>
          <w:p w14:paraId="28B249D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(0.630)</w:t>
            </w:r>
          </w:p>
        </w:tc>
      </w:tr>
      <w:tr w:rsidR="00D53FFF" w14:paraId="0544FC82" w14:textId="77777777">
        <w:tc>
          <w:tcPr>
            <w:tcW w:w="2127" w:type="dxa"/>
          </w:tcPr>
          <w:p w14:paraId="266C469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Marital status </w:t>
            </w:r>
          </w:p>
        </w:tc>
        <w:tc>
          <w:tcPr>
            <w:tcW w:w="1842" w:type="dxa"/>
          </w:tcPr>
          <w:p w14:paraId="22DC423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-0.034</w:t>
            </w:r>
          </w:p>
          <w:p w14:paraId="76E4A5B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(-0.022)</w:t>
            </w:r>
          </w:p>
        </w:tc>
        <w:tc>
          <w:tcPr>
            <w:tcW w:w="2213" w:type="dxa"/>
          </w:tcPr>
          <w:p w14:paraId="3CB59194"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-0.043</w:t>
            </w:r>
          </w:p>
          <w:p w14:paraId="1C9EB49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(-0.526)</w:t>
            </w:r>
          </w:p>
        </w:tc>
        <w:tc>
          <w:tcPr>
            <w:tcW w:w="2040" w:type="dxa"/>
          </w:tcPr>
          <w:p w14:paraId="0F836FFC"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0.001</w:t>
            </w:r>
          </w:p>
          <w:p w14:paraId="406BC99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(0.026)</w:t>
            </w:r>
          </w:p>
        </w:tc>
        <w:tc>
          <w:tcPr>
            <w:tcW w:w="2268" w:type="dxa"/>
          </w:tcPr>
          <w:p w14:paraId="0220DAA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0.028</w:t>
            </w:r>
          </w:p>
          <w:p w14:paraId="41701E3E"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(0.197)</w:t>
            </w:r>
          </w:p>
        </w:tc>
      </w:tr>
      <w:tr w:rsidR="00D53FFF" w14:paraId="5D7DB5CB" w14:textId="77777777">
        <w:tc>
          <w:tcPr>
            <w:tcW w:w="2127" w:type="dxa"/>
          </w:tcPr>
          <w:p w14:paraId="4297B26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Education </w:t>
            </w:r>
          </w:p>
        </w:tc>
        <w:tc>
          <w:tcPr>
            <w:tcW w:w="1842" w:type="dxa"/>
          </w:tcPr>
          <w:p w14:paraId="50A34B6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-0.042</w:t>
            </w:r>
          </w:p>
          <w:p w14:paraId="23911E57"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(-0.470)</w:t>
            </w:r>
          </w:p>
        </w:tc>
        <w:tc>
          <w:tcPr>
            <w:tcW w:w="2213" w:type="dxa"/>
          </w:tcPr>
          <w:p w14:paraId="1145BA9D"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-0.035</w:t>
            </w:r>
          </w:p>
          <w:p w14:paraId="3B14C5B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(-0.541)</w:t>
            </w:r>
          </w:p>
        </w:tc>
        <w:tc>
          <w:tcPr>
            <w:tcW w:w="2040" w:type="dxa"/>
          </w:tcPr>
          <w:p w14:paraId="26F0FB08"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-0.078</w:t>
            </w:r>
          </w:p>
          <w:p w14:paraId="05DB32AF"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(-0.779)</w:t>
            </w:r>
          </w:p>
        </w:tc>
        <w:tc>
          <w:tcPr>
            <w:tcW w:w="2268" w:type="dxa"/>
          </w:tcPr>
          <w:p w14:paraId="45340FB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0.174</w:t>
            </w:r>
          </w:p>
          <w:p w14:paraId="794B6C1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(0.609)</w:t>
            </w:r>
          </w:p>
        </w:tc>
      </w:tr>
      <w:tr w:rsidR="00D53FFF" w14:paraId="7220AB1A" w14:textId="77777777">
        <w:tc>
          <w:tcPr>
            <w:tcW w:w="2127" w:type="dxa"/>
          </w:tcPr>
          <w:p w14:paraId="3AB4230F"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Amount of data </w:t>
            </w:r>
          </w:p>
        </w:tc>
        <w:tc>
          <w:tcPr>
            <w:tcW w:w="1842" w:type="dxa"/>
          </w:tcPr>
          <w:p w14:paraId="2BB1C906"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-2.175E-005</w:t>
            </w:r>
          </w:p>
          <w:p w14:paraId="5E79A51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(-1.037)</w:t>
            </w:r>
          </w:p>
        </w:tc>
        <w:tc>
          <w:tcPr>
            <w:tcW w:w="2213" w:type="dxa"/>
          </w:tcPr>
          <w:p w14:paraId="7BBF9994"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-6.29E-006</w:t>
            </w:r>
          </w:p>
          <w:p w14:paraId="0073B96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(-0.422)</w:t>
            </w:r>
          </w:p>
        </w:tc>
        <w:tc>
          <w:tcPr>
            <w:tcW w:w="2040" w:type="dxa"/>
          </w:tcPr>
          <w:p w14:paraId="729B8664"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-0.010</w:t>
            </w:r>
          </w:p>
          <w:p w14:paraId="537FA77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(-0.340)</w:t>
            </w:r>
          </w:p>
        </w:tc>
        <w:tc>
          <w:tcPr>
            <w:tcW w:w="2268" w:type="dxa"/>
          </w:tcPr>
          <w:p w14:paraId="634825E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-0.030</w:t>
            </w:r>
          </w:p>
          <w:p w14:paraId="61E39038"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(-0.349)</w:t>
            </w:r>
          </w:p>
        </w:tc>
      </w:tr>
      <w:tr w:rsidR="00D53FFF" w14:paraId="33486D7C" w14:textId="77777777">
        <w:tc>
          <w:tcPr>
            <w:tcW w:w="2127" w:type="dxa"/>
          </w:tcPr>
          <w:p w14:paraId="6A5100D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Knowledge of social media </w:t>
            </w:r>
          </w:p>
        </w:tc>
        <w:tc>
          <w:tcPr>
            <w:tcW w:w="1842" w:type="dxa"/>
          </w:tcPr>
          <w:p w14:paraId="40998C9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0.056</w:t>
            </w:r>
          </w:p>
          <w:p w14:paraId="5DB2A8C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(1.298)</w:t>
            </w:r>
          </w:p>
        </w:tc>
        <w:tc>
          <w:tcPr>
            <w:tcW w:w="2213" w:type="dxa"/>
          </w:tcPr>
          <w:p w14:paraId="2A02088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0.054</w:t>
            </w:r>
          </w:p>
          <w:p w14:paraId="2B0CFC67"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(1.758) *</w:t>
            </w:r>
          </w:p>
        </w:tc>
        <w:tc>
          <w:tcPr>
            <w:tcW w:w="2040" w:type="dxa"/>
          </w:tcPr>
          <w:p w14:paraId="2C3BD67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-0.195</w:t>
            </w:r>
          </w:p>
          <w:p w14:paraId="0E9F149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(-3.575) ***</w:t>
            </w:r>
          </w:p>
        </w:tc>
        <w:tc>
          <w:tcPr>
            <w:tcW w:w="2268" w:type="dxa"/>
          </w:tcPr>
          <w:p w14:paraId="07E555F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-0.535</w:t>
            </w:r>
          </w:p>
          <w:p w14:paraId="041EF923"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(-3.444) ***</w:t>
            </w:r>
          </w:p>
        </w:tc>
      </w:tr>
      <w:tr w:rsidR="00D53FFF" w14:paraId="134A0260" w14:textId="77777777">
        <w:tc>
          <w:tcPr>
            <w:tcW w:w="2127" w:type="dxa"/>
          </w:tcPr>
          <w:p w14:paraId="7C9D099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Usefulness of social media</w:t>
            </w:r>
          </w:p>
        </w:tc>
        <w:tc>
          <w:tcPr>
            <w:tcW w:w="1842" w:type="dxa"/>
          </w:tcPr>
          <w:p w14:paraId="2F867E2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0.084</w:t>
            </w:r>
          </w:p>
          <w:p w14:paraId="55A2D8A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(9.218) ***</w:t>
            </w:r>
          </w:p>
        </w:tc>
        <w:tc>
          <w:tcPr>
            <w:tcW w:w="2213" w:type="dxa"/>
          </w:tcPr>
          <w:p w14:paraId="635ECF9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0.042</w:t>
            </w:r>
          </w:p>
          <w:p w14:paraId="474DD766"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(6.386) ***</w:t>
            </w:r>
          </w:p>
        </w:tc>
        <w:tc>
          <w:tcPr>
            <w:tcW w:w="2040" w:type="dxa"/>
          </w:tcPr>
          <w:p w14:paraId="104D4936"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0.007</w:t>
            </w:r>
          </w:p>
          <w:p w14:paraId="7FFE585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(0.091)</w:t>
            </w:r>
          </w:p>
        </w:tc>
        <w:tc>
          <w:tcPr>
            <w:tcW w:w="2268" w:type="dxa"/>
          </w:tcPr>
          <w:p w14:paraId="5B8FAC2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0.017</w:t>
            </w:r>
          </w:p>
          <w:p w14:paraId="31CCA7B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(0.073)</w:t>
            </w:r>
          </w:p>
        </w:tc>
      </w:tr>
      <w:tr w:rsidR="00D53FFF" w14:paraId="70594C81" w14:textId="77777777">
        <w:tc>
          <w:tcPr>
            <w:tcW w:w="2127" w:type="dxa"/>
          </w:tcPr>
          <w:p w14:paraId="1949E4E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R</w:t>
            </w:r>
            <w:r>
              <w:rPr>
                <w:rFonts w:ascii="Times New Roman" w:hAnsi="Times New Roman" w:cs="Times New Roman"/>
                <w:sz w:val="16"/>
                <w:szCs w:val="16"/>
                <w:vertAlign w:val="superscript"/>
              </w:rPr>
              <w:t>2</w:t>
            </w:r>
            <w:r>
              <w:rPr>
                <w:rFonts w:ascii="Times New Roman" w:hAnsi="Times New Roman" w:cs="Times New Roman"/>
                <w:sz w:val="16"/>
                <w:szCs w:val="16"/>
              </w:rPr>
              <w:t xml:space="preserve"> </w:t>
            </w:r>
          </w:p>
        </w:tc>
        <w:tc>
          <w:tcPr>
            <w:tcW w:w="1842" w:type="dxa"/>
          </w:tcPr>
          <w:p w14:paraId="42DE7AEF"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0.732</w:t>
            </w:r>
          </w:p>
        </w:tc>
        <w:tc>
          <w:tcPr>
            <w:tcW w:w="2213" w:type="dxa"/>
          </w:tcPr>
          <w:p w14:paraId="6C1EEB94"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0.579</w:t>
            </w:r>
          </w:p>
        </w:tc>
        <w:tc>
          <w:tcPr>
            <w:tcW w:w="2040" w:type="dxa"/>
          </w:tcPr>
          <w:p w14:paraId="794074E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0.912</w:t>
            </w:r>
          </w:p>
        </w:tc>
        <w:tc>
          <w:tcPr>
            <w:tcW w:w="2268" w:type="dxa"/>
          </w:tcPr>
          <w:p w14:paraId="38D2216E"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0.904</w:t>
            </w:r>
          </w:p>
        </w:tc>
      </w:tr>
      <w:tr w:rsidR="00D53FFF" w14:paraId="42C65007" w14:textId="77777777">
        <w:tc>
          <w:tcPr>
            <w:tcW w:w="2127" w:type="dxa"/>
          </w:tcPr>
          <w:p w14:paraId="2CD8DF02" w14:textId="77777777" w:rsidR="00D53FFF" w:rsidRDefault="007B0606">
            <w:pPr>
              <w:spacing w:after="0" w:line="360" w:lineRule="auto"/>
              <w:jc w:val="both"/>
              <w:rPr>
                <w:rFonts w:ascii="Times New Roman" w:hAnsi="Times New Roman" w:cs="Times New Roman"/>
                <w:sz w:val="16"/>
                <w:szCs w:val="16"/>
                <w:vertAlign w:val="superscript"/>
              </w:rPr>
            </w:pPr>
            <w:r>
              <w:rPr>
                <w:rFonts w:ascii="Times New Roman" w:hAnsi="Times New Roman" w:cs="Times New Roman"/>
                <w:sz w:val="16"/>
                <w:szCs w:val="16"/>
              </w:rPr>
              <w:t>Adj R</w:t>
            </w:r>
            <w:r>
              <w:rPr>
                <w:rFonts w:ascii="Times New Roman" w:hAnsi="Times New Roman" w:cs="Times New Roman"/>
                <w:sz w:val="16"/>
                <w:szCs w:val="16"/>
                <w:vertAlign w:val="superscript"/>
              </w:rPr>
              <w:t>2</w:t>
            </w:r>
          </w:p>
        </w:tc>
        <w:tc>
          <w:tcPr>
            <w:tcW w:w="1842" w:type="dxa"/>
          </w:tcPr>
          <w:p w14:paraId="16F02A2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0.696</w:t>
            </w:r>
          </w:p>
        </w:tc>
        <w:tc>
          <w:tcPr>
            <w:tcW w:w="2213" w:type="dxa"/>
          </w:tcPr>
          <w:p w14:paraId="168E705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0.518</w:t>
            </w:r>
          </w:p>
        </w:tc>
        <w:tc>
          <w:tcPr>
            <w:tcW w:w="2040" w:type="dxa"/>
          </w:tcPr>
          <w:p w14:paraId="71778BD8"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0.788</w:t>
            </w:r>
          </w:p>
        </w:tc>
        <w:tc>
          <w:tcPr>
            <w:tcW w:w="2268" w:type="dxa"/>
          </w:tcPr>
          <w:p w14:paraId="123CD50F"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0.769</w:t>
            </w:r>
          </w:p>
        </w:tc>
      </w:tr>
      <w:tr w:rsidR="00D53FFF" w14:paraId="4B4BC25C" w14:textId="77777777">
        <w:tc>
          <w:tcPr>
            <w:tcW w:w="2127" w:type="dxa"/>
          </w:tcPr>
          <w:p w14:paraId="4CF9037E"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F–stat</w:t>
            </w:r>
          </w:p>
        </w:tc>
        <w:tc>
          <w:tcPr>
            <w:tcW w:w="1842" w:type="dxa"/>
          </w:tcPr>
          <w:p w14:paraId="0807E8A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20.264</w:t>
            </w:r>
          </w:p>
        </w:tc>
        <w:tc>
          <w:tcPr>
            <w:tcW w:w="2213" w:type="dxa"/>
          </w:tcPr>
          <w:p w14:paraId="3274BCB0"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9.448</w:t>
            </w:r>
          </w:p>
        </w:tc>
        <w:tc>
          <w:tcPr>
            <w:tcW w:w="2040" w:type="dxa"/>
          </w:tcPr>
          <w:p w14:paraId="43776F00"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7.365</w:t>
            </w:r>
          </w:p>
        </w:tc>
        <w:tc>
          <w:tcPr>
            <w:tcW w:w="2268" w:type="dxa"/>
          </w:tcPr>
          <w:p w14:paraId="57EA1C47"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6.720</w:t>
            </w:r>
          </w:p>
        </w:tc>
      </w:tr>
      <w:tr w:rsidR="00D53FFF" w14:paraId="61F3EC09" w14:textId="77777777">
        <w:tc>
          <w:tcPr>
            <w:tcW w:w="2127" w:type="dxa"/>
          </w:tcPr>
          <w:p w14:paraId="346C12D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Mean VIF</w:t>
            </w:r>
          </w:p>
        </w:tc>
        <w:tc>
          <w:tcPr>
            <w:tcW w:w="1842" w:type="dxa"/>
          </w:tcPr>
          <w:p w14:paraId="311BD6FD"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2.31</w:t>
            </w:r>
          </w:p>
        </w:tc>
        <w:tc>
          <w:tcPr>
            <w:tcW w:w="2213" w:type="dxa"/>
          </w:tcPr>
          <w:p w14:paraId="14137EAE"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2.31</w:t>
            </w:r>
          </w:p>
        </w:tc>
        <w:tc>
          <w:tcPr>
            <w:tcW w:w="2040" w:type="dxa"/>
          </w:tcPr>
          <w:p w14:paraId="4AEF99B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2.31</w:t>
            </w:r>
          </w:p>
        </w:tc>
        <w:tc>
          <w:tcPr>
            <w:tcW w:w="2268" w:type="dxa"/>
          </w:tcPr>
          <w:p w14:paraId="64E9371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2.31</w:t>
            </w:r>
          </w:p>
        </w:tc>
      </w:tr>
      <w:tr w:rsidR="00D53FFF" w14:paraId="4C8793F3" w14:textId="77777777">
        <w:tc>
          <w:tcPr>
            <w:tcW w:w="2127" w:type="dxa"/>
          </w:tcPr>
          <w:p w14:paraId="65B2FE5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Breusch–Pagan Test</w:t>
            </w:r>
          </w:p>
        </w:tc>
        <w:tc>
          <w:tcPr>
            <w:tcW w:w="1842" w:type="dxa"/>
          </w:tcPr>
          <w:p w14:paraId="1ED35C98"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1.84 </w:t>
            </w:r>
          </w:p>
          <w:p w14:paraId="2D93EDA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(0.174)</w:t>
            </w:r>
          </w:p>
        </w:tc>
        <w:tc>
          <w:tcPr>
            <w:tcW w:w="2213" w:type="dxa"/>
          </w:tcPr>
          <w:p w14:paraId="1F116050"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1.91 </w:t>
            </w:r>
          </w:p>
          <w:p w14:paraId="78A89076"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(0.166)</w:t>
            </w:r>
          </w:p>
        </w:tc>
        <w:tc>
          <w:tcPr>
            <w:tcW w:w="2040" w:type="dxa"/>
          </w:tcPr>
          <w:p w14:paraId="75BAEFEE"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2.04 </w:t>
            </w:r>
          </w:p>
          <w:p w14:paraId="1F93816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(0.153)</w:t>
            </w:r>
          </w:p>
        </w:tc>
        <w:tc>
          <w:tcPr>
            <w:tcW w:w="2268" w:type="dxa"/>
          </w:tcPr>
          <w:p w14:paraId="78D86E0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2.12 </w:t>
            </w:r>
          </w:p>
          <w:p w14:paraId="220247C2"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(0.145)</w:t>
            </w:r>
          </w:p>
        </w:tc>
      </w:tr>
      <w:tr w:rsidR="00D53FFF" w14:paraId="0BBB432A" w14:textId="77777777">
        <w:tc>
          <w:tcPr>
            <w:tcW w:w="2127" w:type="dxa"/>
          </w:tcPr>
          <w:p w14:paraId="0843AD2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Ramsey RESET Test</w:t>
            </w:r>
          </w:p>
        </w:tc>
        <w:tc>
          <w:tcPr>
            <w:tcW w:w="1842" w:type="dxa"/>
          </w:tcPr>
          <w:p w14:paraId="27560C1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0.88 </w:t>
            </w:r>
          </w:p>
          <w:p w14:paraId="2B1A387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(0.351)</w:t>
            </w:r>
          </w:p>
        </w:tc>
        <w:tc>
          <w:tcPr>
            <w:tcW w:w="2213" w:type="dxa"/>
          </w:tcPr>
          <w:p w14:paraId="27F578AA"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1.02 </w:t>
            </w:r>
          </w:p>
          <w:p w14:paraId="0F22CB28"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(0.314)</w:t>
            </w:r>
          </w:p>
        </w:tc>
        <w:tc>
          <w:tcPr>
            <w:tcW w:w="2040" w:type="dxa"/>
          </w:tcPr>
          <w:p w14:paraId="44D87641"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1.27 </w:t>
            </w:r>
          </w:p>
          <w:p w14:paraId="3F3D6259"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(0.262)</w:t>
            </w:r>
          </w:p>
        </w:tc>
        <w:tc>
          <w:tcPr>
            <w:tcW w:w="2268" w:type="dxa"/>
          </w:tcPr>
          <w:p w14:paraId="30F2B5CB"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1.41 </w:t>
            </w:r>
          </w:p>
          <w:p w14:paraId="6A34EED5" w14:textId="77777777" w:rsidR="00D53FFF" w:rsidRDefault="007B060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(0.237)</w:t>
            </w:r>
          </w:p>
        </w:tc>
      </w:tr>
    </w:tbl>
    <w:p w14:paraId="2A0C574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Computed from Field Survey Data Analysis, 2025 Values in parentheses are t ratio * = significant @10%    ** = significant @ 5%, *** = significant @ 1% + = lead equation</w:t>
      </w:r>
    </w:p>
    <w:p w14:paraId="367E3C41"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bookmarkStart w:id="3" w:name="_Hlk190658573"/>
      <w:r>
        <w:rPr>
          <w:rFonts w:ascii="Times New Roman" w:hAnsi="Times New Roman" w:cs="Times New Roman"/>
          <w:sz w:val="24"/>
          <w:szCs w:val="24"/>
        </w:rPr>
        <w:t>The results of the determinants influencing youths’ willingness to utilize social media platforms for poultry egg marketing are presented in Table 3. The linear functional form was selected as the lead equation based on the number of statistically significant variables, the magnitude of the F-</w:t>
      </w:r>
      <w:r>
        <w:rPr>
          <w:rFonts w:ascii="Times New Roman" w:hAnsi="Times New Roman" w:cs="Times New Roman"/>
          <w:sz w:val="24"/>
          <w:szCs w:val="24"/>
        </w:rPr>
        <w:lastRenderedPageBreak/>
        <w:t>statistic, conformity of coefficient signs with a priori expectations, and ease of interpretation. Although the double-log and semi-log models produced relatively higher R² values, the linear model provided more theoretically consistent and interpretable coefficient estimates.</w:t>
      </w:r>
    </w:p>
    <w:p w14:paraId="23DA5930" w14:textId="77777777" w:rsidR="00D53FFF" w:rsidRDefault="00D53FFF">
      <w:pPr>
        <w:autoSpaceDE w:val="0"/>
        <w:autoSpaceDN w:val="0"/>
        <w:adjustRightInd w:val="0"/>
        <w:spacing w:after="0" w:line="360" w:lineRule="auto"/>
        <w:jc w:val="both"/>
        <w:rPr>
          <w:rFonts w:ascii="Times New Roman" w:hAnsi="Times New Roman" w:cs="Times New Roman"/>
          <w:sz w:val="24"/>
          <w:szCs w:val="24"/>
        </w:rPr>
      </w:pPr>
    </w:p>
    <w:p w14:paraId="0A9C5C89"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coefficient of multiple determination (R²) for the linear model was 0.732, implying that approximately 73.2% of the variation in youths’ willingness to utilize social media platforms for poultry egg marketing was explained by the explanatory variables included in the model. The F-statistic of 20.264, which was significant at the 1% level, indicates that the explanatory variables jointly had a significant influence on willingness to utilize social media platforms.</w:t>
      </w:r>
    </w:p>
    <w:p w14:paraId="2B969BEF" w14:textId="77777777" w:rsidR="00D53FFF" w:rsidRDefault="00D53FFF">
      <w:pPr>
        <w:autoSpaceDE w:val="0"/>
        <w:autoSpaceDN w:val="0"/>
        <w:adjustRightInd w:val="0"/>
        <w:spacing w:after="0" w:line="360" w:lineRule="auto"/>
        <w:jc w:val="both"/>
        <w:rPr>
          <w:rFonts w:ascii="Times New Roman" w:hAnsi="Times New Roman" w:cs="Times New Roman"/>
          <w:sz w:val="24"/>
          <w:szCs w:val="24"/>
        </w:rPr>
      </w:pPr>
    </w:p>
    <w:p w14:paraId="4BE8E116"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ensure the reliability and robustness of the regression estimates, diagnostic tests were conducted. The Variance Inflation Factor (VIF) values were below the critical threshold of 10, with a mean VIF value of 2.31, indicating the absence of serious multicollinearity among the explanatory variables. Furthermore, the Breusch–Pagan test for heteroskedasticity was statistically insignificant (p &gt; 0.05), suggesting that the variance of the error terms was constant across observations. The Ramsey RESET specifi</w:t>
      </w:r>
      <w:r>
        <w:rPr>
          <w:rFonts w:ascii="Times New Roman" w:hAnsi="Times New Roman" w:cs="Times New Roman"/>
          <w:sz w:val="24"/>
          <w:szCs w:val="24"/>
        </w:rPr>
        <w:t>cation test was also insignificant, indicating that the model did not suffer from functional form misspecification and that the selected linear model was appropriately specified.</w:t>
      </w:r>
    </w:p>
    <w:p w14:paraId="400FEAD9" w14:textId="77777777" w:rsidR="00D53FFF" w:rsidRDefault="00D53FFF">
      <w:pPr>
        <w:autoSpaceDE w:val="0"/>
        <w:autoSpaceDN w:val="0"/>
        <w:adjustRightInd w:val="0"/>
        <w:spacing w:after="0" w:line="360" w:lineRule="auto"/>
        <w:jc w:val="both"/>
        <w:rPr>
          <w:rFonts w:ascii="Times New Roman" w:hAnsi="Times New Roman" w:cs="Times New Roman"/>
          <w:sz w:val="24"/>
          <w:szCs w:val="24"/>
        </w:rPr>
      </w:pPr>
    </w:p>
    <w:p w14:paraId="3DB16937"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 such as age (p &lt; 0.01), gender (p &lt; 0.10), and usefulness of social media (p &lt; 0.01) significantly influenced youths’ willingness to utilize social media platforms for poultry egg marketing in the study area.</w:t>
      </w:r>
    </w:p>
    <w:p w14:paraId="5A1E2969"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coefficient of age was negative and statistically significant at the 1% level. This implies that willingness to utilize social media platforms decreases as respondents become older. The result suggests that younger respondents were more inclined toward the utilization of social media platforms for poultry egg marketing than older respondents.</w:t>
      </w:r>
    </w:p>
    <w:p w14:paraId="52279775" w14:textId="77777777" w:rsidR="00D53FFF" w:rsidRDefault="00D53FFF">
      <w:pPr>
        <w:autoSpaceDE w:val="0"/>
        <w:autoSpaceDN w:val="0"/>
        <w:adjustRightInd w:val="0"/>
        <w:spacing w:after="0" w:line="360" w:lineRule="auto"/>
        <w:jc w:val="both"/>
        <w:rPr>
          <w:rFonts w:ascii="Times New Roman" w:hAnsi="Times New Roman" w:cs="Times New Roman"/>
          <w:sz w:val="24"/>
          <w:szCs w:val="24"/>
        </w:rPr>
      </w:pPr>
    </w:p>
    <w:p w14:paraId="53EA3613"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coefficient of gender was positive and statistically significant at the 10% level. Since gender was specified as a dummy variable (female = 1; male = 0), the positive coefficient implies that female respondents exhibited higher willingness to utilize social media platforms for poultry egg </w:t>
      </w:r>
      <w:r>
        <w:rPr>
          <w:rFonts w:ascii="Times New Roman" w:hAnsi="Times New Roman" w:cs="Times New Roman"/>
          <w:sz w:val="24"/>
          <w:szCs w:val="24"/>
        </w:rPr>
        <w:lastRenderedPageBreak/>
        <w:t>marketing relative to male respondents. This finding suggests that female youths may be more receptive to digital marketing innovations within the poultry egg business in the study area.</w:t>
      </w:r>
    </w:p>
    <w:p w14:paraId="5B29572F" w14:textId="77777777" w:rsidR="00D53FFF" w:rsidRDefault="00D53FFF">
      <w:pPr>
        <w:autoSpaceDE w:val="0"/>
        <w:autoSpaceDN w:val="0"/>
        <w:adjustRightInd w:val="0"/>
        <w:spacing w:after="0" w:line="360" w:lineRule="auto"/>
        <w:jc w:val="both"/>
        <w:rPr>
          <w:rFonts w:ascii="Times New Roman" w:hAnsi="Times New Roman" w:cs="Times New Roman"/>
          <w:sz w:val="24"/>
          <w:szCs w:val="24"/>
        </w:rPr>
      </w:pPr>
    </w:p>
    <w:p w14:paraId="5C028F92" w14:textId="77777777" w:rsidR="00D53FFF" w:rsidRDefault="007B06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coefficient of perceived usefulness of social media platforms was positive and highly significant at the 1% level. This indicates that respondents who perceived social media platforms as useful for marketing activities were more willing to utilize them for poultry egg marketing. The finding supports the proposition of the Technology Acceptance Model that perceived usefulness positively influences behavioral intention toward technology utilization.</w:t>
      </w:r>
    </w:p>
    <w:bookmarkEnd w:id="3"/>
    <w:p w14:paraId="694ACAA6" w14:textId="77777777" w:rsidR="00D53FFF" w:rsidRDefault="00D53FFF">
      <w:pPr>
        <w:spacing w:line="360" w:lineRule="auto"/>
        <w:jc w:val="both"/>
        <w:rPr>
          <w:rFonts w:ascii="Times New Roman" w:hAnsi="Times New Roman" w:cs="Times New Roman"/>
          <w:sz w:val="24"/>
          <w:szCs w:val="24"/>
        </w:rPr>
      </w:pPr>
    </w:p>
    <w:p w14:paraId="754D30BF"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Examine youths’ perception of the effect of social media platforms on poultry egg sales </w:t>
      </w:r>
    </w:p>
    <w:p w14:paraId="2D54058D"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the perception of the effect of social media platforms on the quantity of eggs sold are presented in Table 4</w:t>
      </w:r>
    </w:p>
    <w:p w14:paraId="0B65B6EF"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perception of the effect of social media platforms on poultry egg sales</w:t>
      </w:r>
    </w:p>
    <w:tbl>
      <w:tblPr>
        <w:tblStyle w:val="TableGrid"/>
        <w:tblW w:w="9928"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949"/>
        <w:gridCol w:w="949"/>
        <w:gridCol w:w="983"/>
        <w:gridCol w:w="949"/>
        <w:gridCol w:w="949"/>
        <w:gridCol w:w="528"/>
        <w:gridCol w:w="794"/>
        <w:gridCol w:w="1461"/>
      </w:tblGrid>
      <w:tr w:rsidR="00D53FFF" w14:paraId="2EAFEC34" w14:textId="77777777">
        <w:trPr>
          <w:trHeight w:val="118"/>
        </w:trPr>
        <w:tc>
          <w:tcPr>
            <w:tcW w:w="2366" w:type="dxa"/>
            <w:vMerge w:val="restart"/>
            <w:tcBorders>
              <w:top w:val="single" w:sz="4" w:space="0" w:color="auto"/>
              <w:bottom w:val="single" w:sz="4" w:space="0" w:color="auto"/>
            </w:tcBorders>
          </w:tcPr>
          <w:p w14:paraId="5827B7F4"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Social Media Platform (SM)</w:t>
            </w:r>
          </w:p>
        </w:tc>
        <w:tc>
          <w:tcPr>
            <w:tcW w:w="5307" w:type="dxa"/>
            <w:gridSpan w:val="6"/>
            <w:tcBorders>
              <w:top w:val="single" w:sz="4" w:space="0" w:color="auto"/>
              <w:bottom w:val="single" w:sz="4" w:space="0" w:color="auto"/>
            </w:tcBorders>
          </w:tcPr>
          <w:p w14:paraId="06C8F046"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Perceived Effect of Social Media Platforms</w:t>
            </w:r>
          </w:p>
        </w:tc>
        <w:tc>
          <w:tcPr>
            <w:tcW w:w="794" w:type="dxa"/>
            <w:tcBorders>
              <w:top w:val="single" w:sz="4" w:space="0" w:color="auto"/>
              <w:bottom w:val="single" w:sz="4" w:space="0" w:color="auto"/>
            </w:tcBorders>
          </w:tcPr>
          <w:p w14:paraId="65B65EBB"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Mean Effect</w:t>
            </w:r>
          </w:p>
        </w:tc>
        <w:tc>
          <w:tcPr>
            <w:tcW w:w="1461" w:type="dxa"/>
            <w:tcBorders>
              <w:top w:val="single" w:sz="4" w:space="0" w:color="auto"/>
              <w:bottom w:val="single" w:sz="4" w:space="0" w:color="auto"/>
            </w:tcBorders>
          </w:tcPr>
          <w:p w14:paraId="205D19B5"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Effect on Sales</w:t>
            </w:r>
          </w:p>
        </w:tc>
      </w:tr>
      <w:tr w:rsidR="00D53FFF" w14:paraId="29E2F95D" w14:textId="77777777">
        <w:trPr>
          <w:trHeight w:val="118"/>
        </w:trPr>
        <w:tc>
          <w:tcPr>
            <w:tcW w:w="2366" w:type="dxa"/>
            <w:vMerge/>
            <w:tcBorders>
              <w:top w:val="single" w:sz="4" w:space="0" w:color="auto"/>
            </w:tcBorders>
          </w:tcPr>
          <w:p w14:paraId="2E054A41" w14:textId="77777777" w:rsidR="00D53FFF" w:rsidRDefault="00D53FFF">
            <w:pPr>
              <w:spacing w:after="0" w:line="360" w:lineRule="auto"/>
              <w:jc w:val="both"/>
              <w:rPr>
                <w:rFonts w:ascii="Times New Roman" w:hAnsi="Times New Roman" w:cs="Times New Roman"/>
                <w:sz w:val="20"/>
                <w:szCs w:val="20"/>
              </w:rPr>
            </w:pPr>
          </w:p>
        </w:tc>
        <w:tc>
          <w:tcPr>
            <w:tcW w:w="949" w:type="dxa"/>
            <w:tcBorders>
              <w:top w:val="single" w:sz="4" w:space="0" w:color="auto"/>
              <w:bottom w:val="single" w:sz="4" w:space="0" w:color="auto"/>
            </w:tcBorders>
          </w:tcPr>
          <w:p w14:paraId="1BFE5E6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Most Effective (5)</w:t>
            </w:r>
          </w:p>
        </w:tc>
        <w:tc>
          <w:tcPr>
            <w:tcW w:w="949" w:type="dxa"/>
            <w:tcBorders>
              <w:top w:val="single" w:sz="4" w:space="0" w:color="auto"/>
              <w:bottom w:val="single" w:sz="4" w:space="0" w:color="auto"/>
            </w:tcBorders>
          </w:tcPr>
          <w:p w14:paraId="0878778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More Effective (4)</w:t>
            </w:r>
          </w:p>
        </w:tc>
        <w:tc>
          <w:tcPr>
            <w:tcW w:w="983" w:type="dxa"/>
            <w:tcBorders>
              <w:top w:val="single" w:sz="4" w:space="0" w:color="auto"/>
              <w:bottom w:val="single" w:sz="4" w:space="0" w:color="auto"/>
            </w:tcBorders>
          </w:tcPr>
          <w:p w14:paraId="108D3A6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Moderate Effective (3)</w:t>
            </w:r>
          </w:p>
        </w:tc>
        <w:tc>
          <w:tcPr>
            <w:tcW w:w="949" w:type="dxa"/>
            <w:tcBorders>
              <w:top w:val="single" w:sz="4" w:space="0" w:color="auto"/>
              <w:bottom w:val="single" w:sz="4" w:space="0" w:color="auto"/>
            </w:tcBorders>
          </w:tcPr>
          <w:p w14:paraId="150721A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Effective (2)</w:t>
            </w:r>
          </w:p>
        </w:tc>
        <w:tc>
          <w:tcPr>
            <w:tcW w:w="949" w:type="dxa"/>
            <w:tcBorders>
              <w:top w:val="single" w:sz="4" w:space="0" w:color="auto"/>
              <w:bottom w:val="single" w:sz="4" w:space="0" w:color="auto"/>
            </w:tcBorders>
          </w:tcPr>
          <w:p w14:paraId="4DA36E3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Not Effective (1)</w:t>
            </w:r>
          </w:p>
        </w:tc>
        <w:tc>
          <w:tcPr>
            <w:tcW w:w="528" w:type="dxa"/>
            <w:tcBorders>
              <w:top w:val="single" w:sz="4" w:space="0" w:color="auto"/>
              <w:bottom w:val="single" w:sz="4" w:space="0" w:color="auto"/>
            </w:tcBorders>
          </w:tcPr>
          <w:p w14:paraId="11C73C2C" w14:textId="77777777" w:rsidR="00D53FFF" w:rsidRDefault="00D53FFF">
            <w:pPr>
              <w:spacing w:after="0" w:line="360" w:lineRule="auto"/>
              <w:jc w:val="both"/>
              <w:rPr>
                <w:rFonts w:ascii="Times New Roman" w:hAnsi="Times New Roman" w:cs="Times New Roman"/>
                <w:sz w:val="20"/>
                <w:szCs w:val="20"/>
              </w:rPr>
            </w:pPr>
          </w:p>
        </w:tc>
        <w:tc>
          <w:tcPr>
            <w:tcW w:w="794" w:type="dxa"/>
            <w:tcBorders>
              <w:top w:val="single" w:sz="4" w:space="0" w:color="auto"/>
            </w:tcBorders>
          </w:tcPr>
          <w:p w14:paraId="235C2CD1" w14:textId="77777777" w:rsidR="00D53FFF" w:rsidRDefault="00D53FFF">
            <w:pPr>
              <w:spacing w:after="0" w:line="360" w:lineRule="auto"/>
              <w:jc w:val="both"/>
              <w:rPr>
                <w:rFonts w:ascii="Times New Roman" w:hAnsi="Times New Roman" w:cs="Times New Roman"/>
                <w:sz w:val="20"/>
                <w:szCs w:val="20"/>
              </w:rPr>
            </w:pPr>
          </w:p>
        </w:tc>
        <w:tc>
          <w:tcPr>
            <w:tcW w:w="1461" w:type="dxa"/>
            <w:tcBorders>
              <w:top w:val="single" w:sz="4" w:space="0" w:color="auto"/>
            </w:tcBorders>
          </w:tcPr>
          <w:p w14:paraId="223016AF" w14:textId="77777777" w:rsidR="00D53FFF" w:rsidRDefault="00D53FFF">
            <w:pPr>
              <w:spacing w:after="0" w:line="360" w:lineRule="auto"/>
              <w:jc w:val="both"/>
              <w:rPr>
                <w:rFonts w:ascii="Times New Roman" w:hAnsi="Times New Roman" w:cs="Times New Roman"/>
                <w:sz w:val="20"/>
                <w:szCs w:val="20"/>
              </w:rPr>
            </w:pPr>
          </w:p>
        </w:tc>
      </w:tr>
      <w:tr w:rsidR="00D53FFF" w14:paraId="7823BC1A" w14:textId="77777777">
        <w:tc>
          <w:tcPr>
            <w:tcW w:w="2366" w:type="dxa"/>
          </w:tcPr>
          <w:p w14:paraId="03852AB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Facebook </w:t>
            </w:r>
          </w:p>
        </w:tc>
        <w:tc>
          <w:tcPr>
            <w:tcW w:w="949" w:type="dxa"/>
            <w:tcBorders>
              <w:top w:val="single" w:sz="4" w:space="0" w:color="auto"/>
            </w:tcBorders>
          </w:tcPr>
          <w:p w14:paraId="26C3B43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949" w:type="dxa"/>
            <w:tcBorders>
              <w:top w:val="single" w:sz="4" w:space="0" w:color="auto"/>
            </w:tcBorders>
          </w:tcPr>
          <w:p w14:paraId="3CE4D19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983" w:type="dxa"/>
            <w:tcBorders>
              <w:top w:val="single" w:sz="4" w:space="0" w:color="auto"/>
            </w:tcBorders>
          </w:tcPr>
          <w:p w14:paraId="31491EC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949" w:type="dxa"/>
            <w:tcBorders>
              <w:top w:val="single" w:sz="4" w:space="0" w:color="auto"/>
            </w:tcBorders>
          </w:tcPr>
          <w:p w14:paraId="5D2F072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949" w:type="dxa"/>
            <w:tcBorders>
              <w:top w:val="single" w:sz="4" w:space="0" w:color="auto"/>
            </w:tcBorders>
          </w:tcPr>
          <w:p w14:paraId="7032EA0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528" w:type="dxa"/>
            <w:tcBorders>
              <w:top w:val="single" w:sz="4" w:space="0" w:color="auto"/>
            </w:tcBorders>
          </w:tcPr>
          <w:p w14:paraId="6C487CC8" w14:textId="77777777" w:rsidR="00D53FFF" w:rsidRDefault="00D53FFF">
            <w:pPr>
              <w:spacing w:after="0" w:line="360" w:lineRule="auto"/>
              <w:jc w:val="both"/>
              <w:rPr>
                <w:rFonts w:ascii="Times New Roman" w:hAnsi="Times New Roman" w:cs="Times New Roman"/>
                <w:sz w:val="20"/>
                <w:szCs w:val="20"/>
              </w:rPr>
            </w:pPr>
          </w:p>
        </w:tc>
        <w:tc>
          <w:tcPr>
            <w:tcW w:w="794" w:type="dxa"/>
          </w:tcPr>
          <w:p w14:paraId="33E8031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3.23</w:t>
            </w:r>
          </w:p>
        </w:tc>
        <w:tc>
          <w:tcPr>
            <w:tcW w:w="1461" w:type="dxa"/>
          </w:tcPr>
          <w:p w14:paraId="66CA40C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MSE</w:t>
            </w:r>
          </w:p>
        </w:tc>
      </w:tr>
      <w:tr w:rsidR="00D53FFF" w14:paraId="2F7E73CB" w14:textId="77777777">
        <w:tc>
          <w:tcPr>
            <w:tcW w:w="2366" w:type="dxa"/>
          </w:tcPr>
          <w:p w14:paraId="0DF418E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Instagram </w:t>
            </w:r>
          </w:p>
        </w:tc>
        <w:tc>
          <w:tcPr>
            <w:tcW w:w="949" w:type="dxa"/>
          </w:tcPr>
          <w:p w14:paraId="686CE9B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949" w:type="dxa"/>
          </w:tcPr>
          <w:p w14:paraId="354F762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983" w:type="dxa"/>
          </w:tcPr>
          <w:p w14:paraId="4474EAD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949" w:type="dxa"/>
          </w:tcPr>
          <w:p w14:paraId="546151A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49" w:type="dxa"/>
          </w:tcPr>
          <w:p w14:paraId="34866BE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72</w:t>
            </w:r>
          </w:p>
        </w:tc>
        <w:tc>
          <w:tcPr>
            <w:tcW w:w="528" w:type="dxa"/>
          </w:tcPr>
          <w:p w14:paraId="23E75165" w14:textId="77777777" w:rsidR="00D53FFF" w:rsidRDefault="00D53FFF">
            <w:pPr>
              <w:spacing w:after="0" w:line="360" w:lineRule="auto"/>
              <w:jc w:val="both"/>
              <w:rPr>
                <w:rFonts w:ascii="Times New Roman" w:hAnsi="Times New Roman" w:cs="Times New Roman"/>
                <w:sz w:val="20"/>
                <w:szCs w:val="20"/>
              </w:rPr>
            </w:pPr>
          </w:p>
        </w:tc>
        <w:tc>
          <w:tcPr>
            <w:tcW w:w="794" w:type="dxa"/>
          </w:tcPr>
          <w:p w14:paraId="7C2A518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1.87</w:t>
            </w:r>
          </w:p>
        </w:tc>
        <w:tc>
          <w:tcPr>
            <w:tcW w:w="1461" w:type="dxa"/>
          </w:tcPr>
          <w:p w14:paraId="7E87817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0CA79B1D" w14:textId="77777777">
        <w:tc>
          <w:tcPr>
            <w:tcW w:w="2366" w:type="dxa"/>
          </w:tcPr>
          <w:p w14:paraId="212D0A3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Snapchat </w:t>
            </w:r>
          </w:p>
        </w:tc>
        <w:tc>
          <w:tcPr>
            <w:tcW w:w="949" w:type="dxa"/>
          </w:tcPr>
          <w:p w14:paraId="57ECAC4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949" w:type="dxa"/>
          </w:tcPr>
          <w:p w14:paraId="2D9AF02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983" w:type="dxa"/>
          </w:tcPr>
          <w:p w14:paraId="2BFBA40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49" w:type="dxa"/>
          </w:tcPr>
          <w:p w14:paraId="6FD1035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949" w:type="dxa"/>
          </w:tcPr>
          <w:p w14:paraId="407A66D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528" w:type="dxa"/>
          </w:tcPr>
          <w:p w14:paraId="32C91E1A" w14:textId="77777777" w:rsidR="00D53FFF" w:rsidRDefault="00D53FFF">
            <w:pPr>
              <w:spacing w:after="0" w:line="360" w:lineRule="auto"/>
              <w:jc w:val="both"/>
              <w:rPr>
                <w:rFonts w:ascii="Times New Roman" w:hAnsi="Times New Roman" w:cs="Times New Roman"/>
                <w:sz w:val="20"/>
                <w:szCs w:val="20"/>
              </w:rPr>
            </w:pPr>
          </w:p>
        </w:tc>
        <w:tc>
          <w:tcPr>
            <w:tcW w:w="794" w:type="dxa"/>
          </w:tcPr>
          <w:p w14:paraId="6894A1E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1.97</w:t>
            </w:r>
          </w:p>
        </w:tc>
        <w:tc>
          <w:tcPr>
            <w:tcW w:w="1461" w:type="dxa"/>
          </w:tcPr>
          <w:p w14:paraId="2914590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0AC19C4E" w14:textId="77777777">
        <w:tc>
          <w:tcPr>
            <w:tcW w:w="2366" w:type="dxa"/>
          </w:tcPr>
          <w:p w14:paraId="14F664E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WhatsApp </w:t>
            </w:r>
          </w:p>
        </w:tc>
        <w:tc>
          <w:tcPr>
            <w:tcW w:w="949" w:type="dxa"/>
          </w:tcPr>
          <w:p w14:paraId="4B89C2B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949" w:type="dxa"/>
          </w:tcPr>
          <w:p w14:paraId="7EFED2C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983" w:type="dxa"/>
          </w:tcPr>
          <w:p w14:paraId="10E9B56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949" w:type="dxa"/>
          </w:tcPr>
          <w:p w14:paraId="70E1DDD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949" w:type="dxa"/>
          </w:tcPr>
          <w:p w14:paraId="2408EA6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34</w:t>
            </w:r>
          </w:p>
        </w:tc>
        <w:tc>
          <w:tcPr>
            <w:tcW w:w="528" w:type="dxa"/>
          </w:tcPr>
          <w:p w14:paraId="05167015" w14:textId="77777777" w:rsidR="00D53FFF" w:rsidRDefault="00D53FFF">
            <w:pPr>
              <w:spacing w:after="0" w:line="360" w:lineRule="auto"/>
              <w:jc w:val="both"/>
              <w:rPr>
                <w:rFonts w:ascii="Times New Roman" w:hAnsi="Times New Roman" w:cs="Times New Roman"/>
                <w:sz w:val="20"/>
                <w:szCs w:val="20"/>
              </w:rPr>
            </w:pPr>
          </w:p>
        </w:tc>
        <w:tc>
          <w:tcPr>
            <w:tcW w:w="794" w:type="dxa"/>
          </w:tcPr>
          <w:p w14:paraId="48D67B3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3.10</w:t>
            </w:r>
          </w:p>
        </w:tc>
        <w:tc>
          <w:tcPr>
            <w:tcW w:w="1461" w:type="dxa"/>
          </w:tcPr>
          <w:p w14:paraId="6742DA6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MSE</w:t>
            </w:r>
          </w:p>
        </w:tc>
      </w:tr>
      <w:tr w:rsidR="00D53FFF" w14:paraId="52A2D29D" w14:textId="77777777">
        <w:tc>
          <w:tcPr>
            <w:tcW w:w="2366" w:type="dxa"/>
          </w:tcPr>
          <w:p w14:paraId="40960B9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TikTok</w:t>
            </w:r>
          </w:p>
        </w:tc>
        <w:tc>
          <w:tcPr>
            <w:tcW w:w="949" w:type="dxa"/>
          </w:tcPr>
          <w:p w14:paraId="5748777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49" w:type="dxa"/>
          </w:tcPr>
          <w:p w14:paraId="121C5D5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83" w:type="dxa"/>
          </w:tcPr>
          <w:p w14:paraId="65347F4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949" w:type="dxa"/>
          </w:tcPr>
          <w:p w14:paraId="2A04CAD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949" w:type="dxa"/>
          </w:tcPr>
          <w:p w14:paraId="14E6B5C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41</w:t>
            </w:r>
          </w:p>
        </w:tc>
        <w:tc>
          <w:tcPr>
            <w:tcW w:w="528" w:type="dxa"/>
          </w:tcPr>
          <w:p w14:paraId="71D98AE8" w14:textId="77777777" w:rsidR="00D53FFF" w:rsidRDefault="00D53FFF">
            <w:pPr>
              <w:spacing w:after="0" w:line="360" w:lineRule="auto"/>
              <w:jc w:val="both"/>
              <w:rPr>
                <w:rFonts w:ascii="Times New Roman" w:hAnsi="Times New Roman" w:cs="Times New Roman"/>
                <w:sz w:val="20"/>
                <w:szCs w:val="20"/>
              </w:rPr>
            </w:pPr>
          </w:p>
        </w:tc>
        <w:tc>
          <w:tcPr>
            <w:tcW w:w="794" w:type="dxa"/>
          </w:tcPr>
          <w:p w14:paraId="41B2D5C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2.56</w:t>
            </w:r>
          </w:p>
        </w:tc>
        <w:tc>
          <w:tcPr>
            <w:tcW w:w="1461" w:type="dxa"/>
          </w:tcPr>
          <w:p w14:paraId="04BFF19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1E873A96" w14:textId="77777777">
        <w:tc>
          <w:tcPr>
            <w:tcW w:w="2366" w:type="dxa"/>
          </w:tcPr>
          <w:p w14:paraId="4B76BEC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Telegram </w:t>
            </w:r>
          </w:p>
        </w:tc>
        <w:tc>
          <w:tcPr>
            <w:tcW w:w="949" w:type="dxa"/>
          </w:tcPr>
          <w:p w14:paraId="2582C2A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949" w:type="dxa"/>
          </w:tcPr>
          <w:p w14:paraId="24721DAB"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983" w:type="dxa"/>
          </w:tcPr>
          <w:p w14:paraId="48E8E7E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949" w:type="dxa"/>
          </w:tcPr>
          <w:p w14:paraId="2A15B7B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949" w:type="dxa"/>
          </w:tcPr>
          <w:p w14:paraId="1E362B7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47</w:t>
            </w:r>
          </w:p>
        </w:tc>
        <w:tc>
          <w:tcPr>
            <w:tcW w:w="528" w:type="dxa"/>
          </w:tcPr>
          <w:p w14:paraId="1F2F6135" w14:textId="77777777" w:rsidR="00D53FFF" w:rsidRDefault="00D53FFF">
            <w:pPr>
              <w:spacing w:after="0" w:line="360" w:lineRule="auto"/>
              <w:jc w:val="both"/>
              <w:rPr>
                <w:rFonts w:ascii="Times New Roman" w:hAnsi="Times New Roman" w:cs="Times New Roman"/>
                <w:sz w:val="20"/>
                <w:szCs w:val="20"/>
              </w:rPr>
            </w:pPr>
          </w:p>
        </w:tc>
        <w:tc>
          <w:tcPr>
            <w:tcW w:w="794" w:type="dxa"/>
          </w:tcPr>
          <w:p w14:paraId="77B0FF5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2.48</w:t>
            </w:r>
          </w:p>
        </w:tc>
        <w:tc>
          <w:tcPr>
            <w:tcW w:w="1461" w:type="dxa"/>
          </w:tcPr>
          <w:p w14:paraId="5C40018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1D73F000" w14:textId="77777777">
        <w:tc>
          <w:tcPr>
            <w:tcW w:w="2366" w:type="dxa"/>
          </w:tcPr>
          <w:p w14:paraId="44DF5C3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YouTube </w:t>
            </w:r>
          </w:p>
        </w:tc>
        <w:tc>
          <w:tcPr>
            <w:tcW w:w="949" w:type="dxa"/>
          </w:tcPr>
          <w:p w14:paraId="47E18E0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49" w:type="dxa"/>
          </w:tcPr>
          <w:p w14:paraId="3311CF6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983" w:type="dxa"/>
          </w:tcPr>
          <w:p w14:paraId="4D4D57E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949" w:type="dxa"/>
          </w:tcPr>
          <w:p w14:paraId="2B317A4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949" w:type="dxa"/>
          </w:tcPr>
          <w:p w14:paraId="242CD554"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48</w:t>
            </w:r>
          </w:p>
        </w:tc>
        <w:tc>
          <w:tcPr>
            <w:tcW w:w="528" w:type="dxa"/>
          </w:tcPr>
          <w:p w14:paraId="6700C1B1" w14:textId="77777777" w:rsidR="00D53FFF" w:rsidRDefault="00D53FFF">
            <w:pPr>
              <w:spacing w:after="0" w:line="360" w:lineRule="auto"/>
              <w:jc w:val="both"/>
              <w:rPr>
                <w:rFonts w:ascii="Times New Roman" w:hAnsi="Times New Roman" w:cs="Times New Roman"/>
                <w:sz w:val="20"/>
                <w:szCs w:val="20"/>
              </w:rPr>
            </w:pPr>
          </w:p>
        </w:tc>
        <w:tc>
          <w:tcPr>
            <w:tcW w:w="794" w:type="dxa"/>
          </w:tcPr>
          <w:p w14:paraId="23139CC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2.44</w:t>
            </w:r>
          </w:p>
        </w:tc>
        <w:tc>
          <w:tcPr>
            <w:tcW w:w="1461" w:type="dxa"/>
          </w:tcPr>
          <w:p w14:paraId="4271A92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3BBD8272" w14:textId="77777777">
        <w:tc>
          <w:tcPr>
            <w:tcW w:w="2366" w:type="dxa"/>
          </w:tcPr>
          <w:p w14:paraId="03CB02E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Messenger </w:t>
            </w:r>
          </w:p>
        </w:tc>
        <w:tc>
          <w:tcPr>
            <w:tcW w:w="949" w:type="dxa"/>
          </w:tcPr>
          <w:p w14:paraId="1E39FAC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949" w:type="dxa"/>
          </w:tcPr>
          <w:p w14:paraId="315789D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983" w:type="dxa"/>
          </w:tcPr>
          <w:p w14:paraId="065041F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49" w:type="dxa"/>
          </w:tcPr>
          <w:p w14:paraId="4FFE9AE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949" w:type="dxa"/>
          </w:tcPr>
          <w:p w14:paraId="7589A6B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528" w:type="dxa"/>
          </w:tcPr>
          <w:p w14:paraId="3CCEDFE1" w14:textId="77777777" w:rsidR="00D53FFF" w:rsidRDefault="00D53FFF">
            <w:pPr>
              <w:spacing w:after="0" w:line="360" w:lineRule="auto"/>
              <w:jc w:val="both"/>
              <w:rPr>
                <w:rFonts w:ascii="Times New Roman" w:hAnsi="Times New Roman" w:cs="Times New Roman"/>
                <w:sz w:val="20"/>
                <w:szCs w:val="20"/>
              </w:rPr>
            </w:pPr>
          </w:p>
        </w:tc>
        <w:tc>
          <w:tcPr>
            <w:tcW w:w="794" w:type="dxa"/>
          </w:tcPr>
          <w:p w14:paraId="676F833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2.88</w:t>
            </w:r>
          </w:p>
        </w:tc>
        <w:tc>
          <w:tcPr>
            <w:tcW w:w="1461" w:type="dxa"/>
          </w:tcPr>
          <w:p w14:paraId="3C08E17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7EAC5010" w14:textId="77777777">
        <w:tc>
          <w:tcPr>
            <w:tcW w:w="2366" w:type="dxa"/>
          </w:tcPr>
          <w:p w14:paraId="7042137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Twitter (X )</w:t>
            </w:r>
          </w:p>
        </w:tc>
        <w:tc>
          <w:tcPr>
            <w:tcW w:w="949" w:type="dxa"/>
          </w:tcPr>
          <w:p w14:paraId="31F0F9E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949" w:type="dxa"/>
          </w:tcPr>
          <w:p w14:paraId="04B08FC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983" w:type="dxa"/>
          </w:tcPr>
          <w:p w14:paraId="048986B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949" w:type="dxa"/>
          </w:tcPr>
          <w:p w14:paraId="2B02BD47"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949" w:type="dxa"/>
          </w:tcPr>
          <w:p w14:paraId="2324249C"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69</w:t>
            </w:r>
          </w:p>
        </w:tc>
        <w:tc>
          <w:tcPr>
            <w:tcW w:w="528" w:type="dxa"/>
          </w:tcPr>
          <w:p w14:paraId="3C9D4A04" w14:textId="77777777" w:rsidR="00D53FFF" w:rsidRDefault="00D53FFF">
            <w:pPr>
              <w:spacing w:after="0" w:line="360" w:lineRule="auto"/>
              <w:jc w:val="both"/>
              <w:rPr>
                <w:rFonts w:ascii="Times New Roman" w:hAnsi="Times New Roman" w:cs="Times New Roman"/>
                <w:sz w:val="20"/>
                <w:szCs w:val="20"/>
              </w:rPr>
            </w:pPr>
          </w:p>
        </w:tc>
        <w:tc>
          <w:tcPr>
            <w:tcW w:w="794" w:type="dxa"/>
          </w:tcPr>
          <w:p w14:paraId="792D510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1.97</w:t>
            </w:r>
          </w:p>
        </w:tc>
        <w:tc>
          <w:tcPr>
            <w:tcW w:w="1461" w:type="dxa"/>
          </w:tcPr>
          <w:p w14:paraId="5A8A174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r w:rsidR="00D53FFF" w14:paraId="321A1B82" w14:textId="77777777">
        <w:tc>
          <w:tcPr>
            <w:tcW w:w="2366" w:type="dxa"/>
          </w:tcPr>
          <w:p w14:paraId="3388826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LinkedIn </w:t>
            </w:r>
          </w:p>
        </w:tc>
        <w:tc>
          <w:tcPr>
            <w:tcW w:w="949" w:type="dxa"/>
          </w:tcPr>
          <w:p w14:paraId="16FE93C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949" w:type="dxa"/>
          </w:tcPr>
          <w:p w14:paraId="3F7869F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983" w:type="dxa"/>
          </w:tcPr>
          <w:p w14:paraId="09865B23"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949" w:type="dxa"/>
          </w:tcPr>
          <w:p w14:paraId="026313D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949" w:type="dxa"/>
          </w:tcPr>
          <w:p w14:paraId="2DFD4646"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528" w:type="dxa"/>
          </w:tcPr>
          <w:p w14:paraId="687DA81F" w14:textId="77777777" w:rsidR="00D53FFF" w:rsidRDefault="00D53FFF">
            <w:pPr>
              <w:spacing w:after="0" w:line="360" w:lineRule="auto"/>
              <w:jc w:val="both"/>
              <w:rPr>
                <w:rFonts w:ascii="Times New Roman" w:hAnsi="Times New Roman" w:cs="Times New Roman"/>
                <w:sz w:val="20"/>
                <w:szCs w:val="20"/>
              </w:rPr>
            </w:pPr>
          </w:p>
        </w:tc>
        <w:tc>
          <w:tcPr>
            <w:tcW w:w="794" w:type="dxa"/>
          </w:tcPr>
          <w:p w14:paraId="37A7A30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1.95</w:t>
            </w:r>
          </w:p>
        </w:tc>
        <w:tc>
          <w:tcPr>
            <w:tcW w:w="1461" w:type="dxa"/>
          </w:tcPr>
          <w:p w14:paraId="3526F1E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LSE</w:t>
            </w:r>
          </w:p>
        </w:tc>
      </w:tr>
    </w:tbl>
    <w:p w14:paraId="2E9E0ABE"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w:t>
      </w:r>
      <w:r>
        <w:rPr>
          <w:rFonts w:ascii="Times New Roman" w:hAnsi="Times New Roman" w:cs="Times New Roman"/>
          <w:sz w:val="24"/>
          <w:szCs w:val="24"/>
        </w:rPr>
        <w:t xml:space="preserve"> Field Survey Data Analysis, 2025 </w:t>
      </w:r>
      <w:r>
        <w:rPr>
          <w:rFonts w:ascii="Times New Roman" w:hAnsi="Times New Roman" w:cs="Times New Roman"/>
          <w:b/>
          <w:sz w:val="24"/>
          <w:szCs w:val="24"/>
        </w:rPr>
        <w:t>MSE</w:t>
      </w:r>
      <w:r>
        <w:rPr>
          <w:rFonts w:ascii="Times New Roman" w:hAnsi="Times New Roman" w:cs="Times New Roman"/>
          <w:sz w:val="24"/>
          <w:szCs w:val="24"/>
        </w:rPr>
        <w:t xml:space="preserve"> (Most Serious Effect) </w:t>
      </w:r>
      <w:r>
        <w:rPr>
          <w:rFonts w:ascii="Times New Roman" w:hAnsi="Times New Roman" w:cs="Times New Roman"/>
          <w:b/>
          <w:sz w:val="24"/>
          <w:szCs w:val="24"/>
        </w:rPr>
        <w:t>LSE</w:t>
      </w:r>
      <w:r>
        <w:rPr>
          <w:rFonts w:ascii="Times New Roman" w:hAnsi="Times New Roman" w:cs="Times New Roman"/>
          <w:sz w:val="24"/>
          <w:szCs w:val="24"/>
        </w:rPr>
        <w:t xml:space="preserve"> (Least Serious Effect), Mean Effect = 3.0 Serious Effect, Mean Effect &gt; 3.0 Mean Serious Effect, Mean Effect &lt; 3.0 Least Serious Effect </w:t>
      </w:r>
    </w:p>
    <w:p w14:paraId="000EDD90"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 Categorization of the Effect of Social Media Platforms on Sales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94"/>
        <w:gridCol w:w="2303"/>
        <w:gridCol w:w="2119"/>
      </w:tblGrid>
      <w:tr w:rsidR="00D53FFF" w14:paraId="6413D1AB" w14:textId="77777777">
        <w:tc>
          <w:tcPr>
            <w:tcW w:w="2444" w:type="dxa"/>
            <w:tcBorders>
              <w:top w:val="single" w:sz="4" w:space="0" w:color="auto"/>
              <w:bottom w:val="single" w:sz="4" w:space="0" w:color="auto"/>
            </w:tcBorders>
          </w:tcPr>
          <w:p w14:paraId="55569C2D"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Category of Effect</w:t>
            </w:r>
          </w:p>
        </w:tc>
        <w:tc>
          <w:tcPr>
            <w:tcW w:w="2494" w:type="dxa"/>
            <w:tcBorders>
              <w:top w:val="single" w:sz="4" w:space="0" w:color="auto"/>
              <w:bottom w:val="single" w:sz="4" w:space="0" w:color="auto"/>
            </w:tcBorders>
          </w:tcPr>
          <w:p w14:paraId="76B25365"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Frequency </w:t>
            </w:r>
          </w:p>
        </w:tc>
        <w:tc>
          <w:tcPr>
            <w:tcW w:w="2303" w:type="dxa"/>
            <w:tcBorders>
              <w:top w:val="single" w:sz="4" w:space="0" w:color="auto"/>
              <w:bottom w:val="single" w:sz="4" w:space="0" w:color="auto"/>
            </w:tcBorders>
          </w:tcPr>
          <w:p w14:paraId="32364A7F"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Per cent</w:t>
            </w:r>
          </w:p>
        </w:tc>
        <w:tc>
          <w:tcPr>
            <w:tcW w:w="2119" w:type="dxa"/>
            <w:tcBorders>
              <w:top w:val="single" w:sz="4" w:space="0" w:color="auto"/>
              <w:bottom w:val="single" w:sz="4" w:space="0" w:color="auto"/>
            </w:tcBorders>
          </w:tcPr>
          <w:p w14:paraId="67D4A6E7" w14:textId="77777777" w:rsidR="00D53FFF" w:rsidRDefault="007B0606">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Mean Effect</w:t>
            </w:r>
          </w:p>
        </w:tc>
      </w:tr>
      <w:tr w:rsidR="00D53FFF" w14:paraId="2C440FBB" w14:textId="77777777">
        <w:tc>
          <w:tcPr>
            <w:tcW w:w="2444" w:type="dxa"/>
            <w:tcBorders>
              <w:top w:val="single" w:sz="4" w:space="0" w:color="auto"/>
            </w:tcBorders>
          </w:tcPr>
          <w:p w14:paraId="675F809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Most Serious Effect </w:t>
            </w:r>
          </w:p>
        </w:tc>
        <w:tc>
          <w:tcPr>
            <w:tcW w:w="2494" w:type="dxa"/>
            <w:tcBorders>
              <w:top w:val="single" w:sz="4" w:space="0" w:color="auto"/>
            </w:tcBorders>
          </w:tcPr>
          <w:p w14:paraId="55D4D0C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2303" w:type="dxa"/>
            <w:tcBorders>
              <w:top w:val="single" w:sz="4" w:space="0" w:color="auto"/>
            </w:tcBorders>
          </w:tcPr>
          <w:p w14:paraId="605B78A1"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20.00</w:t>
            </w:r>
          </w:p>
        </w:tc>
        <w:tc>
          <w:tcPr>
            <w:tcW w:w="2119" w:type="dxa"/>
            <w:tcBorders>
              <w:top w:val="single" w:sz="4" w:space="0" w:color="auto"/>
            </w:tcBorders>
          </w:tcPr>
          <w:p w14:paraId="302F93C1" w14:textId="77777777" w:rsidR="00D53FFF" w:rsidRDefault="00D53FFF">
            <w:pPr>
              <w:spacing w:after="0" w:line="360" w:lineRule="auto"/>
              <w:jc w:val="both"/>
              <w:rPr>
                <w:rFonts w:ascii="Times New Roman" w:hAnsi="Times New Roman" w:cs="Times New Roman"/>
                <w:sz w:val="20"/>
                <w:szCs w:val="20"/>
              </w:rPr>
            </w:pPr>
          </w:p>
        </w:tc>
      </w:tr>
      <w:tr w:rsidR="00D53FFF" w14:paraId="1F8AD576" w14:textId="77777777">
        <w:tc>
          <w:tcPr>
            <w:tcW w:w="2444" w:type="dxa"/>
          </w:tcPr>
          <w:p w14:paraId="4A1C50C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Least Serious Effect</w:t>
            </w:r>
          </w:p>
        </w:tc>
        <w:tc>
          <w:tcPr>
            <w:tcW w:w="2494" w:type="dxa"/>
          </w:tcPr>
          <w:p w14:paraId="3B52AB18"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96</w:t>
            </w:r>
          </w:p>
        </w:tc>
        <w:tc>
          <w:tcPr>
            <w:tcW w:w="2303" w:type="dxa"/>
          </w:tcPr>
          <w:p w14:paraId="6D7A8D49"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80.00</w:t>
            </w:r>
          </w:p>
        </w:tc>
        <w:tc>
          <w:tcPr>
            <w:tcW w:w="2119" w:type="dxa"/>
          </w:tcPr>
          <w:p w14:paraId="118B13FF"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2.45</w:t>
            </w:r>
          </w:p>
        </w:tc>
      </w:tr>
      <w:tr w:rsidR="00D53FFF" w14:paraId="6852016C" w14:textId="77777777">
        <w:tc>
          <w:tcPr>
            <w:tcW w:w="2444" w:type="dxa"/>
          </w:tcPr>
          <w:p w14:paraId="2C2BCFB5"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Serious Effect</w:t>
            </w:r>
          </w:p>
        </w:tc>
        <w:tc>
          <w:tcPr>
            <w:tcW w:w="2494" w:type="dxa"/>
          </w:tcPr>
          <w:p w14:paraId="27CC234E"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w:t>
            </w:r>
          </w:p>
        </w:tc>
        <w:tc>
          <w:tcPr>
            <w:tcW w:w="2303" w:type="dxa"/>
          </w:tcPr>
          <w:p w14:paraId="5D7324ED"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0.00</w:t>
            </w:r>
          </w:p>
        </w:tc>
        <w:tc>
          <w:tcPr>
            <w:tcW w:w="2119" w:type="dxa"/>
          </w:tcPr>
          <w:p w14:paraId="255C7DC7" w14:textId="77777777" w:rsidR="00D53FFF" w:rsidRDefault="00D53FFF">
            <w:pPr>
              <w:spacing w:after="0" w:line="360" w:lineRule="auto"/>
              <w:jc w:val="both"/>
              <w:rPr>
                <w:rFonts w:ascii="Times New Roman" w:hAnsi="Times New Roman" w:cs="Times New Roman"/>
                <w:sz w:val="20"/>
                <w:szCs w:val="20"/>
              </w:rPr>
            </w:pPr>
          </w:p>
        </w:tc>
      </w:tr>
      <w:tr w:rsidR="00D53FFF" w14:paraId="56EEA0F5" w14:textId="77777777">
        <w:tc>
          <w:tcPr>
            <w:tcW w:w="2444" w:type="dxa"/>
          </w:tcPr>
          <w:p w14:paraId="2D0D8D0A"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Total </w:t>
            </w:r>
          </w:p>
        </w:tc>
        <w:tc>
          <w:tcPr>
            <w:tcW w:w="2494" w:type="dxa"/>
          </w:tcPr>
          <w:p w14:paraId="7BE87552"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120</w:t>
            </w:r>
          </w:p>
        </w:tc>
        <w:tc>
          <w:tcPr>
            <w:tcW w:w="2303" w:type="dxa"/>
          </w:tcPr>
          <w:p w14:paraId="1FE9CFF0" w14:textId="77777777" w:rsidR="00D53FFF" w:rsidRDefault="007B0606">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2119" w:type="dxa"/>
          </w:tcPr>
          <w:p w14:paraId="67DAFB7C" w14:textId="77777777" w:rsidR="00D53FFF" w:rsidRDefault="00D53FFF">
            <w:pPr>
              <w:spacing w:after="0" w:line="360" w:lineRule="auto"/>
              <w:jc w:val="both"/>
              <w:rPr>
                <w:rFonts w:ascii="Times New Roman" w:hAnsi="Times New Roman" w:cs="Times New Roman"/>
                <w:sz w:val="20"/>
                <w:szCs w:val="20"/>
              </w:rPr>
            </w:pPr>
          </w:p>
        </w:tc>
      </w:tr>
    </w:tbl>
    <w:p w14:paraId="1BA1B9D6"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Data, 2025</w:t>
      </w:r>
    </w:p>
    <w:p w14:paraId="266310A0"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from Table 4 and Table 5 provide insightful information on the perceived effect of various social media platforms on the quantity of poultry eggs sold among youths in the study area. In Table 4, only Facebook (mean = 3.23) and WhatsApp (mean = 3.10) recorded mean effect indices above the benchmark of 3.0, classifying them as having the Most Serious Effect on sales. Other platforms, Instagram (1.87), Snapchat (1.97), TikTok (2.56), Telegram (2.48), YouTube (2.44), Messenger (2.88), Twitter (X) (1</w:t>
      </w:r>
      <w:r>
        <w:rPr>
          <w:rFonts w:ascii="Times New Roman" w:hAnsi="Times New Roman" w:cs="Times New Roman"/>
          <w:sz w:val="24"/>
          <w:szCs w:val="24"/>
        </w:rPr>
        <w:t>.97), and LinkedIn (1.95), all had mean scores below 3.0, indicating a Least Serious Effect.</w:t>
      </w:r>
    </w:p>
    <w:p w14:paraId="41818159"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 overall mean effect index across all ten social media platforms stood at 2.45. This relatively low overall score is further confirmed in Table 5, which shows that the majority of respondents (96 out of 120, representing 80.0%) rated the effect of social media platforms on sales as Least Serious Effect, while only 24 respondents (20.0%) perceived it as Most Serious Effect. No respondent rated the effect as Serious Effect (mean = 3.0).</w:t>
      </w:r>
    </w:p>
    <w:p w14:paraId="204C0827"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These findings reveal a clear polarization in the use and perceived effectiveness of social media for egg marketing. While Facebook and WhatsApp demonstrated strong potential to drive sales, the majority of other platforms contributed minimally to increasing the quantity of eggs sold. The low overall mean effect (2.45) suggests that youths in the study area are not fully harnessing the diverse range of social media tools available to them for agricultural marketing purposes.</w:t>
      </w:r>
    </w:p>
    <w:p w14:paraId="1FE18B53"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heavy reliance on only two platforms (Facebook and WhatsApp) and the underutilization of others may be attributed to limited digital marketing skills, insufficient training, and low awareness of how to effectively leverage different platforms for business growth. This pattern aligns with Karanja </w:t>
      </w:r>
      <w:r>
        <w:rPr>
          <w:rFonts w:ascii="Times New Roman" w:hAnsi="Times New Roman" w:cs="Times New Roman"/>
          <w:i/>
          <w:sz w:val="24"/>
          <w:szCs w:val="24"/>
        </w:rPr>
        <w:t>et al.</w:t>
      </w:r>
      <w:r>
        <w:rPr>
          <w:rFonts w:ascii="Times New Roman" w:hAnsi="Times New Roman" w:cs="Times New Roman"/>
          <w:sz w:val="24"/>
          <w:szCs w:val="24"/>
        </w:rPr>
        <w:t xml:space="preserve"> (2023) and Oyeniyi (2025), who noted that many smallholder farmers and rural youths encounter significant challenges, such as inadequate training and low awareness of social media marketing strategies. These barriers often lead to hesitation in adopting multiple digital tools, resulting in underutilization and minimal perceived impact on sales performance.</w:t>
      </w:r>
    </w:p>
    <w:p w14:paraId="2AAAA9BF"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Overall, the results indicate that although social media has potential for enhancing agricultural product sales, its current impact remains limited in the study area, with effectiveness largely concentrated on Facebook and WhatsApp. There is a clear need for targeted training and capacity building to enable youths to maximize the benefits of various social media platforms for improving egg sales and overall agribusiness performance.</w:t>
      </w:r>
    </w:p>
    <w:p w14:paraId="703EDFDF" w14:textId="77777777" w:rsidR="00D53FFF" w:rsidRDefault="007B06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Limitations</w:t>
      </w:r>
    </w:p>
    <w:p w14:paraId="371F65E6"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contributions of this study, certain limitations should be acknowledged. First, the study relied primarily on cross-sectional survey data collected at a single point in time, which limits the ability to establish causal relationships between explanatory variables and willingness to exploit social media platforms.</w:t>
      </w:r>
    </w:p>
    <w:p w14:paraId="4A94F402"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Second, the study focused exclusively on youths involved in poultry egg marketing within selected states in the South-East of Nigeria. Consequently, the findings may not be fully generalizable to other regions, age categories, or agricultural value chains.</w:t>
      </w:r>
    </w:p>
    <w:p w14:paraId="4F61C731"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Thirdly, the willingness-to-exploit index was constructed using weighted behavioral indicators derived from established technology-adoption theories and previous empirical studies. Although efforts were made to ensure theoretical consistency and measurement reliability, behavioral willingness remains partly subjective and may vary across contexts and technological environments.</w:t>
      </w:r>
    </w:p>
    <w:p w14:paraId="7523942A"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Finally, respondents’ answers were based largely on self-reported perceptions, which may be affected by response bias or overstatement of actual digital engagement.</w:t>
      </w:r>
    </w:p>
    <w:p w14:paraId="70F808A4"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Future studies may employ longitudinal data, broader geographic coverage, and advanced behavioral modeling techniques to provide deeper insights into digital technology utilization in agricultural marketing.</w:t>
      </w:r>
    </w:p>
    <w:p w14:paraId="76705F4E" w14:textId="77777777" w:rsidR="00D53FFF" w:rsidRDefault="00D53FFF">
      <w:pPr>
        <w:spacing w:line="360" w:lineRule="auto"/>
        <w:jc w:val="both"/>
        <w:rPr>
          <w:rFonts w:ascii="Times New Roman" w:hAnsi="Times New Roman" w:cs="Times New Roman"/>
          <w:sz w:val="24"/>
          <w:szCs w:val="24"/>
        </w:rPr>
      </w:pPr>
    </w:p>
    <w:p w14:paraId="50052A8C" w14:textId="77777777" w:rsidR="00D53FFF" w:rsidRDefault="007B06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AND RECOMMENDATIONS </w:t>
      </w:r>
    </w:p>
    <w:p w14:paraId="713E1665" w14:textId="77777777"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concludes that youths in the South-East of Nigeria exhibit generally low willingness to exploit social media platforms for poultry egg marketing, as reflected by the low willingness to adopt index. Unlocking its full potential requires strengthening digital capacity, improving </w:t>
      </w:r>
      <w:r>
        <w:rPr>
          <w:rFonts w:ascii="Times New Roman" w:hAnsi="Times New Roman" w:cs="Times New Roman"/>
          <w:sz w:val="24"/>
          <w:szCs w:val="24"/>
        </w:rPr>
        <w:lastRenderedPageBreak/>
        <w:t>affordability of internet services, and promoting broader, more strategic use of multiple platforms. Enhancing these areas will increase youths’ participation in agribusiness, improve marketing efficiency, and support sustainable income generation in the agricultural sector.</w:t>
      </w:r>
    </w:p>
    <w:p w14:paraId="7FFA6692" w14:textId="77777777" w:rsidR="0052605E" w:rsidRDefault="0052605E">
      <w:pPr>
        <w:spacing w:line="360" w:lineRule="auto"/>
        <w:jc w:val="both"/>
        <w:rPr>
          <w:rFonts w:ascii="Times New Roman" w:hAnsi="Times New Roman" w:cs="Times New Roman"/>
          <w:b/>
          <w:sz w:val="24"/>
          <w:szCs w:val="24"/>
        </w:rPr>
      </w:pPr>
      <w:r w:rsidRPr="0052605E">
        <w:rPr>
          <w:rFonts w:ascii="Times New Roman" w:hAnsi="Times New Roman" w:cs="Times New Roman"/>
          <w:b/>
          <w:sz w:val="24"/>
          <w:szCs w:val="24"/>
        </w:rPr>
        <w:t>Ethical Approval and Consent:</w:t>
      </w:r>
    </w:p>
    <w:p w14:paraId="75EE2337" w14:textId="347ECFE5" w:rsidR="00D53FFF" w:rsidRDefault="007B06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conducted in full compliance with established ethical standards and received approval from the Institutional Review Board of the Department of Agricultural Economics, School of Agriculture and Agricultural Technology, Federal University of Technology, Owerri, Imo State, Nigeria, under protocol number [AEC/B/0045], dated 26 August 2025. Before participation, all respondents provided informed verbal consent. Confidentiality and privacy were rigorously safeguarded through data anonymization and </w:t>
      </w:r>
      <w:r>
        <w:rPr>
          <w:rFonts w:ascii="Times New Roman" w:hAnsi="Times New Roman" w:cs="Times New Roman"/>
          <w:sz w:val="24"/>
          <w:szCs w:val="24"/>
        </w:rPr>
        <w:t xml:space="preserve">secure handling procedures at all stages of the research process. </w:t>
      </w:r>
    </w:p>
    <w:p w14:paraId="1A7D041B" w14:textId="77777777" w:rsidR="00D53FFF" w:rsidRDefault="007B0606">
      <w:pPr>
        <w:jc w:val="both"/>
        <w:outlineLvl w:val="0"/>
        <w:rPr>
          <w:rFonts w:ascii="Arial" w:hAnsi="Arial" w:cs="Arial"/>
        </w:rPr>
      </w:pPr>
      <w:r>
        <w:rPr>
          <w:rFonts w:ascii="Arial" w:hAnsi="Arial" w:cs="Arial"/>
          <w:b/>
          <w:bCs/>
        </w:rPr>
        <w:t>COMPETING INTERESTS DISCLAIMER:</w:t>
      </w:r>
    </w:p>
    <w:p w14:paraId="49133203" w14:textId="77777777" w:rsidR="00D53FFF" w:rsidRDefault="007B0606">
      <w:r>
        <w:t>Authors have declared that they have no known competing financial interests OR non-financial interests OR personal relationships that could have appeared to influence the work reported in this paper.</w:t>
      </w:r>
    </w:p>
    <w:p w14:paraId="00726B65" w14:textId="77777777" w:rsidR="00D53FFF" w:rsidRDefault="00D53FFF"/>
    <w:p w14:paraId="408EAE0D" w14:textId="77777777" w:rsidR="00D53FFF" w:rsidRDefault="007B0606">
      <w:pPr>
        <w:spacing w:after="0" w:line="240" w:lineRule="auto"/>
        <w:rPr>
          <w:rFonts w:ascii="Times New Roman" w:eastAsia="Calibri" w:hAnsi="Times New Roman" w:cs="Times New Roman"/>
          <w:b/>
          <w:kern w:val="2"/>
        </w:rPr>
      </w:pPr>
      <w:bookmarkStart w:id="4" w:name="_Hlk198031404"/>
      <w:r>
        <w:rPr>
          <w:rFonts w:ascii="Times New Roman" w:eastAsia="Calibri" w:hAnsi="Times New Roman" w:cs="Times New Roman"/>
          <w:b/>
          <w:kern w:val="2"/>
        </w:rPr>
        <w:t>Disclaimer (Artificial intelligence)</w:t>
      </w:r>
    </w:p>
    <w:p w14:paraId="3CB7F095" w14:textId="77777777" w:rsidR="00D53FFF" w:rsidRDefault="00D53FFF">
      <w:pPr>
        <w:spacing w:after="0" w:line="240" w:lineRule="auto"/>
        <w:rPr>
          <w:rFonts w:ascii="Times New Roman" w:eastAsia="Calibri" w:hAnsi="Times New Roman" w:cs="Times New Roman"/>
          <w:kern w:val="2"/>
          <w:highlight w:val="yellow"/>
        </w:rPr>
      </w:pPr>
    </w:p>
    <w:p w14:paraId="77954A7C" w14:textId="77777777" w:rsidR="00D53FFF" w:rsidRDefault="007B0606">
      <w:pPr>
        <w:spacing w:after="0" w:line="240" w:lineRule="auto"/>
        <w:rPr>
          <w:rFonts w:ascii="Times New Roman" w:eastAsia="Calibri" w:hAnsi="Times New Roman" w:cs="Times New Roman"/>
          <w:kern w:val="2"/>
        </w:rPr>
      </w:pPr>
      <w:r>
        <w:rPr>
          <w:rFonts w:ascii="Times New Roman" w:eastAsia="Calibri" w:hAnsi="Times New Roman"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4"/>
    <w:p w14:paraId="35576664" w14:textId="77777777" w:rsidR="00D53FFF" w:rsidRDefault="00D53FFF"/>
    <w:p w14:paraId="74FFE12B" w14:textId="77777777" w:rsidR="00D53FFF" w:rsidRDefault="00D53FFF">
      <w:pPr>
        <w:spacing w:line="360" w:lineRule="auto"/>
        <w:jc w:val="both"/>
        <w:rPr>
          <w:rFonts w:ascii="Times New Roman" w:hAnsi="Times New Roman" w:cs="Times New Roman"/>
          <w:sz w:val="24"/>
          <w:szCs w:val="24"/>
        </w:rPr>
      </w:pPr>
    </w:p>
    <w:p w14:paraId="176E1C78" w14:textId="77777777" w:rsidR="00D53FFF" w:rsidRDefault="007B0606">
      <w:pPr>
        <w:spacing w:after="100" w:afterAutospacing="1" w:line="360" w:lineRule="auto"/>
        <w:ind w:right="26"/>
        <w:jc w:val="both"/>
        <w:rPr>
          <w:rFonts w:ascii="Times New Roman" w:eastAsia="Calibri" w:hAnsi="Times New Roman" w:cs="Times New Roman"/>
          <w:b/>
          <w:sz w:val="24"/>
          <w:szCs w:val="24"/>
        </w:rPr>
      </w:pPr>
      <w:r>
        <w:rPr>
          <w:rFonts w:ascii="Times New Roman" w:eastAsia="Calibri" w:hAnsi="Times New Roman" w:cs="Times New Roman"/>
          <w:b/>
          <w:sz w:val="24"/>
          <w:szCs w:val="24"/>
        </w:rPr>
        <w:t>REFERENCES</w:t>
      </w:r>
    </w:p>
    <w:p w14:paraId="7646E628"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Adekoya, A. (2017). Economic diversification: Youths and agriculture. Retrieved February 13, 2018, from https://tushmagazine.com.ng/economic-youths-agriculture/</w:t>
      </w:r>
    </w:p>
    <w:p w14:paraId="18F88013"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Akintunde, M. A. O., &amp; Oladele, O. I. (2019). Use of information communication technologies among agricultural extension officers in Lesotho. </w:t>
      </w:r>
      <w:r>
        <w:rPr>
          <w:rFonts w:ascii="Times New Roman" w:hAnsi="Times New Roman" w:cs="Times New Roman"/>
          <w:i/>
          <w:sz w:val="24"/>
          <w:szCs w:val="24"/>
        </w:rPr>
        <w:t>Journal of Agricultural Extension</w:t>
      </w:r>
      <w:r>
        <w:rPr>
          <w:rFonts w:ascii="Times New Roman" w:hAnsi="Times New Roman" w:cs="Times New Roman"/>
          <w:sz w:val="24"/>
          <w:szCs w:val="24"/>
        </w:rPr>
        <w:t>, 23(3), 50–65.</w:t>
      </w:r>
    </w:p>
    <w:p w14:paraId="10560FFA"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Alalwan, A. A., Dwivedi, Y. K., Rana, N. P., &amp; Algharabat, R. (2018). Examining factors influencing Jordanian customers’ intentions and adoption of internet banking: Extending UTAUT2 with risk.</w:t>
      </w:r>
      <w:r>
        <w:rPr>
          <w:rFonts w:ascii="Times New Roman" w:hAnsi="Times New Roman" w:cs="Times New Roman"/>
          <w:i/>
          <w:iCs/>
          <w:sz w:val="24"/>
          <w:szCs w:val="24"/>
        </w:rPr>
        <w:t> Journal of Retailing and Consumer Services</w:t>
      </w:r>
      <w:r>
        <w:rPr>
          <w:rFonts w:ascii="Times New Roman" w:hAnsi="Times New Roman" w:cs="Times New Roman"/>
          <w:sz w:val="24"/>
          <w:szCs w:val="24"/>
        </w:rPr>
        <w:t>, 40, 125-138. </w:t>
      </w:r>
      <w:hyperlink r:id="rId7" w:history="1">
        <w:r w:rsidR="00D53FFF">
          <w:rPr>
            <w:rStyle w:val="Hyperlink"/>
            <w:rFonts w:ascii="Times New Roman" w:hAnsi="Times New Roman" w:cs="Times New Roman"/>
            <w:sz w:val="24"/>
            <w:szCs w:val="24"/>
          </w:rPr>
          <w:t>https://doi.org/10.1016/j.jretconser.2017.08.026.</w:t>
        </w:r>
      </w:hyperlink>
    </w:p>
    <w:p w14:paraId="50AFB0B4"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Davis, F. D. (1989). Perceived usefulness, perceived ease of use, and user acceptance of information technology. MIS Quarterly, 13(3), 319–340. </w:t>
      </w:r>
      <w:hyperlink r:id="rId8" w:tgtFrame="_new" w:history="1">
        <w:r w:rsidR="00D53FFF">
          <w:rPr>
            <w:rFonts w:ascii="Times New Roman" w:hAnsi="Times New Roman" w:cs="Times New Roman"/>
            <w:sz w:val="24"/>
            <w:szCs w:val="24"/>
          </w:rPr>
          <w:t>https://doi.org/10.2307/249008</w:t>
        </w:r>
      </w:hyperlink>
    </w:p>
    <w:p w14:paraId="7F1ABCC8"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Dixon, S. (2023). Number of social media users worldwide from 2017 to 2027. Statista. Retrieved July 2024, from https://www.statista.com/statistics/278414/number-of-worldwide-social-network-users/</w:t>
      </w:r>
    </w:p>
    <w:p w14:paraId="3FC94B3A"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Eze, S. C., Chinedu-Eze, V. C., Bello, A., Olatunji, S., &amp; Okike, C. J. (2019). Mobile marketing technology adoption in service SMEs: A multi-perspective framework. </w:t>
      </w:r>
      <w:r>
        <w:rPr>
          <w:rFonts w:ascii="Times New Roman" w:hAnsi="Times New Roman" w:cs="Times New Roman"/>
          <w:i/>
          <w:sz w:val="24"/>
          <w:szCs w:val="24"/>
        </w:rPr>
        <w:t>Journal of Science and Technology Policy Management</w:t>
      </w:r>
      <w:r>
        <w:rPr>
          <w:rFonts w:ascii="Times New Roman" w:hAnsi="Times New Roman" w:cs="Times New Roman"/>
          <w:sz w:val="24"/>
          <w:szCs w:val="24"/>
        </w:rPr>
        <w:t>, 10(3), 569–596.</w:t>
      </w:r>
    </w:p>
    <w:p w14:paraId="2857D29A"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Falola, A., Mukaila, R., &amp; Kudabo, A. M. (2021). Economic effect of social media on small-scale poultry farmers: Evidence from Nigeria. </w:t>
      </w:r>
      <w:r>
        <w:rPr>
          <w:rFonts w:ascii="Times New Roman" w:hAnsi="Times New Roman" w:cs="Times New Roman"/>
          <w:i/>
          <w:sz w:val="24"/>
          <w:szCs w:val="24"/>
        </w:rPr>
        <w:t>International Journal of Agricultural Science, Research and Technology in Extension and Education Systems</w:t>
      </w:r>
      <w:r>
        <w:rPr>
          <w:rFonts w:ascii="Times New Roman" w:hAnsi="Times New Roman" w:cs="Times New Roman"/>
          <w:sz w:val="24"/>
          <w:szCs w:val="24"/>
        </w:rPr>
        <w:t>, 11(3), 163–172.</w:t>
      </w:r>
    </w:p>
    <w:p w14:paraId="4C373250"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Hilman, F. (2021). Feasibility of breeding laying chickens (Gallus sp.) (Unpublished thesis). Siliwangi University, Tasikmalaya.</w:t>
      </w:r>
    </w:p>
    <w:p w14:paraId="7C921521"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Ibe, J. C., Okoh, T. C., Arua, R. N., Opata, P. I., &amp; Obuna, U. O. (2022). Economic analysis of cashew nut marketing in Udi Local Government Area, Enugu State, Nigeria. </w:t>
      </w:r>
      <w:r>
        <w:rPr>
          <w:rFonts w:ascii="Times New Roman" w:hAnsi="Times New Roman" w:cs="Times New Roman"/>
          <w:i/>
          <w:sz w:val="24"/>
          <w:szCs w:val="24"/>
        </w:rPr>
        <w:t>Agro-Science Journal of Tropical Agriculture, Food, Environment and Extension</w:t>
      </w:r>
      <w:r>
        <w:rPr>
          <w:rFonts w:ascii="Times New Roman" w:hAnsi="Times New Roman" w:cs="Times New Roman"/>
          <w:sz w:val="24"/>
          <w:szCs w:val="24"/>
        </w:rPr>
        <w:t>, 21(4), 34–40.</w:t>
      </w:r>
    </w:p>
    <w:p w14:paraId="0B418CAD"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Ibrahim, A., Obida, A., Braimah, A., David, O. L., Ummul, B., &amp; David, F. R. (2025). Assessment of adoption of social media marketing among farmers in Nasarawa State, Nigeria. </w:t>
      </w:r>
      <w:r>
        <w:rPr>
          <w:rFonts w:ascii="Times New Roman" w:hAnsi="Times New Roman" w:cs="Times New Roman"/>
          <w:i/>
          <w:sz w:val="24"/>
          <w:szCs w:val="24"/>
        </w:rPr>
        <w:t>Abuja Journal of Agriculture and Environment</w:t>
      </w:r>
      <w:r>
        <w:rPr>
          <w:rFonts w:ascii="Times New Roman" w:hAnsi="Times New Roman" w:cs="Times New Roman"/>
          <w:sz w:val="24"/>
          <w:szCs w:val="24"/>
        </w:rPr>
        <w:t>, 5(1), 134–148.</w:t>
      </w:r>
    </w:p>
    <w:p w14:paraId="6CBE7BB9"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Ikuemonisan, E. S., Mafimisebi, T. E., Ajibefun, I. A., Akinbola, A. E., &amp; Oladoyin, O. P. (2022). Analysis of youths’ willingness to exploit agribusiness opportunities in Nigeria with entrepreneurship as a moderating variable. Businesses, 2(2), 168–187.</w:t>
      </w:r>
    </w:p>
    <w:p w14:paraId="629D4EDB"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Inegbedion, H., Inegbedion, E., Asaleye, A., Obadiaru, E., &amp; Asamu, F. (2020). Use of social media in the marketing of agricultural products and farmers’ turnover in South-South Nigeria. F1000Research, 9, 1220.</w:t>
      </w:r>
    </w:p>
    <w:p w14:paraId="47E72211"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Karanja, J., Kamau, G., &amp; Mwangi, M. (2023). Barriers to social media adoption in agricultural marketing in Kenya: Insights from rural farmers. </w:t>
      </w:r>
      <w:r>
        <w:rPr>
          <w:rFonts w:ascii="Times New Roman" w:hAnsi="Times New Roman" w:cs="Times New Roman"/>
          <w:i/>
          <w:sz w:val="24"/>
          <w:szCs w:val="24"/>
        </w:rPr>
        <w:t>African Journal of Agricultural Research</w:t>
      </w:r>
      <w:r>
        <w:rPr>
          <w:rFonts w:ascii="Times New Roman" w:hAnsi="Times New Roman" w:cs="Times New Roman"/>
          <w:sz w:val="24"/>
          <w:szCs w:val="24"/>
        </w:rPr>
        <w:t>, 18(1), 21–29.</w:t>
      </w:r>
    </w:p>
    <w:p w14:paraId="0912BF58"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Madu, J. A., Lemchi, J. I., Eze, C. C., Emenyonu, C. A., Nwosu, F. O., &amp; Anyiam, K. H. (2024). Determinants of domestic trade barriers in yam marketing in South-East Nigeria. </w:t>
      </w:r>
      <w:r>
        <w:rPr>
          <w:rFonts w:ascii="Times New Roman" w:hAnsi="Times New Roman" w:cs="Times New Roman"/>
          <w:i/>
          <w:sz w:val="24"/>
          <w:szCs w:val="24"/>
        </w:rPr>
        <w:t>International Journal of Agriculture, Management and Technology</w:t>
      </w:r>
      <w:r>
        <w:rPr>
          <w:rFonts w:ascii="Times New Roman" w:hAnsi="Times New Roman" w:cs="Times New Roman"/>
          <w:sz w:val="24"/>
          <w:szCs w:val="24"/>
        </w:rPr>
        <w:t>, 8(1), 897–903.</w:t>
      </w:r>
    </w:p>
    <w:p w14:paraId="2F434C4A"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Maulana, Z., Hamzah, M. N. M., Kusuma, W. M., &amp; Faikatushalihat. (2023). Demand and supply of chicken egg in South Sulawesi</w:t>
      </w:r>
      <w:r>
        <w:rPr>
          <w:rFonts w:ascii="Times New Roman" w:hAnsi="Times New Roman" w:cs="Times New Roman"/>
          <w:i/>
          <w:sz w:val="24"/>
          <w:szCs w:val="24"/>
        </w:rPr>
        <w:t>. Journal of Advanced Zoology</w:t>
      </w:r>
      <w:r>
        <w:rPr>
          <w:rFonts w:ascii="Times New Roman" w:hAnsi="Times New Roman" w:cs="Times New Roman"/>
          <w:sz w:val="24"/>
          <w:szCs w:val="24"/>
        </w:rPr>
        <w:t>, 44(4), 768–773.</w:t>
      </w:r>
    </w:p>
    <w:p w14:paraId="43D28B00"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National Population Commission. (2021). Report on estimated population figure for South East Nigeria.</w:t>
      </w:r>
    </w:p>
    <w:p w14:paraId="7F2B49DA"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National Bureau of Statistics. (2019). Annual report bulletin.</w:t>
      </w:r>
    </w:p>
    <w:p w14:paraId="3ABD1BA5"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Nnaji, J. N., Idu, E. E., Ajah, A., &amp; Alabi, T. (2021). Determinants of social media usage in agriculture among youths in the Federal Capital Territory, Abuja. </w:t>
      </w:r>
      <w:r>
        <w:rPr>
          <w:rFonts w:ascii="Times New Roman" w:hAnsi="Times New Roman" w:cs="Times New Roman"/>
          <w:i/>
          <w:sz w:val="24"/>
          <w:szCs w:val="24"/>
        </w:rPr>
        <w:t>Direct Research Journal of Agriculture and Food Science</w:t>
      </w:r>
      <w:r>
        <w:rPr>
          <w:rFonts w:ascii="Times New Roman" w:hAnsi="Times New Roman" w:cs="Times New Roman"/>
          <w:sz w:val="24"/>
          <w:szCs w:val="24"/>
        </w:rPr>
        <w:t>, 9(1), 36–41.</w:t>
      </w:r>
    </w:p>
    <w:p w14:paraId="03DA4EB4"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National Population Commission. (2024). Nigeria demographic and health survey (NDHS) 2023–24: Key indicators report. National Population Commission, Federal Ministry of Health, and The DHS Program.</w:t>
      </w:r>
    </w:p>
    <w:p w14:paraId="690A06FC"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Oyeniyi, A. (2025, February 28). How Nigerian farmers are using social media to sell their produce: Exploring how Nigerian farmers utilize social media to boost produce sales. Patriot. https://patriot.ng/2025/02/28/how-nigerian-farmers-are-using-social-media-to-sell-their-produce/</w:t>
      </w:r>
    </w:p>
    <w:p w14:paraId="40BAE935"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Putritamara, J. A., Febrianto, N., &amp; Ndaru, P. H. (2018). Beef cattle marketing strategy at PT Tunas Jaya Raya Abadi Nganjuk. </w:t>
      </w:r>
      <w:r>
        <w:rPr>
          <w:rFonts w:ascii="Times New Roman" w:hAnsi="Times New Roman" w:cs="Times New Roman"/>
          <w:i/>
          <w:sz w:val="24"/>
          <w:szCs w:val="24"/>
        </w:rPr>
        <w:t>Indonesian Journal of Animal Sciences</w:t>
      </w:r>
      <w:r>
        <w:rPr>
          <w:rFonts w:ascii="Times New Roman" w:hAnsi="Times New Roman" w:cs="Times New Roman"/>
          <w:sz w:val="24"/>
          <w:szCs w:val="24"/>
        </w:rPr>
        <w:t>, 28(2), 96–104.</w:t>
      </w:r>
    </w:p>
    <w:p w14:paraId="5D91732A"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Rogers, E. M. (2003). Diffusion of innovations (5th ed.). Free Press. ISBN: 9780743222099.https://openlibrary.org/books/OL15577453M/Diffusion_of_innovations?</w:t>
      </w:r>
    </w:p>
    <w:p w14:paraId="2FFBF517"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Tijani, S. A. (2023). Effects of social media on youth involvement in livestock production in Oyo State, Nigeria. </w:t>
      </w:r>
      <w:r>
        <w:rPr>
          <w:rFonts w:ascii="Times New Roman" w:hAnsi="Times New Roman" w:cs="Times New Roman"/>
          <w:i/>
          <w:sz w:val="24"/>
          <w:szCs w:val="24"/>
        </w:rPr>
        <w:t>Agricultura Tropica et Subtropica</w:t>
      </w:r>
      <w:r>
        <w:rPr>
          <w:rFonts w:ascii="Times New Roman" w:hAnsi="Times New Roman" w:cs="Times New Roman"/>
          <w:sz w:val="24"/>
          <w:szCs w:val="24"/>
        </w:rPr>
        <w:t>, 56, 100–108.</w:t>
      </w:r>
    </w:p>
    <w:p w14:paraId="6FF63D3B"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Venkatesh, V., Morris, M. G., Davis, G. B., &amp; Davis, F. D. (2003). User acceptance of information technology: Toward a unified view. MIS Quarterly, 27(3), 425–478. </w:t>
      </w:r>
      <w:hyperlink r:id="rId9" w:tgtFrame="_new" w:history="1">
        <w:r w:rsidR="00D53FFF">
          <w:rPr>
            <w:rFonts w:ascii="Times New Roman" w:hAnsi="Times New Roman" w:cs="Times New Roman"/>
            <w:sz w:val="24"/>
            <w:szCs w:val="24"/>
          </w:rPr>
          <w:t>https://doi.org/10.2307/30036540</w:t>
        </w:r>
      </w:hyperlink>
    </w:p>
    <w:p w14:paraId="54980462" w14:textId="77777777" w:rsidR="00D53FFF" w:rsidRDefault="007B0606">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World Bank. (2019). Nigeria Digital Economy Diagnostic Report. World Bank Group.</w:t>
      </w:r>
    </w:p>
    <w:p w14:paraId="66ECF87E" w14:textId="77777777" w:rsidR="00D53FFF" w:rsidRDefault="00D53FFF">
      <w:pPr>
        <w:spacing w:line="240" w:lineRule="auto"/>
        <w:ind w:left="720" w:hanging="720"/>
        <w:rPr>
          <w:rFonts w:ascii="Times New Roman" w:hAnsi="Times New Roman" w:cs="Times New Roman"/>
          <w:sz w:val="24"/>
          <w:szCs w:val="24"/>
        </w:rPr>
      </w:pPr>
    </w:p>
    <w:p w14:paraId="2C05F242" w14:textId="77777777" w:rsidR="00D53FFF" w:rsidRDefault="00D53FFF">
      <w:pPr>
        <w:spacing w:after="100" w:afterAutospacing="1" w:line="360" w:lineRule="auto"/>
        <w:ind w:right="26"/>
        <w:jc w:val="both"/>
        <w:rPr>
          <w:rFonts w:ascii="Times New Roman" w:eastAsia="Calibri" w:hAnsi="Times New Roman" w:cs="Times New Roman"/>
          <w:sz w:val="24"/>
          <w:szCs w:val="24"/>
        </w:rPr>
      </w:pPr>
    </w:p>
    <w:sectPr w:rsidR="00D53F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E9A8" w14:textId="77777777" w:rsidR="007B0606" w:rsidRDefault="007B0606">
      <w:pPr>
        <w:spacing w:line="240" w:lineRule="auto"/>
      </w:pPr>
      <w:r>
        <w:separator/>
      </w:r>
    </w:p>
  </w:endnote>
  <w:endnote w:type="continuationSeparator" w:id="0">
    <w:p w14:paraId="3DED3882" w14:textId="77777777" w:rsidR="007B0606" w:rsidRDefault="007B0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EFB7" w14:textId="77777777" w:rsidR="00D53FFF" w:rsidRDefault="00D5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92DC" w14:textId="77777777" w:rsidR="00D53FFF" w:rsidRDefault="00D53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82B2" w14:textId="77777777" w:rsidR="00D53FFF" w:rsidRDefault="00D5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2235" w14:textId="77777777" w:rsidR="007B0606" w:rsidRDefault="007B0606">
      <w:pPr>
        <w:spacing w:after="0"/>
      </w:pPr>
      <w:r>
        <w:separator/>
      </w:r>
    </w:p>
  </w:footnote>
  <w:footnote w:type="continuationSeparator" w:id="0">
    <w:p w14:paraId="65EAA148" w14:textId="77777777" w:rsidR="007B0606" w:rsidRDefault="007B0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1F6" w14:textId="77777777" w:rsidR="00D53FFF" w:rsidRDefault="007B0606">
    <w:pPr>
      <w:pStyle w:val="Header"/>
    </w:pPr>
    <w:r>
      <w:pict w14:anchorId="298EC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9" o:spid="_x0000_s3075"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955B" w14:textId="77777777" w:rsidR="00D53FFF" w:rsidRDefault="007B0606">
    <w:pPr>
      <w:pStyle w:val="Header"/>
    </w:pPr>
    <w:r>
      <w:pict w14:anchorId="6846B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30" o:spid="_x0000_s3074"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7458" w14:textId="77777777" w:rsidR="00D53FFF" w:rsidRDefault="007B0606">
    <w:pPr>
      <w:pStyle w:val="Header"/>
    </w:pPr>
    <w:r>
      <w:pict w14:anchorId="6E949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8"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37"/>
    <w:rsid w:val="000552CF"/>
    <w:rsid w:val="000A68E7"/>
    <w:rsid w:val="000D4DC2"/>
    <w:rsid w:val="000E433D"/>
    <w:rsid w:val="00167CFB"/>
    <w:rsid w:val="001A48E4"/>
    <w:rsid w:val="001B3A2D"/>
    <w:rsid w:val="001D1BC7"/>
    <w:rsid w:val="00214F00"/>
    <w:rsid w:val="00236EF5"/>
    <w:rsid w:val="002A01FA"/>
    <w:rsid w:val="002A13C1"/>
    <w:rsid w:val="002D1AAF"/>
    <w:rsid w:val="002F601E"/>
    <w:rsid w:val="00320670"/>
    <w:rsid w:val="003537BF"/>
    <w:rsid w:val="00387CA1"/>
    <w:rsid w:val="003924CA"/>
    <w:rsid w:val="003A67C5"/>
    <w:rsid w:val="003C36C8"/>
    <w:rsid w:val="003E1BE1"/>
    <w:rsid w:val="003F21E1"/>
    <w:rsid w:val="003F5F5B"/>
    <w:rsid w:val="00431FF5"/>
    <w:rsid w:val="00435132"/>
    <w:rsid w:val="004C54D2"/>
    <w:rsid w:val="004F109E"/>
    <w:rsid w:val="004F1385"/>
    <w:rsid w:val="005057E2"/>
    <w:rsid w:val="00510F8F"/>
    <w:rsid w:val="00511FE1"/>
    <w:rsid w:val="0052605E"/>
    <w:rsid w:val="005535EA"/>
    <w:rsid w:val="00554480"/>
    <w:rsid w:val="00597B93"/>
    <w:rsid w:val="005C5BE8"/>
    <w:rsid w:val="005E3ED7"/>
    <w:rsid w:val="006000C2"/>
    <w:rsid w:val="00602DEA"/>
    <w:rsid w:val="00612AF6"/>
    <w:rsid w:val="0061749B"/>
    <w:rsid w:val="00637F3D"/>
    <w:rsid w:val="0066731D"/>
    <w:rsid w:val="00686CCC"/>
    <w:rsid w:val="00692A7B"/>
    <w:rsid w:val="006A5B33"/>
    <w:rsid w:val="0074168F"/>
    <w:rsid w:val="007A7DC3"/>
    <w:rsid w:val="007B0606"/>
    <w:rsid w:val="0086591C"/>
    <w:rsid w:val="00871374"/>
    <w:rsid w:val="008C4F3C"/>
    <w:rsid w:val="009031D2"/>
    <w:rsid w:val="00917C25"/>
    <w:rsid w:val="00941CB3"/>
    <w:rsid w:val="009528F9"/>
    <w:rsid w:val="00996B05"/>
    <w:rsid w:val="009A0036"/>
    <w:rsid w:val="009B5802"/>
    <w:rsid w:val="00A06E59"/>
    <w:rsid w:val="00A10BB2"/>
    <w:rsid w:val="00A21616"/>
    <w:rsid w:val="00A3323B"/>
    <w:rsid w:val="00A34942"/>
    <w:rsid w:val="00A44900"/>
    <w:rsid w:val="00A47E58"/>
    <w:rsid w:val="00A51A5C"/>
    <w:rsid w:val="00A95F6D"/>
    <w:rsid w:val="00AB20F1"/>
    <w:rsid w:val="00AC1897"/>
    <w:rsid w:val="00AC356F"/>
    <w:rsid w:val="00AD38C8"/>
    <w:rsid w:val="00AF3C8B"/>
    <w:rsid w:val="00B15760"/>
    <w:rsid w:val="00B312BC"/>
    <w:rsid w:val="00B50B70"/>
    <w:rsid w:val="00B8042B"/>
    <w:rsid w:val="00B84294"/>
    <w:rsid w:val="00C10FDE"/>
    <w:rsid w:val="00C12ABD"/>
    <w:rsid w:val="00C42112"/>
    <w:rsid w:val="00D43233"/>
    <w:rsid w:val="00D53FFF"/>
    <w:rsid w:val="00D568D0"/>
    <w:rsid w:val="00D57E8F"/>
    <w:rsid w:val="00D8699D"/>
    <w:rsid w:val="00D94C0B"/>
    <w:rsid w:val="00DE6D15"/>
    <w:rsid w:val="00E074D4"/>
    <w:rsid w:val="00E26306"/>
    <w:rsid w:val="00E266B1"/>
    <w:rsid w:val="00E31722"/>
    <w:rsid w:val="00E402EF"/>
    <w:rsid w:val="00ED6A37"/>
    <w:rsid w:val="00F34F43"/>
    <w:rsid w:val="00F61EF9"/>
    <w:rsid w:val="00F6512F"/>
    <w:rsid w:val="00F70E0C"/>
    <w:rsid w:val="00F72DC9"/>
    <w:rsid w:val="00FC236B"/>
    <w:rsid w:val="02CD4A2F"/>
    <w:rsid w:val="133F6421"/>
    <w:rsid w:val="1FD33B6C"/>
    <w:rsid w:val="2D2E5FA8"/>
    <w:rsid w:val="33696D20"/>
    <w:rsid w:val="33942837"/>
    <w:rsid w:val="33DB7CF5"/>
    <w:rsid w:val="50244588"/>
    <w:rsid w:val="54F05465"/>
    <w:rsid w:val="58DF7AE1"/>
    <w:rsid w:val="6985053D"/>
    <w:rsid w:val="7413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AD6D27D"/>
  <w15:docId w15:val="{C8D4B139-204A-427A-98F8-3157D6F3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val="en-US" w:eastAsia="en-US"/>
    </w:r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character" w:customStyle="1" w:styleId="mop">
    <w:name w:val="mop"/>
    <w:basedOn w:val="DefaultParagraphFont"/>
    <w:qFormat/>
  </w:style>
  <w:style w:type="character" w:customStyle="1" w:styleId="katex-mathml">
    <w:name w:val="katex-mathml"/>
    <w:basedOn w:val="DefaultParagraphFont"/>
  </w:style>
  <w:style w:type="character" w:styleId="PlaceholderText">
    <w:name w:val="Placeholder Text"/>
    <w:basedOn w:val="DefaultParagraphFont"/>
    <w:uiPriority w:val="99"/>
    <w:semiHidden/>
    <w:qFormat/>
    <w:rPr>
      <w:color w:val="808080"/>
    </w:rPr>
  </w:style>
  <w:style w:type="character" w:customStyle="1" w:styleId="mbin">
    <w:name w:val="mbi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jretconser.2017.08.02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307/300365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6572</Words>
  <Characters>37467</Characters>
  <Application>Microsoft Office Word</Application>
  <DocSecurity>0</DocSecurity>
  <Lines>312</Lines>
  <Paragraphs>87</Paragraphs>
  <ScaleCrop>false</ScaleCrop>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53</cp:revision>
  <dcterms:created xsi:type="dcterms:W3CDTF">2026-04-18T10:17:00Z</dcterms:created>
  <dcterms:modified xsi:type="dcterms:W3CDTF">2026-05-25T04:22:00Z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3f94be4d-4d6b-4456-9b21-cab03632a8f9</vt:lpwstr>
  </property>
  <property fmtid="{D5CDD505-2E9C-101B-9397-08002B2CF9AE}" pid="3" name="KSOTemplateDocerSaveRecord">
    <vt:lpwstr>eyJoZGlkIjoiMDJiMjczNWEzMjQ3NmMxMDI2NmJiYzI0ZjY4ZDFkMDMiLCJ1c2VySWQiOiIxNjY2NTQ5OTMxMDU0In0=</vt:lpwstr>
  </property>
  <property fmtid="{D5CDD505-2E9C-101B-9397-08002B2CF9AE}" pid="4" name="KSOProductBuildVer">
    <vt:lpwstr>1033-12.1.0.26372</vt:lpwstr>
  </property>
  <property fmtid="{D5CDD505-2E9C-101B-9397-08002B2CF9AE}" pid="5" name="ICV">
    <vt:lpwstr>CD1241516D3A424CABCF49DCFC0BB8DC_13</vt:lpwstr>
  </property>
</Properties>
</file>