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B90B6D6" w14:textId="77777777" w:rsidR="00B0313C" w:rsidRDefault="00B0313C" w:rsidP="008418EA">
      <w:pPr>
        <w:jc w:val="both"/>
        <w:rPr>
          <w:rFonts w:ascii="Calibri" w:hAnsi="Calibri" w:cs="Calibri"/>
          <w:szCs w:val="22"/>
        </w:rPr>
      </w:pPr>
      <w:r>
        <w:rPr>
          <w:rFonts w:ascii="Calibri" w:hAnsi="Calibri" w:cs="Calibri"/>
          <w:szCs w:val="22"/>
        </w:rPr>
        <w:t>Original Research Article</w:t>
      </w:r>
    </w:p>
    <w:p w14:paraId="7759AD12" w14:textId="77777777" w:rsidR="00B0313C" w:rsidRDefault="00B0313C" w:rsidP="008418EA">
      <w:pPr>
        <w:jc w:val="both"/>
        <w:rPr>
          <w:rFonts w:ascii="Calibri" w:hAnsi="Calibri" w:cs="Calibri"/>
          <w:szCs w:val="22"/>
        </w:rPr>
      </w:pPr>
    </w:p>
    <w:p w14:paraId="62FD35EC" w14:textId="69C2F5B9" w:rsidR="00D373A9" w:rsidRDefault="008418EA" w:rsidP="008418EA">
      <w:pPr>
        <w:jc w:val="both"/>
        <w:rPr>
          <w:rFonts w:asciiTheme="majorHAnsi" w:hAnsiTheme="majorHAnsi"/>
          <w:b/>
          <w:bCs/>
          <w:sz w:val="36"/>
          <w:szCs w:val="32"/>
        </w:rPr>
      </w:pPr>
      <w:r w:rsidRPr="008418EA">
        <w:rPr>
          <w:rFonts w:asciiTheme="majorHAnsi" w:hAnsiTheme="majorHAnsi"/>
          <w:b/>
          <w:bCs/>
          <w:sz w:val="36"/>
          <w:szCs w:val="32"/>
        </w:rPr>
        <w:t xml:space="preserve">Multifunctional </w:t>
      </w:r>
      <w:proofErr w:type="spellStart"/>
      <w:r w:rsidRPr="008418EA">
        <w:rPr>
          <w:rFonts w:asciiTheme="majorHAnsi" w:hAnsiTheme="majorHAnsi"/>
          <w:b/>
          <w:bCs/>
          <w:sz w:val="36"/>
          <w:szCs w:val="32"/>
        </w:rPr>
        <w:t>Nb</w:t>
      </w:r>
      <w:proofErr w:type="spellEnd"/>
      <w:r w:rsidRPr="008418EA">
        <w:rPr>
          <w:rFonts w:asciiTheme="majorHAnsi" w:hAnsiTheme="majorHAnsi"/>
          <w:b/>
          <w:bCs/>
          <w:sz w:val="36"/>
          <w:szCs w:val="32"/>
        </w:rPr>
        <w:t>–</w:t>
      </w:r>
      <w:proofErr w:type="spellStart"/>
      <w:r w:rsidRPr="008418EA">
        <w:rPr>
          <w:rFonts w:asciiTheme="majorHAnsi" w:hAnsiTheme="majorHAnsi"/>
          <w:b/>
          <w:bCs/>
          <w:sz w:val="36"/>
          <w:szCs w:val="32"/>
        </w:rPr>
        <w:t>Er</w:t>
      </w:r>
      <w:proofErr w:type="spellEnd"/>
      <w:r w:rsidRPr="008418EA">
        <w:rPr>
          <w:rFonts w:asciiTheme="majorHAnsi" w:hAnsiTheme="majorHAnsi"/>
          <w:b/>
          <w:bCs/>
          <w:sz w:val="36"/>
          <w:szCs w:val="32"/>
        </w:rPr>
        <w:t xml:space="preserve"> Co-Doped </w:t>
      </w:r>
      <w:proofErr w:type="spellStart"/>
      <w:r w:rsidRPr="008418EA">
        <w:rPr>
          <w:rFonts w:asciiTheme="majorHAnsi" w:hAnsiTheme="majorHAnsi"/>
          <w:b/>
          <w:bCs/>
          <w:sz w:val="36"/>
          <w:szCs w:val="32"/>
        </w:rPr>
        <w:t>TiO</w:t>
      </w:r>
      <w:proofErr w:type="spellEnd"/>
      <w:r w:rsidRPr="008418EA">
        <w:rPr>
          <w:rFonts w:asciiTheme="majorHAnsi" w:hAnsiTheme="majorHAnsi"/>
          <w:b/>
          <w:bCs/>
          <w:sz w:val="36"/>
          <w:szCs w:val="32"/>
        </w:rPr>
        <w:t>₂: A Structure–Property–Function Correlation Study for Energy and Educational Applications</w:t>
      </w:r>
    </w:p>
    <w:p w14:paraId="3D4C291F" w14:textId="77777777" w:rsidR="00B0313C" w:rsidRDefault="00B0313C" w:rsidP="008418EA">
      <w:pPr>
        <w:jc w:val="both"/>
        <w:rPr>
          <w:rFonts w:asciiTheme="majorHAnsi" w:hAnsiTheme="majorHAnsi"/>
          <w:b/>
          <w:bCs/>
          <w:sz w:val="36"/>
          <w:szCs w:val="32"/>
        </w:rPr>
      </w:pPr>
    </w:p>
    <w:p w14:paraId="21430BE3" w14:textId="77777777" w:rsidR="00B0313C" w:rsidRPr="008418EA" w:rsidRDefault="00B0313C" w:rsidP="008418EA">
      <w:pPr>
        <w:jc w:val="both"/>
        <w:rPr>
          <w:rFonts w:asciiTheme="majorHAnsi" w:hAnsiTheme="majorHAnsi"/>
          <w:b/>
          <w:bCs/>
          <w:sz w:val="36"/>
          <w:szCs w:val="32"/>
        </w:rPr>
      </w:pPr>
    </w:p>
    <w:p w14:paraId="270A8F81" w14:textId="77777777" w:rsidR="008418EA" w:rsidRDefault="008418EA" w:rsidP="008418EA">
      <w:pPr>
        <w:jc w:val="both"/>
        <w:rPr>
          <w:rFonts w:asciiTheme="majorHAnsi" w:hAnsiTheme="majorHAnsi"/>
          <w:sz w:val="24"/>
          <w:szCs w:val="22"/>
        </w:rPr>
      </w:pPr>
    </w:p>
    <w:p w14:paraId="5B300980" w14:textId="5E121470" w:rsidR="008418EA" w:rsidRDefault="008418EA" w:rsidP="008418EA">
      <w:pPr>
        <w:jc w:val="both"/>
        <w:rPr>
          <w:rFonts w:asciiTheme="majorHAnsi" w:hAnsiTheme="majorHAnsi"/>
          <w:sz w:val="24"/>
          <w:szCs w:val="22"/>
        </w:rPr>
      </w:pPr>
    </w:p>
    <w:p w14:paraId="5CE951D5"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Abstract</w:t>
      </w:r>
    </w:p>
    <w:p w14:paraId="7DF54C84" w14:textId="36F0AC2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Titanium dioxide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 xml:space="preserve">₂) is widely used in energy and dielectric applications; however, its wide bandgap and rapid charge recombination limit practical performance. In this study, </w:t>
      </w:r>
      <w:r w:rsidRPr="008418EA">
        <w:rPr>
          <w:rFonts w:asciiTheme="majorHAnsi" w:hAnsiTheme="majorHAnsi"/>
          <w:i/>
          <w:iCs/>
          <w:sz w:val="24"/>
          <w:szCs w:val="22"/>
        </w:rPr>
        <w:t>(</w:t>
      </w:r>
      <w:proofErr w:type="spellStart"/>
      <w:r w:rsidRPr="008418EA">
        <w:rPr>
          <w:rFonts w:asciiTheme="majorHAnsi" w:hAnsiTheme="majorHAnsi"/>
          <w:i/>
          <w:iCs/>
          <w:sz w:val="24"/>
          <w:szCs w:val="22"/>
        </w:rPr>
        <w:t>Nb</w:t>
      </w:r>
      <w:proofErr w:type="spellEnd"/>
      <w:proofErr w:type="gramStart"/>
      <w:r w:rsidRPr="008418EA">
        <w:rPr>
          <w:rFonts w:asciiTheme="majorHAnsi" w:hAnsiTheme="majorHAnsi"/>
          <w:i/>
          <w:iCs/>
          <w:sz w:val="24"/>
          <w:szCs w:val="22"/>
        </w:rPr>
        <w:t>₀.₅</w:t>
      </w:r>
      <w:proofErr w:type="spellStart"/>
      <w:proofErr w:type="gramEnd"/>
      <w:r w:rsidRPr="008418EA">
        <w:rPr>
          <w:rFonts w:asciiTheme="majorHAnsi" w:hAnsiTheme="majorHAnsi"/>
          <w:i/>
          <w:iCs/>
          <w:sz w:val="24"/>
          <w:szCs w:val="22"/>
        </w:rPr>
        <w:t>Er</w:t>
      </w:r>
      <w:proofErr w:type="spellEnd"/>
      <w:r w:rsidRPr="008418EA">
        <w:rPr>
          <w:rFonts w:asciiTheme="majorHAnsi" w:hAnsiTheme="majorHAnsi"/>
          <w:i/>
          <w:iCs/>
          <w:sz w:val="24"/>
          <w:szCs w:val="22"/>
        </w:rPr>
        <w:t>₀.₅)</w:t>
      </w:r>
      <w:proofErr w:type="spellStart"/>
      <w:r w:rsidRPr="005F727D">
        <w:rPr>
          <w:rFonts w:asciiTheme="majorHAnsi" w:hAnsiTheme="majorHAnsi"/>
          <w:i/>
          <w:iCs/>
          <w:sz w:val="24"/>
          <w:szCs w:val="22"/>
          <w:vertAlign w:val="subscript"/>
        </w:rPr>
        <w:t>x</w:t>
      </w:r>
      <w:r w:rsidRPr="008418EA">
        <w:rPr>
          <w:rFonts w:asciiTheme="majorHAnsi" w:hAnsiTheme="majorHAnsi"/>
          <w:i/>
          <w:iCs/>
          <w:sz w:val="24"/>
          <w:szCs w:val="22"/>
        </w:rPr>
        <w:t>Ti</w:t>
      </w:r>
      <w:proofErr w:type="spellEnd"/>
      <w:r w:rsidRPr="008418EA">
        <w:rPr>
          <w:rFonts w:asciiTheme="majorHAnsi" w:hAnsiTheme="majorHAnsi"/>
          <w:i/>
          <w:iCs/>
          <w:sz w:val="24"/>
          <w:szCs w:val="22"/>
        </w:rPr>
        <w:t>₁₋</w:t>
      </w:r>
      <w:proofErr w:type="spellStart"/>
      <w:r w:rsidRPr="005F727D">
        <w:rPr>
          <w:rFonts w:asciiTheme="majorHAnsi" w:hAnsiTheme="majorHAnsi"/>
          <w:i/>
          <w:iCs/>
          <w:sz w:val="24"/>
          <w:szCs w:val="22"/>
          <w:vertAlign w:val="subscript"/>
        </w:rPr>
        <w:t>x</w:t>
      </w:r>
      <w:r w:rsidRPr="008418EA">
        <w:rPr>
          <w:rFonts w:asciiTheme="majorHAnsi" w:hAnsiTheme="majorHAnsi"/>
          <w:i/>
          <w:iCs/>
          <w:sz w:val="24"/>
          <w:szCs w:val="22"/>
        </w:rPr>
        <w:t>O</w:t>
      </w:r>
      <w:proofErr w:type="spellEnd"/>
      <w:r w:rsidRPr="008418EA">
        <w:rPr>
          <w:rFonts w:asciiTheme="majorHAnsi" w:hAnsiTheme="majorHAnsi"/>
          <w:i/>
          <w:iCs/>
          <w:sz w:val="24"/>
          <w:szCs w:val="22"/>
        </w:rPr>
        <w:t>₂</w:t>
      </w:r>
      <w:r w:rsidRPr="008418EA">
        <w:rPr>
          <w:rFonts w:asciiTheme="majorHAnsi" w:hAnsiTheme="majorHAnsi"/>
          <w:sz w:val="24"/>
          <w:szCs w:val="22"/>
        </w:rPr>
        <w:t xml:space="preserve"> (</w:t>
      </w:r>
      <w:r w:rsidRPr="005F727D">
        <w:rPr>
          <w:rFonts w:asciiTheme="majorHAnsi" w:hAnsiTheme="majorHAnsi"/>
          <w:i/>
          <w:iCs/>
          <w:sz w:val="24"/>
          <w:szCs w:val="22"/>
        </w:rPr>
        <w:t>x</w:t>
      </w:r>
      <w:r w:rsidRPr="008418EA">
        <w:rPr>
          <w:rFonts w:asciiTheme="majorHAnsi" w:hAnsiTheme="majorHAnsi"/>
          <w:sz w:val="24"/>
          <w:szCs w:val="22"/>
        </w:rPr>
        <w:t xml:space="preserve"> = 0.01–0.10) was </w:t>
      </w:r>
      <w:proofErr w:type="spellStart"/>
      <w:r w:rsidRPr="008418EA">
        <w:rPr>
          <w:rFonts w:asciiTheme="majorHAnsi" w:hAnsiTheme="majorHAnsi"/>
          <w:sz w:val="24"/>
          <w:szCs w:val="22"/>
        </w:rPr>
        <w:t>synthesi</w:t>
      </w:r>
      <w:r w:rsidR="006A4323">
        <w:rPr>
          <w:rFonts w:asciiTheme="majorHAnsi" w:hAnsiTheme="majorHAnsi"/>
          <w:sz w:val="24"/>
          <w:szCs w:val="22"/>
        </w:rPr>
        <w:t>s</w:t>
      </w:r>
      <w:r w:rsidRPr="008418EA">
        <w:rPr>
          <w:rFonts w:asciiTheme="majorHAnsi" w:hAnsiTheme="majorHAnsi"/>
          <w:sz w:val="24"/>
          <w:szCs w:val="22"/>
        </w:rPr>
        <w:t>ed</w:t>
      </w:r>
      <w:proofErr w:type="spellEnd"/>
      <w:r w:rsidRPr="008418EA">
        <w:rPr>
          <w:rFonts w:asciiTheme="majorHAnsi" w:hAnsiTheme="majorHAnsi"/>
          <w:sz w:val="24"/>
          <w:szCs w:val="22"/>
        </w:rPr>
        <w:t xml:space="preserve"> via a solid-state route to investigate the effect of Nb–Er co-doping on structure–property relationships. X-ray diffraction confirms the </w:t>
      </w:r>
      <w:proofErr w:type="spellStart"/>
      <w:r w:rsidRPr="008418EA">
        <w:rPr>
          <w:rFonts w:asciiTheme="majorHAnsi" w:hAnsiTheme="majorHAnsi"/>
          <w:sz w:val="24"/>
          <w:szCs w:val="22"/>
        </w:rPr>
        <w:t>stabili</w:t>
      </w:r>
      <w:r w:rsidR="006A4323">
        <w:rPr>
          <w:rFonts w:asciiTheme="majorHAnsi" w:hAnsiTheme="majorHAnsi"/>
          <w:sz w:val="24"/>
          <w:szCs w:val="22"/>
        </w:rPr>
        <w:t>s</w:t>
      </w:r>
      <w:r w:rsidRPr="008418EA">
        <w:rPr>
          <w:rFonts w:asciiTheme="majorHAnsi" w:hAnsiTheme="majorHAnsi"/>
          <w:sz w:val="24"/>
          <w:szCs w:val="22"/>
        </w:rPr>
        <w:t>ation</w:t>
      </w:r>
      <w:proofErr w:type="spellEnd"/>
      <w:r w:rsidRPr="008418EA">
        <w:rPr>
          <w:rFonts w:asciiTheme="majorHAnsi" w:hAnsiTheme="majorHAnsi"/>
          <w:sz w:val="24"/>
          <w:szCs w:val="22"/>
        </w:rPr>
        <w:t xml:space="preserve"> of the rutile phase with dopant-induced lattice distortion and crystallite refinement. Scanning electron microscopy reveals a transition from uniform grains to agglomerated structures with increasing dopant concentration.</w:t>
      </w:r>
    </w:p>
    <w:p w14:paraId="4685529F" w14:textId="5B2BABEF"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Dielectric analysis shows strong frequency dispersion governed by Maxwell–Wagner interfacial </w:t>
      </w:r>
      <w:proofErr w:type="spellStart"/>
      <w:r w:rsidRPr="008418EA">
        <w:rPr>
          <w:rFonts w:asciiTheme="majorHAnsi" w:hAnsiTheme="majorHAnsi"/>
          <w:sz w:val="24"/>
          <w:szCs w:val="22"/>
        </w:rPr>
        <w:t>polari</w:t>
      </w:r>
      <w:r w:rsidR="006A4323">
        <w:rPr>
          <w:rFonts w:asciiTheme="majorHAnsi" w:hAnsiTheme="majorHAnsi"/>
          <w:sz w:val="24"/>
          <w:szCs w:val="22"/>
        </w:rPr>
        <w:t>s</w:t>
      </w:r>
      <w:r w:rsidRPr="008418EA">
        <w:rPr>
          <w:rFonts w:asciiTheme="majorHAnsi" w:hAnsiTheme="majorHAnsi"/>
          <w:sz w:val="24"/>
          <w:szCs w:val="22"/>
        </w:rPr>
        <w:t>ation</w:t>
      </w:r>
      <w:proofErr w:type="spellEnd"/>
      <w:r w:rsidRPr="008418EA">
        <w:rPr>
          <w:rFonts w:asciiTheme="majorHAnsi" w:hAnsiTheme="majorHAnsi"/>
          <w:sz w:val="24"/>
          <w:szCs w:val="22"/>
        </w:rPr>
        <w:t xml:space="preserve">, while impedance and modulus studies indicate non-Debye relaxation behavior. The AC conductivity follows </w:t>
      </w:r>
      <w:proofErr w:type="spellStart"/>
      <w:r w:rsidRPr="008418EA">
        <w:rPr>
          <w:rFonts w:asciiTheme="majorHAnsi" w:hAnsiTheme="majorHAnsi"/>
          <w:sz w:val="24"/>
          <w:szCs w:val="22"/>
        </w:rPr>
        <w:t>Jonscher’s</w:t>
      </w:r>
      <w:proofErr w:type="spellEnd"/>
      <w:r w:rsidRPr="008418EA">
        <w:rPr>
          <w:rFonts w:asciiTheme="majorHAnsi" w:hAnsiTheme="majorHAnsi"/>
          <w:sz w:val="24"/>
          <w:szCs w:val="22"/>
        </w:rPr>
        <w:t xml:space="preserve"> power law, confirming a hopping conduction mechanism mediated by defect states and oxygen vacancies. An optimal composition (</w:t>
      </w:r>
      <w:r w:rsidRPr="005F727D">
        <w:rPr>
          <w:rFonts w:asciiTheme="majorHAnsi" w:hAnsiTheme="majorHAnsi"/>
          <w:i/>
          <w:iCs/>
          <w:sz w:val="24"/>
          <w:szCs w:val="22"/>
        </w:rPr>
        <w:t>x</w:t>
      </w:r>
      <w:r w:rsidRPr="008418EA">
        <w:rPr>
          <w:rFonts w:asciiTheme="majorHAnsi" w:hAnsiTheme="majorHAnsi"/>
          <w:sz w:val="24"/>
          <w:szCs w:val="22"/>
        </w:rPr>
        <w:t xml:space="preserve"> ≈ 0.04–0.06) exhibits enhanced dielectric constant, reduced loss and improved conductivity due to synergistic interactions between Nb donor states and Er-induced defect levels</w:t>
      </w:r>
      <w:r>
        <w:rPr>
          <w:rFonts w:asciiTheme="majorHAnsi" w:hAnsiTheme="majorHAnsi"/>
          <w:sz w:val="24"/>
          <w:szCs w:val="22"/>
        </w:rPr>
        <w:t xml:space="preserve"> [1, 2]</w:t>
      </w:r>
      <w:r w:rsidRPr="008418EA">
        <w:rPr>
          <w:rFonts w:asciiTheme="majorHAnsi" w:hAnsiTheme="majorHAnsi"/>
          <w:sz w:val="24"/>
          <w:szCs w:val="22"/>
        </w:rPr>
        <w:t>.</w:t>
      </w:r>
    </w:p>
    <w:p w14:paraId="03BF828B"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These findings highlight the potential of </w:t>
      </w:r>
      <w:proofErr w:type="spellStart"/>
      <w:r w:rsidRPr="008418EA">
        <w:rPr>
          <w:rFonts w:asciiTheme="majorHAnsi" w:hAnsiTheme="majorHAnsi"/>
          <w:sz w:val="24"/>
          <w:szCs w:val="22"/>
        </w:rPr>
        <w:t>Nb</w:t>
      </w:r>
      <w:proofErr w:type="spellEnd"/>
      <w:r w:rsidRPr="008418EA">
        <w:rPr>
          <w:rFonts w:asciiTheme="majorHAnsi" w:hAnsiTheme="majorHAnsi"/>
          <w:sz w:val="24"/>
          <w:szCs w:val="22"/>
        </w:rPr>
        <w:t>–</w:t>
      </w:r>
      <w:proofErr w:type="spellStart"/>
      <w:r w:rsidRPr="008418EA">
        <w:rPr>
          <w:rFonts w:asciiTheme="majorHAnsi" w:hAnsiTheme="majorHAnsi"/>
          <w:sz w:val="24"/>
          <w:szCs w:val="22"/>
        </w:rPr>
        <w:t>Er</w:t>
      </w:r>
      <w:proofErr w:type="spellEnd"/>
      <w:r w:rsidRPr="008418EA">
        <w:rPr>
          <w:rFonts w:asciiTheme="majorHAnsi" w:hAnsiTheme="majorHAnsi"/>
          <w:sz w:val="24"/>
          <w:szCs w:val="22"/>
        </w:rPr>
        <w:t xml:space="preserve"> co-doped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₂ for low-power solar energy systems and multifunctional applications, including compact educational devices demonstrating real-time energy conversion.</w:t>
      </w:r>
    </w:p>
    <w:p w14:paraId="64FFCDBC" w14:textId="77777777" w:rsidR="008418EA" w:rsidRDefault="008418EA" w:rsidP="008418EA">
      <w:pPr>
        <w:spacing w:line="360" w:lineRule="auto"/>
        <w:jc w:val="both"/>
        <w:rPr>
          <w:rFonts w:asciiTheme="majorHAnsi" w:hAnsiTheme="majorHAnsi"/>
          <w:sz w:val="24"/>
          <w:szCs w:val="22"/>
        </w:rPr>
      </w:pPr>
    </w:p>
    <w:p w14:paraId="44848AD3" w14:textId="77777777" w:rsidR="008418EA" w:rsidRPr="008418EA" w:rsidRDefault="008418EA" w:rsidP="008418EA">
      <w:pPr>
        <w:spacing w:line="360" w:lineRule="auto"/>
        <w:jc w:val="both"/>
        <w:rPr>
          <w:rFonts w:asciiTheme="majorHAnsi" w:hAnsiTheme="majorHAnsi"/>
          <w:szCs w:val="22"/>
        </w:rPr>
      </w:pPr>
      <w:r w:rsidRPr="008418EA">
        <w:rPr>
          <w:rFonts w:asciiTheme="majorHAnsi" w:hAnsiTheme="majorHAnsi"/>
          <w:b/>
          <w:bCs/>
          <w:sz w:val="24"/>
          <w:szCs w:val="22"/>
        </w:rPr>
        <w:t>Keywords</w:t>
      </w:r>
      <w:r>
        <w:rPr>
          <w:rFonts w:asciiTheme="majorHAnsi" w:hAnsiTheme="majorHAnsi"/>
          <w:sz w:val="24"/>
          <w:szCs w:val="22"/>
        </w:rPr>
        <w:t xml:space="preserve">: </w:t>
      </w:r>
      <w:r w:rsidRPr="008418EA">
        <w:rPr>
          <w:rFonts w:asciiTheme="majorHAnsi" w:hAnsiTheme="majorHAnsi"/>
          <w:sz w:val="24"/>
          <w:szCs w:val="24"/>
        </w:rPr>
        <w:t>Nb–Er co-doping; Titanium dioxide (</w:t>
      </w:r>
      <w:proofErr w:type="spellStart"/>
      <w:r w:rsidRPr="008418EA">
        <w:rPr>
          <w:rFonts w:asciiTheme="majorHAnsi" w:hAnsiTheme="majorHAnsi"/>
          <w:sz w:val="24"/>
          <w:szCs w:val="24"/>
        </w:rPr>
        <w:t>TiO</w:t>
      </w:r>
      <w:proofErr w:type="spellEnd"/>
      <w:r w:rsidRPr="008418EA">
        <w:rPr>
          <w:rFonts w:asciiTheme="majorHAnsi" w:hAnsiTheme="majorHAnsi"/>
          <w:sz w:val="24"/>
          <w:szCs w:val="24"/>
        </w:rPr>
        <w:t>₂); Dielectric properties; Impedance spectroscopy; Non-Debye relaxation; AC conductivity; Defect engineering; Maxwell–Wagner polarization; Hopping conduction; Solar energy materials</w:t>
      </w:r>
    </w:p>
    <w:p w14:paraId="2BCE9F37" w14:textId="77777777" w:rsidR="008418EA" w:rsidRDefault="008418EA" w:rsidP="008418EA">
      <w:pPr>
        <w:spacing w:line="360" w:lineRule="auto"/>
        <w:jc w:val="both"/>
        <w:rPr>
          <w:rFonts w:asciiTheme="majorHAnsi" w:hAnsiTheme="majorHAnsi"/>
          <w:sz w:val="24"/>
          <w:szCs w:val="22"/>
        </w:rPr>
      </w:pPr>
    </w:p>
    <w:p w14:paraId="30BEBD4D"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lastRenderedPageBreak/>
        <w:t>1. Introduction</w:t>
      </w:r>
    </w:p>
    <w:p w14:paraId="2070EEEB" w14:textId="7E3C8F2C"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Titanium dioxide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 xml:space="preserve">₂) is one of the most extensively studied semiconductor oxides due to its remarkable chemical stability, low cost, non-toxicity, and versatile functionality in applications ranging from photocatalysis to energy conversion and dielectric devices [3,4]. In particular,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₂ has been widely employed in dye-</w:t>
      </w:r>
      <w:proofErr w:type="spellStart"/>
      <w:r w:rsidRPr="008418EA">
        <w:rPr>
          <w:rFonts w:asciiTheme="majorHAnsi" w:hAnsiTheme="majorHAnsi"/>
          <w:sz w:val="24"/>
          <w:szCs w:val="22"/>
        </w:rPr>
        <w:t>sensiti</w:t>
      </w:r>
      <w:r w:rsidR="006A4323">
        <w:rPr>
          <w:rFonts w:asciiTheme="majorHAnsi" w:hAnsiTheme="majorHAnsi"/>
          <w:sz w:val="24"/>
          <w:szCs w:val="22"/>
        </w:rPr>
        <w:t>s</w:t>
      </w:r>
      <w:r w:rsidRPr="008418EA">
        <w:rPr>
          <w:rFonts w:asciiTheme="majorHAnsi" w:hAnsiTheme="majorHAnsi"/>
          <w:sz w:val="24"/>
          <w:szCs w:val="22"/>
        </w:rPr>
        <w:t>ed</w:t>
      </w:r>
      <w:proofErr w:type="spellEnd"/>
      <w:r w:rsidRPr="008418EA">
        <w:rPr>
          <w:rFonts w:asciiTheme="majorHAnsi" w:hAnsiTheme="majorHAnsi"/>
          <w:sz w:val="24"/>
          <w:szCs w:val="22"/>
        </w:rPr>
        <w:t xml:space="preserve"> and emerging photovoltaic systems owing to its </w:t>
      </w:r>
      <w:proofErr w:type="spellStart"/>
      <w:r w:rsidRPr="008418EA">
        <w:rPr>
          <w:rFonts w:asciiTheme="majorHAnsi" w:hAnsiTheme="majorHAnsi"/>
          <w:sz w:val="24"/>
          <w:szCs w:val="22"/>
        </w:rPr>
        <w:t>favo</w:t>
      </w:r>
      <w:r w:rsidR="006A4323">
        <w:rPr>
          <w:rFonts w:asciiTheme="majorHAnsi" w:hAnsiTheme="majorHAnsi"/>
          <w:sz w:val="24"/>
          <w:szCs w:val="22"/>
        </w:rPr>
        <w:t>u</w:t>
      </w:r>
      <w:r w:rsidRPr="008418EA">
        <w:rPr>
          <w:rFonts w:asciiTheme="majorHAnsi" w:hAnsiTheme="majorHAnsi"/>
          <w:sz w:val="24"/>
          <w:szCs w:val="22"/>
        </w:rPr>
        <w:t>rable</w:t>
      </w:r>
      <w:proofErr w:type="spellEnd"/>
      <w:r w:rsidRPr="008418EA">
        <w:rPr>
          <w:rFonts w:asciiTheme="majorHAnsi" w:hAnsiTheme="majorHAnsi"/>
          <w:sz w:val="24"/>
          <w:szCs w:val="22"/>
        </w:rPr>
        <w:t xml:space="preserve"> band alignment and electron transport properties. However, its relatively wide bandgap (~3.0–3.2 eV) restricts optical absorption primarily to the ultraviolet region, while rapid recombination of photogenerated charge carriers significantly limits its overall efficiency in practical applications [5].</w:t>
      </w:r>
    </w:p>
    <w:p w14:paraId="278A6CD6" w14:textId="274BE45A"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To address these limitations, doping strategies have been extensively explored to tailor the electronic structure and enhance the functional properties of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 xml:space="preserve">₂. Transition metal doping has been shown to improve electrical conductivity by introducing donor levels, while rare-earth doping can create </w:t>
      </w:r>
      <w:proofErr w:type="spellStart"/>
      <w:r w:rsidRPr="008418EA">
        <w:rPr>
          <w:rFonts w:asciiTheme="majorHAnsi" w:hAnsiTheme="majorHAnsi"/>
          <w:sz w:val="24"/>
          <w:szCs w:val="22"/>
        </w:rPr>
        <w:t>locali</w:t>
      </w:r>
      <w:r w:rsidR="006A4323">
        <w:rPr>
          <w:rFonts w:asciiTheme="majorHAnsi" w:hAnsiTheme="majorHAnsi"/>
          <w:sz w:val="24"/>
          <w:szCs w:val="22"/>
        </w:rPr>
        <w:t>s</w:t>
      </w:r>
      <w:r w:rsidRPr="008418EA">
        <w:rPr>
          <w:rFonts w:asciiTheme="majorHAnsi" w:hAnsiTheme="majorHAnsi"/>
          <w:sz w:val="24"/>
          <w:szCs w:val="22"/>
        </w:rPr>
        <w:t>ed</w:t>
      </w:r>
      <w:proofErr w:type="spellEnd"/>
      <w:r w:rsidRPr="008418EA">
        <w:rPr>
          <w:rFonts w:asciiTheme="majorHAnsi" w:hAnsiTheme="majorHAnsi"/>
          <w:sz w:val="24"/>
          <w:szCs w:val="22"/>
        </w:rPr>
        <w:t xml:space="preserve"> energy states that facilitate visible-light absorption and modify </w:t>
      </w:r>
      <w:proofErr w:type="spellStart"/>
      <w:r w:rsidRPr="008418EA">
        <w:rPr>
          <w:rFonts w:asciiTheme="majorHAnsi" w:hAnsiTheme="majorHAnsi"/>
          <w:sz w:val="24"/>
          <w:szCs w:val="22"/>
        </w:rPr>
        <w:t>polari</w:t>
      </w:r>
      <w:r w:rsidR="006A4323">
        <w:rPr>
          <w:rFonts w:asciiTheme="majorHAnsi" w:hAnsiTheme="majorHAnsi"/>
          <w:sz w:val="24"/>
          <w:szCs w:val="22"/>
        </w:rPr>
        <w:t>sation</w:t>
      </w:r>
      <w:proofErr w:type="spellEnd"/>
      <w:r w:rsidR="006A4323">
        <w:rPr>
          <w:rFonts w:asciiTheme="majorHAnsi" w:hAnsiTheme="majorHAnsi"/>
          <w:sz w:val="24"/>
          <w:szCs w:val="22"/>
        </w:rPr>
        <w:t xml:space="preserve"> </w:t>
      </w:r>
      <w:proofErr w:type="spellStart"/>
      <w:r w:rsidR="006A4323">
        <w:rPr>
          <w:rFonts w:asciiTheme="majorHAnsi" w:hAnsiTheme="majorHAnsi"/>
          <w:sz w:val="24"/>
          <w:szCs w:val="22"/>
        </w:rPr>
        <w:t>behaviou</w:t>
      </w:r>
      <w:r w:rsidRPr="008418EA">
        <w:rPr>
          <w:rFonts w:asciiTheme="majorHAnsi" w:hAnsiTheme="majorHAnsi"/>
          <w:sz w:val="24"/>
          <w:szCs w:val="22"/>
        </w:rPr>
        <w:t>r</w:t>
      </w:r>
      <w:proofErr w:type="spellEnd"/>
      <w:r w:rsidRPr="008418EA">
        <w:rPr>
          <w:rFonts w:asciiTheme="majorHAnsi" w:hAnsiTheme="majorHAnsi"/>
          <w:sz w:val="24"/>
          <w:szCs w:val="22"/>
        </w:rPr>
        <w:t xml:space="preserve"> [6,7]. Among various dopants, niobium (Nb⁵⁺) is particularly effective as an n-type dopant, substituting Ti⁴⁺ and contributing free electrons to the conduction band, thereby enhancing electrical conductivity and charge transport [8]. On the other hand, erbium (Er³⁺), a rare-earth ion, is known for its unique optical transitions and ability to introduce defect levels within the bandgap, enabling </w:t>
      </w:r>
      <w:proofErr w:type="spellStart"/>
      <w:r w:rsidRPr="008418EA">
        <w:rPr>
          <w:rFonts w:asciiTheme="majorHAnsi" w:hAnsiTheme="majorHAnsi"/>
          <w:sz w:val="24"/>
          <w:szCs w:val="22"/>
        </w:rPr>
        <w:t>upconversion</w:t>
      </w:r>
      <w:proofErr w:type="spellEnd"/>
      <w:r w:rsidRPr="008418EA">
        <w:rPr>
          <w:rFonts w:asciiTheme="majorHAnsi" w:hAnsiTheme="majorHAnsi"/>
          <w:sz w:val="24"/>
          <w:szCs w:val="22"/>
        </w:rPr>
        <w:t xml:space="preserve"> and extended light absorption [9].</w:t>
      </w:r>
    </w:p>
    <w:p w14:paraId="047E21D1" w14:textId="162962A5"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While single-dopant systems have been widely investigated, co-doping has emerged as a promising approach to achieve synergistic effects by combining the advantages of different dopant species. In </w:t>
      </w:r>
      <w:proofErr w:type="spellStart"/>
      <w:r w:rsidRPr="008418EA">
        <w:rPr>
          <w:rFonts w:asciiTheme="majorHAnsi" w:hAnsiTheme="majorHAnsi"/>
          <w:sz w:val="24"/>
          <w:szCs w:val="22"/>
        </w:rPr>
        <w:t>Nb</w:t>
      </w:r>
      <w:proofErr w:type="spellEnd"/>
      <w:r w:rsidRPr="008418EA">
        <w:rPr>
          <w:rFonts w:asciiTheme="majorHAnsi" w:hAnsiTheme="majorHAnsi"/>
          <w:sz w:val="24"/>
          <w:szCs w:val="22"/>
        </w:rPr>
        <w:t>–</w:t>
      </w:r>
      <w:proofErr w:type="spellStart"/>
      <w:r w:rsidRPr="008418EA">
        <w:rPr>
          <w:rFonts w:asciiTheme="majorHAnsi" w:hAnsiTheme="majorHAnsi"/>
          <w:sz w:val="24"/>
          <w:szCs w:val="22"/>
        </w:rPr>
        <w:t>Er</w:t>
      </w:r>
      <w:proofErr w:type="spellEnd"/>
      <w:r w:rsidRPr="008418EA">
        <w:rPr>
          <w:rFonts w:asciiTheme="majorHAnsi" w:hAnsiTheme="majorHAnsi"/>
          <w:sz w:val="24"/>
          <w:szCs w:val="22"/>
        </w:rPr>
        <w:t xml:space="preserve"> co-doped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 xml:space="preserve">₂, </w:t>
      </w:r>
      <w:proofErr w:type="spellStart"/>
      <w:r w:rsidRPr="008418EA">
        <w:rPr>
          <w:rFonts w:asciiTheme="majorHAnsi" w:hAnsiTheme="majorHAnsi"/>
          <w:sz w:val="24"/>
          <w:szCs w:val="22"/>
        </w:rPr>
        <w:t>Nb</w:t>
      </w:r>
      <w:proofErr w:type="spellEnd"/>
      <w:r w:rsidRPr="008418EA">
        <w:rPr>
          <w:rFonts w:asciiTheme="majorHAnsi" w:hAnsiTheme="majorHAnsi"/>
          <w:sz w:val="24"/>
          <w:szCs w:val="22"/>
        </w:rPr>
        <w:t xml:space="preserve">⁵⁺ can enhance carrier concentration, whereas Er³⁺ introduces </w:t>
      </w:r>
      <w:proofErr w:type="spellStart"/>
      <w:r w:rsidRPr="008418EA">
        <w:rPr>
          <w:rFonts w:asciiTheme="majorHAnsi" w:hAnsiTheme="majorHAnsi"/>
          <w:sz w:val="24"/>
          <w:szCs w:val="22"/>
        </w:rPr>
        <w:t>locali</w:t>
      </w:r>
      <w:r w:rsidR="006A4323">
        <w:rPr>
          <w:rFonts w:asciiTheme="majorHAnsi" w:hAnsiTheme="majorHAnsi"/>
          <w:sz w:val="24"/>
          <w:szCs w:val="22"/>
        </w:rPr>
        <w:t>s</w:t>
      </w:r>
      <w:r w:rsidRPr="008418EA">
        <w:rPr>
          <w:rFonts w:asciiTheme="majorHAnsi" w:hAnsiTheme="majorHAnsi"/>
          <w:sz w:val="24"/>
          <w:szCs w:val="22"/>
        </w:rPr>
        <w:t>ed</w:t>
      </w:r>
      <w:proofErr w:type="spellEnd"/>
      <w:r w:rsidRPr="008418EA">
        <w:rPr>
          <w:rFonts w:asciiTheme="majorHAnsi" w:hAnsiTheme="majorHAnsi"/>
          <w:sz w:val="24"/>
          <w:szCs w:val="22"/>
        </w:rPr>
        <w:t xml:space="preserve"> states and defect dipoles, potentially leading to improved dielectric response and modified charge transport </w:t>
      </w:r>
      <w:proofErr w:type="spellStart"/>
      <w:r w:rsidRPr="008418EA">
        <w:rPr>
          <w:rFonts w:asciiTheme="majorHAnsi" w:hAnsiTheme="majorHAnsi"/>
          <w:sz w:val="24"/>
          <w:szCs w:val="22"/>
        </w:rPr>
        <w:t>behavio</w:t>
      </w:r>
      <w:r w:rsidR="006A4323">
        <w:rPr>
          <w:rFonts w:asciiTheme="majorHAnsi" w:hAnsiTheme="majorHAnsi"/>
          <w:sz w:val="24"/>
          <w:szCs w:val="22"/>
        </w:rPr>
        <w:t>u</w:t>
      </w:r>
      <w:r w:rsidRPr="008418EA">
        <w:rPr>
          <w:rFonts w:asciiTheme="majorHAnsi" w:hAnsiTheme="majorHAnsi"/>
          <w:sz w:val="24"/>
          <w:szCs w:val="22"/>
        </w:rPr>
        <w:t>r</w:t>
      </w:r>
      <w:proofErr w:type="spellEnd"/>
      <w:r w:rsidRPr="008418EA">
        <w:rPr>
          <w:rFonts w:asciiTheme="majorHAnsi" w:hAnsiTheme="majorHAnsi"/>
          <w:sz w:val="24"/>
          <w:szCs w:val="22"/>
        </w:rPr>
        <w:t xml:space="preserve">. However, despite several studies on doped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 xml:space="preserve">₂ systems, a comprehensive understanding of the correlation between structural modifications, microstructural evolution, dielectric </w:t>
      </w:r>
      <w:proofErr w:type="spellStart"/>
      <w:r w:rsidRPr="008418EA">
        <w:rPr>
          <w:rFonts w:asciiTheme="majorHAnsi" w:hAnsiTheme="majorHAnsi"/>
          <w:sz w:val="24"/>
          <w:szCs w:val="22"/>
        </w:rPr>
        <w:t>behavio</w:t>
      </w:r>
      <w:r w:rsidR="006A4323">
        <w:rPr>
          <w:rFonts w:asciiTheme="majorHAnsi" w:hAnsiTheme="majorHAnsi"/>
          <w:sz w:val="24"/>
          <w:szCs w:val="22"/>
        </w:rPr>
        <w:t>ur</w:t>
      </w:r>
      <w:proofErr w:type="spellEnd"/>
      <w:r w:rsidR="006A4323">
        <w:rPr>
          <w:rFonts w:asciiTheme="majorHAnsi" w:hAnsiTheme="majorHAnsi"/>
          <w:sz w:val="24"/>
          <w:szCs w:val="22"/>
        </w:rPr>
        <w:t>,</w:t>
      </w:r>
      <w:r w:rsidRPr="008418EA">
        <w:rPr>
          <w:rFonts w:asciiTheme="majorHAnsi" w:hAnsiTheme="majorHAnsi"/>
          <w:sz w:val="24"/>
          <w:szCs w:val="22"/>
        </w:rPr>
        <w:t xml:space="preserve"> and electrical transport mechanisms in </w:t>
      </w:r>
      <w:proofErr w:type="spellStart"/>
      <w:r w:rsidRPr="008418EA">
        <w:rPr>
          <w:rFonts w:asciiTheme="majorHAnsi" w:hAnsiTheme="majorHAnsi"/>
          <w:sz w:val="24"/>
          <w:szCs w:val="22"/>
        </w:rPr>
        <w:t>Nb</w:t>
      </w:r>
      <w:proofErr w:type="spellEnd"/>
      <w:r w:rsidRPr="008418EA">
        <w:rPr>
          <w:rFonts w:asciiTheme="majorHAnsi" w:hAnsiTheme="majorHAnsi"/>
          <w:sz w:val="24"/>
          <w:szCs w:val="22"/>
        </w:rPr>
        <w:t>–</w:t>
      </w:r>
      <w:proofErr w:type="spellStart"/>
      <w:r w:rsidRPr="008418EA">
        <w:rPr>
          <w:rFonts w:asciiTheme="majorHAnsi" w:hAnsiTheme="majorHAnsi"/>
          <w:sz w:val="24"/>
          <w:szCs w:val="22"/>
        </w:rPr>
        <w:t>Er</w:t>
      </w:r>
      <w:proofErr w:type="spellEnd"/>
      <w:r w:rsidRPr="008418EA">
        <w:rPr>
          <w:rFonts w:asciiTheme="majorHAnsi" w:hAnsiTheme="majorHAnsi"/>
          <w:sz w:val="24"/>
          <w:szCs w:val="22"/>
        </w:rPr>
        <w:t xml:space="preserve"> co-doped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₂ remains limited.</w:t>
      </w:r>
    </w:p>
    <w:p w14:paraId="75E3FAC2" w14:textId="5794946E"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In particular, the role of defect chemistry—such as oxygen vacancies and dopant-induced lattice distortion—in governing non-Debye relaxation </w:t>
      </w:r>
      <w:proofErr w:type="spellStart"/>
      <w:r w:rsidRPr="008418EA">
        <w:rPr>
          <w:rFonts w:asciiTheme="majorHAnsi" w:hAnsiTheme="majorHAnsi"/>
          <w:sz w:val="24"/>
          <w:szCs w:val="22"/>
        </w:rPr>
        <w:t>behavio</w:t>
      </w:r>
      <w:r w:rsidR="006A4323">
        <w:rPr>
          <w:rFonts w:asciiTheme="majorHAnsi" w:hAnsiTheme="majorHAnsi"/>
          <w:sz w:val="24"/>
          <w:szCs w:val="22"/>
        </w:rPr>
        <w:t>u</w:t>
      </w:r>
      <w:r w:rsidRPr="008418EA">
        <w:rPr>
          <w:rFonts w:asciiTheme="majorHAnsi" w:hAnsiTheme="majorHAnsi"/>
          <w:sz w:val="24"/>
          <w:szCs w:val="22"/>
        </w:rPr>
        <w:t>r</w:t>
      </w:r>
      <w:proofErr w:type="spellEnd"/>
      <w:r w:rsidRPr="008418EA">
        <w:rPr>
          <w:rFonts w:asciiTheme="majorHAnsi" w:hAnsiTheme="majorHAnsi"/>
          <w:sz w:val="24"/>
          <w:szCs w:val="22"/>
        </w:rPr>
        <w:t xml:space="preserve"> and hopping conduction mechanisms has not been systematically explored in this system. Furthermore, the relationship between microstructural features, such as grain size and grain boundary </w:t>
      </w:r>
      <w:r w:rsidRPr="008418EA">
        <w:rPr>
          <w:rFonts w:asciiTheme="majorHAnsi" w:hAnsiTheme="majorHAnsi"/>
          <w:sz w:val="24"/>
          <w:szCs w:val="22"/>
        </w:rPr>
        <w:lastRenderedPageBreak/>
        <w:t xml:space="preserve">density, and their influence on dielectric </w:t>
      </w:r>
      <w:proofErr w:type="spellStart"/>
      <w:r w:rsidRPr="008418EA">
        <w:rPr>
          <w:rFonts w:asciiTheme="majorHAnsi" w:hAnsiTheme="majorHAnsi"/>
          <w:sz w:val="24"/>
          <w:szCs w:val="22"/>
        </w:rPr>
        <w:t>polari</w:t>
      </w:r>
      <w:r w:rsidR="006A4323">
        <w:rPr>
          <w:rFonts w:asciiTheme="majorHAnsi" w:hAnsiTheme="majorHAnsi"/>
          <w:sz w:val="24"/>
          <w:szCs w:val="22"/>
        </w:rPr>
        <w:t>s</w:t>
      </w:r>
      <w:r w:rsidRPr="008418EA">
        <w:rPr>
          <w:rFonts w:asciiTheme="majorHAnsi" w:hAnsiTheme="majorHAnsi"/>
          <w:sz w:val="24"/>
          <w:szCs w:val="22"/>
        </w:rPr>
        <w:t>ation</w:t>
      </w:r>
      <w:proofErr w:type="spellEnd"/>
      <w:r w:rsidRPr="008418EA">
        <w:rPr>
          <w:rFonts w:asciiTheme="majorHAnsi" w:hAnsiTheme="majorHAnsi"/>
          <w:sz w:val="24"/>
          <w:szCs w:val="22"/>
        </w:rPr>
        <w:t xml:space="preserve"> and impedance response requires detailed investigation.</w:t>
      </w:r>
    </w:p>
    <w:p w14:paraId="4617C848" w14:textId="4F92D84D"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In this context, the present study aims to establish a direct structure–property–function correlation in </w:t>
      </w:r>
      <w:r w:rsidRPr="008418EA">
        <w:rPr>
          <w:rFonts w:asciiTheme="majorHAnsi" w:hAnsiTheme="majorHAnsi"/>
          <w:i/>
          <w:iCs/>
          <w:sz w:val="24"/>
          <w:szCs w:val="22"/>
        </w:rPr>
        <w:t>(</w:t>
      </w:r>
      <w:proofErr w:type="spellStart"/>
      <w:r w:rsidRPr="008418EA">
        <w:rPr>
          <w:rFonts w:asciiTheme="majorHAnsi" w:hAnsiTheme="majorHAnsi"/>
          <w:i/>
          <w:iCs/>
          <w:sz w:val="24"/>
          <w:szCs w:val="22"/>
        </w:rPr>
        <w:t>Nb</w:t>
      </w:r>
      <w:proofErr w:type="spellEnd"/>
      <w:proofErr w:type="gramStart"/>
      <w:r w:rsidRPr="008418EA">
        <w:rPr>
          <w:rFonts w:asciiTheme="majorHAnsi" w:hAnsiTheme="majorHAnsi"/>
          <w:i/>
          <w:iCs/>
          <w:sz w:val="24"/>
          <w:szCs w:val="22"/>
        </w:rPr>
        <w:t>₀.₅</w:t>
      </w:r>
      <w:proofErr w:type="spellStart"/>
      <w:proofErr w:type="gramEnd"/>
      <w:r w:rsidRPr="008418EA">
        <w:rPr>
          <w:rFonts w:asciiTheme="majorHAnsi" w:hAnsiTheme="majorHAnsi"/>
          <w:i/>
          <w:iCs/>
          <w:sz w:val="24"/>
          <w:szCs w:val="22"/>
        </w:rPr>
        <w:t>Er</w:t>
      </w:r>
      <w:proofErr w:type="spellEnd"/>
      <w:r w:rsidRPr="008418EA">
        <w:rPr>
          <w:rFonts w:asciiTheme="majorHAnsi" w:hAnsiTheme="majorHAnsi"/>
          <w:i/>
          <w:iCs/>
          <w:sz w:val="24"/>
          <w:szCs w:val="22"/>
        </w:rPr>
        <w:t>₀.₅)</w:t>
      </w:r>
      <w:proofErr w:type="spellStart"/>
      <w:r w:rsidRPr="005F727D">
        <w:rPr>
          <w:rFonts w:asciiTheme="majorHAnsi" w:hAnsiTheme="majorHAnsi"/>
          <w:i/>
          <w:iCs/>
          <w:sz w:val="24"/>
          <w:szCs w:val="22"/>
          <w:vertAlign w:val="subscript"/>
        </w:rPr>
        <w:t>x</w:t>
      </w:r>
      <w:r w:rsidRPr="008418EA">
        <w:rPr>
          <w:rFonts w:asciiTheme="majorHAnsi" w:hAnsiTheme="majorHAnsi"/>
          <w:i/>
          <w:iCs/>
          <w:sz w:val="24"/>
          <w:szCs w:val="22"/>
        </w:rPr>
        <w:t>Ti</w:t>
      </w:r>
      <w:proofErr w:type="spellEnd"/>
      <w:r w:rsidRPr="008418EA">
        <w:rPr>
          <w:rFonts w:asciiTheme="majorHAnsi" w:hAnsiTheme="majorHAnsi"/>
          <w:i/>
          <w:iCs/>
          <w:sz w:val="24"/>
          <w:szCs w:val="22"/>
        </w:rPr>
        <w:t>₁₋</w:t>
      </w:r>
      <w:proofErr w:type="spellStart"/>
      <w:r w:rsidRPr="005F727D">
        <w:rPr>
          <w:rFonts w:asciiTheme="majorHAnsi" w:hAnsiTheme="majorHAnsi"/>
          <w:i/>
          <w:iCs/>
          <w:sz w:val="24"/>
          <w:szCs w:val="22"/>
          <w:vertAlign w:val="subscript"/>
        </w:rPr>
        <w:t>x</w:t>
      </w:r>
      <w:r w:rsidRPr="008418EA">
        <w:rPr>
          <w:rFonts w:asciiTheme="majorHAnsi" w:hAnsiTheme="majorHAnsi"/>
          <w:i/>
          <w:iCs/>
          <w:sz w:val="24"/>
          <w:szCs w:val="22"/>
        </w:rPr>
        <w:t>O</w:t>
      </w:r>
      <w:proofErr w:type="spellEnd"/>
      <w:r w:rsidRPr="008418EA">
        <w:rPr>
          <w:rFonts w:asciiTheme="majorHAnsi" w:hAnsiTheme="majorHAnsi"/>
          <w:i/>
          <w:iCs/>
          <w:sz w:val="24"/>
          <w:szCs w:val="22"/>
        </w:rPr>
        <w:t>₂</w:t>
      </w:r>
      <w:r w:rsidRPr="008418EA">
        <w:rPr>
          <w:rFonts w:asciiTheme="majorHAnsi" w:hAnsiTheme="majorHAnsi"/>
          <w:sz w:val="24"/>
          <w:szCs w:val="22"/>
        </w:rPr>
        <w:t xml:space="preserve"> (x = 0.01–0.10) </w:t>
      </w:r>
      <w:proofErr w:type="spellStart"/>
      <w:r w:rsidRPr="008418EA">
        <w:rPr>
          <w:rFonts w:asciiTheme="majorHAnsi" w:hAnsiTheme="majorHAnsi"/>
          <w:sz w:val="24"/>
          <w:szCs w:val="22"/>
        </w:rPr>
        <w:t>synthesi</w:t>
      </w:r>
      <w:r w:rsidR="006A4323">
        <w:rPr>
          <w:rFonts w:asciiTheme="majorHAnsi" w:hAnsiTheme="majorHAnsi"/>
          <w:sz w:val="24"/>
          <w:szCs w:val="22"/>
        </w:rPr>
        <w:t>s</w:t>
      </w:r>
      <w:r w:rsidRPr="008418EA">
        <w:rPr>
          <w:rFonts w:asciiTheme="majorHAnsi" w:hAnsiTheme="majorHAnsi"/>
          <w:sz w:val="24"/>
          <w:szCs w:val="22"/>
        </w:rPr>
        <w:t>ed</w:t>
      </w:r>
      <w:proofErr w:type="spellEnd"/>
      <w:r w:rsidRPr="008418EA">
        <w:rPr>
          <w:rFonts w:asciiTheme="majorHAnsi" w:hAnsiTheme="majorHAnsi"/>
          <w:sz w:val="24"/>
          <w:szCs w:val="22"/>
        </w:rPr>
        <w:t xml:space="preserve"> via a solid-state reaction route. A comprehensive </w:t>
      </w:r>
      <w:proofErr w:type="spellStart"/>
      <w:r w:rsidRPr="008418EA">
        <w:rPr>
          <w:rFonts w:asciiTheme="majorHAnsi" w:hAnsiTheme="majorHAnsi"/>
          <w:sz w:val="24"/>
          <w:szCs w:val="22"/>
        </w:rPr>
        <w:t>characteri</w:t>
      </w:r>
      <w:r w:rsidR="006A4323">
        <w:rPr>
          <w:rFonts w:asciiTheme="majorHAnsi" w:hAnsiTheme="majorHAnsi"/>
          <w:sz w:val="24"/>
          <w:szCs w:val="22"/>
        </w:rPr>
        <w:t>s</w:t>
      </w:r>
      <w:r w:rsidRPr="008418EA">
        <w:rPr>
          <w:rFonts w:asciiTheme="majorHAnsi" w:hAnsiTheme="majorHAnsi"/>
          <w:sz w:val="24"/>
          <w:szCs w:val="22"/>
        </w:rPr>
        <w:t>ation</w:t>
      </w:r>
      <w:proofErr w:type="spellEnd"/>
      <w:r w:rsidRPr="008418EA">
        <w:rPr>
          <w:rFonts w:asciiTheme="majorHAnsi" w:hAnsiTheme="majorHAnsi"/>
          <w:sz w:val="24"/>
          <w:szCs w:val="22"/>
        </w:rPr>
        <w:t xml:space="preserve"> is carried out using X-ray diffraction (XRD), scanning electron microscopy (SEM), dielectric spectroscopy, and impedance analysis to elucidate the effects of Nb–Er co-doping on structural, microstructural and electrical properties.</w:t>
      </w:r>
    </w:p>
    <w:p w14:paraId="196B49E6" w14:textId="4B2D3DEF"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Beyond conventional material </w:t>
      </w:r>
      <w:proofErr w:type="spellStart"/>
      <w:r w:rsidRPr="008418EA">
        <w:rPr>
          <w:rFonts w:asciiTheme="majorHAnsi" w:hAnsiTheme="majorHAnsi"/>
          <w:sz w:val="24"/>
          <w:szCs w:val="22"/>
        </w:rPr>
        <w:t>characteri</w:t>
      </w:r>
      <w:r w:rsidR="006A4323">
        <w:rPr>
          <w:rFonts w:asciiTheme="majorHAnsi" w:hAnsiTheme="majorHAnsi"/>
          <w:sz w:val="24"/>
          <w:szCs w:val="22"/>
        </w:rPr>
        <w:t>s</w:t>
      </w:r>
      <w:r w:rsidRPr="008418EA">
        <w:rPr>
          <w:rFonts w:asciiTheme="majorHAnsi" w:hAnsiTheme="majorHAnsi"/>
          <w:sz w:val="24"/>
          <w:szCs w:val="22"/>
        </w:rPr>
        <w:t>ation</w:t>
      </w:r>
      <w:proofErr w:type="spellEnd"/>
      <w:r w:rsidRPr="008418EA">
        <w:rPr>
          <w:rFonts w:asciiTheme="majorHAnsi" w:hAnsiTheme="majorHAnsi"/>
          <w:sz w:val="24"/>
          <w:szCs w:val="22"/>
        </w:rPr>
        <w:t xml:space="preserve">, this work also explores the functional implications of the observed properties in the context of low-power energy systems. The combination of enhanced dielectric response, improved charge transport and stable electrical </w:t>
      </w:r>
      <w:proofErr w:type="spellStart"/>
      <w:r w:rsidRPr="008418EA">
        <w:rPr>
          <w:rFonts w:asciiTheme="majorHAnsi" w:hAnsiTheme="majorHAnsi"/>
          <w:sz w:val="24"/>
          <w:szCs w:val="22"/>
        </w:rPr>
        <w:t>behavio</w:t>
      </w:r>
      <w:r w:rsidR="006A4323">
        <w:rPr>
          <w:rFonts w:asciiTheme="majorHAnsi" w:hAnsiTheme="majorHAnsi"/>
          <w:sz w:val="24"/>
          <w:szCs w:val="22"/>
        </w:rPr>
        <w:t>u</w:t>
      </w:r>
      <w:r w:rsidRPr="008418EA">
        <w:rPr>
          <w:rFonts w:asciiTheme="majorHAnsi" w:hAnsiTheme="majorHAnsi"/>
          <w:sz w:val="24"/>
          <w:szCs w:val="22"/>
        </w:rPr>
        <w:t>r</w:t>
      </w:r>
      <w:proofErr w:type="spellEnd"/>
      <w:r w:rsidRPr="008418EA">
        <w:rPr>
          <w:rFonts w:asciiTheme="majorHAnsi" w:hAnsiTheme="majorHAnsi"/>
          <w:sz w:val="24"/>
          <w:szCs w:val="22"/>
        </w:rPr>
        <w:t xml:space="preserve"> suggests that </w:t>
      </w:r>
      <w:proofErr w:type="spellStart"/>
      <w:r w:rsidRPr="008418EA">
        <w:rPr>
          <w:rFonts w:asciiTheme="majorHAnsi" w:hAnsiTheme="majorHAnsi"/>
          <w:sz w:val="24"/>
          <w:szCs w:val="22"/>
        </w:rPr>
        <w:t>Nb</w:t>
      </w:r>
      <w:proofErr w:type="spellEnd"/>
      <w:r w:rsidRPr="008418EA">
        <w:rPr>
          <w:rFonts w:asciiTheme="majorHAnsi" w:hAnsiTheme="majorHAnsi"/>
          <w:sz w:val="24"/>
          <w:szCs w:val="22"/>
        </w:rPr>
        <w:t>–</w:t>
      </w:r>
      <w:proofErr w:type="spellStart"/>
      <w:r w:rsidRPr="008418EA">
        <w:rPr>
          <w:rFonts w:asciiTheme="majorHAnsi" w:hAnsiTheme="majorHAnsi"/>
          <w:sz w:val="24"/>
          <w:szCs w:val="22"/>
        </w:rPr>
        <w:t>Er</w:t>
      </w:r>
      <w:proofErr w:type="spellEnd"/>
      <w:r w:rsidRPr="008418EA">
        <w:rPr>
          <w:rFonts w:asciiTheme="majorHAnsi" w:hAnsiTheme="majorHAnsi"/>
          <w:sz w:val="24"/>
          <w:szCs w:val="22"/>
        </w:rPr>
        <w:t xml:space="preserve"> co-doped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₂ can serve as a promising candidate for solar energy applications. Additionally, the ability to integrate such materials into compact and efficient systems opens avenues for their use in educational devices that demonstrate fundamental principles of energy conversion and material science in</w:t>
      </w:r>
      <w:r w:rsidR="006A4323">
        <w:rPr>
          <w:rFonts w:asciiTheme="majorHAnsi" w:hAnsiTheme="majorHAnsi"/>
          <w:sz w:val="24"/>
          <w:szCs w:val="22"/>
        </w:rPr>
        <w:t>teractively</w:t>
      </w:r>
      <w:r w:rsidRPr="008418EA">
        <w:rPr>
          <w:rFonts w:asciiTheme="majorHAnsi" w:hAnsiTheme="majorHAnsi"/>
          <w:sz w:val="24"/>
          <w:szCs w:val="22"/>
        </w:rPr>
        <w:t>.</w:t>
      </w:r>
    </w:p>
    <w:p w14:paraId="43FECAEE"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Thus, this study not only advances the understanding of defect-engineered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₂ systems but also highlights the broader applicability of such materials in interdisciplinary domains that bridge advanced materials research with practical and educational applications.</w:t>
      </w:r>
    </w:p>
    <w:p w14:paraId="20BBE627" w14:textId="77777777" w:rsidR="00182652" w:rsidRDefault="006C4578" w:rsidP="006C4578">
      <w:pPr>
        <w:spacing w:line="360" w:lineRule="auto"/>
        <w:jc w:val="center"/>
        <w:rPr>
          <w:rFonts w:asciiTheme="majorHAnsi" w:hAnsiTheme="majorHAnsi"/>
          <w:b/>
          <w:bCs/>
          <w:color w:val="FF0000"/>
          <w:sz w:val="24"/>
          <w:szCs w:val="22"/>
        </w:rPr>
      </w:pPr>
      <w:r>
        <w:rPr>
          <w:rFonts w:asciiTheme="majorHAnsi" w:hAnsiTheme="majorHAnsi"/>
          <w:b/>
          <w:bCs/>
          <w:noProof/>
          <w:color w:val="FF0000"/>
          <w:sz w:val="24"/>
          <w:szCs w:val="22"/>
          <w:lang w:val="en-IN" w:eastAsia="en-IN" w:bidi="ar-SA"/>
        </w:rPr>
        <w:drawing>
          <wp:inline distT="0" distB="0" distL="0" distR="0" wp14:anchorId="4E243DA1" wp14:editId="5F5D2DAA">
            <wp:extent cx="6142092" cy="2651760"/>
            <wp:effectExtent l="0" t="0" r="0" b="0"/>
            <wp:docPr id="20942188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42092" cy="2651760"/>
                    </a:xfrm>
                    <a:prstGeom prst="rect">
                      <a:avLst/>
                    </a:prstGeom>
                    <a:noFill/>
                  </pic:spPr>
                </pic:pic>
              </a:graphicData>
            </a:graphic>
          </wp:inline>
        </w:drawing>
      </w:r>
    </w:p>
    <w:p w14:paraId="637929E7" w14:textId="77777777" w:rsidR="008418EA" w:rsidRPr="00856A02" w:rsidRDefault="008418EA" w:rsidP="006C4578">
      <w:pPr>
        <w:spacing w:line="360" w:lineRule="auto"/>
        <w:jc w:val="both"/>
        <w:rPr>
          <w:rFonts w:asciiTheme="majorHAnsi" w:hAnsiTheme="majorHAnsi"/>
          <w:b/>
          <w:bCs/>
          <w:sz w:val="24"/>
          <w:szCs w:val="22"/>
        </w:rPr>
      </w:pPr>
      <w:r w:rsidRPr="00856A02">
        <w:rPr>
          <w:rFonts w:asciiTheme="majorHAnsi" w:hAnsiTheme="majorHAnsi"/>
          <w:b/>
          <w:bCs/>
          <w:sz w:val="24"/>
          <w:szCs w:val="22"/>
        </w:rPr>
        <w:lastRenderedPageBreak/>
        <w:t>Figure 1</w:t>
      </w:r>
      <w:r w:rsidR="006C4578" w:rsidRPr="00856A02">
        <w:rPr>
          <w:rFonts w:asciiTheme="majorHAnsi" w:hAnsiTheme="majorHAnsi"/>
          <w:b/>
          <w:bCs/>
          <w:sz w:val="24"/>
          <w:szCs w:val="22"/>
        </w:rPr>
        <w:t xml:space="preserve">. </w:t>
      </w:r>
      <w:r w:rsidRPr="00856A02">
        <w:rPr>
          <w:rFonts w:asciiTheme="majorHAnsi" w:hAnsiTheme="majorHAnsi"/>
          <w:i/>
          <w:iCs/>
          <w:sz w:val="24"/>
          <w:szCs w:val="22"/>
        </w:rPr>
        <w:t xml:space="preserve">Schematic illustrating the role of Nb⁵⁺ and Er³⁺ dopants in modifying the </w:t>
      </w:r>
      <w:proofErr w:type="spellStart"/>
      <w:r w:rsidRPr="00856A02">
        <w:rPr>
          <w:rFonts w:asciiTheme="majorHAnsi" w:hAnsiTheme="majorHAnsi"/>
          <w:i/>
          <w:iCs/>
          <w:sz w:val="24"/>
          <w:szCs w:val="22"/>
        </w:rPr>
        <w:t>TiO</w:t>
      </w:r>
      <w:proofErr w:type="spellEnd"/>
      <w:r w:rsidRPr="00856A02">
        <w:rPr>
          <w:rFonts w:asciiTheme="majorHAnsi" w:hAnsiTheme="majorHAnsi"/>
          <w:i/>
          <w:iCs/>
          <w:sz w:val="24"/>
          <w:szCs w:val="22"/>
        </w:rPr>
        <w:t>₂ lattice, introducing defect states, and influencing dielectric and electrical properties.</w:t>
      </w:r>
    </w:p>
    <w:p w14:paraId="3A49648D" w14:textId="77777777" w:rsidR="008418EA" w:rsidRDefault="008418EA" w:rsidP="008418EA">
      <w:pPr>
        <w:spacing w:line="360" w:lineRule="auto"/>
        <w:jc w:val="both"/>
        <w:rPr>
          <w:rFonts w:asciiTheme="majorHAnsi" w:hAnsiTheme="majorHAnsi"/>
          <w:sz w:val="24"/>
          <w:szCs w:val="22"/>
        </w:rPr>
      </w:pPr>
    </w:p>
    <w:p w14:paraId="2CA342B3" w14:textId="0916BFCF"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 xml:space="preserve">2. </w:t>
      </w:r>
      <w:r w:rsidR="00173A35">
        <w:rPr>
          <w:rFonts w:asciiTheme="majorHAnsi" w:hAnsiTheme="majorHAnsi"/>
          <w:b/>
          <w:bCs/>
          <w:sz w:val="24"/>
          <w:szCs w:val="22"/>
        </w:rPr>
        <w:t>Methodology</w:t>
      </w:r>
    </w:p>
    <w:p w14:paraId="0E429FD4"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2.1 Materials</w:t>
      </w:r>
    </w:p>
    <w:p w14:paraId="2CFA307A"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High-purity precursor materials were used for the synthesis of </w:t>
      </w:r>
      <w:r w:rsidRPr="008418EA">
        <w:rPr>
          <w:rFonts w:asciiTheme="majorHAnsi" w:hAnsiTheme="majorHAnsi"/>
          <w:i/>
          <w:iCs/>
          <w:sz w:val="24"/>
          <w:szCs w:val="22"/>
        </w:rPr>
        <w:t>(</w:t>
      </w:r>
      <w:proofErr w:type="spellStart"/>
      <w:r w:rsidRPr="008418EA">
        <w:rPr>
          <w:rFonts w:asciiTheme="majorHAnsi" w:hAnsiTheme="majorHAnsi"/>
          <w:i/>
          <w:iCs/>
          <w:sz w:val="24"/>
          <w:szCs w:val="22"/>
        </w:rPr>
        <w:t>Nb</w:t>
      </w:r>
      <w:proofErr w:type="spellEnd"/>
      <w:proofErr w:type="gramStart"/>
      <w:r w:rsidRPr="008418EA">
        <w:rPr>
          <w:rFonts w:asciiTheme="majorHAnsi" w:hAnsiTheme="majorHAnsi"/>
          <w:i/>
          <w:iCs/>
          <w:sz w:val="24"/>
          <w:szCs w:val="22"/>
        </w:rPr>
        <w:t>₀.₅</w:t>
      </w:r>
      <w:proofErr w:type="spellStart"/>
      <w:proofErr w:type="gramEnd"/>
      <w:r w:rsidRPr="008418EA">
        <w:rPr>
          <w:rFonts w:asciiTheme="majorHAnsi" w:hAnsiTheme="majorHAnsi"/>
          <w:i/>
          <w:iCs/>
          <w:sz w:val="24"/>
          <w:szCs w:val="22"/>
        </w:rPr>
        <w:t>Er</w:t>
      </w:r>
      <w:proofErr w:type="spellEnd"/>
      <w:r w:rsidRPr="008418EA">
        <w:rPr>
          <w:rFonts w:asciiTheme="majorHAnsi" w:hAnsiTheme="majorHAnsi"/>
          <w:i/>
          <w:iCs/>
          <w:sz w:val="24"/>
          <w:szCs w:val="22"/>
        </w:rPr>
        <w:t>₀.₅)</w:t>
      </w:r>
      <w:proofErr w:type="spellStart"/>
      <w:r w:rsidRPr="005F727D">
        <w:rPr>
          <w:rFonts w:asciiTheme="majorHAnsi" w:hAnsiTheme="majorHAnsi"/>
          <w:i/>
          <w:iCs/>
          <w:sz w:val="24"/>
          <w:szCs w:val="22"/>
          <w:vertAlign w:val="subscript"/>
        </w:rPr>
        <w:t>x</w:t>
      </w:r>
      <w:r w:rsidRPr="008418EA">
        <w:rPr>
          <w:rFonts w:asciiTheme="majorHAnsi" w:hAnsiTheme="majorHAnsi"/>
          <w:i/>
          <w:iCs/>
          <w:sz w:val="24"/>
          <w:szCs w:val="22"/>
        </w:rPr>
        <w:t>Ti</w:t>
      </w:r>
      <w:proofErr w:type="spellEnd"/>
      <w:r w:rsidRPr="008418EA">
        <w:rPr>
          <w:rFonts w:asciiTheme="majorHAnsi" w:hAnsiTheme="majorHAnsi"/>
          <w:i/>
          <w:iCs/>
          <w:sz w:val="24"/>
          <w:szCs w:val="22"/>
        </w:rPr>
        <w:t>₁₋</w:t>
      </w:r>
      <w:proofErr w:type="spellStart"/>
      <w:r w:rsidRPr="005F727D">
        <w:rPr>
          <w:rFonts w:asciiTheme="majorHAnsi" w:hAnsiTheme="majorHAnsi"/>
          <w:i/>
          <w:iCs/>
          <w:sz w:val="24"/>
          <w:szCs w:val="22"/>
          <w:vertAlign w:val="subscript"/>
        </w:rPr>
        <w:t>x</w:t>
      </w:r>
      <w:r w:rsidRPr="008418EA">
        <w:rPr>
          <w:rFonts w:asciiTheme="majorHAnsi" w:hAnsiTheme="majorHAnsi"/>
          <w:i/>
          <w:iCs/>
          <w:sz w:val="24"/>
          <w:szCs w:val="22"/>
        </w:rPr>
        <w:t>O</w:t>
      </w:r>
      <w:proofErr w:type="spellEnd"/>
      <w:r w:rsidRPr="008418EA">
        <w:rPr>
          <w:rFonts w:asciiTheme="majorHAnsi" w:hAnsiTheme="majorHAnsi"/>
          <w:i/>
          <w:iCs/>
          <w:sz w:val="24"/>
          <w:szCs w:val="22"/>
        </w:rPr>
        <w:t>₂</w:t>
      </w:r>
      <w:r w:rsidRPr="008418EA">
        <w:rPr>
          <w:rFonts w:asciiTheme="majorHAnsi" w:hAnsiTheme="majorHAnsi"/>
          <w:sz w:val="24"/>
          <w:szCs w:val="22"/>
        </w:rPr>
        <w:t xml:space="preserve"> (x = 0.01, 0.02, 0.04, 0.06, 0.10). Titanium dioxide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₂, 99.99%), niobium pentoxide (</w:t>
      </w:r>
      <w:proofErr w:type="spellStart"/>
      <w:r w:rsidRPr="008418EA">
        <w:rPr>
          <w:rFonts w:asciiTheme="majorHAnsi" w:hAnsiTheme="majorHAnsi"/>
          <w:sz w:val="24"/>
          <w:szCs w:val="22"/>
        </w:rPr>
        <w:t>Nb₂O</w:t>
      </w:r>
      <w:proofErr w:type="spellEnd"/>
      <w:r w:rsidRPr="008418EA">
        <w:rPr>
          <w:rFonts w:asciiTheme="majorHAnsi" w:hAnsiTheme="majorHAnsi"/>
          <w:sz w:val="24"/>
          <w:szCs w:val="22"/>
        </w:rPr>
        <w:t>₅, 99.99%), and erbium oxide (</w:t>
      </w:r>
      <w:proofErr w:type="spellStart"/>
      <w:r w:rsidRPr="008418EA">
        <w:rPr>
          <w:rFonts w:asciiTheme="majorHAnsi" w:hAnsiTheme="majorHAnsi"/>
          <w:sz w:val="24"/>
          <w:szCs w:val="22"/>
        </w:rPr>
        <w:t>Er₂O</w:t>
      </w:r>
      <w:proofErr w:type="spellEnd"/>
      <w:r w:rsidRPr="008418EA">
        <w:rPr>
          <w:rFonts w:asciiTheme="majorHAnsi" w:hAnsiTheme="majorHAnsi"/>
          <w:sz w:val="24"/>
          <w:szCs w:val="22"/>
        </w:rPr>
        <w:t>₃, 99.99%) were procured from Sigma-Aldrich and used without further purification. The selection of high-purity oxides ensures minimal impurity-driven defects, allowing controlled investigation of dopant-induced effects on structural and electrical properties [10].</w:t>
      </w:r>
    </w:p>
    <w:p w14:paraId="15229576" w14:textId="77777777" w:rsidR="008418EA" w:rsidRPr="008418EA" w:rsidRDefault="008418EA" w:rsidP="008418EA">
      <w:pPr>
        <w:spacing w:line="360" w:lineRule="auto"/>
        <w:jc w:val="both"/>
        <w:rPr>
          <w:rFonts w:asciiTheme="majorHAnsi" w:hAnsiTheme="majorHAnsi"/>
          <w:sz w:val="24"/>
          <w:szCs w:val="22"/>
        </w:rPr>
      </w:pPr>
    </w:p>
    <w:p w14:paraId="6ACC7AE0"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 xml:space="preserve">2.2 Synthesis of </w:t>
      </w:r>
      <w:proofErr w:type="spellStart"/>
      <w:r w:rsidRPr="008418EA">
        <w:rPr>
          <w:rFonts w:asciiTheme="majorHAnsi" w:hAnsiTheme="majorHAnsi"/>
          <w:b/>
          <w:bCs/>
          <w:sz w:val="24"/>
          <w:szCs w:val="22"/>
        </w:rPr>
        <w:t>Nb</w:t>
      </w:r>
      <w:proofErr w:type="spellEnd"/>
      <w:r w:rsidRPr="008418EA">
        <w:rPr>
          <w:rFonts w:asciiTheme="majorHAnsi" w:hAnsiTheme="majorHAnsi"/>
          <w:b/>
          <w:bCs/>
          <w:sz w:val="24"/>
          <w:szCs w:val="22"/>
        </w:rPr>
        <w:t>–</w:t>
      </w:r>
      <w:proofErr w:type="spellStart"/>
      <w:r w:rsidRPr="008418EA">
        <w:rPr>
          <w:rFonts w:asciiTheme="majorHAnsi" w:hAnsiTheme="majorHAnsi"/>
          <w:b/>
          <w:bCs/>
          <w:sz w:val="24"/>
          <w:szCs w:val="22"/>
        </w:rPr>
        <w:t>Er</w:t>
      </w:r>
      <w:proofErr w:type="spellEnd"/>
      <w:r w:rsidRPr="008418EA">
        <w:rPr>
          <w:rFonts w:asciiTheme="majorHAnsi" w:hAnsiTheme="majorHAnsi"/>
          <w:b/>
          <w:bCs/>
          <w:sz w:val="24"/>
          <w:szCs w:val="22"/>
        </w:rPr>
        <w:t xml:space="preserve"> Co-Doped </w:t>
      </w:r>
      <w:proofErr w:type="spellStart"/>
      <w:r w:rsidRPr="008418EA">
        <w:rPr>
          <w:rFonts w:asciiTheme="majorHAnsi" w:hAnsiTheme="majorHAnsi"/>
          <w:b/>
          <w:bCs/>
          <w:sz w:val="24"/>
          <w:szCs w:val="22"/>
        </w:rPr>
        <w:t>TiO</w:t>
      </w:r>
      <w:proofErr w:type="spellEnd"/>
      <w:r w:rsidRPr="008418EA">
        <w:rPr>
          <w:rFonts w:asciiTheme="majorHAnsi" w:hAnsiTheme="majorHAnsi"/>
          <w:b/>
          <w:bCs/>
          <w:sz w:val="24"/>
          <w:szCs w:val="22"/>
        </w:rPr>
        <w:t>₂</w:t>
      </w:r>
    </w:p>
    <w:p w14:paraId="4192C741" w14:textId="25250C5A"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The samples were </w:t>
      </w:r>
      <w:proofErr w:type="spellStart"/>
      <w:r w:rsidRPr="008418EA">
        <w:rPr>
          <w:rFonts w:asciiTheme="majorHAnsi" w:hAnsiTheme="majorHAnsi"/>
          <w:sz w:val="24"/>
          <w:szCs w:val="22"/>
        </w:rPr>
        <w:t>synthesi</w:t>
      </w:r>
      <w:r w:rsidR="006A4323">
        <w:rPr>
          <w:rFonts w:asciiTheme="majorHAnsi" w:hAnsiTheme="majorHAnsi"/>
          <w:sz w:val="24"/>
          <w:szCs w:val="22"/>
        </w:rPr>
        <w:t>s</w:t>
      </w:r>
      <w:r w:rsidRPr="008418EA">
        <w:rPr>
          <w:rFonts w:asciiTheme="majorHAnsi" w:hAnsiTheme="majorHAnsi"/>
          <w:sz w:val="24"/>
          <w:szCs w:val="22"/>
        </w:rPr>
        <w:t>ed</w:t>
      </w:r>
      <w:proofErr w:type="spellEnd"/>
      <w:r w:rsidRPr="008418EA">
        <w:rPr>
          <w:rFonts w:asciiTheme="majorHAnsi" w:hAnsiTheme="majorHAnsi"/>
          <w:sz w:val="24"/>
          <w:szCs w:val="22"/>
        </w:rPr>
        <w:t xml:space="preserve"> using a conventional solid-state reaction method, which is widely employed for preparing homogeneous oxide ceramics with controlled stoichiometry and high crystallinity [11]. Appropriate stoichiometric amounts of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 xml:space="preserve">₂, </w:t>
      </w:r>
      <w:proofErr w:type="spellStart"/>
      <w:r w:rsidRPr="008418EA">
        <w:rPr>
          <w:rFonts w:asciiTheme="majorHAnsi" w:hAnsiTheme="majorHAnsi"/>
          <w:sz w:val="24"/>
          <w:szCs w:val="22"/>
        </w:rPr>
        <w:t>Nb₂O</w:t>
      </w:r>
      <w:proofErr w:type="spellEnd"/>
      <w:r w:rsidRPr="008418EA">
        <w:rPr>
          <w:rFonts w:asciiTheme="majorHAnsi" w:hAnsiTheme="majorHAnsi"/>
          <w:sz w:val="24"/>
          <w:szCs w:val="22"/>
        </w:rPr>
        <w:t xml:space="preserve">₅ and </w:t>
      </w:r>
      <w:proofErr w:type="spellStart"/>
      <w:r w:rsidRPr="008418EA">
        <w:rPr>
          <w:rFonts w:asciiTheme="majorHAnsi" w:hAnsiTheme="majorHAnsi"/>
          <w:sz w:val="24"/>
          <w:szCs w:val="22"/>
        </w:rPr>
        <w:t>Er₂O</w:t>
      </w:r>
      <w:proofErr w:type="spellEnd"/>
      <w:r w:rsidRPr="008418EA">
        <w:rPr>
          <w:rFonts w:asciiTheme="majorHAnsi" w:hAnsiTheme="majorHAnsi"/>
          <w:sz w:val="24"/>
          <w:szCs w:val="22"/>
        </w:rPr>
        <w:t>₃ were weighed according to the desired composition and thoroughly mixed using an agate mortar and pestle to ensure uniform distribution of dopants.</w:t>
      </w:r>
    </w:p>
    <w:p w14:paraId="36F2E766" w14:textId="012F0CD5"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The mixed powders were ground for several hours to achieve </w:t>
      </w:r>
      <w:r w:rsidR="006A4323">
        <w:rPr>
          <w:rFonts w:asciiTheme="majorHAnsi" w:hAnsiTheme="majorHAnsi"/>
          <w:sz w:val="24"/>
          <w:szCs w:val="22"/>
        </w:rPr>
        <w:t xml:space="preserve">a </w:t>
      </w:r>
      <w:r w:rsidRPr="008418EA">
        <w:rPr>
          <w:rFonts w:asciiTheme="majorHAnsi" w:hAnsiTheme="majorHAnsi"/>
          <w:sz w:val="24"/>
          <w:szCs w:val="22"/>
        </w:rPr>
        <w:t xml:space="preserve">fine particle size and homogeneity. The </w:t>
      </w:r>
      <w:proofErr w:type="spellStart"/>
      <w:r w:rsidRPr="008418EA">
        <w:rPr>
          <w:rFonts w:asciiTheme="majorHAnsi" w:hAnsiTheme="majorHAnsi"/>
          <w:sz w:val="24"/>
          <w:szCs w:val="22"/>
        </w:rPr>
        <w:t>homogeni</w:t>
      </w:r>
      <w:r w:rsidR="006A4323">
        <w:rPr>
          <w:rFonts w:asciiTheme="majorHAnsi" w:hAnsiTheme="majorHAnsi"/>
          <w:sz w:val="24"/>
          <w:szCs w:val="22"/>
        </w:rPr>
        <w:t>s</w:t>
      </w:r>
      <w:r w:rsidRPr="008418EA">
        <w:rPr>
          <w:rFonts w:asciiTheme="majorHAnsi" w:hAnsiTheme="majorHAnsi"/>
          <w:sz w:val="24"/>
          <w:szCs w:val="22"/>
        </w:rPr>
        <w:t>ed</w:t>
      </w:r>
      <w:proofErr w:type="spellEnd"/>
      <w:r w:rsidRPr="008418EA">
        <w:rPr>
          <w:rFonts w:asciiTheme="majorHAnsi" w:hAnsiTheme="majorHAnsi"/>
          <w:sz w:val="24"/>
          <w:szCs w:val="22"/>
        </w:rPr>
        <w:t xml:space="preserve"> powders were then subjected to calcination at elevated temperature (typically in the range of 800–1000 °C) in air to facilitate solid-state diffusion and phase formation. The calcined powders were reground and pressed into pellets using a hydraulic press under uniform pressure.</w:t>
      </w:r>
    </w:p>
    <w:p w14:paraId="1FA40547"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The pellets were sintered at high temperature to achieve densification and improved grain connectivity. The solid-state route enables effective incorporation of Nb⁵⁺ and Er³⁺ ions into the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₂ lattice, leading to defect formation and microstructural evolution [12].</w:t>
      </w:r>
    </w:p>
    <w:p w14:paraId="726B4ABC" w14:textId="77777777" w:rsidR="008418EA" w:rsidRPr="008418EA" w:rsidRDefault="008418EA" w:rsidP="008418EA">
      <w:pPr>
        <w:spacing w:line="360" w:lineRule="auto"/>
        <w:jc w:val="both"/>
        <w:rPr>
          <w:rFonts w:asciiTheme="majorHAnsi" w:hAnsiTheme="majorHAnsi"/>
          <w:sz w:val="24"/>
          <w:szCs w:val="22"/>
        </w:rPr>
      </w:pPr>
    </w:p>
    <w:p w14:paraId="191EF540" w14:textId="39E81B1C"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 xml:space="preserve">2.3 Structural </w:t>
      </w:r>
      <w:proofErr w:type="spellStart"/>
      <w:r w:rsidRPr="008418EA">
        <w:rPr>
          <w:rFonts w:asciiTheme="majorHAnsi" w:hAnsiTheme="majorHAnsi"/>
          <w:b/>
          <w:bCs/>
          <w:sz w:val="24"/>
          <w:szCs w:val="22"/>
        </w:rPr>
        <w:t>Characteri</w:t>
      </w:r>
      <w:r w:rsidR="006A4323">
        <w:rPr>
          <w:rFonts w:asciiTheme="majorHAnsi" w:hAnsiTheme="majorHAnsi"/>
          <w:b/>
          <w:bCs/>
          <w:sz w:val="24"/>
          <w:szCs w:val="22"/>
        </w:rPr>
        <w:t>s</w:t>
      </w:r>
      <w:r w:rsidRPr="008418EA">
        <w:rPr>
          <w:rFonts w:asciiTheme="majorHAnsi" w:hAnsiTheme="majorHAnsi"/>
          <w:b/>
          <w:bCs/>
          <w:sz w:val="24"/>
          <w:szCs w:val="22"/>
        </w:rPr>
        <w:t>ation</w:t>
      </w:r>
      <w:proofErr w:type="spellEnd"/>
    </w:p>
    <w:p w14:paraId="53B361E7" w14:textId="06BA2422"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The phase formation and crystal structure of the </w:t>
      </w:r>
      <w:proofErr w:type="spellStart"/>
      <w:r w:rsidRPr="008418EA">
        <w:rPr>
          <w:rFonts w:asciiTheme="majorHAnsi" w:hAnsiTheme="majorHAnsi"/>
          <w:sz w:val="24"/>
          <w:szCs w:val="22"/>
        </w:rPr>
        <w:t>synthesi</w:t>
      </w:r>
      <w:r w:rsidR="006A4323">
        <w:rPr>
          <w:rFonts w:asciiTheme="majorHAnsi" w:hAnsiTheme="majorHAnsi"/>
          <w:sz w:val="24"/>
          <w:szCs w:val="22"/>
        </w:rPr>
        <w:t>s</w:t>
      </w:r>
      <w:r w:rsidRPr="008418EA">
        <w:rPr>
          <w:rFonts w:asciiTheme="majorHAnsi" w:hAnsiTheme="majorHAnsi"/>
          <w:sz w:val="24"/>
          <w:szCs w:val="22"/>
        </w:rPr>
        <w:t>ed</w:t>
      </w:r>
      <w:proofErr w:type="spellEnd"/>
      <w:r w:rsidRPr="008418EA">
        <w:rPr>
          <w:rFonts w:asciiTheme="majorHAnsi" w:hAnsiTheme="majorHAnsi"/>
          <w:sz w:val="24"/>
          <w:szCs w:val="22"/>
        </w:rPr>
        <w:t xml:space="preserve"> samples were </w:t>
      </w:r>
      <w:proofErr w:type="spellStart"/>
      <w:r w:rsidRPr="008418EA">
        <w:rPr>
          <w:rFonts w:asciiTheme="majorHAnsi" w:hAnsiTheme="majorHAnsi"/>
          <w:sz w:val="24"/>
          <w:szCs w:val="22"/>
        </w:rPr>
        <w:t>analy</w:t>
      </w:r>
      <w:r w:rsidR="006A4323">
        <w:rPr>
          <w:rFonts w:asciiTheme="majorHAnsi" w:hAnsiTheme="majorHAnsi"/>
          <w:sz w:val="24"/>
          <w:szCs w:val="22"/>
        </w:rPr>
        <w:t>s</w:t>
      </w:r>
      <w:r w:rsidRPr="008418EA">
        <w:rPr>
          <w:rFonts w:asciiTheme="majorHAnsi" w:hAnsiTheme="majorHAnsi"/>
          <w:sz w:val="24"/>
          <w:szCs w:val="22"/>
        </w:rPr>
        <w:t>ed</w:t>
      </w:r>
      <w:proofErr w:type="spellEnd"/>
      <w:r w:rsidRPr="008418EA">
        <w:rPr>
          <w:rFonts w:asciiTheme="majorHAnsi" w:hAnsiTheme="majorHAnsi"/>
          <w:sz w:val="24"/>
          <w:szCs w:val="22"/>
        </w:rPr>
        <w:t xml:space="preserve"> using X-ray diffraction (XRD) with Cu Kα radiation (λ = 1.5406 Å). The diffraction patterns were recorded over an appropriate 2θ range with a fixed step size and scanning rate.</w:t>
      </w:r>
    </w:p>
    <w:p w14:paraId="23BFC9F7"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lastRenderedPageBreak/>
        <w:t>Phase identification was carried out by comparing the obtained diffraction patterns with standard JCPDS data. The crystallite size was estimated using the Scherrer equation:</w:t>
      </w:r>
    </w:p>
    <w:p w14:paraId="7E61C240" w14:textId="2239B306" w:rsidR="008418EA" w:rsidRPr="008418EA" w:rsidRDefault="008418EA" w:rsidP="005F727D">
      <w:pPr>
        <w:spacing w:line="360" w:lineRule="auto"/>
        <w:jc w:val="both"/>
        <w:rPr>
          <w:rFonts w:asciiTheme="majorHAnsi" w:hAnsiTheme="majorHAnsi"/>
          <w:sz w:val="24"/>
          <w:szCs w:val="22"/>
        </w:rPr>
      </w:pPr>
      <m:oMathPara>
        <m:oMath>
          <m:r>
            <w:rPr>
              <w:rFonts w:ascii="Cambria Math" w:hAnsi="Cambria Math"/>
              <w:sz w:val="24"/>
              <w:szCs w:val="22"/>
            </w:rPr>
            <m:t>D=</m:t>
          </m:r>
          <m:f>
            <m:fPr>
              <m:ctrlPr>
                <w:rPr>
                  <w:rFonts w:ascii="Cambria Math" w:hAnsi="Cambria Math"/>
                  <w:sz w:val="24"/>
                  <w:szCs w:val="22"/>
                </w:rPr>
              </m:ctrlPr>
            </m:fPr>
            <m:num>
              <m:r>
                <w:rPr>
                  <w:rFonts w:ascii="Cambria Math" w:hAnsi="Cambria Math"/>
                  <w:sz w:val="24"/>
                  <w:szCs w:val="22"/>
                </w:rPr>
                <m:t>Kλ</m:t>
              </m:r>
            </m:num>
            <m:den>
              <m:r>
                <w:rPr>
                  <w:rFonts w:ascii="Cambria Math" w:hAnsi="Cambria Math"/>
                  <w:sz w:val="24"/>
                  <w:szCs w:val="22"/>
                </w:rPr>
                <m:t>β</m:t>
              </m:r>
              <m:r>
                <m:rPr>
                  <m:sty m:val="p"/>
                </m:rPr>
                <w:rPr>
                  <w:rFonts w:ascii="Cambria Math" w:hAnsi="Cambria Math"/>
                  <w:sz w:val="24"/>
                  <w:szCs w:val="22"/>
                </w:rPr>
                <m:t>cos</m:t>
              </m:r>
              <m:r>
                <w:rPr>
                  <w:rFonts w:ascii="Cambria Math" w:hAnsi="Cambria Math"/>
                  <w:sz w:val="24"/>
                  <w:szCs w:val="22"/>
                </w:rPr>
                <m:t>⁡θ</m:t>
              </m:r>
            </m:den>
          </m:f>
          <m:r>
            <m:rPr>
              <m:sty m:val="p"/>
            </m:rPr>
            <w:rPr>
              <w:rFonts w:asciiTheme="majorHAnsi" w:hAnsiTheme="majorHAnsi"/>
              <w:sz w:val="24"/>
              <w:szCs w:val="22"/>
            </w:rPr>
            <w:br/>
          </m:r>
        </m:oMath>
      </m:oMathPara>
      <w:r w:rsidRPr="008418EA">
        <w:rPr>
          <w:rFonts w:asciiTheme="majorHAnsi" w:hAnsiTheme="majorHAnsi"/>
          <w:sz w:val="24"/>
          <w:szCs w:val="22"/>
        </w:rPr>
        <w:t xml:space="preserve">where </w:t>
      </w:r>
      <m:oMath>
        <m:r>
          <w:rPr>
            <w:rFonts w:ascii="Cambria Math" w:hAnsi="Cambria Math"/>
            <w:sz w:val="24"/>
            <w:szCs w:val="22"/>
          </w:rPr>
          <m:t>D</m:t>
        </m:r>
      </m:oMath>
      <w:r w:rsidRPr="008418EA">
        <w:rPr>
          <w:rFonts w:asciiTheme="majorHAnsi" w:hAnsiTheme="majorHAnsi"/>
          <w:sz w:val="24"/>
          <w:szCs w:val="22"/>
        </w:rPr>
        <w:t xml:space="preserve">is the crystallite size, </w:t>
      </w:r>
      <m:oMath>
        <m:r>
          <w:rPr>
            <w:rFonts w:ascii="Cambria Math" w:hAnsi="Cambria Math"/>
            <w:sz w:val="24"/>
            <w:szCs w:val="22"/>
          </w:rPr>
          <m:t>K</m:t>
        </m:r>
      </m:oMath>
      <w:r w:rsidRPr="008418EA">
        <w:rPr>
          <w:rFonts w:asciiTheme="majorHAnsi" w:hAnsiTheme="majorHAnsi"/>
          <w:sz w:val="24"/>
          <w:szCs w:val="22"/>
        </w:rPr>
        <w:t xml:space="preserve">is the shape factor, </w:t>
      </w:r>
      <m:oMath>
        <m:r>
          <w:rPr>
            <w:rFonts w:ascii="Cambria Math" w:hAnsi="Cambria Math"/>
            <w:sz w:val="24"/>
            <w:szCs w:val="22"/>
          </w:rPr>
          <m:t xml:space="preserve">β </m:t>
        </m:r>
      </m:oMath>
      <w:r w:rsidRPr="008418EA">
        <w:rPr>
          <w:rFonts w:asciiTheme="majorHAnsi" w:hAnsiTheme="majorHAnsi"/>
          <w:sz w:val="24"/>
          <w:szCs w:val="22"/>
        </w:rPr>
        <w:t xml:space="preserve">is the full width at half maximum (FWHM), and </w:t>
      </w:r>
      <m:oMath>
        <m:r>
          <w:rPr>
            <w:rFonts w:ascii="Cambria Math" w:hAnsi="Cambria Math"/>
            <w:sz w:val="24"/>
            <w:szCs w:val="22"/>
          </w:rPr>
          <m:t>θ</m:t>
        </m:r>
      </m:oMath>
      <w:r w:rsidRPr="008418EA">
        <w:rPr>
          <w:rFonts w:asciiTheme="majorHAnsi" w:hAnsiTheme="majorHAnsi"/>
          <w:sz w:val="24"/>
          <w:szCs w:val="22"/>
        </w:rPr>
        <w:t>is the Bragg angle [13].</w:t>
      </w:r>
    </w:p>
    <w:p w14:paraId="0765FCC7" w14:textId="77777777" w:rsidR="008418EA" w:rsidRPr="008418EA" w:rsidRDefault="008418EA" w:rsidP="008418EA">
      <w:pPr>
        <w:spacing w:line="360" w:lineRule="auto"/>
        <w:jc w:val="both"/>
        <w:rPr>
          <w:rFonts w:asciiTheme="majorHAnsi" w:hAnsiTheme="majorHAnsi"/>
          <w:sz w:val="24"/>
          <w:szCs w:val="22"/>
        </w:rPr>
      </w:pPr>
    </w:p>
    <w:p w14:paraId="6E9F0494"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2.4 Microstructural Analysis</w:t>
      </w:r>
    </w:p>
    <w:p w14:paraId="657F9AFF"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The surface morphology and grain structure of the sintered samples were examined using scanning electron microscopy (SEM). The samples were properly polished and coated (if required) to ensure good conductivity and image clarity.</w:t>
      </w:r>
    </w:p>
    <w:p w14:paraId="6B6A24F1"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SEM analysis provides information on grain size, grain boundary distribution, porosity, and agglomeration, which are critical for understanding the relationship between microstructure and electrical properties [14].</w:t>
      </w:r>
    </w:p>
    <w:p w14:paraId="62181880" w14:textId="77777777" w:rsidR="008418EA" w:rsidRPr="008418EA" w:rsidRDefault="008418EA" w:rsidP="008418EA">
      <w:pPr>
        <w:spacing w:line="360" w:lineRule="auto"/>
        <w:jc w:val="both"/>
        <w:rPr>
          <w:rFonts w:asciiTheme="majorHAnsi" w:hAnsiTheme="majorHAnsi"/>
          <w:sz w:val="24"/>
          <w:szCs w:val="22"/>
        </w:rPr>
      </w:pPr>
    </w:p>
    <w:p w14:paraId="5170D684"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2.5 Dielectric Measurements</w:t>
      </w:r>
    </w:p>
    <w:p w14:paraId="70E274FF"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The dielectric properties were measured using an LCR meter over a wide frequency range. Silver paste was applied on both sides of the pellet samples to form good electrical contacts.</w:t>
      </w:r>
    </w:p>
    <w:p w14:paraId="3AAF3BD2"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The dielectric constant (</w:t>
      </w:r>
      <m:oMath>
        <m:sSup>
          <m:sSupPr>
            <m:ctrlPr>
              <w:rPr>
                <w:rFonts w:ascii="Cambria Math" w:hAnsi="Cambria Math"/>
                <w:sz w:val="24"/>
                <w:szCs w:val="22"/>
              </w:rPr>
            </m:ctrlPr>
          </m:sSupPr>
          <m:e>
            <m:r>
              <w:rPr>
                <w:rFonts w:ascii="Cambria Math" w:hAnsi="Cambria Math"/>
                <w:sz w:val="24"/>
                <w:szCs w:val="22"/>
              </w:rPr>
              <m:t>ε</m:t>
            </m:r>
          </m:e>
          <m:sup>
            <m:r>
              <m:rPr>
                <m:sty m:val="p"/>
              </m:rPr>
              <w:rPr>
                <w:rFonts w:ascii="Cambria Math" w:hAnsi="Cambria Math"/>
                <w:sz w:val="24"/>
                <w:szCs w:val="22"/>
              </w:rPr>
              <m:t>'</m:t>
            </m:r>
          </m:sup>
        </m:sSup>
      </m:oMath>
      <w:r w:rsidRPr="008418EA">
        <w:rPr>
          <w:rFonts w:asciiTheme="majorHAnsi" w:hAnsiTheme="majorHAnsi"/>
          <w:sz w:val="24"/>
          <w:szCs w:val="22"/>
        </w:rPr>
        <w:t>) and dielectric loss (</w:t>
      </w:r>
      <m:oMath>
        <m:sSup>
          <m:sSupPr>
            <m:ctrlPr>
              <w:rPr>
                <w:rFonts w:ascii="Cambria Math" w:hAnsi="Cambria Math"/>
                <w:sz w:val="24"/>
                <w:szCs w:val="22"/>
              </w:rPr>
            </m:ctrlPr>
          </m:sSupPr>
          <m:e>
            <m:r>
              <w:rPr>
                <w:rFonts w:ascii="Cambria Math" w:hAnsi="Cambria Math"/>
                <w:sz w:val="24"/>
                <w:szCs w:val="22"/>
              </w:rPr>
              <m:t>ε</m:t>
            </m:r>
          </m:e>
          <m:sup>
            <m:r>
              <m:rPr>
                <m:sty m:val="p"/>
              </m:rPr>
              <w:rPr>
                <w:rFonts w:ascii="Cambria Math" w:hAnsi="Cambria Math"/>
                <w:sz w:val="24"/>
                <w:szCs w:val="22"/>
              </w:rPr>
              <m:t>''</m:t>
            </m:r>
          </m:sup>
        </m:sSup>
      </m:oMath>
      <w:r w:rsidRPr="008418EA">
        <w:rPr>
          <w:rFonts w:asciiTheme="majorHAnsi" w:hAnsiTheme="majorHAnsi"/>
          <w:sz w:val="24"/>
          <w:szCs w:val="22"/>
        </w:rPr>
        <w:t>) were calculated from the measured capacitance using:</w:t>
      </w:r>
    </w:p>
    <w:p w14:paraId="6F96B164" w14:textId="77777777" w:rsidR="008418EA" w:rsidRPr="008418EA" w:rsidRDefault="006A4323" w:rsidP="008418EA">
      <w:pPr>
        <w:spacing w:line="360" w:lineRule="auto"/>
        <w:jc w:val="both"/>
        <w:rPr>
          <w:rFonts w:asciiTheme="majorHAnsi" w:hAnsiTheme="majorHAnsi"/>
          <w:sz w:val="24"/>
          <w:szCs w:val="22"/>
        </w:rPr>
      </w:pPr>
      <m:oMathPara>
        <m:oMath>
          <m:sSup>
            <m:sSupPr>
              <m:ctrlPr>
                <w:rPr>
                  <w:rFonts w:ascii="Cambria Math" w:hAnsi="Cambria Math"/>
                  <w:sz w:val="24"/>
                  <w:szCs w:val="22"/>
                </w:rPr>
              </m:ctrlPr>
            </m:sSupPr>
            <m:e>
              <m:r>
                <w:rPr>
                  <w:rFonts w:ascii="Cambria Math" w:hAnsi="Cambria Math"/>
                  <w:sz w:val="24"/>
                  <w:szCs w:val="22"/>
                </w:rPr>
                <m:t>ε</m:t>
              </m:r>
            </m:e>
            <m:sup>
              <m:r>
                <m:rPr>
                  <m:sty m:val="p"/>
                </m:rPr>
                <w:rPr>
                  <w:rFonts w:ascii="Cambria Math" w:hAnsi="Cambria Math"/>
                  <w:sz w:val="24"/>
                  <w:szCs w:val="22"/>
                </w:rPr>
                <m:t>'</m:t>
              </m:r>
            </m:sup>
          </m:sSup>
          <m:r>
            <w:rPr>
              <w:rFonts w:ascii="Cambria Math" w:hAnsi="Cambria Math"/>
              <w:sz w:val="24"/>
              <w:szCs w:val="22"/>
            </w:rPr>
            <m:t>=</m:t>
          </m:r>
          <m:f>
            <m:fPr>
              <m:ctrlPr>
                <w:rPr>
                  <w:rFonts w:ascii="Cambria Math" w:hAnsi="Cambria Math"/>
                  <w:sz w:val="24"/>
                  <w:szCs w:val="22"/>
                </w:rPr>
              </m:ctrlPr>
            </m:fPr>
            <m:num>
              <m:sSub>
                <m:sSubPr>
                  <m:ctrlPr>
                    <w:rPr>
                      <w:rFonts w:ascii="Cambria Math" w:hAnsi="Cambria Math"/>
                      <w:sz w:val="24"/>
                      <w:szCs w:val="22"/>
                    </w:rPr>
                  </m:ctrlPr>
                </m:sSubPr>
                <m:e>
                  <m:r>
                    <w:rPr>
                      <w:rFonts w:ascii="Cambria Math" w:hAnsi="Cambria Math"/>
                      <w:sz w:val="24"/>
                      <w:szCs w:val="22"/>
                    </w:rPr>
                    <m:t>C</m:t>
                  </m:r>
                </m:e>
                <m:sub>
                  <m:r>
                    <w:rPr>
                      <w:rFonts w:ascii="Cambria Math" w:hAnsi="Cambria Math"/>
                      <w:sz w:val="24"/>
                      <w:szCs w:val="22"/>
                    </w:rPr>
                    <m:t>p</m:t>
                  </m:r>
                </m:sub>
              </m:sSub>
              <m:r>
                <w:rPr>
                  <w:rFonts w:ascii="Cambria Math" w:hAnsi="Cambria Math"/>
                  <w:sz w:val="24"/>
                  <w:szCs w:val="22"/>
                </w:rPr>
                <m:t>d</m:t>
              </m:r>
            </m:num>
            <m:den>
              <m:sSub>
                <m:sSubPr>
                  <m:ctrlPr>
                    <w:rPr>
                      <w:rFonts w:ascii="Cambria Math" w:hAnsi="Cambria Math"/>
                      <w:sz w:val="24"/>
                      <w:szCs w:val="22"/>
                    </w:rPr>
                  </m:ctrlPr>
                </m:sSubPr>
                <m:e>
                  <m:r>
                    <w:rPr>
                      <w:rFonts w:ascii="Cambria Math" w:hAnsi="Cambria Math"/>
                      <w:sz w:val="24"/>
                      <w:szCs w:val="22"/>
                    </w:rPr>
                    <m:t>ε</m:t>
                  </m:r>
                </m:e>
                <m:sub>
                  <m:r>
                    <w:rPr>
                      <w:rFonts w:ascii="Cambria Math" w:hAnsi="Cambria Math"/>
                      <w:sz w:val="24"/>
                      <w:szCs w:val="22"/>
                    </w:rPr>
                    <m:t>0</m:t>
                  </m:r>
                </m:sub>
              </m:sSub>
              <m:r>
                <w:rPr>
                  <w:rFonts w:ascii="Cambria Math" w:hAnsi="Cambria Math"/>
                  <w:sz w:val="24"/>
                  <w:szCs w:val="22"/>
                </w:rPr>
                <m:t>A</m:t>
              </m:r>
            </m:den>
          </m:f>
          <m:r>
            <m:rPr>
              <m:sty m:val="p"/>
            </m:rPr>
            <w:rPr>
              <w:rFonts w:asciiTheme="majorHAnsi" w:hAnsiTheme="majorHAnsi"/>
              <w:sz w:val="24"/>
              <w:szCs w:val="22"/>
            </w:rPr>
            <w:br/>
          </m:r>
        </m:oMath>
      </m:oMathPara>
    </w:p>
    <w:p w14:paraId="03203BD3" w14:textId="36E7D1FB"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where </w:t>
      </w:r>
      <m:oMath>
        <m:sSub>
          <m:sSubPr>
            <m:ctrlPr>
              <w:rPr>
                <w:rFonts w:ascii="Cambria Math" w:hAnsi="Cambria Math"/>
                <w:sz w:val="24"/>
                <w:szCs w:val="22"/>
              </w:rPr>
            </m:ctrlPr>
          </m:sSubPr>
          <m:e>
            <m:r>
              <w:rPr>
                <w:rFonts w:ascii="Cambria Math" w:hAnsi="Cambria Math"/>
                <w:sz w:val="24"/>
                <w:szCs w:val="22"/>
              </w:rPr>
              <m:t>C</m:t>
            </m:r>
          </m:e>
          <m:sub>
            <m:r>
              <w:rPr>
                <w:rFonts w:ascii="Cambria Math" w:hAnsi="Cambria Math"/>
                <w:sz w:val="24"/>
                <w:szCs w:val="22"/>
              </w:rPr>
              <m:t>p</m:t>
            </m:r>
          </m:sub>
        </m:sSub>
      </m:oMath>
      <w:r w:rsidRPr="008418EA">
        <w:rPr>
          <w:rFonts w:asciiTheme="majorHAnsi" w:hAnsiTheme="majorHAnsi"/>
          <w:sz w:val="24"/>
          <w:szCs w:val="22"/>
        </w:rPr>
        <w:t xml:space="preserve">is the capacitance, </w:t>
      </w:r>
      <m:oMath>
        <m:r>
          <w:rPr>
            <w:rFonts w:ascii="Cambria Math" w:hAnsi="Cambria Math"/>
            <w:sz w:val="24"/>
            <w:szCs w:val="22"/>
          </w:rPr>
          <m:t>d</m:t>
        </m:r>
      </m:oMath>
      <w:r w:rsidRPr="008418EA">
        <w:rPr>
          <w:rFonts w:asciiTheme="majorHAnsi" w:hAnsiTheme="majorHAnsi"/>
          <w:sz w:val="24"/>
          <w:szCs w:val="22"/>
        </w:rPr>
        <w:t xml:space="preserve">is the thickness of the sample, </w:t>
      </w:r>
      <m:oMath>
        <m:r>
          <w:rPr>
            <w:rFonts w:ascii="Cambria Math" w:hAnsi="Cambria Math"/>
            <w:sz w:val="24"/>
            <w:szCs w:val="22"/>
          </w:rPr>
          <m:t>A</m:t>
        </m:r>
      </m:oMath>
      <w:r w:rsidRPr="008418EA">
        <w:rPr>
          <w:rFonts w:asciiTheme="majorHAnsi" w:hAnsiTheme="majorHAnsi"/>
          <w:sz w:val="24"/>
          <w:szCs w:val="22"/>
        </w:rPr>
        <w:t xml:space="preserve">is the electrode area and </w:t>
      </w:r>
      <m:oMath>
        <m:sSub>
          <m:sSubPr>
            <m:ctrlPr>
              <w:rPr>
                <w:rFonts w:ascii="Cambria Math" w:hAnsi="Cambria Math"/>
                <w:sz w:val="24"/>
                <w:szCs w:val="22"/>
              </w:rPr>
            </m:ctrlPr>
          </m:sSubPr>
          <m:e>
            <m:r>
              <w:rPr>
                <w:rFonts w:ascii="Cambria Math" w:hAnsi="Cambria Math"/>
                <w:sz w:val="24"/>
                <w:szCs w:val="22"/>
              </w:rPr>
              <m:t>ε</m:t>
            </m:r>
          </m:e>
          <m:sub>
            <m:r>
              <w:rPr>
                <w:rFonts w:ascii="Cambria Math" w:hAnsi="Cambria Math"/>
                <w:sz w:val="24"/>
                <w:szCs w:val="22"/>
              </w:rPr>
              <m:t>0</m:t>
            </m:r>
          </m:sub>
        </m:sSub>
      </m:oMath>
      <w:r w:rsidRPr="008418EA">
        <w:rPr>
          <w:rFonts w:asciiTheme="majorHAnsi" w:hAnsiTheme="majorHAnsi"/>
          <w:sz w:val="24"/>
          <w:szCs w:val="22"/>
        </w:rPr>
        <w:t>is the permittivity of free space.</w:t>
      </w:r>
    </w:p>
    <w:p w14:paraId="06A3AFC0"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The dielectric loss tangent is given by:</w:t>
      </w:r>
    </w:p>
    <w:p w14:paraId="5099FEAA" w14:textId="77777777" w:rsidR="008418EA" w:rsidRPr="008418EA" w:rsidRDefault="008418EA" w:rsidP="008418EA">
      <w:pPr>
        <w:spacing w:line="360" w:lineRule="auto"/>
        <w:jc w:val="both"/>
        <w:rPr>
          <w:rFonts w:asciiTheme="majorHAnsi" w:hAnsiTheme="majorHAnsi"/>
          <w:sz w:val="24"/>
          <w:szCs w:val="22"/>
        </w:rPr>
      </w:pPr>
      <m:oMathPara>
        <m:oMath>
          <m:r>
            <m:rPr>
              <m:sty m:val="p"/>
            </m:rPr>
            <w:rPr>
              <w:rFonts w:ascii="Cambria Math" w:hAnsi="Cambria Math"/>
              <w:sz w:val="24"/>
              <w:szCs w:val="22"/>
            </w:rPr>
            <m:t>tan</m:t>
          </m:r>
          <m:r>
            <w:rPr>
              <w:rFonts w:ascii="Cambria Math" w:hAnsi="Cambria Math"/>
              <w:sz w:val="24"/>
              <w:szCs w:val="22"/>
            </w:rPr>
            <m:t>⁡δ=</m:t>
          </m:r>
          <m:f>
            <m:fPr>
              <m:ctrlPr>
                <w:rPr>
                  <w:rFonts w:ascii="Cambria Math" w:hAnsi="Cambria Math"/>
                  <w:sz w:val="24"/>
                  <w:szCs w:val="22"/>
                </w:rPr>
              </m:ctrlPr>
            </m:fPr>
            <m:num>
              <m:sSup>
                <m:sSupPr>
                  <m:ctrlPr>
                    <w:rPr>
                      <w:rFonts w:ascii="Cambria Math" w:hAnsi="Cambria Math"/>
                      <w:sz w:val="24"/>
                      <w:szCs w:val="22"/>
                    </w:rPr>
                  </m:ctrlPr>
                </m:sSupPr>
                <m:e>
                  <m:r>
                    <w:rPr>
                      <w:rFonts w:ascii="Cambria Math" w:hAnsi="Cambria Math"/>
                      <w:sz w:val="24"/>
                      <w:szCs w:val="22"/>
                    </w:rPr>
                    <m:t>ε</m:t>
                  </m:r>
                </m:e>
                <m:sup>
                  <m:r>
                    <m:rPr>
                      <m:sty m:val="p"/>
                    </m:rPr>
                    <w:rPr>
                      <w:rFonts w:ascii="Cambria Math" w:hAnsi="Cambria Math"/>
                      <w:sz w:val="24"/>
                      <w:szCs w:val="22"/>
                    </w:rPr>
                    <m:t>''</m:t>
                  </m:r>
                </m:sup>
              </m:sSup>
            </m:num>
            <m:den>
              <m:sSup>
                <m:sSupPr>
                  <m:ctrlPr>
                    <w:rPr>
                      <w:rFonts w:ascii="Cambria Math" w:hAnsi="Cambria Math"/>
                      <w:sz w:val="24"/>
                      <w:szCs w:val="22"/>
                    </w:rPr>
                  </m:ctrlPr>
                </m:sSupPr>
                <m:e>
                  <m:r>
                    <w:rPr>
                      <w:rFonts w:ascii="Cambria Math" w:hAnsi="Cambria Math"/>
                      <w:sz w:val="24"/>
                      <w:szCs w:val="22"/>
                    </w:rPr>
                    <m:t>ε</m:t>
                  </m:r>
                </m:e>
                <m:sup>
                  <m:r>
                    <m:rPr>
                      <m:sty m:val="p"/>
                    </m:rPr>
                    <w:rPr>
                      <w:rFonts w:ascii="Cambria Math" w:hAnsi="Cambria Math"/>
                      <w:sz w:val="24"/>
                      <w:szCs w:val="22"/>
                    </w:rPr>
                    <m:t>'</m:t>
                  </m:r>
                </m:sup>
              </m:sSup>
            </m:den>
          </m:f>
          <m:r>
            <m:rPr>
              <m:sty m:val="p"/>
            </m:rPr>
            <w:rPr>
              <w:rFonts w:asciiTheme="majorHAnsi" w:hAnsiTheme="majorHAnsi"/>
              <w:sz w:val="24"/>
              <w:szCs w:val="22"/>
            </w:rPr>
            <w:br/>
          </m:r>
        </m:oMath>
      </m:oMathPara>
    </w:p>
    <w:p w14:paraId="3ECBAD25"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lastRenderedPageBreak/>
        <w:t>These measurements provide insight into polarization mechanisms and energy dissipation within the material [15].</w:t>
      </w:r>
    </w:p>
    <w:p w14:paraId="26BE367D"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2.6 Electrical and Impedance Measurements</w:t>
      </w:r>
    </w:p>
    <w:p w14:paraId="6A3D2F47"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The electrical properties were analyzed using impedance spectroscopy over a broad frequency range. The complex impedance </w:t>
      </w:r>
      <m:oMath>
        <m:sSup>
          <m:sSupPr>
            <m:ctrlPr>
              <w:rPr>
                <w:rFonts w:ascii="Cambria Math" w:hAnsi="Cambria Math"/>
                <w:sz w:val="24"/>
                <w:szCs w:val="22"/>
              </w:rPr>
            </m:ctrlPr>
          </m:sSupPr>
          <m:e>
            <m:r>
              <w:rPr>
                <w:rFonts w:ascii="Cambria Math" w:hAnsi="Cambria Math"/>
                <w:sz w:val="24"/>
                <w:szCs w:val="22"/>
              </w:rPr>
              <m:t>Z</m:t>
            </m:r>
          </m:e>
          <m:sup>
            <m:r>
              <w:rPr>
                <w:rFonts w:ascii="Cambria Math" w:hAnsi="Cambria Math"/>
                <w:sz w:val="24"/>
                <w:szCs w:val="22"/>
              </w:rPr>
              <m:t>*</m:t>
            </m:r>
          </m:sup>
        </m:sSup>
      </m:oMath>
      <w:r w:rsidRPr="008418EA">
        <w:rPr>
          <w:rFonts w:asciiTheme="majorHAnsi" w:hAnsiTheme="majorHAnsi"/>
          <w:sz w:val="24"/>
          <w:szCs w:val="22"/>
        </w:rPr>
        <w:t>was obtained, from which the real (</w:t>
      </w:r>
      <m:oMath>
        <m:sSup>
          <m:sSupPr>
            <m:ctrlPr>
              <w:rPr>
                <w:rFonts w:ascii="Cambria Math" w:hAnsi="Cambria Math"/>
                <w:sz w:val="24"/>
                <w:szCs w:val="22"/>
              </w:rPr>
            </m:ctrlPr>
          </m:sSupPr>
          <m:e>
            <m:r>
              <w:rPr>
                <w:rFonts w:ascii="Cambria Math" w:hAnsi="Cambria Math"/>
                <w:sz w:val="24"/>
                <w:szCs w:val="22"/>
              </w:rPr>
              <m:t>Z</m:t>
            </m:r>
          </m:e>
          <m:sup>
            <m:r>
              <m:rPr>
                <m:sty m:val="p"/>
              </m:rPr>
              <w:rPr>
                <w:rFonts w:ascii="Cambria Math" w:hAnsi="Cambria Math"/>
                <w:sz w:val="24"/>
                <w:szCs w:val="22"/>
              </w:rPr>
              <m:t>'</m:t>
            </m:r>
          </m:sup>
        </m:sSup>
      </m:oMath>
      <w:r w:rsidRPr="008418EA">
        <w:rPr>
          <w:rFonts w:asciiTheme="majorHAnsi" w:hAnsiTheme="majorHAnsi"/>
          <w:sz w:val="24"/>
          <w:szCs w:val="22"/>
        </w:rPr>
        <w:t>) and imaginary (</w:t>
      </w:r>
      <m:oMath>
        <m:sSup>
          <m:sSupPr>
            <m:ctrlPr>
              <w:rPr>
                <w:rFonts w:ascii="Cambria Math" w:hAnsi="Cambria Math"/>
                <w:sz w:val="24"/>
                <w:szCs w:val="22"/>
              </w:rPr>
            </m:ctrlPr>
          </m:sSupPr>
          <m:e>
            <m:r>
              <w:rPr>
                <w:rFonts w:ascii="Cambria Math" w:hAnsi="Cambria Math"/>
                <w:sz w:val="24"/>
                <w:szCs w:val="22"/>
              </w:rPr>
              <m:t>Z</m:t>
            </m:r>
          </m:e>
          <m:sup>
            <m:r>
              <m:rPr>
                <m:sty m:val="p"/>
              </m:rPr>
              <w:rPr>
                <w:rFonts w:ascii="Cambria Math" w:hAnsi="Cambria Math"/>
                <w:sz w:val="24"/>
                <w:szCs w:val="22"/>
              </w:rPr>
              <m:t>''</m:t>
            </m:r>
          </m:sup>
        </m:sSup>
      </m:oMath>
      <w:r w:rsidRPr="008418EA">
        <w:rPr>
          <w:rFonts w:asciiTheme="majorHAnsi" w:hAnsiTheme="majorHAnsi"/>
          <w:sz w:val="24"/>
          <w:szCs w:val="22"/>
        </w:rPr>
        <w:t>) components were extracted.</w:t>
      </w:r>
    </w:p>
    <w:p w14:paraId="484B96C7"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The AC conductivity was calculated using:</w:t>
      </w:r>
    </w:p>
    <w:p w14:paraId="16E41DEC" w14:textId="77777777" w:rsidR="008418EA" w:rsidRPr="008418EA" w:rsidRDefault="006A4323" w:rsidP="008418EA">
      <w:pPr>
        <w:spacing w:line="360" w:lineRule="auto"/>
        <w:jc w:val="both"/>
        <w:rPr>
          <w:rFonts w:asciiTheme="majorHAnsi" w:hAnsiTheme="majorHAnsi"/>
          <w:sz w:val="24"/>
          <w:szCs w:val="22"/>
        </w:rPr>
      </w:pPr>
      <m:oMathPara>
        <m:oMath>
          <m:sSub>
            <m:sSubPr>
              <m:ctrlPr>
                <w:rPr>
                  <w:rFonts w:ascii="Cambria Math" w:hAnsi="Cambria Math"/>
                  <w:sz w:val="24"/>
                  <w:szCs w:val="22"/>
                </w:rPr>
              </m:ctrlPr>
            </m:sSubPr>
            <m:e>
              <m:r>
                <w:rPr>
                  <w:rFonts w:ascii="Cambria Math" w:hAnsi="Cambria Math"/>
                  <w:sz w:val="24"/>
                  <w:szCs w:val="22"/>
                </w:rPr>
                <m:t>σ</m:t>
              </m:r>
            </m:e>
            <m:sub>
              <m:r>
                <w:rPr>
                  <w:rFonts w:ascii="Cambria Math" w:hAnsi="Cambria Math"/>
                  <w:sz w:val="24"/>
                  <w:szCs w:val="22"/>
                </w:rPr>
                <m:t>ac</m:t>
              </m:r>
            </m:sub>
          </m:sSub>
          <m:r>
            <w:rPr>
              <w:rFonts w:ascii="Cambria Math" w:hAnsi="Cambria Math"/>
              <w:sz w:val="24"/>
              <w:szCs w:val="22"/>
            </w:rPr>
            <m:t>=ω</m:t>
          </m:r>
          <m:sSub>
            <m:sSubPr>
              <m:ctrlPr>
                <w:rPr>
                  <w:rFonts w:ascii="Cambria Math" w:hAnsi="Cambria Math"/>
                  <w:sz w:val="24"/>
                  <w:szCs w:val="22"/>
                </w:rPr>
              </m:ctrlPr>
            </m:sSubPr>
            <m:e>
              <m:r>
                <w:rPr>
                  <w:rFonts w:ascii="Cambria Math" w:hAnsi="Cambria Math"/>
                  <w:sz w:val="24"/>
                  <w:szCs w:val="22"/>
                </w:rPr>
                <m:t>ε</m:t>
              </m:r>
            </m:e>
            <m:sub>
              <m:r>
                <w:rPr>
                  <w:rFonts w:ascii="Cambria Math" w:hAnsi="Cambria Math"/>
                  <w:sz w:val="24"/>
                  <w:szCs w:val="22"/>
                </w:rPr>
                <m:t>0</m:t>
              </m:r>
            </m:sub>
          </m:sSub>
          <m:sSup>
            <m:sSupPr>
              <m:ctrlPr>
                <w:rPr>
                  <w:rFonts w:ascii="Cambria Math" w:hAnsi="Cambria Math"/>
                  <w:sz w:val="24"/>
                  <w:szCs w:val="22"/>
                </w:rPr>
              </m:ctrlPr>
            </m:sSupPr>
            <m:e>
              <m:r>
                <w:rPr>
                  <w:rFonts w:ascii="Cambria Math" w:hAnsi="Cambria Math"/>
                  <w:sz w:val="24"/>
                  <w:szCs w:val="22"/>
                </w:rPr>
                <m:t>ε</m:t>
              </m:r>
            </m:e>
            <m:sup>
              <m:r>
                <m:rPr>
                  <m:sty m:val="p"/>
                </m:rPr>
                <w:rPr>
                  <w:rFonts w:ascii="Cambria Math" w:hAnsi="Cambria Math"/>
                  <w:sz w:val="24"/>
                  <w:szCs w:val="22"/>
                </w:rPr>
                <m:t>''</m:t>
              </m:r>
            </m:sup>
          </m:sSup>
          <m:r>
            <m:rPr>
              <m:sty m:val="p"/>
            </m:rPr>
            <w:rPr>
              <w:rFonts w:asciiTheme="majorHAnsi" w:hAnsiTheme="majorHAnsi"/>
              <w:sz w:val="24"/>
              <w:szCs w:val="22"/>
            </w:rPr>
            <w:br/>
          </m:r>
        </m:oMath>
      </m:oMathPara>
    </w:p>
    <w:p w14:paraId="485CA11A"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where </w:t>
      </w:r>
      <m:oMath>
        <m:r>
          <w:rPr>
            <w:rFonts w:ascii="Cambria Math" w:hAnsi="Cambria Math"/>
            <w:sz w:val="24"/>
            <w:szCs w:val="22"/>
          </w:rPr>
          <m:t>ω=2πf</m:t>
        </m:r>
      </m:oMath>
      <w:r w:rsidRPr="008418EA">
        <w:rPr>
          <w:rFonts w:asciiTheme="majorHAnsi" w:hAnsiTheme="majorHAnsi"/>
          <w:sz w:val="24"/>
          <w:szCs w:val="22"/>
        </w:rPr>
        <w:t>is the angular frequency. Impedance and modulus formalisms were used to investigate relaxation behavior, grain and grain boundary contributions, and charge transport mechanisms [16].</w:t>
      </w:r>
    </w:p>
    <w:p w14:paraId="249D4F65" w14:textId="77777777" w:rsidR="008418EA" w:rsidRPr="008418EA" w:rsidRDefault="008418EA" w:rsidP="008418EA">
      <w:pPr>
        <w:spacing w:line="360" w:lineRule="auto"/>
        <w:jc w:val="both"/>
        <w:rPr>
          <w:rFonts w:asciiTheme="majorHAnsi" w:hAnsiTheme="majorHAnsi"/>
          <w:sz w:val="24"/>
          <w:szCs w:val="22"/>
        </w:rPr>
      </w:pPr>
    </w:p>
    <w:p w14:paraId="41FB8D37"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2.7 Data Analysis</w:t>
      </w:r>
    </w:p>
    <w:p w14:paraId="6A65414F"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The experimental data were analyzed using standard models such as:</w:t>
      </w:r>
    </w:p>
    <w:p w14:paraId="498754BB" w14:textId="77777777" w:rsidR="008418EA" w:rsidRPr="008418EA" w:rsidRDefault="008418EA" w:rsidP="008418EA">
      <w:pPr>
        <w:numPr>
          <w:ilvl w:val="0"/>
          <w:numId w:val="1"/>
        </w:numPr>
        <w:spacing w:line="360" w:lineRule="auto"/>
        <w:jc w:val="both"/>
        <w:rPr>
          <w:rFonts w:asciiTheme="majorHAnsi" w:hAnsiTheme="majorHAnsi"/>
          <w:sz w:val="24"/>
          <w:szCs w:val="22"/>
        </w:rPr>
      </w:pPr>
      <w:r w:rsidRPr="008418EA">
        <w:rPr>
          <w:rFonts w:asciiTheme="majorHAnsi" w:hAnsiTheme="majorHAnsi"/>
          <w:sz w:val="24"/>
          <w:szCs w:val="22"/>
        </w:rPr>
        <w:t xml:space="preserve">Maxwell–Wagner interfacial polarization </w:t>
      </w:r>
    </w:p>
    <w:p w14:paraId="67CA6C63" w14:textId="77777777" w:rsidR="008418EA" w:rsidRPr="008418EA" w:rsidRDefault="008418EA" w:rsidP="008418EA">
      <w:pPr>
        <w:numPr>
          <w:ilvl w:val="0"/>
          <w:numId w:val="1"/>
        </w:numPr>
        <w:spacing w:line="360" w:lineRule="auto"/>
        <w:jc w:val="both"/>
        <w:rPr>
          <w:rFonts w:asciiTheme="majorHAnsi" w:hAnsiTheme="majorHAnsi"/>
          <w:sz w:val="24"/>
          <w:szCs w:val="22"/>
        </w:rPr>
      </w:pPr>
      <w:r w:rsidRPr="008418EA">
        <w:rPr>
          <w:rFonts w:asciiTheme="majorHAnsi" w:hAnsiTheme="majorHAnsi"/>
          <w:sz w:val="24"/>
          <w:szCs w:val="22"/>
        </w:rPr>
        <w:t xml:space="preserve">Koop’s phenomenological model </w:t>
      </w:r>
    </w:p>
    <w:p w14:paraId="5BAD05BA" w14:textId="77777777" w:rsidR="008418EA" w:rsidRPr="008418EA" w:rsidRDefault="008418EA" w:rsidP="008418EA">
      <w:pPr>
        <w:numPr>
          <w:ilvl w:val="0"/>
          <w:numId w:val="1"/>
        </w:numPr>
        <w:spacing w:line="360" w:lineRule="auto"/>
        <w:jc w:val="both"/>
        <w:rPr>
          <w:rFonts w:asciiTheme="majorHAnsi" w:hAnsiTheme="majorHAnsi"/>
          <w:sz w:val="24"/>
          <w:szCs w:val="22"/>
        </w:rPr>
      </w:pPr>
      <w:proofErr w:type="spellStart"/>
      <w:r w:rsidRPr="008418EA">
        <w:rPr>
          <w:rFonts w:asciiTheme="majorHAnsi" w:hAnsiTheme="majorHAnsi"/>
          <w:sz w:val="24"/>
          <w:szCs w:val="22"/>
        </w:rPr>
        <w:t>Jonscher’s</w:t>
      </w:r>
      <w:proofErr w:type="spellEnd"/>
      <w:r w:rsidRPr="008418EA">
        <w:rPr>
          <w:rFonts w:asciiTheme="majorHAnsi" w:hAnsiTheme="majorHAnsi"/>
          <w:sz w:val="24"/>
          <w:szCs w:val="22"/>
        </w:rPr>
        <w:t xml:space="preserve"> universal power law </w:t>
      </w:r>
    </w:p>
    <w:p w14:paraId="17C1A2C4"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These models provide a theoretical framework for understanding dielectric dispersion, conduction mechanisms, and relaxation behavior in doped oxide systems.</w:t>
      </w:r>
    </w:p>
    <w:p w14:paraId="7A8DE5C8" w14:textId="77777777" w:rsidR="008418EA" w:rsidRPr="008418EA" w:rsidRDefault="006C4578" w:rsidP="006C4578">
      <w:pPr>
        <w:spacing w:line="360" w:lineRule="auto"/>
        <w:jc w:val="center"/>
        <w:rPr>
          <w:rFonts w:asciiTheme="majorHAnsi" w:hAnsiTheme="majorHAnsi"/>
          <w:sz w:val="24"/>
          <w:szCs w:val="22"/>
        </w:rPr>
      </w:pPr>
      <w:r>
        <w:rPr>
          <w:rFonts w:asciiTheme="majorHAnsi" w:hAnsiTheme="majorHAnsi"/>
          <w:noProof/>
          <w:sz w:val="24"/>
          <w:szCs w:val="22"/>
          <w:lang w:val="en-IN" w:eastAsia="en-IN" w:bidi="ar-SA"/>
        </w:rPr>
        <w:drawing>
          <wp:inline distT="0" distB="0" distL="0" distR="0" wp14:anchorId="14ADCD58" wp14:editId="6AAB62BC">
            <wp:extent cx="4695473" cy="2286000"/>
            <wp:effectExtent l="0" t="0" r="0" b="0"/>
            <wp:docPr id="15525422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695473" cy="2286000"/>
                    </a:xfrm>
                    <a:prstGeom prst="rect">
                      <a:avLst/>
                    </a:prstGeom>
                    <a:noFill/>
                  </pic:spPr>
                </pic:pic>
              </a:graphicData>
            </a:graphic>
          </wp:inline>
        </w:drawing>
      </w:r>
    </w:p>
    <w:p w14:paraId="30B52CC8" w14:textId="77777777" w:rsidR="008418EA" w:rsidRPr="00856A02" w:rsidRDefault="008418EA" w:rsidP="006C4578">
      <w:pPr>
        <w:spacing w:line="360" w:lineRule="auto"/>
        <w:jc w:val="both"/>
        <w:rPr>
          <w:rFonts w:asciiTheme="majorHAnsi" w:hAnsiTheme="majorHAnsi"/>
          <w:b/>
          <w:bCs/>
          <w:sz w:val="24"/>
          <w:szCs w:val="22"/>
        </w:rPr>
      </w:pPr>
      <w:r w:rsidRPr="00856A02">
        <w:rPr>
          <w:rFonts w:asciiTheme="majorHAnsi" w:hAnsiTheme="majorHAnsi"/>
          <w:b/>
          <w:bCs/>
          <w:sz w:val="24"/>
          <w:szCs w:val="22"/>
        </w:rPr>
        <w:t>Figure 2</w:t>
      </w:r>
      <w:r w:rsidR="006C4578" w:rsidRPr="00856A02">
        <w:rPr>
          <w:rFonts w:asciiTheme="majorHAnsi" w:hAnsiTheme="majorHAnsi"/>
          <w:b/>
          <w:bCs/>
          <w:sz w:val="24"/>
          <w:szCs w:val="22"/>
        </w:rPr>
        <w:t xml:space="preserve">. </w:t>
      </w:r>
      <w:r w:rsidRPr="00856A02">
        <w:rPr>
          <w:rFonts w:asciiTheme="majorHAnsi" w:hAnsiTheme="majorHAnsi"/>
          <w:i/>
          <w:iCs/>
          <w:sz w:val="24"/>
          <w:szCs w:val="22"/>
        </w:rPr>
        <w:t>Schematic representation of the synthesis route, pellet preparation, and characterization techniques including XRD, SEM, dielectric, and impedance measurements.</w:t>
      </w:r>
    </w:p>
    <w:p w14:paraId="3183C9B3" w14:textId="77777777" w:rsidR="008418EA" w:rsidRDefault="008418EA">
      <w:pPr>
        <w:rPr>
          <w:rFonts w:asciiTheme="majorHAnsi" w:hAnsiTheme="majorHAnsi"/>
          <w:sz w:val="24"/>
          <w:szCs w:val="22"/>
        </w:rPr>
      </w:pPr>
    </w:p>
    <w:p w14:paraId="27DDB816"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3. Results and Discussion</w:t>
      </w:r>
    </w:p>
    <w:p w14:paraId="7FEBF895"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3.1 Structural Analysis</w:t>
      </w:r>
    </w:p>
    <w:p w14:paraId="1AAC6F1B" w14:textId="766F53D6"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The X-ray diffraction patterns of </w:t>
      </w:r>
      <w:r w:rsidRPr="008418EA">
        <w:rPr>
          <w:rFonts w:asciiTheme="majorHAnsi" w:hAnsiTheme="majorHAnsi"/>
          <w:i/>
          <w:iCs/>
          <w:sz w:val="24"/>
          <w:szCs w:val="22"/>
        </w:rPr>
        <w:t>(</w:t>
      </w:r>
      <w:proofErr w:type="spellStart"/>
      <w:r w:rsidRPr="008418EA">
        <w:rPr>
          <w:rFonts w:asciiTheme="majorHAnsi" w:hAnsiTheme="majorHAnsi"/>
          <w:i/>
          <w:iCs/>
          <w:sz w:val="24"/>
          <w:szCs w:val="22"/>
        </w:rPr>
        <w:t>Nb</w:t>
      </w:r>
      <w:proofErr w:type="spellEnd"/>
      <w:proofErr w:type="gramStart"/>
      <w:r w:rsidRPr="008418EA">
        <w:rPr>
          <w:rFonts w:asciiTheme="majorHAnsi" w:hAnsiTheme="majorHAnsi"/>
          <w:i/>
          <w:iCs/>
          <w:sz w:val="24"/>
          <w:szCs w:val="22"/>
        </w:rPr>
        <w:t>₀.₅</w:t>
      </w:r>
      <w:proofErr w:type="spellStart"/>
      <w:proofErr w:type="gramEnd"/>
      <w:r w:rsidRPr="008418EA">
        <w:rPr>
          <w:rFonts w:asciiTheme="majorHAnsi" w:hAnsiTheme="majorHAnsi"/>
          <w:i/>
          <w:iCs/>
          <w:sz w:val="24"/>
          <w:szCs w:val="22"/>
        </w:rPr>
        <w:t>Er</w:t>
      </w:r>
      <w:proofErr w:type="spellEnd"/>
      <w:r w:rsidRPr="008418EA">
        <w:rPr>
          <w:rFonts w:asciiTheme="majorHAnsi" w:hAnsiTheme="majorHAnsi"/>
          <w:i/>
          <w:iCs/>
          <w:sz w:val="24"/>
          <w:szCs w:val="22"/>
        </w:rPr>
        <w:t>₀.₅)</w:t>
      </w:r>
      <w:proofErr w:type="spellStart"/>
      <w:r w:rsidRPr="0050039E">
        <w:rPr>
          <w:rFonts w:asciiTheme="majorHAnsi" w:hAnsiTheme="majorHAnsi"/>
          <w:i/>
          <w:iCs/>
          <w:vertAlign w:val="subscript"/>
        </w:rPr>
        <w:t>x</w:t>
      </w:r>
      <w:r w:rsidRPr="008418EA">
        <w:rPr>
          <w:rFonts w:asciiTheme="majorHAnsi" w:hAnsiTheme="majorHAnsi"/>
          <w:i/>
          <w:iCs/>
          <w:sz w:val="24"/>
          <w:szCs w:val="22"/>
        </w:rPr>
        <w:t>Ti</w:t>
      </w:r>
      <w:proofErr w:type="spellEnd"/>
      <w:r w:rsidRPr="008418EA">
        <w:rPr>
          <w:rFonts w:asciiTheme="majorHAnsi" w:hAnsiTheme="majorHAnsi"/>
          <w:i/>
          <w:iCs/>
          <w:sz w:val="24"/>
          <w:szCs w:val="22"/>
        </w:rPr>
        <w:t>₁₋</w:t>
      </w:r>
      <w:proofErr w:type="spellStart"/>
      <w:r w:rsidRPr="0050039E">
        <w:rPr>
          <w:rFonts w:asciiTheme="majorHAnsi" w:hAnsiTheme="majorHAnsi"/>
          <w:i/>
          <w:iCs/>
          <w:sz w:val="24"/>
          <w:szCs w:val="22"/>
          <w:vertAlign w:val="subscript"/>
        </w:rPr>
        <w:t>x</w:t>
      </w:r>
      <w:r w:rsidRPr="008418EA">
        <w:rPr>
          <w:rFonts w:asciiTheme="majorHAnsi" w:hAnsiTheme="majorHAnsi"/>
          <w:i/>
          <w:iCs/>
          <w:sz w:val="24"/>
          <w:szCs w:val="22"/>
        </w:rPr>
        <w:t>O</w:t>
      </w:r>
      <w:proofErr w:type="spellEnd"/>
      <w:r w:rsidRPr="008418EA">
        <w:rPr>
          <w:rFonts w:asciiTheme="majorHAnsi" w:hAnsiTheme="majorHAnsi"/>
          <w:i/>
          <w:iCs/>
          <w:sz w:val="24"/>
          <w:szCs w:val="22"/>
        </w:rPr>
        <w:t>₂</w:t>
      </w:r>
      <w:r w:rsidRPr="008418EA">
        <w:rPr>
          <w:rFonts w:asciiTheme="majorHAnsi" w:hAnsiTheme="majorHAnsi"/>
          <w:sz w:val="24"/>
          <w:szCs w:val="22"/>
        </w:rPr>
        <w:t xml:space="preserve"> (x = 0.01–0.10) confirm the formation of the rutile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 xml:space="preserve">₂ phase for all compositions, with no detectable secondary phases within the resolution limit. The characteristic reflections corresponding to the (110), (101) and (211) planes are consistent with standard rutile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₂, indicating successful incorporation of Nb⁵⁺ and Er³⁺ ions into the host lattice.</w:t>
      </w:r>
    </w:p>
    <w:p w14:paraId="642F25C4"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A systematic broadening of diffraction peaks is observed with increasing dopant concentration, suggesting a reduction in crystallite size and an increase in lattice strain. The crystallite size (D), estimated using the Scherrer relation,</w:t>
      </w:r>
    </w:p>
    <w:p w14:paraId="504458C3" w14:textId="1DC8E2D6" w:rsidR="008418EA" w:rsidRPr="008418EA" w:rsidRDefault="008418EA" w:rsidP="00B92C6E">
      <w:pPr>
        <w:spacing w:line="360" w:lineRule="auto"/>
        <w:jc w:val="both"/>
        <w:rPr>
          <w:rFonts w:asciiTheme="majorHAnsi" w:hAnsiTheme="majorHAnsi"/>
          <w:sz w:val="24"/>
          <w:szCs w:val="22"/>
        </w:rPr>
      </w:pPr>
      <m:oMathPara>
        <m:oMath>
          <m:r>
            <w:rPr>
              <w:rFonts w:ascii="Cambria Math" w:hAnsi="Cambria Math"/>
              <w:sz w:val="24"/>
              <w:szCs w:val="22"/>
            </w:rPr>
            <m:t>D=</m:t>
          </m:r>
          <m:f>
            <m:fPr>
              <m:ctrlPr>
                <w:rPr>
                  <w:rFonts w:ascii="Cambria Math" w:hAnsi="Cambria Math"/>
                  <w:sz w:val="24"/>
                  <w:szCs w:val="22"/>
                </w:rPr>
              </m:ctrlPr>
            </m:fPr>
            <m:num>
              <m:r>
                <w:rPr>
                  <w:rFonts w:ascii="Cambria Math" w:hAnsi="Cambria Math"/>
                  <w:sz w:val="24"/>
                  <w:szCs w:val="22"/>
                </w:rPr>
                <m:t>Kλ</m:t>
              </m:r>
            </m:num>
            <m:den>
              <m:r>
                <w:rPr>
                  <w:rFonts w:ascii="Cambria Math" w:hAnsi="Cambria Math"/>
                  <w:sz w:val="24"/>
                  <w:szCs w:val="22"/>
                </w:rPr>
                <m:t>β</m:t>
              </m:r>
              <m:r>
                <m:rPr>
                  <m:sty m:val="p"/>
                </m:rPr>
                <w:rPr>
                  <w:rFonts w:ascii="Cambria Math" w:hAnsi="Cambria Math"/>
                  <w:sz w:val="24"/>
                  <w:szCs w:val="22"/>
                </w:rPr>
                <m:t>cos</m:t>
              </m:r>
              <m:r>
                <w:rPr>
                  <w:rFonts w:ascii="Cambria Math" w:hAnsi="Cambria Math"/>
                  <w:sz w:val="24"/>
                  <w:szCs w:val="22"/>
                </w:rPr>
                <m:t>⁡θ</m:t>
              </m:r>
            </m:den>
          </m:f>
          <m:r>
            <m:rPr>
              <m:sty m:val="p"/>
            </m:rPr>
            <w:rPr>
              <w:rFonts w:asciiTheme="majorHAnsi" w:hAnsiTheme="majorHAnsi"/>
              <w:sz w:val="24"/>
              <w:szCs w:val="22"/>
            </w:rPr>
            <w:br/>
          </m:r>
        </m:oMath>
      </m:oMathPara>
      <w:r w:rsidRPr="008418EA">
        <w:rPr>
          <w:rFonts w:asciiTheme="majorHAnsi" w:hAnsiTheme="majorHAnsi"/>
          <w:sz w:val="24"/>
          <w:szCs w:val="22"/>
        </w:rPr>
        <w:t>decreases with doping, indicating that the introduction of aliovalent ions inhibits grain growth during sintering. Additionally, a slight shift in peak positions is observed, reflecting lattice distortion arising from the substitution of Ti⁴⁺ (0.605 Å) by Nb⁵⁺ and Er³⁺ ions of larger ionic radii [17].</w:t>
      </w:r>
      <w:r w:rsidR="00B92C6E">
        <w:rPr>
          <w:rFonts w:asciiTheme="majorHAnsi" w:hAnsiTheme="majorHAnsi"/>
          <w:sz w:val="24"/>
          <w:szCs w:val="22"/>
        </w:rPr>
        <w:t xml:space="preserve"> </w:t>
      </w:r>
      <w:r w:rsidR="00B92C6E" w:rsidRPr="00B92C6E">
        <w:rPr>
          <w:rFonts w:asciiTheme="majorHAnsi" w:hAnsiTheme="majorHAnsi"/>
          <w:sz w:val="24"/>
          <w:szCs w:val="22"/>
        </w:rPr>
        <w:t xml:space="preserve">The observed diffraction peaks at 2θ ≈ 27.4°, 36.1°, 41.2°, 54.3°, and 56.6° are indexed to the (110), (101), (111), (211), and (220) planes of rutile </w:t>
      </w:r>
      <w:proofErr w:type="spellStart"/>
      <w:r w:rsidR="00B92C6E" w:rsidRPr="00B92C6E">
        <w:rPr>
          <w:rFonts w:asciiTheme="majorHAnsi" w:hAnsiTheme="majorHAnsi"/>
          <w:sz w:val="24"/>
          <w:szCs w:val="22"/>
        </w:rPr>
        <w:t>TiO</w:t>
      </w:r>
      <w:proofErr w:type="spellEnd"/>
      <w:r w:rsidR="00B92C6E" w:rsidRPr="00B92C6E">
        <w:rPr>
          <w:rFonts w:asciiTheme="majorHAnsi" w:hAnsiTheme="majorHAnsi"/>
          <w:sz w:val="24"/>
          <w:szCs w:val="22"/>
        </w:rPr>
        <w:t>₂.</w:t>
      </w:r>
    </w:p>
    <w:p w14:paraId="690E13D1" w14:textId="5D8BC0C7" w:rsidR="008418EA" w:rsidRDefault="00B92C6E" w:rsidP="00B92C6E">
      <w:pPr>
        <w:spacing w:line="360" w:lineRule="auto"/>
        <w:jc w:val="center"/>
        <w:rPr>
          <w:rFonts w:asciiTheme="majorHAnsi" w:hAnsiTheme="majorHAnsi"/>
          <w:sz w:val="24"/>
          <w:szCs w:val="22"/>
        </w:rPr>
      </w:pPr>
      <w:r w:rsidRPr="00B92C6E">
        <w:rPr>
          <w:noProof/>
          <w:lang w:val="en-IN" w:eastAsia="en-IN" w:bidi="ar-SA"/>
        </w:rPr>
        <w:drawing>
          <wp:inline distT="0" distB="0" distL="0" distR="0" wp14:anchorId="7337378B" wp14:editId="187BB998">
            <wp:extent cx="2636520" cy="3212465"/>
            <wp:effectExtent l="0" t="0" r="0" b="0"/>
            <wp:docPr id="380991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36520" cy="3212465"/>
                    </a:xfrm>
                    <a:prstGeom prst="rect">
                      <a:avLst/>
                    </a:prstGeom>
                    <a:noFill/>
                    <a:ln>
                      <a:noFill/>
                    </a:ln>
                  </pic:spPr>
                </pic:pic>
              </a:graphicData>
            </a:graphic>
          </wp:inline>
        </w:drawing>
      </w:r>
    </w:p>
    <w:p w14:paraId="49FE8969" w14:textId="77777777" w:rsidR="00910D38" w:rsidRDefault="00910D38" w:rsidP="00910D38">
      <w:pPr>
        <w:spacing w:line="360" w:lineRule="auto"/>
        <w:jc w:val="both"/>
        <w:rPr>
          <w:rFonts w:asciiTheme="majorHAnsi" w:hAnsiTheme="majorHAnsi"/>
          <w:i/>
          <w:iCs/>
          <w:sz w:val="24"/>
          <w:szCs w:val="22"/>
        </w:rPr>
      </w:pPr>
      <w:r w:rsidRPr="00B92C6E">
        <w:rPr>
          <w:rFonts w:asciiTheme="majorHAnsi" w:hAnsiTheme="majorHAnsi"/>
          <w:sz w:val="24"/>
          <w:szCs w:val="22"/>
        </w:rPr>
        <w:lastRenderedPageBreak/>
        <w:t xml:space="preserve">Figure 3. </w:t>
      </w:r>
      <w:r w:rsidRPr="00B92C6E">
        <w:rPr>
          <w:rFonts w:asciiTheme="majorHAnsi" w:hAnsiTheme="majorHAnsi"/>
          <w:i/>
          <w:iCs/>
          <w:sz w:val="24"/>
          <w:szCs w:val="22"/>
        </w:rPr>
        <w:t>X-ray diffraction patterns showing phase stability and peak broadening with increasing dopant concentration.</w:t>
      </w:r>
    </w:p>
    <w:p w14:paraId="1E22ECE1" w14:textId="77777777" w:rsidR="00B92C6E" w:rsidRPr="00B92C6E" w:rsidRDefault="00B92C6E" w:rsidP="00B92C6E">
      <w:pPr>
        <w:spacing w:line="360" w:lineRule="auto"/>
        <w:jc w:val="both"/>
        <w:rPr>
          <w:rFonts w:asciiTheme="majorHAnsi" w:hAnsiTheme="majorHAnsi"/>
          <w:sz w:val="24"/>
          <w:szCs w:val="22"/>
        </w:rPr>
      </w:pPr>
      <w:r w:rsidRPr="00B92C6E">
        <w:rPr>
          <w:rFonts w:asciiTheme="majorHAnsi" w:hAnsiTheme="majorHAnsi"/>
          <w:sz w:val="24"/>
          <w:szCs w:val="22"/>
        </w:rPr>
        <w:t xml:space="preserve">The X-ray diffraction patterns of </w:t>
      </w:r>
      <w:r w:rsidRPr="00B92C6E">
        <w:rPr>
          <w:rFonts w:asciiTheme="majorHAnsi" w:hAnsiTheme="majorHAnsi"/>
          <w:i/>
          <w:iCs/>
          <w:sz w:val="24"/>
          <w:szCs w:val="22"/>
        </w:rPr>
        <w:t>(</w:t>
      </w:r>
      <w:proofErr w:type="spellStart"/>
      <w:r w:rsidRPr="00B92C6E">
        <w:rPr>
          <w:rFonts w:asciiTheme="majorHAnsi" w:hAnsiTheme="majorHAnsi"/>
          <w:i/>
          <w:iCs/>
          <w:sz w:val="24"/>
          <w:szCs w:val="22"/>
        </w:rPr>
        <w:t>Nb</w:t>
      </w:r>
      <w:proofErr w:type="spellEnd"/>
      <w:proofErr w:type="gramStart"/>
      <w:r w:rsidRPr="00B92C6E">
        <w:rPr>
          <w:rFonts w:asciiTheme="majorHAnsi" w:hAnsiTheme="majorHAnsi"/>
          <w:i/>
          <w:iCs/>
          <w:sz w:val="24"/>
          <w:szCs w:val="22"/>
        </w:rPr>
        <w:t>₀.₅</w:t>
      </w:r>
      <w:proofErr w:type="spellStart"/>
      <w:proofErr w:type="gramEnd"/>
      <w:r w:rsidRPr="00B92C6E">
        <w:rPr>
          <w:rFonts w:asciiTheme="majorHAnsi" w:hAnsiTheme="majorHAnsi"/>
          <w:i/>
          <w:iCs/>
          <w:sz w:val="24"/>
          <w:szCs w:val="22"/>
        </w:rPr>
        <w:t>Er</w:t>
      </w:r>
      <w:proofErr w:type="spellEnd"/>
      <w:r w:rsidRPr="00B92C6E">
        <w:rPr>
          <w:rFonts w:asciiTheme="majorHAnsi" w:hAnsiTheme="majorHAnsi"/>
          <w:i/>
          <w:iCs/>
          <w:sz w:val="24"/>
          <w:szCs w:val="22"/>
        </w:rPr>
        <w:t>₀.₅)</w:t>
      </w:r>
      <w:proofErr w:type="spellStart"/>
      <w:r w:rsidRPr="00B92C6E">
        <w:rPr>
          <w:rFonts w:asciiTheme="majorHAnsi" w:hAnsiTheme="majorHAnsi"/>
          <w:i/>
          <w:iCs/>
          <w:sz w:val="24"/>
          <w:szCs w:val="22"/>
          <w:vertAlign w:val="subscript"/>
        </w:rPr>
        <w:t>x</w:t>
      </w:r>
      <w:r w:rsidRPr="00B92C6E">
        <w:rPr>
          <w:rFonts w:asciiTheme="majorHAnsi" w:hAnsiTheme="majorHAnsi"/>
          <w:i/>
          <w:iCs/>
          <w:sz w:val="24"/>
          <w:szCs w:val="22"/>
        </w:rPr>
        <w:t>Ti</w:t>
      </w:r>
      <w:proofErr w:type="spellEnd"/>
      <w:r w:rsidRPr="00B92C6E">
        <w:rPr>
          <w:rFonts w:asciiTheme="majorHAnsi" w:hAnsiTheme="majorHAnsi"/>
          <w:i/>
          <w:iCs/>
          <w:sz w:val="24"/>
          <w:szCs w:val="22"/>
        </w:rPr>
        <w:t>₁₋</w:t>
      </w:r>
      <w:proofErr w:type="spellStart"/>
      <w:r w:rsidRPr="00B92C6E">
        <w:rPr>
          <w:rFonts w:asciiTheme="majorHAnsi" w:hAnsiTheme="majorHAnsi"/>
          <w:i/>
          <w:iCs/>
          <w:sz w:val="24"/>
          <w:szCs w:val="22"/>
          <w:vertAlign w:val="subscript"/>
        </w:rPr>
        <w:t>x</w:t>
      </w:r>
      <w:r w:rsidRPr="00B92C6E">
        <w:rPr>
          <w:rFonts w:asciiTheme="majorHAnsi" w:hAnsiTheme="majorHAnsi"/>
          <w:i/>
          <w:iCs/>
          <w:sz w:val="24"/>
          <w:szCs w:val="22"/>
        </w:rPr>
        <w:t>O</w:t>
      </w:r>
      <w:proofErr w:type="spellEnd"/>
      <w:r w:rsidRPr="00B92C6E">
        <w:rPr>
          <w:rFonts w:asciiTheme="majorHAnsi" w:hAnsiTheme="majorHAnsi"/>
          <w:i/>
          <w:iCs/>
          <w:sz w:val="24"/>
          <w:szCs w:val="22"/>
        </w:rPr>
        <w:t>₂</w:t>
      </w:r>
      <w:r w:rsidRPr="00B92C6E">
        <w:rPr>
          <w:rFonts w:asciiTheme="majorHAnsi" w:hAnsiTheme="majorHAnsi"/>
          <w:sz w:val="24"/>
          <w:szCs w:val="22"/>
        </w:rPr>
        <w:t xml:space="preserve"> confirm the formation of the rutile </w:t>
      </w:r>
      <w:proofErr w:type="spellStart"/>
      <w:r w:rsidRPr="00B92C6E">
        <w:rPr>
          <w:rFonts w:asciiTheme="majorHAnsi" w:hAnsiTheme="majorHAnsi"/>
          <w:sz w:val="24"/>
          <w:szCs w:val="22"/>
        </w:rPr>
        <w:t>TiO</w:t>
      </w:r>
      <w:proofErr w:type="spellEnd"/>
      <w:r w:rsidRPr="00B92C6E">
        <w:rPr>
          <w:rFonts w:asciiTheme="majorHAnsi" w:hAnsiTheme="majorHAnsi"/>
          <w:sz w:val="24"/>
          <w:szCs w:val="22"/>
        </w:rPr>
        <w:t xml:space="preserve">₂ phase across all compositions without the appearance of secondary phases, indicating successful incorporation of Nb⁵⁺ and Er³⁺ ions into the </w:t>
      </w:r>
      <w:proofErr w:type="spellStart"/>
      <w:r w:rsidRPr="00B92C6E">
        <w:rPr>
          <w:rFonts w:asciiTheme="majorHAnsi" w:hAnsiTheme="majorHAnsi"/>
          <w:sz w:val="24"/>
          <w:szCs w:val="22"/>
        </w:rPr>
        <w:t>TiO</w:t>
      </w:r>
      <w:proofErr w:type="spellEnd"/>
      <w:r w:rsidRPr="00B92C6E">
        <w:rPr>
          <w:rFonts w:asciiTheme="majorHAnsi" w:hAnsiTheme="majorHAnsi"/>
          <w:sz w:val="24"/>
          <w:szCs w:val="22"/>
        </w:rPr>
        <w:t xml:space="preserve">₂ lattice. The characteristic diffraction peaks observed at 2θ ≈ 27.4°, 36.1°, 41.2°, 54.3°, and 56.6° correspond to the (110), (101), (111), (211), and (220) planes of rutile </w:t>
      </w:r>
      <w:proofErr w:type="spellStart"/>
      <w:r w:rsidRPr="00B92C6E">
        <w:rPr>
          <w:rFonts w:asciiTheme="majorHAnsi" w:hAnsiTheme="majorHAnsi"/>
          <w:sz w:val="24"/>
          <w:szCs w:val="22"/>
        </w:rPr>
        <w:t>TiO</w:t>
      </w:r>
      <w:proofErr w:type="spellEnd"/>
      <w:r w:rsidRPr="00B92C6E">
        <w:rPr>
          <w:rFonts w:asciiTheme="majorHAnsi" w:hAnsiTheme="majorHAnsi"/>
          <w:sz w:val="24"/>
          <w:szCs w:val="22"/>
        </w:rPr>
        <w:t>₂.</w:t>
      </w:r>
    </w:p>
    <w:p w14:paraId="3CE640D7" w14:textId="2E08E573" w:rsidR="00B92C6E" w:rsidRPr="00B92C6E" w:rsidRDefault="00B92C6E" w:rsidP="00B92C6E">
      <w:pPr>
        <w:spacing w:line="360" w:lineRule="auto"/>
        <w:jc w:val="both"/>
        <w:rPr>
          <w:rFonts w:asciiTheme="majorHAnsi" w:hAnsiTheme="majorHAnsi"/>
          <w:sz w:val="24"/>
          <w:szCs w:val="22"/>
        </w:rPr>
      </w:pPr>
      <w:r w:rsidRPr="00B92C6E">
        <w:rPr>
          <w:rFonts w:asciiTheme="majorHAnsi" w:hAnsiTheme="majorHAnsi"/>
          <w:sz w:val="24"/>
          <w:szCs w:val="22"/>
        </w:rPr>
        <w:t xml:space="preserve">A gradual shift of diffraction peaks toward lower 2θ values with increasing dopant concentration suggests lattice expansion due to </w:t>
      </w:r>
      <w:r w:rsidR="006A4323">
        <w:rPr>
          <w:rFonts w:asciiTheme="majorHAnsi" w:hAnsiTheme="majorHAnsi"/>
          <w:sz w:val="24"/>
          <w:szCs w:val="22"/>
        </w:rPr>
        <w:t xml:space="preserve">the </w:t>
      </w:r>
      <w:r w:rsidRPr="00B92C6E">
        <w:rPr>
          <w:rFonts w:asciiTheme="majorHAnsi" w:hAnsiTheme="majorHAnsi"/>
          <w:sz w:val="24"/>
          <w:szCs w:val="22"/>
        </w:rPr>
        <w:t xml:space="preserve">substitution of </w:t>
      </w:r>
      <w:proofErr w:type="spellStart"/>
      <w:r w:rsidRPr="00B92C6E">
        <w:rPr>
          <w:rFonts w:asciiTheme="majorHAnsi" w:hAnsiTheme="majorHAnsi"/>
          <w:sz w:val="24"/>
          <w:szCs w:val="22"/>
        </w:rPr>
        <w:t>Ti</w:t>
      </w:r>
      <w:proofErr w:type="spellEnd"/>
      <w:r w:rsidRPr="00B92C6E">
        <w:rPr>
          <w:rFonts w:asciiTheme="majorHAnsi" w:hAnsiTheme="majorHAnsi"/>
          <w:sz w:val="24"/>
          <w:szCs w:val="22"/>
        </w:rPr>
        <w:t>⁴⁺ ions by larger Nb⁵⁺ and Er³⁺ ions. Furthermore, systematic peak broadening is observed with increasing x, indicating a reduction in crystallite size and an increase in lattice strain.</w:t>
      </w:r>
    </w:p>
    <w:p w14:paraId="68524E6C" w14:textId="77777777" w:rsidR="00B92C6E" w:rsidRPr="00B92C6E" w:rsidRDefault="00B92C6E" w:rsidP="00B92C6E">
      <w:pPr>
        <w:spacing w:line="360" w:lineRule="auto"/>
        <w:jc w:val="both"/>
        <w:rPr>
          <w:rFonts w:asciiTheme="majorHAnsi" w:hAnsiTheme="majorHAnsi"/>
          <w:sz w:val="24"/>
          <w:szCs w:val="22"/>
        </w:rPr>
      </w:pPr>
      <w:r w:rsidRPr="00B92C6E">
        <w:rPr>
          <w:rFonts w:asciiTheme="majorHAnsi" w:hAnsiTheme="majorHAnsi"/>
          <w:sz w:val="24"/>
          <w:szCs w:val="22"/>
        </w:rPr>
        <w:t>The crystallite size, estimated using the Scherrer equation, decreases from approximately 38 nm for x = 0.01 to 23 nm for x = 0.10. This reduction can be attributed to the inhibition of grain growth caused by dopant-induced lattice distortion and defect formation.</w:t>
      </w:r>
    </w:p>
    <w:p w14:paraId="389768AA" w14:textId="26572FFD" w:rsidR="00B92C6E" w:rsidRPr="00B92C6E" w:rsidRDefault="00B92C6E" w:rsidP="00B92C6E">
      <w:pPr>
        <w:spacing w:line="360" w:lineRule="auto"/>
        <w:jc w:val="both"/>
        <w:rPr>
          <w:rFonts w:asciiTheme="majorHAnsi" w:hAnsiTheme="majorHAnsi"/>
          <w:sz w:val="24"/>
          <w:szCs w:val="22"/>
        </w:rPr>
      </w:pPr>
      <w:r w:rsidRPr="00B92C6E">
        <w:rPr>
          <w:rFonts w:asciiTheme="majorHAnsi" w:hAnsiTheme="majorHAnsi"/>
          <w:sz w:val="24"/>
          <w:szCs w:val="22"/>
        </w:rPr>
        <w:t xml:space="preserve">These results confirm that Nb–Er co-doping significantly influences the structural properties of </w:t>
      </w:r>
      <w:proofErr w:type="spellStart"/>
      <w:r w:rsidRPr="00B92C6E">
        <w:rPr>
          <w:rFonts w:asciiTheme="majorHAnsi" w:hAnsiTheme="majorHAnsi"/>
          <w:sz w:val="24"/>
          <w:szCs w:val="22"/>
        </w:rPr>
        <w:t>TiO</w:t>
      </w:r>
      <w:proofErr w:type="spellEnd"/>
      <w:r w:rsidRPr="00B92C6E">
        <w:rPr>
          <w:rFonts w:asciiTheme="majorHAnsi" w:hAnsiTheme="majorHAnsi"/>
          <w:sz w:val="24"/>
          <w:szCs w:val="22"/>
        </w:rPr>
        <w:t xml:space="preserve">₂ by introducing strain and defects, which are expected to play a crucial role in governing the dielectric and electrical </w:t>
      </w:r>
      <w:proofErr w:type="spellStart"/>
      <w:r w:rsidRPr="00B92C6E">
        <w:rPr>
          <w:rFonts w:asciiTheme="majorHAnsi" w:hAnsiTheme="majorHAnsi"/>
          <w:sz w:val="24"/>
          <w:szCs w:val="22"/>
        </w:rPr>
        <w:t>behavio</w:t>
      </w:r>
      <w:r w:rsidR="006A4323">
        <w:rPr>
          <w:rFonts w:asciiTheme="majorHAnsi" w:hAnsiTheme="majorHAnsi"/>
          <w:sz w:val="24"/>
          <w:szCs w:val="22"/>
        </w:rPr>
        <w:t>u</w:t>
      </w:r>
      <w:r w:rsidRPr="00B92C6E">
        <w:rPr>
          <w:rFonts w:asciiTheme="majorHAnsi" w:hAnsiTheme="majorHAnsi"/>
          <w:sz w:val="24"/>
          <w:szCs w:val="22"/>
        </w:rPr>
        <w:t>r</w:t>
      </w:r>
      <w:proofErr w:type="spellEnd"/>
      <w:r w:rsidRPr="00B92C6E">
        <w:rPr>
          <w:rFonts w:asciiTheme="majorHAnsi" w:hAnsiTheme="majorHAnsi"/>
          <w:sz w:val="24"/>
          <w:szCs w:val="22"/>
        </w:rPr>
        <w:t xml:space="preserve"> of the material.</w:t>
      </w:r>
    </w:p>
    <w:p w14:paraId="0B40A4CA" w14:textId="77777777" w:rsidR="00910D38" w:rsidRPr="008418EA" w:rsidRDefault="00910D38" w:rsidP="008418EA">
      <w:pPr>
        <w:spacing w:line="360" w:lineRule="auto"/>
        <w:jc w:val="both"/>
        <w:rPr>
          <w:rFonts w:asciiTheme="majorHAnsi" w:hAnsiTheme="majorHAnsi"/>
          <w:sz w:val="24"/>
          <w:szCs w:val="22"/>
        </w:rPr>
      </w:pPr>
    </w:p>
    <w:p w14:paraId="5C1B371B"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3.2 Microstructural Evolution</w:t>
      </w:r>
    </w:p>
    <w:p w14:paraId="1B1DDC28"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SEM analysis reveals a clear evolution of microstructure with dopant concentration. At low doping levels, the samples exhibit relatively uniform and fine grains with moderate agglomeration. With increasing dopant content, the microstructure becomes denser and more interconnected, indicating enhanced diffusion and grain boundary mobility during sintering.</w:t>
      </w:r>
    </w:p>
    <w:p w14:paraId="639399BC" w14:textId="79D8D420"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At higher doping levels (x ≥ 0.06), grain coalescence and agglomeration become prominent, leading to non-uniform grain distribution. This </w:t>
      </w:r>
      <w:proofErr w:type="spellStart"/>
      <w:r w:rsidRPr="008418EA">
        <w:rPr>
          <w:rFonts w:asciiTheme="majorHAnsi" w:hAnsiTheme="majorHAnsi"/>
          <w:sz w:val="24"/>
          <w:szCs w:val="22"/>
        </w:rPr>
        <w:t>behavio</w:t>
      </w:r>
      <w:r w:rsidR="006A4323">
        <w:rPr>
          <w:rFonts w:asciiTheme="majorHAnsi" w:hAnsiTheme="majorHAnsi"/>
          <w:sz w:val="24"/>
          <w:szCs w:val="22"/>
        </w:rPr>
        <w:t>u</w:t>
      </w:r>
      <w:r w:rsidRPr="008418EA">
        <w:rPr>
          <w:rFonts w:asciiTheme="majorHAnsi" w:hAnsiTheme="majorHAnsi"/>
          <w:sz w:val="24"/>
          <w:szCs w:val="22"/>
        </w:rPr>
        <w:t>r</w:t>
      </w:r>
      <w:proofErr w:type="spellEnd"/>
      <w:r w:rsidRPr="008418EA">
        <w:rPr>
          <w:rFonts w:asciiTheme="majorHAnsi" w:hAnsiTheme="majorHAnsi"/>
          <w:sz w:val="24"/>
          <w:szCs w:val="22"/>
        </w:rPr>
        <w:t xml:space="preserve"> reflects the competing effects of dopant-induced lattice strain and thermally activated grain growth, which govern the final microstructure of oxide ceramics [18].</w:t>
      </w:r>
    </w:p>
    <w:p w14:paraId="307DABC5" w14:textId="77777777" w:rsid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The observed discrepancy between decreasing crystallite size (XRD) and increasing grain size (SEM) arises from the distinction between coherent scattering domains and </w:t>
      </w:r>
      <w:r w:rsidRPr="008418EA">
        <w:rPr>
          <w:rFonts w:asciiTheme="majorHAnsi" w:hAnsiTheme="majorHAnsi"/>
          <w:sz w:val="24"/>
          <w:szCs w:val="22"/>
        </w:rPr>
        <w:lastRenderedPageBreak/>
        <w:t>agglomerated grains, highlighting the complex interplay between defect chemistry and sintering dynamics.</w:t>
      </w:r>
    </w:p>
    <w:p w14:paraId="3831BCBD" w14:textId="77777777" w:rsidR="00910D38" w:rsidRDefault="00910D38" w:rsidP="00910D38">
      <w:pPr>
        <w:spacing w:line="360" w:lineRule="auto"/>
        <w:jc w:val="both"/>
        <w:rPr>
          <w:rFonts w:ascii="Times New Roman" w:hAnsi="Times New Roman" w:cs="Times New Roman"/>
          <w:b/>
          <w:bCs/>
          <w:sz w:val="24"/>
          <w:szCs w:val="22"/>
        </w:rPr>
      </w:pPr>
      <w:r>
        <w:rPr>
          <w:rFonts w:ascii="Times New Roman" w:hAnsi="Times New Roman" w:cs="Times New Roman"/>
          <w:b/>
          <w:bCs/>
          <w:noProof/>
          <w:sz w:val="24"/>
          <w:szCs w:val="22"/>
          <w:lang w:val="en-IN" w:eastAsia="en-IN" w:bidi="ar-SA"/>
        </w:rPr>
        <w:drawing>
          <wp:inline distT="0" distB="0" distL="0" distR="0" wp14:anchorId="15220E84" wp14:editId="56939E8A">
            <wp:extent cx="2835008" cy="2126256"/>
            <wp:effectExtent l="19050" t="0" r="3442" b="0"/>
            <wp:docPr id="33" name="Picture 2" descr="C:\Users\admin\Desktop\yogesh phd\SEM\x=0.01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yogesh phd\SEM\x=0.01 (1).tif"/>
                    <pic:cNvPicPr>
                      <a:picLocks noChangeAspect="1" noChangeArrowheads="1"/>
                    </pic:cNvPicPr>
                  </pic:nvPicPr>
                  <pic:blipFill>
                    <a:blip r:embed="rId10"/>
                    <a:srcRect/>
                    <a:stretch>
                      <a:fillRect/>
                    </a:stretch>
                  </pic:blipFill>
                  <pic:spPr bwMode="auto">
                    <a:xfrm>
                      <a:off x="0" y="0"/>
                      <a:ext cx="2836213" cy="2127160"/>
                    </a:xfrm>
                    <a:prstGeom prst="rect">
                      <a:avLst/>
                    </a:prstGeom>
                    <a:noFill/>
                    <a:ln w="9525">
                      <a:noFill/>
                      <a:miter lim="800000"/>
                      <a:headEnd/>
                      <a:tailEnd/>
                    </a:ln>
                  </pic:spPr>
                </pic:pic>
              </a:graphicData>
            </a:graphic>
          </wp:inline>
        </w:drawing>
      </w:r>
      <w:r>
        <w:rPr>
          <w:rFonts w:ascii="Times New Roman" w:hAnsi="Times New Roman" w:cs="Times New Roman"/>
          <w:b/>
          <w:bCs/>
          <w:noProof/>
          <w:sz w:val="24"/>
          <w:szCs w:val="22"/>
          <w:lang w:bidi="gu-IN"/>
        </w:rPr>
        <w:t xml:space="preserve">   </w:t>
      </w:r>
      <w:r>
        <w:rPr>
          <w:rFonts w:ascii="Times New Roman" w:hAnsi="Times New Roman" w:cs="Times New Roman"/>
          <w:b/>
          <w:bCs/>
          <w:noProof/>
          <w:sz w:val="24"/>
          <w:szCs w:val="22"/>
          <w:lang w:val="en-IN" w:eastAsia="en-IN" w:bidi="ar-SA"/>
        </w:rPr>
        <w:drawing>
          <wp:inline distT="0" distB="0" distL="0" distR="0" wp14:anchorId="783603FF" wp14:editId="4B44551B">
            <wp:extent cx="2768217" cy="2076162"/>
            <wp:effectExtent l="19050" t="0" r="0" b="0"/>
            <wp:docPr id="34" name="Picture 3" descr="C:\Users\admin\Desktop\yogesh phd\SEM\x=0.01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yogesh phd\SEM\x=0.01 (2).tif"/>
                    <pic:cNvPicPr>
                      <a:picLocks noChangeAspect="1" noChangeArrowheads="1"/>
                    </pic:cNvPicPr>
                  </pic:nvPicPr>
                  <pic:blipFill>
                    <a:blip r:embed="rId11"/>
                    <a:srcRect/>
                    <a:stretch>
                      <a:fillRect/>
                    </a:stretch>
                  </pic:blipFill>
                  <pic:spPr bwMode="auto">
                    <a:xfrm>
                      <a:off x="0" y="0"/>
                      <a:ext cx="2775577" cy="2081682"/>
                    </a:xfrm>
                    <a:prstGeom prst="rect">
                      <a:avLst/>
                    </a:prstGeom>
                    <a:noFill/>
                    <a:ln w="9525">
                      <a:noFill/>
                      <a:miter lim="800000"/>
                      <a:headEnd/>
                      <a:tailEnd/>
                    </a:ln>
                  </pic:spPr>
                </pic:pic>
              </a:graphicData>
            </a:graphic>
          </wp:inline>
        </w:drawing>
      </w:r>
    </w:p>
    <w:p w14:paraId="672266F7" w14:textId="77777777" w:rsidR="00910D38" w:rsidRDefault="00910D38" w:rsidP="00910D38">
      <w:pPr>
        <w:spacing w:line="360" w:lineRule="auto"/>
        <w:jc w:val="both"/>
        <w:rPr>
          <w:rFonts w:ascii="Times New Roman" w:hAnsi="Times New Roman" w:cs="Times New Roman"/>
          <w:b/>
          <w:bCs/>
          <w:sz w:val="24"/>
          <w:szCs w:val="22"/>
        </w:rPr>
      </w:pPr>
    </w:p>
    <w:p w14:paraId="2DD4F66F" w14:textId="77777777" w:rsidR="00910D38" w:rsidRDefault="00910D38" w:rsidP="00910D38">
      <w:pPr>
        <w:spacing w:line="360" w:lineRule="auto"/>
        <w:jc w:val="both"/>
        <w:rPr>
          <w:rFonts w:ascii="Times New Roman" w:hAnsi="Times New Roman" w:cs="Times New Roman"/>
          <w:b/>
          <w:bCs/>
          <w:sz w:val="24"/>
          <w:szCs w:val="22"/>
        </w:rPr>
      </w:pPr>
      <w:r>
        <w:rPr>
          <w:rFonts w:ascii="Times New Roman" w:hAnsi="Times New Roman" w:cs="Times New Roman"/>
          <w:b/>
          <w:bCs/>
          <w:noProof/>
          <w:sz w:val="24"/>
          <w:szCs w:val="22"/>
          <w:lang w:val="en-IN" w:eastAsia="en-IN" w:bidi="ar-SA"/>
        </w:rPr>
        <w:drawing>
          <wp:inline distT="0" distB="0" distL="0" distR="0" wp14:anchorId="1781D63C" wp14:editId="6B048513">
            <wp:extent cx="2820249" cy="2115188"/>
            <wp:effectExtent l="19050" t="0" r="0" b="0"/>
            <wp:docPr id="35" name="Picture 4" descr="C:\Users\admin\Desktop\yogesh phd\SEM\x=0.01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yogesh phd\SEM\x=0.01 (3).tif"/>
                    <pic:cNvPicPr>
                      <a:picLocks noChangeAspect="1" noChangeArrowheads="1"/>
                    </pic:cNvPicPr>
                  </pic:nvPicPr>
                  <pic:blipFill>
                    <a:blip r:embed="rId12"/>
                    <a:srcRect/>
                    <a:stretch>
                      <a:fillRect/>
                    </a:stretch>
                  </pic:blipFill>
                  <pic:spPr bwMode="auto">
                    <a:xfrm>
                      <a:off x="0" y="0"/>
                      <a:ext cx="2843889" cy="2132918"/>
                    </a:xfrm>
                    <a:prstGeom prst="rect">
                      <a:avLst/>
                    </a:prstGeom>
                    <a:noFill/>
                    <a:ln w="9525">
                      <a:noFill/>
                      <a:miter lim="800000"/>
                      <a:headEnd/>
                      <a:tailEnd/>
                    </a:ln>
                  </pic:spPr>
                </pic:pic>
              </a:graphicData>
            </a:graphic>
          </wp:inline>
        </w:drawing>
      </w:r>
      <w:r>
        <w:rPr>
          <w:rFonts w:ascii="Times New Roman" w:hAnsi="Times New Roman" w:cs="Times New Roman"/>
          <w:b/>
          <w:bCs/>
          <w:noProof/>
          <w:sz w:val="24"/>
          <w:szCs w:val="22"/>
          <w:lang w:bidi="gu-IN"/>
        </w:rPr>
        <w:t xml:space="preserve">   </w:t>
      </w:r>
      <w:r>
        <w:rPr>
          <w:rFonts w:ascii="Times New Roman" w:hAnsi="Times New Roman" w:cs="Times New Roman"/>
          <w:b/>
          <w:bCs/>
          <w:noProof/>
          <w:sz w:val="24"/>
          <w:szCs w:val="22"/>
          <w:lang w:val="en-IN" w:eastAsia="en-IN" w:bidi="ar-SA"/>
        </w:rPr>
        <w:drawing>
          <wp:inline distT="0" distB="0" distL="0" distR="0" wp14:anchorId="27721C78" wp14:editId="5FBAF717">
            <wp:extent cx="2817487" cy="2113115"/>
            <wp:effectExtent l="19050" t="0" r="1913" b="0"/>
            <wp:docPr id="36" name="Picture 5" descr="C:\Users\admin\Desktop\yogesh phd\SEM\x=0.0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yogesh phd\SEM\x=0.01(3).tif"/>
                    <pic:cNvPicPr>
                      <a:picLocks noChangeAspect="1" noChangeArrowheads="1"/>
                    </pic:cNvPicPr>
                  </pic:nvPicPr>
                  <pic:blipFill>
                    <a:blip r:embed="rId13"/>
                    <a:srcRect/>
                    <a:stretch>
                      <a:fillRect/>
                    </a:stretch>
                  </pic:blipFill>
                  <pic:spPr bwMode="auto">
                    <a:xfrm>
                      <a:off x="0" y="0"/>
                      <a:ext cx="2829621" cy="2122216"/>
                    </a:xfrm>
                    <a:prstGeom prst="rect">
                      <a:avLst/>
                    </a:prstGeom>
                    <a:noFill/>
                    <a:ln w="9525">
                      <a:noFill/>
                      <a:miter lim="800000"/>
                      <a:headEnd/>
                      <a:tailEnd/>
                    </a:ln>
                  </pic:spPr>
                </pic:pic>
              </a:graphicData>
            </a:graphic>
          </wp:inline>
        </w:drawing>
      </w:r>
    </w:p>
    <w:p w14:paraId="5DFEDEF5" w14:textId="77777777" w:rsidR="00910D38" w:rsidRPr="000214AF" w:rsidRDefault="00910D38" w:rsidP="00910D38">
      <w:pPr>
        <w:spacing w:line="360" w:lineRule="auto"/>
        <w:jc w:val="both"/>
        <w:rPr>
          <w:rFonts w:ascii="Times New Roman" w:hAnsi="Times New Roman" w:cs="Times New Roman"/>
          <w:b/>
          <w:bCs/>
          <w:color w:val="000000" w:themeColor="text1"/>
          <w:sz w:val="24"/>
          <w:szCs w:val="22"/>
        </w:rPr>
      </w:pPr>
      <w:r>
        <w:rPr>
          <w:rFonts w:ascii="Times New Roman" w:hAnsi="Times New Roman" w:cs="Times New Roman"/>
          <w:b/>
          <w:bCs/>
          <w:color w:val="000000" w:themeColor="text1"/>
          <w:sz w:val="24"/>
          <w:szCs w:val="22"/>
        </w:rPr>
        <w:t>Figure 4.</w:t>
      </w:r>
      <w:r w:rsidRPr="000214AF">
        <w:rPr>
          <w:rFonts w:ascii="Times New Roman" w:hAnsi="Times New Roman" w:cs="Times New Roman"/>
          <w:b/>
          <w:bCs/>
          <w:color w:val="000000" w:themeColor="text1"/>
          <w:sz w:val="24"/>
          <w:szCs w:val="22"/>
        </w:rPr>
        <w:t xml:space="preserve"> (a) SEM micrographs of </w:t>
      </w:r>
      <w:r w:rsidRPr="000214AF">
        <w:rPr>
          <w:rFonts w:ascii="Times New Roman" w:hAnsi="Times New Roman" w:cs="Times New Roman"/>
          <w:b/>
          <w:bCs/>
          <w:i/>
          <w:iCs/>
          <w:color w:val="000000" w:themeColor="text1"/>
          <w:sz w:val="24"/>
          <w:szCs w:val="22"/>
        </w:rPr>
        <w:t>(</w:t>
      </w:r>
      <w:proofErr w:type="spellStart"/>
      <w:r w:rsidRPr="000214AF">
        <w:rPr>
          <w:rFonts w:ascii="Times New Roman" w:hAnsi="Times New Roman" w:cs="Times New Roman"/>
          <w:b/>
          <w:bCs/>
          <w:i/>
          <w:iCs/>
          <w:color w:val="000000" w:themeColor="text1"/>
          <w:sz w:val="24"/>
          <w:szCs w:val="22"/>
        </w:rPr>
        <w:t>Nb</w:t>
      </w:r>
      <w:proofErr w:type="spellEnd"/>
      <w:proofErr w:type="gramStart"/>
      <w:r w:rsidRPr="000214AF">
        <w:rPr>
          <w:rFonts w:ascii="Times New Roman" w:hAnsi="Times New Roman" w:cs="Times New Roman"/>
          <w:b/>
          <w:bCs/>
          <w:i/>
          <w:iCs/>
          <w:color w:val="000000" w:themeColor="text1"/>
          <w:sz w:val="24"/>
          <w:szCs w:val="22"/>
        </w:rPr>
        <w:t>₀.₅</w:t>
      </w:r>
      <w:proofErr w:type="spellStart"/>
      <w:proofErr w:type="gramEnd"/>
      <w:r w:rsidRPr="000214AF">
        <w:rPr>
          <w:rFonts w:ascii="Times New Roman" w:hAnsi="Times New Roman" w:cs="Times New Roman"/>
          <w:b/>
          <w:bCs/>
          <w:i/>
          <w:iCs/>
          <w:color w:val="000000" w:themeColor="text1"/>
          <w:sz w:val="24"/>
          <w:szCs w:val="22"/>
        </w:rPr>
        <w:t>Er</w:t>
      </w:r>
      <w:proofErr w:type="spellEnd"/>
      <w:r w:rsidRPr="000214AF">
        <w:rPr>
          <w:rFonts w:ascii="Times New Roman" w:hAnsi="Times New Roman" w:cs="Times New Roman"/>
          <w:b/>
          <w:bCs/>
          <w:i/>
          <w:iCs/>
          <w:color w:val="000000" w:themeColor="text1"/>
          <w:sz w:val="24"/>
          <w:szCs w:val="22"/>
        </w:rPr>
        <w:t>₀.₅)</w:t>
      </w:r>
      <w:proofErr w:type="spellStart"/>
      <w:r w:rsidRPr="000214AF">
        <w:rPr>
          <w:rFonts w:ascii="Times New Roman" w:hAnsi="Times New Roman" w:cs="Times New Roman"/>
          <w:b/>
          <w:bCs/>
          <w:i/>
          <w:iCs/>
          <w:color w:val="000000" w:themeColor="text1"/>
          <w:sz w:val="24"/>
          <w:szCs w:val="22"/>
        </w:rPr>
        <w:t>xTi</w:t>
      </w:r>
      <w:proofErr w:type="spellEnd"/>
      <w:r w:rsidRPr="000214AF">
        <w:rPr>
          <w:rFonts w:ascii="Times New Roman" w:hAnsi="Times New Roman" w:cs="Times New Roman"/>
          <w:b/>
          <w:bCs/>
          <w:i/>
          <w:iCs/>
          <w:color w:val="000000" w:themeColor="text1"/>
          <w:sz w:val="24"/>
          <w:szCs w:val="22"/>
        </w:rPr>
        <w:t>₁₋</w:t>
      </w:r>
      <w:proofErr w:type="spellStart"/>
      <w:r w:rsidRPr="000214AF">
        <w:rPr>
          <w:rFonts w:ascii="Times New Roman" w:hAnsi="Times New Roman" w:cs="Times New Roman"/>
          <w:b/>
          <w:bCs/>
          <w:i/>
          <w:iCs/>
          <w:color w:val="000000" w:themeColor="text1"/>
          <w:sz w:val="24"/>
          <w:szCs w:val="22"/>
        </w:rPr>
        <w:t>xO</w:t>
      </w:r>
      <w:proofErr w:type="spellEnd"/>
      <w:r w:rsidRPr="000214AF">
        <w:rPr>
          <w:rFonts w:ascii="Times New Roman" w:hAnsi="Times New Roman" w:cs="Times New Roman"/>
          <w:b/>
          <w:bCs/>
          <w:i/>
          <w:iCs/>
          <w:color w:val="000000" w:themeColor="text1"/>
          <w:sz w:val="24"/>
          <w:szCs w:val="22"/>
        </w:rPr>
        <w:t>₂</w:t>
      </w:r>
      <w:r w:rsidRPr="000214AF">
        <w:rPr>
          <w:rFonts w:ascii="Times New Roman" w:hAnsi="Times New Roman" w:cs="Times New Roman"/>
          <w:b/>
          <w:bCs/>
          <w:color w:val="000000" w:themeColor="text1"/>
          <w:sz w:val="24"/>
          <w:szCs w:val="22"/>
        </w:rPr>
        <w:t xml:space="preserve"> for dopant concentrations </w:t>
      </w:r>
      <w:r w:rsidRPr="000214AF">
        <w:rPr>
          <w:rFonts w:ascii="Times New Roman" w:hAnsi="Times New Roman" w:cs="Times New Roman"/>
          <w:b/>
          <w:bCs/>
          <w:i/>
          <w:iCs/>
          <w:color w:val="000000" w:themeColor="text1"/>
          <w:sz w:val="24"/>
          <w:szCs w:val="22"/>
        </w:rPr>
        <w:t>x= 0.01</w:t>
      </w:r>
    </w:p>
    <w:p w14:paraId="15BC46A8" w14:textId="77777777" w:rsidR="00910D38" w:rsidRDefault="00910D38" w:rsidP="00910D38">
      <w:pPr>
        <w:spacing w:line="360" w:lineRule="auto"/>
        <w:jc w:val="both"/>
        <w:rPr>
          <w:rFonts w:ascii="Times New Roman" w:hAnsi="Times New Roman" w:cs="Times New Roman"/>
          <w:b/>
          <w:bCs/>
          <w:sz w:val="24"/>
          <w:szCs w:val="22"/>
        </w:rPr>
      </w:pPr>
    </w:p>
    <w:p w14:paraId="72EF52DA" w14:textId="77777777" w:rsidR="00910D38" w:rsidRDefault="00910D38" w:rsidP="00910D38">
      <w:pPr>
        <w:spacing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b/>
          <w:bCs/>
          <w:noProof/>
          <w:sz w:val="24"/>
          <w:szCs w:val="22"/>
          <w:lang w:val="en-IN" w:eastAsia="en-IN" w:bidi="ar-SA"/>
        </w:rPr>
        <w:drawing>
          <wp:inline distT="0" distB="0" distL="0" distR="0" wp14:anchorId="22A622D8" wp14:editId="5A938B1D">
            <wp:extent cx="2760184" cy="2070137"/>
            <wp:effectExtent l="19050" t="0" r="2066" b="0"/>
            <wp:docPr id="37" name="Picture 6" descr="C:\Users\admin\Desktop\yogesh phd\SEM\x=0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yogesh phd\SEM\x=0 (2).tif"/>
                    <pic:cNvPicPr>
                      <a:picLocks noChangeAspect="1" noChangeArrowheads="1"/>
                    </pic:cNvPicPr>
                  </pic:nvPicPr>
                  <pic:blipFill>
                    <a:blip r:embed="rId14"/>
                    <a:srcRect/>
                    <a:stretch>
                      <a:fillRect/>
                    </a:stretch>
                  </pic:blipFill>
                  <pic:spPr bwMode="auto">
                    <a:xfrm>
                      <a:off x="0" y="0"/>
                      <a:ext cx="2762741" cy="2072054"/>
                    </a:xfrm>
                    <a:prstGeom prst="rect">
                      <a:avLst/>
                    </a:prstGeom>
                    <a:noFill/>
                    <a:ln w="9525">
                      <a:noFill/>
                      <a:miter lim="800000"/>
                      <a:headEnd/>
                      <a:tailEnd/>
                    </a:ln>
                  </pic:spPr>
                </pic:pic>
              </a:graphicData>
            </a:graphic>
          </wp:inline>
        </w:drawing>
      </w:r>
      <w:r w:rsidRPr="000214A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b/>
          <w:bCs/>
          <w:noProof/>
          <w:sz w:val="24"/>
          <w:szCs w:val="22"/>
          <w:lang w:bidi="gu-IN"/>
        </w:rPr>
        <w:t xml:space="preserve">  </w:t>
      </w:r>
      <w:r>
        <w:rPr>
          <w:rFonts w:ascii="Times New Roman" w:hAnsi="Times New Roman" w:cs="Times New Roman"/>
          <w:b/>
          <w:bCs/>
          <w:noProof/>
          <w:sz w:val="24"/>
          <w:szCs w:val="22"/>
          <w:lang w:val="en-IN" w:eastAsia="en-IN" w:bidi="ar-SA"/>
        </w:rPr>
        <w:drawing>
          <wp:inline distT="0" distB="0" distL="0" distR="0" wp14:anchorId="694CBEC9" wp14:editId="40400A66">
            <wp:extent cx="2765165" cy="2073874"/>
            <wp:effectExtent l="19050" t="0" r="0" b="0"/>
            <wp:docPr id="38" name="Picture 7" descr="C:\Users\admin\Desktop\yogesh phd\SEM\x=0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yogesh phd\SEM\x=0 (3).tif"/>
                    <pic:cNvPicPr>
                      <a:picLocks noChangeAspect="1" noChangeArrowheads="1"/>
                    </pic:cNvPicPr>
                  </pic:nvPicPr>
                  <pic:blipFill>
                    <a:blip r:embed="rId15"/>
                    <a:srcRect/>
                    <a:stretch>
                      <a:fillRect/>
                    </a:stretch>
                  </pic:blipFill>
                  <pic:spPr bwMode="auto">
                    <a:xfrm>
                      <a:off x="0" y="0"/>
                      <a:ext cx="2779361" cy="2084521"/>
                    </a:xfrm>
                    <a:prstGeom prst="rect">
                      <a:avLst/>
                    </a:prstGeom>
                    <a:noFill/>
                    <a:ln w="9525">
                      <a:noFill/>
                      <a:miter lim="800000"/>
                      <a:headEnd/>
                      <a:tailEnd/>
                    </a:ln>
                  </pic:spPr>
                </pic:pic>
              </a:graphicData>
            </a:graphic>
          </wp:inline>
        </w:drawing>
      </w:r>
    </w:p>
    <w:p w14:paraId="624A5B65" w14:textId="77777777" w:rsidR="00910D38" w:rsidRDefault="00910D38" w:rsidP="00910D38">
      <w:pPr>
        <w:spacing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14:paraId="59A1289A" w14:textId="77777777" w:rsidR="00910D38" w:rsidRDefault="00910D38" w:rsidP="00910D38">
      <w:pPr>
        <w:spacing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b/>
          <w:bCs/>
          <w:noProof/>
          <w:sz w:val="24"/>
          <w:szCs w:val="22"/>
          <w:lang w:bidi="gu-IN"/>
        </w:rPr>
        <w:lastRenderedPageBreak/>
        <w:t xml:space="preserve"> </w:t>
      </w:r>
      <w:r>
        <w:rPr>
          <w:rFonts w:ascii="Times New Roman" w:hAnsi="Times New Roman" w:cs="Times New Roman"/>
          <w:b/>
          <w:bCs/>
          <w:noProof/>
          <w:sz w:val="24"/>
          <w:szCs w:val="22"/>
          <w:lang w:val="en-IN" w:eastAsia="en-IN" w:bidi="ar-SA"/>
        </w:rPr>
        <w:drawing>
          <wp:inline distT="0" distB="0" distL="0" distR="0" wp14:anchorId="73DBBBAD" wp14:editId="4FBBC6C5">
            <wp:extent cx="2691099" cy="2018324"/>
            <wp:effectExtent l="19050" t="0" r="0" b="0"/>
            <wp:docPr id="39" name="Picture 8" descr="C:\Users\admin\Desktop\yogesh phd\SEM\x=0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yogesh phd\SEM\x=0 (4).tif"/>
                    <pic:cNvPicPr>
                      <a:picLocks noChangeAspect="1" noChangeArrowheads="1"/>
                    </pic:cNvPicPr>
                  </pic:nvPicPr>
                  <pic:blipFill>
                    <a:blip r:embed="rId16"/>
                    <a:srcRect/>
                    <a:stretch>
                      <a:fillRect/>
                    </a:stretch>
                  </pic:blipFill>
                  <pic:spPr bwMode="auto">
                    <a:xfrm>
                      <a:off x="0" y="0"/>
                      <a:ext cx="2706654" cy="2029990"/>
                    </a:xfrm>
                    <a:prstGeom prst="rect">
                      <a:avLst/>
                    </a:prstGeom>
                    <a:noFill/>
                    <a:ln w="9525">
                      <a:noFill/>
                      <a:miter lim="800000"/>
                      <a:headEnd/>
                      <a:tailEnd/>
                    </a:ln>
                  </pic:spPr>
                </pic:pic>
              </a:graphicData>
            </a:graphic>
          </wp:inline>
        </w:drawing>
      </w:r>
      <w:r w:rsidRPr="00C93E53">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b/>
          <w:bCs/>
          <w:noProof/>
          <w:sz w:val="24"/>
          <w:szCs w:val="22"/>
          <w:lang w:bidi="gu-IN"/>
        </w:rPr>
        <w:t xml:space="preserve">    </w:t>
      </w:r>
      <w:r>
        <w:rPr>
          <w:rFonts w:ascii="Times New Roman" w:hAnsi="Times New Roman" w:cs="Times New Roman"/>
          <w:b/>
          <w:bCs/>
          <w:noProof/>
          <w:sz w:val="24"/>
          <w:szCs w:val="22"/>
          <w:lang w:val="en-IN" w:eastAsia="en-IN" w:bidi="ar-SA"/>
        </w:rPr>
        <w:drawing>
          <wp:inline distT="0" distB="0" distL="0" distR="0" wp14:anchorId="71C55532" wp14:editId="3A625301">
            <wp:extent cx="2740219" cy="2055162"/>
            <wp:effectExtent l="19050" t="0" r="2981" b="0"/>
            <wp:docPr id="40" name="Picture 9" descr="C:\Users\admin\Desktop\yogesh phd\SEM\x=0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yogesh phd\SEM\x=0 (1).tif"/>
                    <pic:cNvPicPr>
                      <a:picLocks noChangeAspect="1" noChangeArrowheads="1"/>
                    </pic:cNvPicPr>
                  </pic:nvPicPr>
                  <pic:blipFill>
                    <a:blip r:embed="rId17"/>
                    <a:srcRect/>
                    <a:stretch>
                      <a:fillRect/>
                    </a:stretch>
                  </pic:blipFill>
                  <pic:spPr bwMode="auto">
                    <a:xfrm>
                      <a:off x="0" y="0"/>
                      <a:ext cx="2750259" cy="2062692"/>
                    </a:xfrm>
                    <a:prstGeom prst="rect">
                      <a:avLst/>
                    </a:prstGeom>
                    <a:noFill/>
                    <a:ln w="9525">
                      <a:noFill/>
                      <a:miter lim="800000"/>
                      <a:headEnd/>
                      <a:tailEnd/>
                    </a:ln>
                  </pic:spPr>
                </pic:pic>
              </a:graphicData>
            </a:graphic>
          </wp:inline>
        </w:drawing>
      </w:r>
    </w:p>
    <w:p w14:paraId="169F7FE7" w14:textId="77777777" w:rsidR="00910D38" w:rsidRPr="000214AF" w:rsidRDefault="00910D38" w:rsidP="00910D38">
      <w:pPr>
        <w:spacing w:line="360" w:lineRule="auto"/>
        <w:jc w:val="both"/>
        <w:rPr>
          <w:rFonts w:ascii="Times New Roman" w:hAnsi="Times New Roman" w:cs="Times New Roman"/>
          <w:b/>
          <w:bCs/>
          <w:color w:val="000000" w:themeColor="text1"/>
          <w:sz w:val="24"/>
          <w:szCs w:val="22"/>
        </w:rPr>
      </w:pPr>
      <w:r>
        <w:rPr>
          <w:rFonts w:ascii="Times New Roman" w:hAnsi="Times New Roman" w:cs="Times New Roman"/>
          <w:b/>
          <w:bCs/>
          <w:color w:val="000000" w:themeColor="text1"/>
          <w:sz w:val="24"/>
          <w:szCs w:val="22"/>
        </w:rPr>
        <w:t>Figure 4</w:t>
      </w:r>
      <w:r w:rsidRPr="000214AF">
        <w:rPr>
          <w:rFonts w:ascii="Times New Roman" w:hAnsi="Times New Roman" w:cs="Times New Roman"/>
          <w:b/>
          <w:bCs/>
          <w:color w:val="000000" w:themeColor="text1"/>
          <w:sz w:val="24"/>
          <w:szCs w:val="22"/>
        </w:rPr>
        <w:t xml:space="preserve"> </w:t>
      </w:r>
      <w:r>
        <w:rPr>
          <w:rFonts w:ascii="Times New Roman" w:hAnsi="Times New Roman" w:cs="Times New Roman"/>
          <w:b/>
          <w:bCs/>
          <w:color w:val="000000" w:themeColor="text1"/>
          <w:sz w:val="24"/>
          <w:szCs w:val="22"/>
        </w:rPr>
        <w:t>(b</w:t>
      </w:r>
      <w:r w:rsidRPr="000214AF">
        <w:rPr>
          <w:rFonts w:ascii="Times New Roman" w:hAnsi="Times New Roman" w:cs="Times New Roman"/>
          <w:b/>
          <w:bCs/>
          <w:color w:val="000000" w:themeColor="text1"/>
          <w:sz w:val="24"/>
          <w:szCs w:val="22"/>
        </w:rPr>
        <w:t xml:space="preserve">) SEM micrographs of </w:t>
      </w:r>
      <w:r w:rsidRPr="000214AF">
        <w:rPr>
          <w:rFonts w:ascii="Times New Roman" w:hAnsi="Times New Roman" w:cs="Times New Roman"/>
          <w:b/>
          <w:bCs/>
          <w:i/>
          <w:iCs/>
          <w:color w:val="000000" w:themeColor="text1"/>
          <w:sz w:val="24"/>
          <w:szCs w:val="22"/>
        </w:rPr>
        <w:t>(</w:t>
      </w:r>
      <w:proofErr w:type="spellStart"/>
      <w:r w:rsidRPr="000214AF">
        <w:rPr>
          <w:rFonts w:ascii="Times New Roman" w:hAnsi="Times New Roman" w:cs="Times New Roman"/>
          <w:b/>
          <w:bCs/>
          <w:i/>
          <w:iCs/>
          <w:color w:val="000000" w:themeColor="text1"/>
          <w:sz w:val="24"/>
          <w:szCs w:val="22"/>
        </w:rPr>
        <w:t>Nb</w:t>
      </w:r>
      <w:proofErr w:type="spellEnd"/>
      <w:proofErr w:type="gramStart"/>
      <w:r w:rsidRPr="000214AF">
        <w:rPr>
          <w:rFonts w:ascii="Times New Roman" w:hAnsi="Times New Roman" w:cs="Times New Roman"/>
          <w:b/>
          <w:bCs/>
          <w:i/>
          <w:iCs/>
          <w:color w:val="000000" w:themeColor="text1"/>
          <w:sz w:val="24"/>
          <w:szCs w:val="22"/>
        </w:rPr>
        <w:t>₀.₅</w:t>
      </w:r>
      <w:proofErr w:type="spellStart"/>
      <w:proofErr w:type="gramEnd"/>
      <w:r w:rsidRPr="000214AF">
        <w:rPr>
          <w:rFonts w:ascii="Times New Roman" w:hAnsi="Times New Roman" w:cs="Times New Roman"/>
          <w:b/>
          <w:bCs/>
          <w:i/>
          <w:iCs/>
          <w:color w:val="000000" w:themeColor="text1"/>
          <w:sz w:val="24"/>
          <w:szCs w:val="22"/>
        </w:rPr>
        <w:t>Er</w:t>
      </w:r>
      <w:proofErr w:type="spellEnd"/>
      <w:r w:rsidRPr="000214AF">
        <w:rPr>
          <w:rFonts w:ascii="Times New Roman" w:hAnsi="Times New Roman" w:cs="Times New Roman"/>
          <w:b/>
          <w:bCs/>
          <w:i/>
          <w:iCs/>
          <w:color w:val="000000" w:themeColor="text1"/>
          <w:sz w:val="24"/>
          <w:szCs w:val="22"/>
        </w:rPr>
        <w:t>₀.₅)</w:t>
      </w:r>
      <w:proofErr w:type="spellStart"/>
      <w:r w:rsidRPr="000214AF">
        <w:rPr>
          <w:rFonts w:ascii="Times New Roman" w:hAnsi="Times New Roman" w:cs="Times New Roman"/>
          <w:b/>
          <w:bCs/>
          <w:i/>
          <w:iCs/>
          <w:color w:val="000000" w:themeColor="text1"/>
          <w:sz w:val="24"/>
          <w:szCs w:val="22"/>
        </w:rPr>
        <w:t>xTi</w:t>
      </w:r>
      <w:proofErr w:type="spellEnd"/>
      <w:r w:rsidRPr="000214AF">
        <w:rPr>
          <w:rFonts w:ascii="Times New Roman" w:hAnsi="Times New Roman" w:cs="Times New Roman"/>
          <w:b/>
          <w:bCs/>
          <w:i/>
          <w:iCs/>
          <w:color w:val="000000" w:themeColor="text1"/>
          <w:sz w:val="24"/>
          <w:szCs w:val="22"/>
        </w:rPr>
        <w:t>₁₋</w:t>
      </w:r>
      <w:proofErr w:type="spellStart"/>
      <w:r w:rsidRPr="000214AF">
        <w:rPr>
          <w:rFonts w:ascii="Times New Roman" w:hAnsi="Times New Roman" w:cs="Times New Roman"/>
          <w:b/>
          <w:bCs/>
          <w:i/>
          <w:iCs/>
          <w:color w:val="000000" w:themeColor="text1"/>
          <w:sz w:val="24"/>
          <w:szCs w:val="22"/>
        </w:rPr>
        <w:t>xO</w:t>
      </w:r>
      <w:proofErr w:type="spellEnd"/>
      <w:r w:rsidRPr="000214AF">
        <w:rPr>
          <w:rFonts w:ascii="Times New Roman" w:hAnsi="Times New Roman" w:cs="Times New Roman"/>
          <w:b/>
          <w:bCs/>
          <w:i/>
          <w:iCs/>
          <w:color w:val="000000" w:themeColor="text1"/>
          <w:sz w:val="24"/>
          <w:szCs w:val="22"/>
        </w:rPr>
        <w:t>₂</w:t>
      </w:r>
      <w:r w:rsidRPr="000214AF">
        <w:rPr>
          <w:rFonts w:ascii="Times New Roman" w:hAnsi="Times New Roman" w:cs="Times New Roman"/>
          <w:b/>
          <w:bCs/>
          <w:color w:val="000000" w:themeColor="text1"/>
          <w:sz w:val="24"/>
          <w:szCs w:val="22"/>
        </w:rPr>
        <w:t xml:space="preserve"> for dopant concentrations </w:t>
      </w:r>
      <w:r w:rsidRPr="000214AF">
        <w:rPr>
          <w:rFonts w:ascii="Times New Roman" w:hAnsi="Times New Roman" w:cs="Times New Roman"/>
          <w:b/>
          <w:bCs/>
          <w:i/>
          <w:iCs/>
          <w:color w:val="000000" w:themeColor="text1"/>
          <w:sz w:val="24"/>
          <w:szCs w:val="22"/>
        </w:rPr>
        <w:t xml:space="preserve">x= </w:t>
      </w:r>
      <w:r>
        <w:rPr>
          <w:rFonts w:ascii="Times New Roman" w:hAnsi="Times New Roman" w:cs="Times New Roman"/>
          <w:b/>
          <w:bCs/>
          <w:i/>
          <w:iCs/>
          <w:color w:val="000000" w:themeColor="text1"/>
          <w:sz w:val="24"/>
          <w:szCs w:val="22"/>
        </w:rPr>
        <w:t>0.02</w:t>
      </w:r>
    </w:p>
    <w:p w14:paraId="7FFA803B" w14:textId="77777777" w:rsidR="00910D38" w:rsidRDefault="00910D38" w:rsidP="00910D38">
      <w:pPr>
        <w:spacing w:line="360" w:lineRule="auto"/>
        <w:jc w:val="both"/>
        <w:rPr>
          <w:rFonts w:ascii="Times New Roman" w:hAnsi="Times New Roman" w:cs="Times New Roman"/>
          <w:b/>
          <w:bCs/>
          <w:noProof/>
          <w:sz w:val="24"/>
          <w:szCs w:val="22"/>
          <w:lang w:bidi="gu-IN"/>
        </w:rPr>
      </w:pPr>
      <w:r>
        <w:rPr>
          <w:rFonts w:ascii="Times New Roman" w:hAnsi="Times New Roman" w:cs="Times New Roman"/>
          <w:b/>
          <w:bCs/>
          <w:noProof/>
          <w:sz w:val="24"/>
          <w:szCs w:val="22"/>
          <w:lang w:val="en-IN" w:eastAsia="en-IN" w:bidi="ar-SA"/>
        </w:rPr>
        <w:drawing>
          <wp:inline distT="0" distB="0" distL="0" distR="0" wp14:anchorId="6917204F" wp14:editId="373F5376">
            <wp:extent cx="2714321" cy="2035742"/>
            <wp:effectExtent l="19050" t="0" r="0" b="0"/>
            <wp:docPr id="41" name="Picture 11" descr="C:\Users\admin\Desktop\yogesh phd\SEM\x= 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yogesh phd\SEM\x= 0.04.tif"/>
                    <pic:cNvPicPr>
                      <a:picLocks noChangeAspect="1" noChangeArrowheads="1"/>
                    </pic:cNvPicPr>
                  </pic:nvPicPr>
                  <pic:blipFill>
                    <a:blip r:embed="rId18"/>
                    <a:srcRect/>
                    <a:stretch>
                      <a:fillRect/>
                    </a:stretch>
                  </pic:blipFill>
                  <pic:spPr bwMode="auto">
                    <a:xfrm>
                      <a:off x="0" y="0"/>
                      <a:ext cx="2722022" cy="2041518"/>
                    </a:xfrm>
                    <a:prstGeom prst="rect">
                      <a:avLst/>
                    </a:prstGeom>
                    <a:noFill/>
                    <a:ln w="9525">
                      <a:noFill/>
                      <a:miter lim="800000"/>
                      <a:headEnd/>
                      <a:tailEnd/>
                    </a:ln>
                  </pic:spPr>
                </pic:pic>
              </a:graphicData>
            </a:graphic>
          </wp:inline>
        </w:drawing>
      </w:r>
      <w:r>
        <w:rPr>
          <w:rFonts w:ascii="Times New Roman" w:hAnsi="Times New Roman" w:cs="Times New Roman"/>
          <w:b/>
          <w:bCs/>
          <w:noProof/>
          <w:sz w:val="24"/>
          <w:szCs w:val="22"/>
          <w:lang w:bidi="gu-IN"/>
        </w:rPr>
        <w:t xml:space="preserve">  </w:t>
      </w:r>
      <w:r>
        <w:rPr>
          <w:rFonts w:ascii="Times New Roman" w:hAnsi="Times New Roman" w:cs="Times New Roman"/>
          <w:b/>
          <w:bCs/>
          <w:noProof/>
          <w:sz w:val="24"/>
          <w:szCs w:val="22"/>
          <w:lang w:val="en-IN" w:eastAsia="en-IN" w:bidi="ar-SA"/>
        </w:rPr>
        <w:drawing>
          <wp:inline distT="0" distB="0" distL="0" distR="0" wp14:anchorId="1371AAC4" wp14:editId="0AB0CCF7">
            <wp:extent cx="2714211" cy="2035658"/>
            <wp:effectExtent l="19050" t="0" r="0" b="0"/>
            <wp:docPr id="42" name="Picture 10" descr="C:\Users\admin\Desktop\yogesh phd\SEM\x= 0.0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yogesh phd\SEM\x= 0.04.1.tif"/>
                    <pic:cNvPicPr>
                      <a:picLocks noChangeAspect="1" noChangeArrowheads="1"/>
                    </pic:cNvPicPr>
                  </pic:nvPicPr>
                  <pic:blipFill>
                    <a:blip r:embed="rId19"/>
                    <a:srcRect/>
                    <a:stretch>
                      <a:fillRect/>
                    </a:stretch>
                  </pic:blipFill>
                  <pic:spPr bwMode="auto">
                    <a:xfrm>
                      <a:off x="0" y="0"/>
                      <a:ext cx="2717352" cy="2038013"/>
                    </a:xfrm>
                    <a:prstGeom prst="rect">
                      <a:avLst/>
                    </a:prstGeom>
                    <a:noFill/>
                    <a:ln w="9525">
                      <a:noFill/>
                      <a:miter lim="800000"/>
                      <a:headEnd/>
                      <a:tailEnd/>
                    </a:ln>
                  </pic:spPr>
                </pic:pic>
              </a:graphicData>
            </a:graphic>
          </wp:inline>
        </w:drawing>
      </w:r>
    </w:p>
    <w:p w14:paraId="481643EE" w14:textId="77777777" w:rsidR="00910D38" w:rsidRDefault="00910D38" w:rsidP="00910D38">
      <w:pPr>
        <w:spacing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b/>
          <w:bCs/>
          <w:noProof/>
          <w:sz w:val="24"/>
          <w:szCs w:val="22"/>
          <w:lang w:val="en-IN" w:eastAsia="en-IN" w:bidi="ar-SA"/>
        </w:rPr>
        <w:drawing>
          <wp:inline distT="0" distB="0" distL="0" distR="0" wp14:anchorId="3BB3D634" wp14:editId="7D2D64C0">
            <wp:extent cx="2722245" cy="2041684"/>
            <wp:effectExtent l="19050" t="0" r="1905" b="0"/>
            <wp:docPr id="43" name="Picture 12" descr="C:\Users\admin\Desktop\yogesh phd\SEM\0.04.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yogesh phd\SEM\0.04.2.tif"/>
                    <pic:cNvPicPr>
                      <a:picLocks noChangeAspect="1" noChangeArrowheads="1"/>
                    </pic:cNvPicPr>
                  </pic:nvPicPr>
                  <pic:blipFill>
                    <a:blip r:embed="rId20"/>
                    <a:srcRect/>
                    <a:stretch>
                      <a:fillRect/>
                    </a:stretch>
                  </pic:blipFill>
                  <pic:spPr bwMode="auto">
                    <a:xfrm>
                      <a:off x="0" y="0"/>
                      <a:ext cx="2723528" cy="2042646"/>
                    </a:xfrm>
                    <a:prstGeom prst="rect">
                      <a:avLst/>
                    </a:prstGeom>
                    <a:noFill/>
                    <a:ln w="9525">
                      <a:noFill/>
                      <a:miter lim="800000"/>
                      <a:headEnd/>
                      <a:tailEnd/>
                    </a:ln>
                  </pic:spPr>
                </pic:pic>
              </a:graphicData>
            </a:graphic>
          </wp:inline>
        </w:drawing>
      </w:r>
      <w:r w:rsidRPr="00C93E53">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b/>
          <w:bCs/>
          <w:noProof/>
          <w:sz w:val="24"/>
          <w:szCs w:val="22"/>
          <w:lang w:bidi="gu-IN"/>
        </w:rPr>
        <w:t xml:space="preserve"> </w:t>
      </w:r>
      <w:r>
        <w:rPr>
          <w:rFonts w:ascii="Times New Roman" w:hAnsi="Times New Roman" w:cs="Times New Roman"/>
          <w:b/>
          <w:bCs/>
          <w:noProof/>
          <w:sz w:val="24"/>
          <w:szCs w:val="22"/>
          <w:lang w:val="en-IN" w:eastAsia="en-IN" w:bidi="ar-SA"/>
        </w:rPr>
        <w:drawing>
          <wp:inline distT="0" distB="0" distL="0" distR="0" wp14:anchorId="517F0E1D" wp14:editId="124D4BD3">
            <wp:extent cx="2716640" cy="2037480"/>
            <wp:effectExtent l="19050" t="0" r="7510" b="0"/>
            <wp:docPr id="44" name="Picture 13" descr="C:\Users\admin\Desktop\yogesh phd\SEM\0.0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yogesh phd\SEM\0.04.3.tif"/>
                    <pic:cNvPicPr>
                      <a:picLocks noChangeAspect="1" noChangeArrowheads="1"/>
                    </pic:cNvPicPr>
                  </pic:nvPicPr>
                  <pic:blipFill>
                    <a:blip r:embed="rId21"/>
                    <a:srcRect/>
                    <a:stretch>
                      <a:fillRect/>
                    </a:stretch>
                  </pic:blipFill>
                  <pic:spPr bwMode="auto">
                    <a:xfrm>
                      <a:off x="0" y="0"/>
                      <a:ext cx="2720021" cy="2040015"/>
                    </a:xfrm>
                    <a:prstGeom prst="rect">
                      <a:avLst/>
                    </a:prstGeom>
                    <a:noFill/>
                    <a:ln w="9525">
                      <a:noFill/>
                      <a:miter lim="800000"/>
                      <a:headEnd/>
                      <a:tailEnd/>
                    </a:ln>
                  </pic:spPr>
                </pic:pic>
              </a:graphicData>
            </a:graphic>
          </wp:inline>
        </w:drawing>
      </w: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14:paraId="1938DBE7" w14:textId="77777777" w:rsidR="00910D38" w:rsidRDefault="00910D38" w:rsidP="00910D38">
      <w:pPr>
        <w:spacing w:line="360" w:lineRule="auto"/>
        <w:jc w:val="both"/>
        <w:rPr>
          <w:rFonts w:ascii="Times New Roman" w:hAnsi="Times New Roman" w:cs="Times New Roman"/>
          <w:b/>
          <w:bCs/>
          <w:i/>
          <w:iCs/>
          <w:color w:val="000000" w:themeColor="text1"/>
          <w:sz w:val="24"/>
          <w:szCs w:val="22"/>
        </w:rPr>
      </w:pPr>
      <w:r>
        <w:rPr>
          <w:rFonts w:ascii="Times New Roman" w:hAnsi="Times New Roman" w:cs="Times New Roman"/>
          <w:b/>
          <w:bCs/>
          <w:color w:val="000000" w:themeColor="text1"/>
          <w:sz w:val="24"/>
          <w:szCs w:val="22"/>
        </w:rPr>
        <w:t>Figure 4</w:t>
      </w:r>
      <w:r w:rsidRPr="000214AF">
        <w:rPr>
          <w:rFonts w:ascii="Times New Roman" w:hAnsi="Times New Roman" w:cs="Times New Roman"/>
          <w:b/>
          <w:bCs/>
          <w:color w:val="000000" w:themeColor="text1"/>
          <w:sz w:val="24"/>
          <w:szCs w:val="22"/>
        </w:rPr>
        <w:t xml:space="preserve"> </w:t>
      </w:r>
      <w:r>
        <w:rPr>
          <w:rFonts w:ascii="Times New Roman" w:hAnsi="Times New Roman" w:cs="Times New Roman"/>
          <w:b/>
          <w:bCs/>
          <w:color w:val="000000" w:themeColor="text1"/>
          <w:sz w:val="24"/>
          <w:szCs w:val="22"/>
        </w:rPr>
        <w:t>(c</w:t>
      </w:r>
      <w:r w:rsidRPr="000214AF">
        <w:rPr>
          <w:rFonts w:ascii="Times New Roman" w:hAnsi="Times New Roman" w:cs="Times New Roman"/>
          <w:b/>
          <w:bCs/>
          <w:color w:val="000000" w:themeColor="text1"/>
          <w:sz w:val="24"/>
          <w:szCs w:val="22"/>
        </w:rPr>
        <w:t xml:space="preserve">) SEM micrographs of </w:t>
      </w:r>
      <w:r w:rsidRPr="000214AF">
        <w:rPr>
          <w:rFonts w:ascii="Times New Roman" w:hAnsi="Times New Roman" w:cs="Times New Roman"/>
          <w:b/>
          <w:bCs/>
          <w:i/>
          <w:iCs/>
          <w:color w:val="000000" w:themeColor="text1"/>
          <w:sz w:val="24"/>
          <w:szCs w:val="22"/>
        </w:rPr>
        <w:t>(</w:t>
      </w:r>
      <w:proofErr w:type="spellStart"/>
      <w:r w:rsidRPr="000214AF">
        <w:rPr>
          <w:rFonts w:ascii="Times New Roman" w:hAnsi="Times New Roman" w:cs="Times New Roman"/>
          <w:b/>
          <w:bCs/>
          <w:i/>
          <w:iCs/>
          <w:color w:val="000000" w:themeColor="text1"/>
          <w:sz w:val="24"/>
          <w:szCs w:val="22"/>
        </w:rPr>
        <w:t>Nb</w:t>
      </w:r>
      <w:proofErr w:type="spellEnd"/>
      <w:proofErr w:type="gramStart"/>
      <w:r w:rsidRPr="000214AF">
        <w:rPr>
          <w:rFonts w:ascii="Times New Roman" w:hAnsi="Times New Roman" w:cs="Times New Roman"/>
          <w:b/>
          <w:bCs/>
          <w:i/>
          <w:iCs/>
          <w:color w:val="000000" w:themeColor="text1"/>
          <w:sz w:val="24"/>
          <w:szCs w:val="22"/>
        </w:rPr>
        <w:t>₀.₅</w:t>
      </w:r>
      <w:proofErr w:type="spellStart"/>
      <w:proofErr w:type="gramEnd"/>
      <w:r w:rsidRPr="000214AF">
        <w:rPr>
          <w:rFonts w:ascii="Times New Roman" w:hAnsi="Times New Roman" w:cs="Times New Roman"/>
          <w:b/>
          <w:bCs/>
          <w:i/>
          <w:iCs/>
          <w:color w:val="000000" w:themeColor="text1"/>
          <w:sz w:val="24"/>
          <w:szCs w:val="22"/>
        </w:rPr>
        <w:t>Er</w:t>
      </w:r>
      <w:proofErr w:type="spellEnd"/>
      <w:r w:rsidRPr="000214AF">
        <w:rPr>
          <w:rFonts w:ascii="Times New Roman" w:hAnsi="Times New Roman" w:cs="Times New Roman"/>
          <w:b/>
          <w:bCs/>
          <w:i/>
          <w:iCs/>
          <w:color w:val="000000" w:themeColor="text1"/>
          <w:sz w:val="24"/>
          <w:szCs w:val="22"/>
        </w:rPr>
        <w:t>₀.₅)</w:t>
      </w:r>
      <w:proofErr w:type="spellStart"/>
      <w:r w:rsidRPr="000214AF">
        <w:rPr>
          <w:rFonts w:ascii="Times New Roman" w:hAnsi="Times New Roman" w:cs="Times New Roman"/>
          <w:b/>
          <w:bCs/>
          <w:i/>
          <w:iCs/>
          <w:color w:val="000000" w:themeColor="text1"/>
          <w:sz w:val="24"/>
          <w:szCs w:val="22"/>
        </w:rPr>
        <w:t>xTi</w:t>
      </w:r>
      <w:proofErr w:type="spellEnd"/>
      <w:r w:rsidRPr="000214AF">
        <w:rPr>
          <w:rFonts w:ascii="Times New Roman" w:hAnsi="Times New Roman" w:cs="Times New Roman"/>
          <w:b/>
          <w:bCs/>
          <w:i/>
          <w:iCs/>
          <w:color w:val="000000" w:themeColor="text1"/>
          <w:sz w:val="24"/>
          <w:szCs w:val="22"/>
        </w:rPr>
        <w:t>₁₋</w:t>
      </w:r>
      <w:proofErr w:type="spellStart"/>
      <w:r w:rsidRPr="000214AF">
        <w:rPr>
          <w:rFonts w:ascii="Times New Roman" w:hAnsi="Times New Roman" w:cs="Times New Roman"/>
          <w:b/>
          <w:bCs/>
          <w:i/>
          <w:iCs/>
          <w:color w:val="000000" w:themeColor="text1"/>
          <w:sz w:val="24"/>
          <w:szCs w:val="22"/>
        </w:rPr>
        <w:t>xO</w:t>
      </w:r>
      <w:proofErr w:type="spellEnd"/>
      <w:r w:rsidRPr="000214AF">
        <w:rPr>
          <w:rFonts w:ascii="Times New Roman" w:hAnsi="Times New Roman" w:cs="Times New Roman"/>
          <w:b/>
          <w:bCs/>
          <w:i/>
          <w:iCs/>
          <w:color w:val="000000" w:themeColor="text1"/>
          <w:sz w:val="24"/>
          <w:szCs w:val="22"/>
        </w:rPr>
        <w:t>₂</w:t>
      </w:r>
      <w:r w:rsidRPr="000214AF">
        <w:rPr>
          <w:rFonts w:ascii="Times New Roman" w:hAnsi="Times New Roman" w:cs="Times New Roman"/>
          <w:b/>
          <w:bCs/>
          <w:color w:val="000000" w:themeColor="text1"/>
          <w:sz w:val="24"/>
          <w:szCs w:val="22"/>
        </w:rPr>
        <w:t xml:space="preserve"> for dopant concentrations </w:t>
      </w:r>
      <w:r w:rsidRPr="000214AF">
        <w:rPr>
          <w:rFonts w:ascii="Times New Roman" w:hAnsi="Times New Roman" w:cs="Times New Roman"/>
          <w:b/>
          <w:bCs/>
          <w:i/>
          <w:iCs/>
          <w:color w:val="000000" w:themeColor="text1"/>
          <w:sz w:val="24"/>
          <w:szCs w:val="22"/>
        </w:rPr>
        <w:t xml:space="preserve">x= </w:t>
      </w:r>
      <w:r>
        <w:rPr>
          <w:rFonts w:ascii="Times New Roman" w:hAnsi="Times New Roman" w:cs="Times New Roman"/>
          <w:b/>
          <w:bCs/>
          <w:i/>
          <w:iCs/>
          <w:color w:val="000000" w:themeColor="text1"/>
          <w:sz w:val="24"/>
          <w:szCs w:val="22"/>
        </w:rPr>
        <w:t>0.06</w:t>
      </w:r>
    </w:p>
    <w:p w14:paraId="3558E99C" w14:textId="77777777" w:rsidR="00910D38" w:rsidRDefault="00910D38" w:rsidP="00910D38">
      <w:pPr>
        <w:spacing w:line="360" w:lineRule="auto"/>
        <w:jc w:val="both"/>
        <w:rPr>
          <w:rFonts w:ascii="Times New Roman" w:hAnsi="Times New Roman" w:cs="Times New Roman"/>
          <w:b/>
          <w:bCs/>
          <w:i/>
          <w:iCs/>
          <w:color w:val="000000" w:themeColor="text1"/>
          <w:sz w:val="24"/>
          <w:szCs w:val="22"/>
        </w:rPr>
      </w:pPr>
      <w:r>
        <w:rPr>
          <w:rFonts w:ascii="Times New Roman" w:hAnsi="Times New Roman" w:cs="Times New Roman"/>
          <w:b/>
          <w:bCs/>
          <w:i/>
          <w:iCs/>
          <w:noProof/>
          <w:color w:val="000000" w:themeColor="text1"/>
          <w:sz w:val="24"/>
          <w:szCs w:val="22"/>
          <w:lang w:val="en-IN" w:eastAsia="en-IN" w:bidi="ar-SA"/>
        </w:rPr>
        <w:lastRenderedPageBreak/>
        <w:drawing>
          <wp:inline distT="0" distB="0" distL="0" distR="0" wp14:anchorId="3A629699" wp14:editId="73384737">
            <wp:extent cx="2764735" cy="2073553"/>
            <wp:effectExtent l="19050" t="0" r="0" b="0"/>
            <wp:docPr id="45" name="Picture 14" descr="C:\Users\admin\Desktop\yogesh phd\SEM\0.04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yogesh phd\SEM\0.04 4.tif"/>
                    <pic:cNvPicPr>
                      <a:picLocks noChangeAspect="1" noChangeArrowheads="1"/>
                    </pic:cNvPicPr>
                  </pic:nvPicPr>
                  <pic:blipFill>
                    <a:blip r:embed="rId22"/>
                    <a:srcRect/>
                    <a:stretch>
                      <a:fillRect/>
                    </a:stretch>
                  </pic:blipFill>
                  <pic:spPr bwMode="auto">
                    <a:xfrm>
                      <a:off x="0" y="0"/>
                      <a:ext cx="2764028" cy="2073022"/>
                    </a:xfrm>
                    <a:prstGeom prst="rect">
                      <a:avLst/>
                    </a:prstGeom>
                    <a:noFill/>
                    <a:ln w="9525">
                      <a:noFill/>
                      <a:miter lim="800000"/>
                      <a:headEnd/>
                      <a:tailEnd/>
                    </a:ln>
                  </pic:spPr>
                </pic:pic>
              </a:graphicData>
            </a:graphic>
          </wp:inline>
        </w:drawing>
      </w:r>
      <w:r w:rsidRPr="00FE49C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b/>
          <w:bCs/>
          <w:i/>
          <w:iCs/>
          <w:noProof/>
          <w:color w:val="000000" w:themeColor="text1"/>
          <w:sz w:val="24"/>
          <w:szCs w:val="22"/>
          <w:lang w:bidi="gu-IN"/>
        </w:rPr>
        <w:t xml:space="preserve"> </w:t>
      </w:r>
      <w:r>
        <w:rPr>
          <w:rFonts w:ascii="Times New Roman" w:hAnsi="Times New Roman" w:cs="Times New Roman"/>
          <w:b/>
          <w:bCs/>
          <w:i/>
          <w:iCs/>
          <w:noProof/>
          <w:color w:val="000000" w:themeColor="text1"/>
          <w:sz w:val="24"/>
          <w:szCs w:val="22"/>
          <w:lang w:val="en-IN" w:eastAsia="en-IN" w:bidi="ar-SA"/>
        </w:rPr>
        <w:drawing>
          <wp:inline distT="0" distB="0" distL="0" distR="0" wp14:anchorId="51110ECD" wp14:editId="1671B833">
            <wp:extent cx="2826762" cy="2120072"/>
            <wp:effectExtent l="19050" t="0" r="0" b="0"/>
            <wp:docPr id="46" name="Picture 15" descr="C:\Users\admin\Desktop\yogesh phd\SEM\Sample5-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yogesh phd\SEM\Sample5-b.tif"/>
                    <pic:cNvPicPr>
                      <a:picLocks noChangeAspect="1" noChangeArrowheads="1"/>
                    </pic:cNvPicPr>
                  </pic:nvPicPr>
                  <pic:blipFill>
                    <a:blip r:embed="rId23"/>
                    <a:srcRect/>
                    <a:stretch>
                      <a:fillRect/>
                    </a:stretch>
                  </pic:blipFill>
                  <pic:spPr bwMode="auto">
                    <a:xfrm>
                      <a:off x="0" y="0"/>
                      <a:ext cx="2832571" cy="2124429"/>
                    </a:xfrm>
                    <a:prstGeom prst="rect">
                      <a:avLst/>
                    </a:prstGeom>
                    <a:noFill/>
                    <a:ln w="9525">
                      <a:noFill/>
                      <a:miter lim="800000"/>
                      <a:headEnd/>
                      <a:tailEnd/>
                    </a:ln>
                  </pic:spPr>
                </pic:pic>
              </a:graphicData>
            </a:graphic>
          </wp:inline>
        </w:drawing>
      </w:r>
    </w:p>
    <w:p w14:paraId="2F06E475" w14:textId="77777777" w:rsidR="00910D38" w:rsidRDefault="00910D38" w:rsidP="00910D38">
      <w:pPr>
        <w:spacing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b/>
          <w:bCs/>
          <w:noProof/>
          <w:sz w:val="24"/>
          <w:szCs w:val="22"/>
          <w:lang w:val="en-IN" w:eastAsia="en-IN" w:bidi="ar-SA"/>
        </w:rPr>
        <w:drawing>
          <wp:inline distT="0" distB="0" distL="0" distR="0" wp14:anchorId="23B43B52" wp14:editId="54547482">
            <wp:extent cx="2762305" cy="2071730"/>
            <wp:effectExtent l="19050" t="0" r="0" b="0"/>
            <wp:docPr id="47" name="Picture 16" descr="C:\Users\admin\Desktop\yogesh phd\SEM\Sample5-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yogesh phd\SEM\Sample5-c.tif"/>
                    <pic:cNvPicPr>
                      <a:picLocks noChangeAspect="1" noChangeArrowheads="1"/>
                    </pic:cNvPicPr>
                  </pic:nvPicPr>
                  <pic:blipFill>
                    <a:blip r:embed="rId24"/>
                    <a:srcRect/>
                    <a:stretch>
                      <a:fillRect/>
                    </a:stretch>
                  </pic:blipFill>
                  <pic:spPr bwMode="auto">
                    <a:xfrm>
                      <a:off x="0" y="0"/>
                      <a:ext cx="2767545" cy="2075660"/>
                    </a:xfrm>
                    <a:prstGeom prst="rect">
                      <a:avLst/>
                    </a:prstGeom>
                    <a:noFill/>
                    <a:ln w="9525">
                      <a:noFill/>
                      <a:miter lim="800000"/>
                      <a:headEnd/>
                      <a:tailEnd/>
                    </a:ln>
                  </pic:spPr>
                </pic:pic>
              </a:graphicData>
            </a:graphic>
          </wp:inline>
        </w:drawing>
      </w:r>
      <w:r w:rsidRPr="0053458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b/>
          <w:bCs/>
          <w:noProof/>
          <w:sz w:val="24"/>
          <w:szCs w:val="22"/>
          <w:lang w:bidi="gu-IN"/>
        </w:rPr>
        <w:t xml:space="preserve">  </w:t>
      </w:r>
      <w:r>
        <w:rPr>
          <w:rFonts w:ascii="Times New Roman" w:hAnsi="Times New Roman" w:cs="Times New Roman"/>
          <w:b/>
          <w:bCs/>
          <w:noProof/>
          <w:sz w:val="24"/>
          <w:szCs w:val="22"/>
          <w:lang w:val="en-IN" w:eastAsia="en-IN" w:bidi="ar-SA"/>
        </w:rPr>
        <w:drawing>
          <wp:inline distT="0" distB="0" distL="0" distR="0" wp14:anchorId="47067026" wp14:editId="5D09423C">
            <wp:extent cx="2835523" cy="2126644"/>
            <wp:effectExtent l="19050" t="0" r="2927" b="0"/>
            <wp:docPr id="48" name="Picture 17" descr="C:\Users\admin\Desktop\yogesh phd\SEM\Sample5-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yogesh phd\SEM\Sample5-d.tif"/>
                    <pic:cNvPicPr>
                      <a:picLocks noChangeAspect="1" noChangeArrowheads="1"/>
                    </pic:cNvPicPr>
                  </pic:nvPicPr>
                  <pic:blipFill>
                    <a:blip r:embed="rId25"/>
                    <a:srcRect/>
                    <a:stretch>
                      <a:fillRect/>
                    </a:stretch>
                  </pic:blipFill>
                  <pic:spPr bwMode="auto">
                    <a:xfrm>
                      <a:off x="0" y="0"/>
                      <a:ext cx="2845387" cy="2134042"/>
                    </a:xfrm>
                    <a:prstGeom prst="rect">
                      <a:avLst/>
                    </a:prstGeom>
                    <a:noFill/>
                    <a:ln w="9525">
                      <a:noFill/>
                      <a:miter lim="800000"/>
                      <a:headEnd/>
                      <a:tailEnd/>
                    </a:ln>
                  </pic:spPr>
                </pic:pic>
              </a:graphicData>
            </a:graphic>
          </wp:inline>
        </w:drawing>
      </w:r>
    </w:p>
    <w:p w14:paraId="0ED90F6F" w14:textId="36772DBA" w:rsidR="00910D38" w:rsidRPr="008418EA" w:rsidRDefault="00910D38" w:rsidP="00910D38">
      <w:pPr>
        <w:spacing w:line="360" w:lineRule="auto"/>
        <w:jc w:val="both"/>
        <w:rPr>
          <w:rFonts w:asciiTheme="majorHAnsi" w:hAnsiTheme="majorHAnsi"/>
          <w:sz w:val="24"/>
          <w:szCs w:val="22"/>
        </w:rPr>
      </w:pPr>
      <w:r>
        <w:rPr>
          <w:rFonts w:ascii="Times New Roman" w:hAnsi="Times New Roman" w:cs="Times New Roman"/>
          <w:b/>
          <w:bCs/>
          <w:color w:val="000000" w:themeColor="text1"/>
          <w:sz w:val="24"/>
          <w:szCs w:val="22"/>
        </w:rPr>
        <w:t>Figure 4</w:t>
      </w:r>
      <w:r w:rsidRPr="000214AF">
        <w:rPr>
          <w:rFonts w:ascii="Times New Roman" w:hAnsi="Times New Roman" w:cs="Times New Roman"/>
          <w:b/>
          <w:bCs/>
          <w:color w:val="000000" w:themeColor="text1"/>
          <w:sz w:val="24"/>
          <w:szCs w:val="22"/>
        </w:rPr>
        <w:t xml:space="preserve"> </w:t>
      </w:r>
      <w:r>
        <w:rPr>
          <w:rFonts w:ascii="Times New Roman" w:hAnsi="Times New Roman" w:cs="Times New Roman"/>
          <w:b/>
          <w:bCs/>
          <w:color w:val="000000" w:themeColor="text1"/>
          <w:sz w:val="24"/>
          <w:szCs w:val="22"/>
        </w:rPr>
        <w:t>(d</w:t>
      </w:r>
      <w:r w:rsidRPr="000214AF">
        <w:rPr>
          <w:rFonts w:ascii="Times New Roman" w:hAnsi="Times New Roman" w:cs="Times New Roman"/>
          <w:b/>
          <w:bCs/>
          <w:color w:val="000000" w:themeColor="text1"/>
          <w:sz w:val="24"/>
          <w:szCs w:val="22"/>
        </w:rPr>
        <w:t xml:space="preserve">) SEM micrographs of </w:t>
      </w:r>
      <w:r w:rsidRPr="000214AF">
        <w:rPr>
          <w:rFonts w:ascii="Times New Roman" w:hAnsi="Times New Roman" w:cs="Times New Roman"/>
          <w:b/>
          <w:bCs/>
          <w:i/>
          <w:iCs/>
          <w:color w:val="000000" w:themeColor="text1"/>
          <w:sz w:val="24"/>
          <w:szCs w:val="22"/>
        </w:rPr>
        <w:t>(</w:t>
      </w:r>
      <w:proofErr w:type="spellStart"/>
      <w:r w:rsidRPr="000214AF">
        <w:rPr>
          <w:rFonts w:ascii="Times New Roman" w:hAnsi="Times New Roman" w:cs="Times New Roman"/>
          <w:b/>
          <w:bCs/>
          <w:i/>
          <w:iCs/>
          <w:color w:val="000000" w:themeColor="text1"/>
          <w:sz w:val="24"/>
          <w:szCs w:val="22"/>
        </w:rPr>
        <w:t>Nb</w:t>
      </w:r>
      <w:proofErr w:type="spellEnd"/>
      <w:proofErr w:type="gramStart"/>
      <w:r w:rsidRPr="000214AF">
        <w:rPr>
          <w:rFonts w:ascii="Times New Roman" w:hAnsi="Times New Roman" w:cs="Times New Roman"/>
          <w:b/>
          <w:bCs/>
          <w:i/>
          <w:iCs/>
          <w:color w:val="000000" w:themeColor="text1"/>
          <w:sz w:val="24"/>
          <w:szCs w:val="22"/>
        </w:rPr>
        <w:t>₀.₅</w:t>
      </w:r>
      <w:proofErr w:type="spellStart"/>
      <w:proofErr w:type="gramEnd"/>
      <w:r w:rsidRPr="000214AF">
        <w:rPr>
          <w:rFonts w:ascii="Times New Roman" w:hAnsi="Times New Roman" w:cs="Times New Roman"/>
          <w:b/>
          <w:bCs/>
          <w:i/>
          <w:iCs/>
          <w:color w:val="000000" w:themeColor="text1"/>
          <w:sz w:val="24"/>
          <w:szCs w:val="22"/>
        </w:rPr>
        <w:t>Er</w:t>
      </w:r>
      <w:proofErr w:type="spellEnd"/>
      <w:r w:rsidRPr="000214AF">
        <w:rPr>
          <w:rFonts w:ascii="Times New Roman" w:hAnsi="Times New Roman" w:cs="Times New Roman"/>
          <w:b/>
          <w:bCs/>
          <w:i/>
          <w:iCs/>
          <w:color w:val="000000" w:themeColor="text1"/>
          <w:sz w:val="24"/>
          <w:szCs w:val="22"/>
        </w:rPr>
        <w:t>₀.₅)</w:t>
      </w:r>
      <w:proofErr w:type="spellStart"/>
      <w:r w:rsidRPr="000214AF">
        <w:rPr>
          <w:rFonts w:ascii="Times New Roman" w:hAnsi="Times New Roman" w:cs="Times New Roman"/>
          <w:b/>
          <w:bCs/>
          <w:i/>
          <w:iCs/>
          <w:color w:val="000000" w:themeColor="text1"/>
          <w:sz w:val="24"/>
          <w:szCs w:val="22"/>
        </w:rPr>
        <w:t>xTi</w:t>
      </w:r>
      <w:proofErr w:type="spellEnd"/>
      <w:r w:rsidRPr="000214AF">
        <w:rPr>
          <w:rFonts w:ascii="Times New Roman" w:hAnsi="Times New Roman" w:cs="Times New Roman"/>
          <w:b/>
          <w:bCs/>
          <w:i/>
          <w:iCs/>
          <w:color w:val="000000" w:themeColor="text1"/>
          <w:sz w:val="24"/>
          <w:szCs w:val="22"/>
        </w:rPr>
        <w:t>₁₋</w:t>
      </w:r>
      <w:proofErr w:type="spellStart"/>
      <w:r w:rsidRPr="000214AF">
        <w:rPr>
          <w:rFonts w:ascii="Times New Roman" w:hAnsi="Times New Roman" w:cs="Times New Roman"/>
          <w:b/>
          <w:bCs/>
          <w:i/>
          <w:iCs/>
          <w:color w:val="000000" w:themeColor="text1"/>
          <w:sz w:val="24"/>
          <w:szCs w:val="22"/>
        </w:rPr>
        <w:t>xO</w:t>
      </w:r>
      <w:proofErr w:type="spellEnd"/>
      <w:r w:rsidRPr="000214AF">
        <w:rPr>
          <w:rFonts w:ascii="Times New Roman" w:hAnsi="Times New Roman" w:cs="Times New Roman"/>
          <w:b/>
          <w:bCs/>
          <w:i/>
          <w:iCs/>
          <w:color w:val="000000" w:themeColor="text1"/>
          <w:sz w:val="24"/>
          <w:szCs w:val="22"/>
        </w:rPr>
        <w:t>₂</w:t>
      </w:r>
      <w:r w:rsidRPr="000214AF">
        <w:rPr>
          <w:rFonts w:ascii="Times New Roman" w:hAnsi="Times New Roman" w:cs="Times New Roman"/>
          <w:b/>
          <w:bCs/>
          <w:color w:val="000000" w:themeColor="text1"/>
          <w:sz w:val="24"/>
          <w:szCs w:val="22"/>
        </w:rPr>
        <w:t xml:space="preserve"> for dopant concentrations </w:t>
      </w:r>
      <w:r w:rsidRPr="000214AF">
        <w:rPr>
          <w:rFonts w:ascii="Times New Roman" w:hAnsi="Times New Roman" w:cs="Times New Roman"/>
          <w:b/>
          <w:bCs/>
          <w:i/>
          <w:iCs/>
          <w:color w:val="000000" w:themeColor="text1"/>
          <w:sz w:val="24"/>
          <w:szCs w:val="22"/>
        </w:rPr>
        <w:t xml:space="preserve">x= </w:t>
      </w:r>
      <w:r>
        <w:rPr>
          <w:rFonts w:ascii="Times New Roman" w:hAnsi="Times New Roman" w:cs="Times New Roman"/>
          <w:b/>
          <w:bCs/>
          <w:i/>
          <w:iCs/>
          <w:color w:val="000000" w:themeColor="text1"/>
          <w:sz w:val="24"/>
          <w:szCs w:val="22"/>
        </w:rPr>
        <w:t>0.1</w:t>
      </w:r>
    </w:p>
    <w:p w14:paraId="5B550996" w14:textId="77777777" w:rsidR="0050039E" w:rsidRDefault="0050039E" w:rsidP="008418EA">
      <w:pPr>
        <w:spacing w:line="360" w:lineRule="auto"/>
        <w:jc w:val="both"/>
        <w:rPr>
          <w:rFonts w:asciiTheme="majorHAnsi" w:hAnsiTheme="majorHAnsi"/>
          <w:b/>
          <w:bCs/>
          <w:sz w:val="24"/>
          <w:szCs w:val="22"/>
        </w:rPr>
      </w:pPr>
    </w:p>
    <w:p w14:paraId="33290615" w14:textId="492CEB8B"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3.3 Dielectric Behavior</w:t>
      </w:r>
    </w:p>
    <w:p w14:paraId="42115926" w14:textId="619366BD" w:rsidR="00B92C6E" w:rsidRPr="00B92C6E" w:rsidRDefault="00B92C6E" w:rsidP="00B92C6E">
      <w:pPr>
        <w:spacing w:line="360" w:lineRule="auto"/>
        <w:jc w:val="both"/>
        <w:rPr>
          <w:rFonts w:asciiTheme="majorHAnsi" w:hAnsiTheme="majorHAnsi"/>
          <w:sz w:val="24"/>
          <w:szCs w:val="22"/>
        </w:rPr>
      </w:pPr>
      <w:r w:rsidRPr="00B92C6E">
        <w:rPr>
          <w:rFonts w:asciiTheme="majorHAnsi" w:hAnsiTheme="majorHAnsi"/>
          <w:sz w:val="24"/>
          <w:szCs w:val="22"/>
        </w:rPr>
        <w:t xml:space="preserve">The frequency dependence of the dielectric constant (ε′) for </w:t>
      </w:r>
      <w:r w:rsidRPr="00B92C6E">
        <w:rPr>
          <w:rFonts w:asciiTheme="majorHAnsi" w:hAnsiTheme="majorHAnsi"/>
          <w:i/>
          <w:iCs/>
          <w:sz w:val="24"/>
          <w:szCs w:val="22"/>
        </w:rPr>
        <w:t>(</w:t>
      </w:r>
      <w:proofErr w:type="spellStart"/>
      <w:r w:rsidRPr="00B92C6E">
        <w:rPr>
          <w:rFonts w:asciiTheme="majorHAnsi" w:hAnsiTheme="majorHAnsi"/>
          <w:i/>
          <w:iCs/>
          <w:sz w:val="24"/>
          <w:szCs w:val="22"/>
        </w:rPr>
        <w:t>Nb</w:t>
      </w:r>
      <w:proofErr w:type="spellEnd"/>
      <w:proofErr w:type="gramStart"/>
      <w:r w:rsidRPr="00B92C6E">
        <w:rPr>
          <w:rFonts w:asciiTheme="majorHAnsi" w:hAnsiTheme="majorHAnsi"/>
          <w:i/>
          <w:iCs/>
          <w:sz w:val="24"/>
          <w:szCs w:val="22"/>
        </w:rPr>
        <w:t>₀.₅</w:t>
      </w:r>
      <w:proofErr w:type="spellStart"/>
      <w:proofErr w:type="gramEnd"/>
      <w:r w:rsidRPr="00B92C6E">
        <w:rPr>
          <w:rFonts w:asciiTheme="majorHAnsi" w:hAnsiTheme="majorHAnsi"/>
          <w:i/>
          <w:iCs/>
          <w:sz w:val="24"/>
          <w:szCs w:val="22"/>
        </w:rPr>
        <w:t>Er</w:t>
      </w:r>
      <w:proofErr w:type="spellEnd"/>
      <w:r w:rsidRPr="00B92C6E">
        <w:rPr>
          <w:rFonts w:asciiTheme="majorHAnsi" w:hAnsiTheme="majorHAnsi"/>
          <w:i/>
          <w:iCs/>
          <w:sz w:val="24"/>
          <w:szCs w:val="22"/>
        </w:rPr>
        <w:t>₀.₅)</w:t>
      </w:r>
      <w:proofErr w:type="spellStart"/>
      <w:r w:rsidRPr="00B92C6E">
        <w:rPr>
          <w:rFonts w:asciiTheme="majorHAnsi" w:hAnsiTheme="majorHAnsi"/>
          <w:i/>
          <w:iCs/>
          <w:sz w:val="24"/>
          <w:szCs w:val="22"/>
        </w:rPr>
        <w:t>xTi</w:t>
      </w:r>
      <w:proofErr w:type="spellEnd"/>
      <w:r w:rsidRPr="00B92C6E">
        <w:rPr>
          <w:rFonts w:asciiTheme="majorHAnsi" w:hAnsiTheme="majorHAnsi"/>
          <w:i/>
          <w:iCs/>
          <w:sz w:val="24"/>
          <w:szCs w:val="22"/>
        </w:rPr>
        <w:t>₁₋</w:t>
      </w:r>
      <w:proofErr w:type="spellStart"/>
      <w:r w:rsidRPr="00B92C6E">
        <w:rPr>
          <w:rFonts w:asciiTheme="majorHAnsi" w:hAnsiTheme="majorHAnsi"/>
          <w:i/>
          <w:iCs/>
          <w:sz w:val="24"/>
          <w:szCs w:val="22"/>
        </w:rPr>
        <w:t>xO</w:t>
      </w:r>
      <w:proofErr w:type="spellEnd"/>
      <w:r w:rsidRPr="00B92C6E">
        <w:rPr>
          <w:rFonts w:asciiTheme="majorHAnsi" w:hAnsiTheme="majorHAnsi"/>
          <w:i/>
          <w:iCs/>
          <w:sz w:val="24"/>
          <w:szCs w:val="22"/>
        </w:rPr>
        <w:t>₂</w:t>
      </w:r>
      <w:r w:rsidRPr="00B92C6E">
        <w:rPr>
          <w:rFonts w:asciiTheme="majorHAnsi" w:hAnsiTheme="majorHAnsi"/>
          <w:sz w:val="24"/>
          <w:szCs w:val="22"/>
        </w:rPr>
        <w:t xml:space="preserve"> exhibits a characteristic dispersion </w:t>
      </w:r>
      <w:proofErr w:type="spellStart"/>
      <w:r w:rsidRPr="00B92C6E">
        <w:rPr>
          <w:rFonts w:asciiTheme="majorHAnsi" w:hAnsiTheme="majorHAnsi"/>
          <w:sz w:val="24"/>
          <w:szCs w:val="22"/>
        </w:rPr>
        <w:t>behavio</w:t>
      </w:r>
      <w:r w:rsidR="006A4323">
        <w:rPr>
          <w:rFonts w:asciiTheme="majorHAnsi" w:hAnsiTheme="majorHAnsi"/>
          <w:sz w:val="24"/>
          <w:szCs w:val="22"/>
        </w:rPr>
        <w:t>u</w:t>
      </w:r>
      <w:r w:rsidRPr="00B92C6E">
        <w:rPr>
          <w:rFonts w:asciiTheme="majorHAnsi" w:hAnsiTheme="majorHAnsi"/>
          <w:sz w:val="24"/>
          <w:szCs w:val="22"/>
        </w:rPr>
        <w:t>r</w:t>
      </w:r>
      <w:proofErr w:type="spellEnd"/>
      <w:r w:rsidRPr="00B92C6E">
        <w:rPr>
          <w:rFonts w:asciiTheme="majorHAnsi" w:hAnsiTheme="majorHAnsi"/>
          <w:sz w:val="24"/>
          <w:szCs w:val="22"/>
        </w:rPr>
        <w:t xml:space="preserve">, with relatively high values at low frequencies followed by a gradual decrease and eventual </w:t>
      </w:r>
      <w:proofErr w:type="spellStart"/>
      <w:r w:rsidRPr="00B92C6E">
        <w:rPr>
          <w:rFonts w:asciiTheme="majorHAnsi" w:hAnsiTheme="majorHAnsi"/>
          <w:sz w:val="24"/>
          <w:szCs w:val="22"/>
        </w:rPr>
        <w:t>stabili</w:t>
      </w:r>
      <w:r w:rsidR="006A4323">
        <w:rPr>
          <w:rFonts w:asciiTheme="majorHAnsi" w:hAnsiTheme="majorHAnsi"/>
          <w:sz w:val="24"/>
          <w:szCs w:val="22"/>
        </w:rPr>
        <w:t>s</w:t>
      </w:r>
      <w:r w:rsidRPr="00B92C6E">
        <w:rPr>
          <w:rFonts w:asciiTheme="majorHAnsi" w:hAnsiTheme="majorHAnsi"/>
          <w:sz w:val="24"/>
          <w:szCs w:val="22"/>
        </w:rPr>
        <w:t>ation</w:t>
      </w:r>
      <w:proofErr w:type="spellEnd"/>
      <w:r w:rsidRPr="00B92C6E">
        <w:rPr>
          <w:rFonts w:asciiTheme="majorHAnsi" w:hAnsiTheme="majorHAnsi"/>
          <w:sz w:val="24"/>
          <w:szCs w:val="22"/>
        </w:rPr>
        <w:t xml:space="preserve"> at higher frequencies. This </w:t>
      </w:r>
      <w:proofErr w:type="spellStart"/>
      <w:r w:rsidRPr="00B92C6E">
        <w:rPr>
          <w:rFonts w:asciiTheme="majorHAnsi" w:hAnsiTheme="majorHAnsi"/>
          <w:sz w:val="24"/>
          <w:szCs w:val="22"/>
        </w:rPr>
        <w:t>behavio</w:t>
      </w:r>
      <w:r w:rsidR="006A4323">
        <w:rPr>
          <w:rFonts w:asciiTheme="majorHAnsi" w:hAnsiTheme="majorHAnsi"/>
          <w:sz w:val="24"/>
          <w:szCs w:val="22"/>
        </w:rPr>
        <w:t>u</w:t>
      </w:r>
      <w:r w:rsidRPr="00B92C6E">
        <w:rPr>
          <w:rFonts w:asciiTheme="majorHAnsi" w:hAnsiTheme="majorHAnsi"/>
          <w:sz w:val="24"/>
          <w:szCs w:val="22"/>
        </w:rPr>
        <w:t>r</w:t>
      </w:r>
      <w:proofErr w:type="spellEnd"/>
      <w:r w:rsidRPr="00B92C6E">
        <w:rPr>
          <w:rFonts w:asciiTheme="majorHAnsi" w:hAnsiTheme="majorHAnsi"/>
          <w:sz w:val="24"/>
          <w:szCs w:val="22"/>
        </w:rPr>
        <w:t xml:space="preserve"> is consistent with the Maxwell–Wagner interfacial polari</w:t>
      </w:r>
      <w:r w:rsidR="006A4323">
        <w:rPr>
          <w:rFonts w:asciiTheme="majorHAnsi" w:hAnsiTheme="majorHAnsi"/>
          <w:sz w:val="24"/>
          <w:szCs w:val="22"/>
        </w:rPr>
        <w:t>s</w:t>
      </w:r>
      <w:r w:rsidRPr="00B92C6E">
        <w:rPr>
          <w:rFonts w:asciiTheme="majorHAnsi" w:hAnsiTheme="majorHAnsi"/>
          <w:sz w:val="24"/>
          <w:szCs w:val="22"/>
        </w:rPr>
        <w:t>ation model, which describes dielectric response in heterogeneous systems comprising conducting grains separated by insulating grain boundaries [19].</w:t>
      </w:r>
    </w:p>
    <w:p w14:paraId="2E95DA5A" w14:textId="20FED725" w:rsidR="00B92C6E" w:rsidRPr="00B92C6E" w:rsidRDefault="00B92C6E" w:rsidP="00B92C6E">
      <w:pPr>
        <w:spacing w:line="360" w:lineRule="auto"/>
        <w:jc w:val="both"/>
        <w:rPr>
          <w:rFonts w:asciiTheme="majorHAnsi" w:hAnsiTheme="majorHAnsi"/>
          <w:sz w:val="24"/>
          <w:szCs w:val="22"/>
        </w:rPr>
      </w:pPr>
      <w:r w:rsidRPr="00B92C6E">
        <w:rPr>
          <w:rFonts w:asciiTheme="majorHAnsi" w:hAnsiTheme="majorHAnsi"/>
          <w:sz w:val="24"/>
          <w:szCs w:val="22"/>
        </w:rPr>
        <w:t xml:space="preserve">At lower frequencies, charge carriers accumulate at the grain boundaries, leading to the formation of space charge regions and enhanced interfacial </w:t>
      </w:r>
      <w:proofErr w:type="spellStart"/>
      <w:r w:rsidRPr="00B92C6E">
        <w:rPr>
          <w:rFonts w:asciiTheme="majorHAnsi" w:hAnsiTheme="majorHAnsi"/>
          <w:sz w:val="24"/>
          <w:szCs w:val="22"/>
        </w:rPr>
        <w:t>polari</w:t>
      </w:r>
      <w:r w:rsidR="006A4323">
        <w:rPr>
          <w:rFonts w:asciiTheme="majorHAnsi" w:hAnsiTheme="majorHAnsi"/>
          <w:sz w:val="24"/>
          <w:szCs w:val="22"/>
        </w:rPr>
        <w:t>s</w:t>
      </w:r>
      <w:r w:rsidRPr="00B92C6E">
        <w:rPr>
          <w:rFonts w:asciiTheme="majorHAnsi" w:hAnsiTheme="majorHAnsi"/>
          <w:sz w:val="24"/>
          <w:szCs w:val="22"/>
        </w:rPr>
        <w:t>ation</w:t>
      </w:r>
      <w:proofErr w:type="spellEnd"/>
      <w:r w:rsidRPr="00B92C6E">
        <w:rPr>
          <w:rFonts w:asciiTheme="majorHAnsi" w:hAnsiTheme="majorHAnsi"/>
          <w:sz w:val="24"/>
          <w:szCs w:val="22"/>
        </w:rPr>
        <w:t xml:space="preserve">. This results in elevated dielectric constant values. As the frequency increases, the applied electric field alternates more rapidly, and the charge carriers are unable to follow the field variations, </w:t>
      </w:r>
      <w:r w:rsidRPr="00B92C6E">
        <w:rPr>
          <w:rFonts w:asciiTheme="majorHAnsi" w:hAnsiTheme="majorHAnsi"/>
          <w:sz w:val="24"/>
          <w:szCs w:val="22"/>
        </w:rPr>
        <w:lastRenderedPageBreak/>
        <w:t>thereby reducing the contribution of interfacial polarization and causing a decrease in the dielectric constant.</w:t>
      </w:r>
    </w:p>
    <w:p w14:paraId="45E6767A" w14:textId="77777777" w:rsidR="00B92C6E" w:rsidRDefault="00B92C6E" w:rsidP="00B92C6E">
      <w:pPr>
        <w:spacing w:line="360" w:lineRule="auto"/>
        <w:jc w:val="both"/>
        <w:rPr>
          <w:rFonts w:asciiTheme="majorHAnsi" w:hAnsiTheme="majorHAnsi"/>
          <w:sz w:val="24"/>
          <w:szCs w:val="22"/>
        </w:rPr>
      </w:pPr>
      <w:r w:rsidRPr="00B92C6E">
        <w:rPr>
          <w:rFonts w:asciiTheme="majorHAnsi" w:hAnsiTheme="majorHAnsi"/>
          <w:sz w:val="24"/>
          <w:szCs w:val="22"/>
        </w:rPr>
        <w:t>The dielectric loss (</w:t>
      </w:r>
      <w:proofErr w:type="spellStart"/>
      <w:r w:rsidRPr="00B92C6E">
        <w:rPr>
          <w:rFonts w:asciiTheme="majorHAnsi" w:hAnsiTheme="majorHAnsi"/>
          <w:sz w:val="24"/>
          <w:szCs w:val="22"/>
        </w:rPr>
        <w:t>tanδ</w:t>
      </w:r>
      <w:proofErr w:type="spellEnd"/>
      <w:r w:rsidRPr="00B92C6E">
        <w:rPr>
          <w:rFonts w:asciiTheme="majorHAnsi" w:hAnsiTheme="majorHAnsi"/>
          <w:sz w:val="24"/>
          <w:szCs w:val="22"/>
        </w:rPr>
        <w:t>) exhibits a similar frequency-dependent trend, decreasing significantly with increasing frequency. This reduction in dielectric loss indicates diminished energy dissipation and improved dielectric stability at higher frequencies, which is desirable for practical applications. The absence of pronounced loss peaks suggests a broad distribution of relaxation times, indicative of non-ideal dielectric behavior.</w:t>
      </w:r>
    </w:p>
    <w:p w14:paraId="4B075DF8" w14:textId="35C105F2" w:rsidR="00B92C6E" w:rsidRDefault="00B11741" w:rsidP="00B92C6E">
      <w:pPr>
        <w:spacing w:line="360" w:lineRule="auto"/>
        <w:jc w:val="center"/>
        <w:rPr>
          <w:rFonts w:asciiTheme="majorHAnsi" w:hAnsiTheme="majorHAnsi"/>
          <w:b/>
          <w:bCs/>
          <w:color w:val="000000" w:themeColor="text1"/>
          <w:sz w:val="24"/>
          <w:szCs w:val="22"/>
        </w:rPr>
      </w:pPr>
      <w:r w:rsidRPr="00B11741">
        <w:rPr>
          <w:noProof/>
          <w:lang w:val="en-IN" w:eastAsia="en-IN" w:bidi="ar-SA"/>
        </w:rPr>
        <w:drawing>
          <wp:inline distT="0" distB="0" distL="0" distR="0" wp14:anchorId="68A6EA36" wp14:editId="3308B68B">
            <wp:extent cx="3117273" cy="2588260"/>
            <wp:effectExtent l="0" t="0" r="0" b="0"/>
            <wp:docPr id="1979261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5163" t="4528" r="4452" b="5744"/>
                    <a:stretch>
                      <a:fillRect/>
                    </a:stretch>
                  </pic:blipFill>
                  <pic:spPr bwMode="auto">
                    <a:xfrm>
                      <a:off x="0" y="0"/>
                      <a:ext cx="3118228" cy="2589053"/>
                    </a:xfrm>
                    <a:prstGeom prst="rect">
                      <a:avLst/>
                    </a:prstGeom>
                    <a:noFill/>
                    <a:ln>
                      <a:noFill/>
                    </a:ln>
                    <a:extLst>
                      <a:ext uri="{53640926-AAD7-44D8-BBD7-CCE9431645EC}">
                        <a14:shadowObscured xmlns:a14="http://schemas.microsoft.com/office/drawing/2010/main"/>
                      </a:ext>
                    </a:extLst>
                  </pic:spPr>
                </pic:pic>
              </a:graphicData>
            </a:graphic>
          </wp:inline>
        </w:drawing>
      </w:r>
    </w:p>
    <w:p w14:paraId="2756E120" w14:textId="74ACC8A9" w:rsidR="00B92C6E" w:rsidRDefault="00B92C6E" w:rsidP="00B92C6E">
      <w:pPr>
        <w:spacing w:line="360" w:lineRule="auto"/>
        <w:jc w:val="both"/>
        <w:rPr>
          <w:rFonts w:asciiTheme="majorHAnsi" w:hAnsiTheme="majorHAnsi"/>
          <w:b/>
          <w:bCs/>
          <w:i/>
          <w:iCs/>
          <w:color w:val="000000" w:themeColor="text1"/>
          <w:sz w:val="24"/>
          <w:szCs w:val="22"/>
        </w:rPr>
      </w:pPr>
      <w:r w:rsidRPr="0050039E">
        <w:rPr>
          <w:rFonts w:asciiTheme="majorHAnsi" w:hAnsiTheme="majorHAnsi"/>
          <w:b/>
          <w:bCs/>
          <w:color w:val="000000" w:themeColor="text1"/>
          <w:sz w:val="24"/>
          <w:szCs w:val="22"/>
        </w:rPr>
        <w:t>Figure 5:</w:t>
      </w:r>
      <w:r>
        <w:rPr>
          <w:rFonts w:asciiTheme="majorHAnsi" w:hAnsiTheme="majorHAnsi"/>
          <w:b/>
          <w:bCs/>
          <w:color w:val="000000" w:themeColor="text1"/>
          <w:sz w:val="24"/>
          <w:szCs w:val="22"/>
        </w:rPr>
        <w:t xml:space="preserve"> </w:t>
      </w:r>
      <w:r w:rsidRPr="0050039E">
        <w:rPr>
          <w:rFonts w:asciiTheme="majorHAnsi" w:hAnsiTheme="majorHAnsi"/>
          <w:b/>
          <w:bCs/>
          <w:i/>
          <w:iCs/>
          <w:color w:val="000000" w:themeColor="text1"/>
          <w:sz w:val="24"/>
          <w:szCs w:val="22"/>
        </w:rPr>
        <w:t>Frequency dependence of dielectric constant showing Maxwell–Wagner interfacial polarization and reduced dispersion at higher frequencies.</w:t>
      </w:r>
    </w:p>
    <w:p w14:paraId="59B23CAD" w14:textId="77777777" w:rsidR="00B92C6E" w:rsidRPr="00B92C6E" w:rsidRDefault="00B92C6E" w:rsidP="00B92C6E">
      <w:pPr>
        <w:spacing w:line="360" w:lineRule="auto"/>
        <w:jc w:val="both"/>
        <w:rPr>
          <w:rFonts w:asciiTheme="majorHAnsi" w:hAnsiTheme="majorHAnsi"/>
          <w:sz w:val="24"/>
          <w:szCs w:val="22"/>
        </w:rPr>
      </w:pPr>
    </w:p>
    <w:p w14:paraId="355C009C" w14:textId="77777777" w:rsidR="00B92C6E" w:rsidRPr="00B92C6E" w:rsidRDefault="00B92C6E" w:rsidP="00B92C6E">
      <w:pPr>
        <w:spacing w:line="360" w:lineRule="auto"/>
        <w:jc w:val="both"/>
        <w:rPr>
          <w:rFonts w:asciiTheme="majorHAnsi" w:hAnsiTheme="majorHAnsi"/>
          <w:sz w:val="24"/>
          <w:szCs w:val="22"/>
        </w:rPr>
      </w:pPr>
      <w:r w:rsidRPr="00B92C6E">
        <w:rPr>
          <w:rFonts w:asciiTheme="majorHAnsi" w:hAnsiTheme="majorHAnsi"/>
          <w:sz w:val="24"/>
          <w:szCs w:val="22"/>
        </w:rPr>
        <w:t>Notably, compositions in the intermediate doping range (x ≈ 0.04–0.06) exhibit enhanced dielectric performance, characterized by relatively higher dielectric constant and lower loss. This behavior can be attributed to an optimal balance between grain boundary density and defect-induced polarization mechanisms, as supported by microstructural observations. The presence of dopant-induced defects and oxygen vacancies contributes to polarization processes, while excessive doping leads to defect clustering and reduced dielectric efficiency.</w:t>
      </w:r>
    </w:p>
    <w:p w14:paraId="0CD9FD57" w14:textId="77777777" w:rsidR="0050039E" w:rsidRPr="008418EA" w:rsidRDefault="0050039E" w:rsidP="0050039E">
      <w:pPr>
        <w:spacing w:line="360" w:lineRule="auto"/>
        <w:jc w:val="both"/>
        <w:rPr>
          <w:rFonts w:asciiTheme="majorHAnsi" w:hAnsiTheme="majorHAnsi"/>
          <w:sz w:val="24"/>
          <w:szCs w:val="22"/>
        </w:rPr>
      </w:pPr>
    </w:p>
    <w:p w14:paraId="5B35A934"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3.4 Electrical Conductivity</w:t>
      </w:r>
    </w:p>
    <w:p w14:paraId="34A9248E" w14:textId="42304A54"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lastRenderedPageBreak/>
        <w:t>The AC conductivity (</w:t>
      </w:r>
      <w:proofErr w:type="spellStart"/>
      <w:r w:rsidRPr="008418EA">
        <w:rPr>
          <w:rFonts w:asciiTheme="majorHAnsi" w:hAnsiTheme="majorHAnsi"/>
          <w:sz w:val="24"/>
          <w:szCs w:val="22"/>
        </w:rPr>
        <w:t>σ_ac</w:t>
      </w:r>
      <w:proofErr w:type="spellEnd"/>
      <w:r w:rsidRPr="008418EA">
        <w:rPr>
          <w:rFonts w:asciiTheme="majorHAnsi" w:hAnsiTheme="majorHAnsi"/>
          <w:sz w:val="24"/>
          <w:szCs w:val="22"/>
        </w:rPr>
        <w:t xml:space="preserve">) shows a strong frequency dependence, increasing with frequency for all compositions. This </w:t>
      </w:r>
      <w:proofErr w:type="spellStart"/>
      <w:r w:rsidRPr="008418EA">
        <w:rPr>
          <w:rFonts w:asciiTheme="majorHAnsi" w:hAnsiTheme="majorHAnsi"/>
          <w:sz w:val="24"/>
          <w:szCs w:val="22"/>
        </w:rPr>
        <w:t>behavio</w:t>
      </w:r>
      <w:r w:rsidR="006A4323">
        <w:rPr>
          <w:rFonts w:asciiTheme="majorHAnsi" w:hAnsiTheme="majorHAnsi"/>
          <w:sz w:val="24"/>
          <w:szCs w:val="22"/>
        </w:rPr>
        <w:t>u</w:t>
      </w:r>
      <w:r w:rsidRPr="008418EA">
        <w:rPr>
          <w:rFonts w:asciiTheme="majorHAnsi" w:hAnsiTheme="majorHAnsi"/>
          <w:sz w:val="24"/>
          <w:szCs w:val="22"/>
        </w:rPr>
        <w:t>r</w:t>
      </w:r>
      <w:proofErr w:type="spellEnd"/>
      <w:r w:rsidRPr="008418EA">
        <w:rPr>
          <w:rFonts w:asciiTheme="majorHAnsi" w:hAnsiTheme="majorHAnsi"/>
          <w:sz w:val="24"/>
          <w:szCs w:val="22"/>
        </w:rPr>
        <w:t xml:space="preserve"> follows </w:t>
      </w:r>
      <w:proofErr w:type="spellStart"/>
      <w:r w:rsidRPr="008418EA">
        <w:rPr>
          <w:rFonts w:asciiTheme="majorHAnsi" w:hAnsiTheme="majorHAnsi"/>
          <w:sz w:val="24"/>
          <w:szCs w:val="22"/>
        </w:rPr>
        <w:t>Jonscher’s</w:t>
      </w:r>
      <w:proofErr w:type="spellEnd"/>
      <w:r w:rsidRPr="008418EA">
        <w:rPr>
          <w:rFonts w:asciiTheme="majorHAnsi" w:hAnsiTheme="majorHAnsi"/>
          <w:sz w:val="24"/>
          <w:szCs w:val="22"/>
        </w:rPr>
        <w:t xml:space="preserve"> universal power law,</w:t>
      </w:r>
    </w:p>
    <w:p w14:paraId="1AB9548F" w14:textId="1EEFBA5A" w:rsidR="008418EA" w:rsidRPr="008418EA" w:rsidRDefault="006A4323" w:rsidP="0050039E">
      <w:pPr>
        <w:spacing w:line="360" w:lineRule="auto"/>
        <w:jc w:val="both"/>
        <w:rPr>
          <w:rFonts w:asciiTheme="majorHAnsi" w:hAnsiTheme="majorHAnsi"/>
          <w:sz w:val="24"/>
          <w:szCs w:val="22"/>
        </w:rPr>
      </w:pPr>
      <m:oMathPara>
        <m:oMath>
          <m:sSub>
            <m:sSubPr>
              <m:ctrlPr>
                <w:rPr>
                  <w:rFonts w:ascii="Cambria Math" w:hAnsi="Cambria Math"/>
                  <w:sz w:val="24"/>
                  <w:szCs w:val="22"/>
                </w:rPr>
              </m:ctrlPr>
            </m:sSubPr>
            <m:e>
              <m:r>
                <w:rPr>
                  <w:rFonts w:ascii="Cambria Math" w:hAnsi="Cambria Math"/>
                  <w:sz w:val="24"/>
                  <w:szCs w:val="22"/>
                </w:rPr>
                <m:t>σ</m:t>
              </m:r>
            </m:e>
            <m:sub>
              <m:r>
                <w:rPr>
                  <w:rFonts w:ascii="Cambria Math" w:hAnsi="Cambria Math"/>
                  <w:sz w:val="24"/>
                  <w:szCs w:val="22"/>
                </w:rPr>
                <m:t>ac</m:t>
              </m:r>
            </m:sub>
          </m:sSub>
          <m:r>
            <w:rPr>
              <w:rFonts w:ascii="Cambria Math" w:hAnsi="Cambria Math"/>
              <w:sz w:val="24"/>
              <w:szCs w:val="22"/>
            </w:rPr>
            <m:t>=</m:t>
          </m:r>
          <m:sSub>
            <m:sSubPr>
              <m:ctrlPr>
                <w:rPr>
                  <w:rFonts w:ascii="Cambria Math" w:hAnsi="Cambria Math"/>
                  <w:sz w:val="24"/>
                  <w:szCs w:val="22"/>
                </w:rPr>
              </m:ctrlPr>
            </m:sSubPr>
            <m:e>
              <m:r>
                <w:rPr>
                  <w:rFonts w:ascii="Cambria Math" w:hAnsi="Cambria Math"/>
                  <w:sz w:val="24"/>
                  <w:szCs w:val="22"/>
                </w:rPr>
                <m:t>σ</m:t>
              </m:r>
            </m:e>
            <m:sub>
              <m:r>
                <w:rPr>
                  <w:rFonts w:ascii="Cambria Math" w:hAnsi="Cambria Math"/>
                  <w:sz w:val="24"/>
                  <w:szCs w:val="22"/>
                </w:rPr>
                <m:t>dc</m:t>
              </m:r>
            </m:sub>
          </m:sSub>
          <m:r>
            <w:rPr>
              <w:rFonts w:ascii="Cambria Math" w:hAnsi="Cambria Math"/>
              <w:sz w:val="24"/>
              <w:szCs w:val="22"/>
            </w:rPr>
            <m:t>+A</m:t>
          </m:r>
          <m:sSup>
            <m:sSupPr>
              <m:ctrlPr>
                <w:rPr>
                  <w:rFonts w:ascii="Cambria Math" w:hAnsi="Cambria Math"/>
                  <w:sz w:val="24"/>
                  <w:szCs w:val="22"/>
                </w:rPr>
              </m:ctrlPr>
            </m:sSupPr>
            <m:e>
              <m:r>
                <w:rPr>
                  <w:rFonts w:ascii="Cambria Math" w:hAnsi="Cambria Math"/>
                  <w:sz w:val="24"/>
                  <w:szCs w:val="22"/>
                </w:rPr>
                <m:t>ω</m:t>
              </m:r>
            </m:e>
            <m:sup>
              <m:r>
                <w:rPr>
                  <w:rFonts w:ascii="Cambria Math" w:hAnsi="Cambria Math"/>
                  <w:sz w:val="24"/>
                  <w:szCs w:val="22"/>
                </w:rPr>
                <m:t>s</m:t>
              </m:r>
            </m:sup>
          </m:sSup>
          <m:r>
            <m:rPr>
              <m:sty m:val="p"/>
            </m:rPr>
            <w:rPr>
              <w:rFonts w:asciiTheme="majorHAnsi" w:hAnsiTheme="majorHAnsi"/>
              <w:sz w:val="24"/>
              <w:szCs w:val="22"/>
            </w:rPr>
            <w:br/>
          </m:r>
        </m:oMath>
      </m:oMathPara>
      <w:r w:rsidR="008418EA" w:rsidRPr="008418EA">
        <w:rPr>
          <w:rFonts w:asciiTheme="majorHAnsi" w:hAnsiTheme="majorHAnsi"/>
          <w:sz w:val="24"/>
          <w:szCs w:val="22"/>
        </w:rPr>
        <w:t xml:space="preserve">indicating that charge transport occurs via hopping of </w:t>
      </w:r>
      <w:proofErr w:type="spellStart"/>
      <w:r w:rsidR="008418EA" w:rsidRPr="008418EA">
        <w:rPr>
          <w:rFonts w:asciiTheme="majorHAnsi" w:hAnsiTheme="majorHAnsi"/>
          <w:sz w:val="24"/>
          <w:szCs w:val="22"/>
        </w:rPr>
        <w:t>locali</w:t>
      </w:r>
      <w:r>
        <w:rPr>
          <w:rFonts w:asciiTheme="majorHAnsi" w:hAnsiTheme="majorHAnsi"/>
          <w:sz w:val="24"/>
          <w:szCs w:val="22"/>
        </w:rPr>
        <w:t>s</w:t>
      </w:r>
      <w:r w:rsidR="008418EA" w:rsidRPr="008418EA">
        <w:rPr>
          <w:rFonts w:asciiTheme="majorHAnsi" w:hAnsiTheme="majorHAnsi"/>
          <w:sz w:val="24"/>
          <w:szCs w:val="22"/>
        </w:rPr>
        <w:t>ed</w:t>
      </w:r>
      <w:proofErr w:type="spellEnd"/>
      <w:r w:rsidR="008418EA" w:rsidRPr="008418EA">
        <w:rPr>
          <w:rFonts w:asciiTheme="majorHAnsi" w:hAnsiTheme="majorHAnsi"/>
          <w:sz w:val="24"/>
          <w:szCs w:val="22"/>
        </w:rPr>
        <w:t xml:space="preserve"> charge carriers [20].</w:t>
      </w:r>
    </w:p>
    <w:p w14:paraId="52EDACD8" w14:textId="653BCCE5"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At low frequencies, conductivity is dominated by grain boundary resistance, while at higher frequencies, the hopping of charge carriers between </w:t>
      </w:r>
      <w:proofErr w:type="spellStart"/>
      <w:r w:rsidRPr="008418EA">
        <w:rPr>
          <w:rFonts w:asciiTheme="majorHAnsi" w:hAnsiTheme="majorHAnsi"/>
          <w:sz w:val="24"/>
          <w:szCs w:val="22"/>
        </w:rPr>
        <w:t>locali</w:t>
      </w:r>
      <w:r w:rsidR="006A4323">
        <w:rPr>
          <w:rFonts w:asciiTheme="majorHAnsi" w:hAnsiTheme="majorHAnsi"/>
          <w:sz w:val="24"/>
          <w:szCs w:val="22"/>
        </w:rPr>
        <w:t>s</w:t>
      </w:r>
      <w:r w:rsidRPr="008418EA">
        <w:rPr>
          <w:rFonts w:asciiTheme="majorHAnsi" w:hAnsiTheme="majorHAnsi"/>
          <w:sz w:val="24"/>
          <w:szCs w:val="22"/>
        </w:rPr>
        <w:t>ed</w:t>
      </w:r>
      <w:proofErr w:type="spellEnd"/>
      <w:r w:rsidRPr="008418EA">
        <w:rPr>
          <w:rFonts w:asciiTheme="majorHAnsi" w:hAnsiTheme="majorHAnsi"/>
          <w:sz w:val="24"/>
          <w:szCs w:val="22"/>
        </w:rPr>
        <w:t xml:space="preserve"> states becomes the dominant mechanism. The enhanced conductivity at intermediate doping levels is attributed to increased electron concentration from Nb⁵⁺ donor states and improved grain connectivity.</w:t>
      </w:r>
    </w:p>
    <w:p w14:paraId="59AEF812" w14:textId="555EFFB6" w:rsidR="00910D38" w:rsidRDefault="00B11741" w:rsidP="00910D38">
      <w:pPr>
        <w:spacing w:line="360" w:lineRule="auto"/>
        <w:jc w:val="center"/>
        <w:rPr>
          <w:rFonts w:asciiTheme="majorHAnsi" w:hAnsiTheme="majorHAnsi"/>
          <w:b/>
          <w:bCs/>
          <w:color w:val="FF0000"/>
          <w:sz w:val="24"/>
          <w:szCs w:val="22"/>
        </w:rPr>
      </w:pPr>
      <w:r w:rsidRPr="00B11741">
        <w:rPr>
          <w:noProof/>
          <w:lang w:val="en-IN" w:eastAsia="en-IN" w:bidi="ar-SA"/>
        </w:rPr>
        <w:drawing>
          <wp:inline distT="0" distB="0" distL="0" distR="0" wp14:anchorId="7CDB1AAD" wp14:editId="47F6B8C9">
            <wp:extent cx="3213100" cy="2647950"/>
            <wp:effectExtent l="0" t="0" r="0" b="0"/>
            <wp:docPr id="20402216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5386" t="4946" r="3770" b="5377"/>
                    <a:stretch>
                      <a:fillRect/>
                    </a:stretch>
                  </pic:blipFill>
                  <pic:spPr bwMode="auto">
                    <a:xfrm>
                      <a:off x="0" y="0"/>
                      <a:ext cx="3213100" cy="2647950"/>
                    </a:xfrm>
                    <a:prstGeom prst="rect">
                      <a:avLst/>
                    </a:prstGeom>
                    <a:noFill/>
                    <a:ln>
                      <a:noFill/>
                    </a:ln>
                    <a:extLst>
                      <a:ext uri="{53640926-AAD7-44D8-BBD7-CCE9431645EC}">
                        <a14:shadowObscured xmlns:a14="http://schemas.microsoft.com/office/drawing/2010/main"/>
                      </a:ext>
                    </a:extLst>
                  </pic:spPr>
                </pic:pic>
              </a:graphicData>
            </a:graphic>
          </wp:inline>
        </w:drawing>
      </w:r>
    </w:p>
    <w:p w14:paraId="286FAF05" w14:textId="663EE063" w:rsidR="00910D38" w:rsidRDefault="0050039E" w:rsidP="0050039E">
      <w:pPr>
        <w:spacing w:line="360" w:lineRule="auto"/>
        <w:jc w:val="both"/>
        <w:rPr>
          <w:rFonts w:asciiTheme="majorHAnsi" w:hAnsiTheme="majorHAnsi"/>
          <w:b/>
          <w:bCs/>
          <w:color w:val="000000" w:themeColor="text1"/>
          <w:sz w:val="24"/>
          <w:szCs w:val="22"/>
        </w:rPr>
      </w:pPr>
      <w:r w:rsidRPr="0050039E">
        <w:rPr>
          <w:rFonts w:asciiTheme="majorHAnsi" w:hAnsiTheme="majorHAnsi"/>
          <w:b/>
          <w:bCs/>
          <w:color w:val="000000" w:themeColor="text1"/>
          <w:sz w:val="24"/>
          <w:szCs w:val="22"/>
        </w:rPr>
        <w:t>Figure 6:</w:t>
      </w:r>
      <w:r>
        <w:rPr>
          <w:rFonts w:asciiTheme="majorHAnsi" w:hAnsiTheme="majorHAnsi"/>
          <w:b/>
          <w:bCs/>
          <w:color w:val="000000" w:themeColor="text1"/>
          <w:sz w:val="24"/>
          <w:szCs w:val="22"/>
        </w:rPr>
        <w:t xml:space="preserve"> </w:t>
      </w:r>
      <w:r w:rsidRPr="0050039E">
        <w:rPr>
          <w:rFonts w:asciiTheme="majorHAnsi" w:hAnsiTheme="majorHAnsi"/>
          <w:b/>
          <w:bCs/>
          <w:i/>
          <w:iCs/>
          <w:color w:val="000000" w:themeColor="text1"/>
          <w:sz w:val="24"/>
          <w:szCs w:val="22"/>
        </w:rPr>
        <w:t xml:space="preserve">AC conductivity as a function of frequency indicating hopping conduction mechanism following </w:t>
      </w:r>
      <w:proofErr w:type="spellStart"/>
      <w:r w:rsidRPr="0050039E">
        <w:rPr>
          <w:rFonts w:asciiTheme="majorHAnsi" w:hAnsiTheme="majorHAnsi"/>
          <w:b/>
          <w:bCs/>
          <w:i/>
          <w:iCs/>
          <w:color w:val="000000" w:themeColor="text1"/>
          <w:sz w:val="24"/>
          <w:szCs w:val="22"/>
        </w:rPr>
        <w:t>Jonscher’s</w:t>
      </w:r>
      <w:proofErr w:type="spellEnd"/>
      <w:r w:rsidRPr="0050039E">
        <w:rPr>
          <w:rFonts w:asciiTheme="majorHAnsi" w:hAnsiTheme="majorHAnsi"/>
          <w:b/>
          <w:bCs/>
          <w:i/>
          <w:iCs/>
          <w:color w:val="000000" w:themeColor="text1"/>
          <w:sz w:val="24"/>
          <w:szCs w:val="22"/>
        </w:rPr>
        <w:t xml:space="preserve"> power law.</w:t>
      </w:r>
    </w:p>
    <w:p w14:paraId="030CAB78" w14:textId="77777777" w:rsidR="008418EA" w:rsidRPr="008418EA" w:rsidRDefault="008418EA" w:rsidP="008418EA">
      <w:pPr>
        <w:spacing w:line="360" w:lineRule="auto"/>
        <w:jc w:val="both"/>
        <w:rPr>
          <w:rFonts w:asciiTheme="majorHAnsi" w:hAnsiTheme="majorHAnsi"/>
          <w:sz w:val="24"/>
          <w:szCs w:val="22"/>
        </w:rPr>
      </w:pPr>
    </w:p>
    <w:p w14:paraId="181ADBA2" w14:textId="51A049E3"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 xml:space="preserve">3.5 Impedance and Relaxation </w:t>
      </w:r>
      <w:proofErr w:type="spellStart"/>
      <w:r w:rsidRPr="008418EA">
        <w:rPr>
          <w:rFonts w:asciiTheme="majorHAnsi" w:hAnsiTheme="majorHAnsi"/>
          <w:b/>
          <w:bCs/>
          <w:sz w:val="24"/>
          <w:szCs w:val="22"/>
        </w:rPr>
        <w:t>Behavio</w:t>
      </w:r>
      <w:r w:rsidR="006A4323">
        <w:rPr>
          <w:rFonts w:asciiTheme="majorHAnsi" w:hAnsiTheme="majorHAnsi"/>
          <w:b/>
          <w:bCs/>
          <w:sz w:val="24"/>
          <w:szCs w:val="22"/>
        </w:rPr>
        <w:t>u</w:t>
      </w:r>
      <w:r w:rsidRPr="008418EA">
        <w:rPr>
          <w:rFonts w:asciiTheme="majorHAnsi" w:hAnsiTheme="majorHAnsi"/>
          <w:b/>
          <w:bCs/>
          <w:sz w:val="24"/>
          <w:szCs w:val="22"/>
        </w:rPr>
        <w:t>r</w:t>
      </w:r>
      <w:proofErr w:type="spellEnd"/>
    </w:p>
    <w:p w14:paraId="5968A2CE" w14:textId="5552A7AD"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Impedance spectroscopy provides further insight into the electrical response of the material. The real part of impedance (Z′) decreases with increasing frequency, indicating enhanced conductivity and reduced resistive barriers. The Nyquist plots exhibit depressed semicircular arcs, suggesting non-Debye relaxation </w:t>
      </w:r>
      <w:proofErr w:type="spellStart"/>
      <w:r w:rsidRPr="008418EA">
        <w:rPr>
          <w:rFonts w:asciiTheme="majorHAnsi" w:hAnsiTheme="majorHAnsi"/>
          <w:sz w:val="24"/>
          <w:szCs w:val="22"/>
        </w:rPr>
        <w:t>behavio</w:t>
      </w:r>
      <w:r w:rsidR="006A4323">
        <w:rPr>
          <w:rFonts w:asciiTheme="majorHAnsi" w:hAnsiTheme="majorHAnsi"/>
          <w:sz w:val="24"/>
          <w:szCs w:val="22"/>
        </w:rPr>
        <w:t>ur</w:t>
      </w:r>
      <w:proofErr w:type="spellEnd"/>
      <w:r w:rsidR="006A4323">
        <w:rPr>
          <w:rFonts w:asciiTheme="majorHAnsi" w:hAnsiTheme="majorHAnsi"/>
          <w:sz w:val="24"/>
          <w:szCs w:val="22"/>
        </w:rPr>
        <w:t xml:space="preserve"> </w:t>
      </w:r>
      <w:proofErr w:type="spellStart"/>
      <w:r w:rsidR="006A4323">
        <w:rPr>
          <w:rFonts w:asciiTheme="majorHAnsi" w:hAnsiTheme="majorHAnsi"/>
          <w:sz w:val="24"/>
          <w:szCs w:val="22"/>
        </w:rPr>
        <w:t>characteris</w:t>
      </w:r>
      <w:r w:rsidRPr="008418EA">
        <w:rPr>
          <w:rFonts w:asciiTheme="majorHAnsi" w:hAnsiTheme="majorHAnsi"/>
          <w:sz w:val="24"/>
          <w:szCs w:val="22"/>
        </w:rPr>
        <w:t>ed</w:t>
      </w:r>
      <w:proofErr w:type="spellEnd"/>
      <w:r w:rsidRPr="008418EA">
        <w:rPr>
          <w:rFonts w:asciiTheme="majorHAnsi" w:hAnsiTheme="majorHAnsi"/>
          <w:sz w:val="24"/>
          <w:szCs w:val="22"/>
        </w:rPr>
        <w:t xml:space="preserve"> by a distribution of relaxation times.</w:t>
      </w:r>
    </w:p>
    <w:p w14:paraId="1E3A9839"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The absence of a well-defined relaxation peak in both impedance and modulus spectra indicates that relaxation processes are broadly distributed, reflecting structural disorder </w:t>
      </w:r>
      <w:r w:rsidRPr="008418EA">
        <w:rPr>
          <w:rFonts w:asciiTheme="majorHAnsi" w:hAnsiTheme="majorHAnsi"/>
          <w:sz w:val="24"/>
          <w:szCs w:val="22"/>
        </w:rPr>
        <w:lastRenderedPageBreak/>
        <w:t>and defect heterogeneity. Such behavior is consistent with hopping conduction mechanisms in disordered oxide systems [21].</w:t>
      </w:r>
    </w:p>
    <w:p w14:paraId="7B048371" w14:textId="2889BE40" w:rsidR="00910D38" w:rsidRDefault="00E50FEA" w:rsidP="00910D38">
      <w:pPr>
        <w:spacing w:line="360" w:lineRule="auto"/>
        <w:jc w:val="center"/>
        <w:rPr>
          <w:rFonts w:asciiTheme="majorHAnsi" w:hAnsiTheme="majorHAnsi"/>
          <w:b/>
          <w:bCs/>
          <w:color w:val="FF0000"/>
          <w:sz w:val="24"/>
          <w:szCs w:val="22"/>
        </w:rPr>
      </w:pPr>
      <w:r w:rsidRPr="00E50FEA">
        <w:rPr>
          <w:noProof/>
          <w:lang w:val="en-IN" w:eastAsia="en-IN" w:bidi="ar-SA"/>
        </w:rPr>
        <w:drawing>
          <wp:inline distT="0" distB="0" distL="0" distR="0" wp14:anchorId="557FFB4A" wp14:editId="01CE7EB8">
            <wp:extent cx="3917136" cy="3028207"/>
            <wp:effectExtent l="0" t="0" r="0" b="0"/>
            <wp:docPr id="11957508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4197" t="5384" r="3326" b="6391"/>
                    <a:stretch>
                      <a:fillRect/>
                    </a:stretch>
                  </pic:blipFill>
                  <pic:spPr bwMode="auto">
                    <a:xfrm>
                      <a:off x="0" y="0"/>
                      <a:ext cx="3928163" cy="3036731"/>
                    </a:xfrm>
                    <a:prstGeom prst="rect">
                      <a:avLst/>
                    </a:prstGeom>
                    <a:noFill/>
                    <a:ln>
                      <a:noFill/>
                    </a:ln>
                    <a:extLst>
                      <a:ext uri="{53640926-AAD7-44D8-BBD7-CCE9431645EC}">
                        <a14:shadowObscured xmlns:a14="http://schemas.microsoft.com/office/drawing/2010/main"/>
                      </a:ext>
                    </a:extLst>
                  </pic:spPr>
                </pic:pic>
              </a:graphicData>
            </a:graphic>
          </wp:inline>
        </w:drawing>
      </w:r>
    </w:p>
    <w:p w14:paraId="073D6853" w14:textId="77777777" w:rsidR="0050039E" w:rsidRDefault="0050039E" w:rsidP="0050039E">
      <w:pPr>
        <w:spacing w:line="360" w:lineRule="auto"/>
        <w:jc w:val="both"/>
        <w:rPr>
          <w:rFonts w:ascii="Times New Roman" w:hAnsi="Times New Roman" w:cs="Times New Roman"/>
          <w:b/>
          <w:bCs/>
          <w:i/>
          <w:iCs/>
          <w:color w:val="000000" w:themeColor="text1"/>
          <w:sz w:val="24"/>
          <w:szCs w:val="22"/>
        </w:rPr>
      </w:pPr>
      <w:r w:rsidRPr="0050039E">
        <w:rPr>
          <w:rFonts w:ascii="Times New Roman" w:hAnsi="Times New Roman" w:cs="Times New Roman"/>
          <w:b/>
          <w:bCs/>
          <w:color w:val="000000" w:themeColor="text1"/>
          <w:sz w:val="24"/>
          <w:szCs w:val="22"/>
        </w:rPr>
        <w:t>Figure 7:</w:t>
      </w:r>
      <w:r>
        <w:rPr>
          <w:rFonts w:ascii="Times New Roman" w:hAnsi="Times New Roman" w:cs="Times New Roman"/>
          <w:b/>
          <w:bCs/>
          <w:color w:val="000000" w:themeColor="text1"/>
          <w:sz w:val="24"/>
          <w:szCs w:val="22"/>
        </w:rPr>
        <w:t xml:space="preserve"> </w:t>
      </w:r>
      <w:r w:rsidRPr="0050039E">
        <w:rPr>
          <w:rFonts w:ascii="Times New Roman" w:hAnsi="Times New Roman" w:cs="Times New Roman"/>
          <w:b/>
          <w:bCs/>
          <w:i/>
          <w:iCs/>
          <w:color w:val="000000" w:themeColor="text1"/>
          <w:sz w:val="24"/>
          <w:szCs w:val="22"/>
        </w:rPr>
        <w:t>Nyquist plot (Z″ vs Z′) showing depressed semicircle indicative of non-Debye relaxation behavior.</w:t>
      </w:r>
    </w:p>
    <w:p w14:paraId="00890B9E" w14:textId="58B73371" w:rsidR="008418EA" w:rsidRPr="008418EA" w:rsidRDefault="008418EA" w:rsidP="0050039E">
      <w:pPr>
        <w:spacing w:line="360" w:lineRule="auto"/>
        <w:jc w:val="both"/>
        <w:rPr>
          <w:rFonts w:asciiTheme="majorHAnsi" w:hAnsiTheme="majorHAnsi"/>
          <w:b/>
          <w:bCs/>
          <w:sz w:val="24"/>
          <w:szCs w:val="22"/>
        </w:rPr>
      </w:pPr>
      <w:r w:rsidRPr="008418EA">
        <w:rPr>
          <w:rFonts w:asciiTheme="majorHAnsi" w:hAnsiTheme="majorHAnsi"/>
          <w:b/>
          <w:bCs/>
          <w:sz w:val="24"/>
          <w:szCs w:val="22"/>
        </w:rPr>
        <w:t>3.6 Structure–Property Correlation</w:t>
      </w:r>
    </w:p>
    <w:p w14:paraId="248F6FFC"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The combined results establish a clear correlation between structural, microstructural, and electrical properties. The incorporation of Nb⁵⁺ and Er³⁺ ions introduces defect states and oxygen vacancies, which play a crucial role in determining charge transport and polarization behavior.</w:t>
      </w:r>
    </w:p>
    <w:p w14:paraId="2DC7EA3F"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At intermediate doping levels, the material exhibits:</w:t>
      </w:r>
    </w:p>
    <w:p w14:paraId="69722DBE" w14:textId="77777777" w:rsidR="008418EA" w:rsidRPr="008418EA" w:rsidRDefault="008418EA" w:rsidP="008418EA">
      <w:pPr>
        <w:numPr>
          <w:ilvl w:val="0"/>
          <w:numId w:val="2"/>
        </w:numPr>
        <w:spacing w:line="360" w:lineRule="auto"/>
        <w:jc w:val="both"/>
        <w:rPr>
          <w:rFonts w:asciiTheme="majorHAnsi" w:hAnsiTheme="majorHAnsi"/>
          <w:sz w:val="24"/>
          <w:szCs w:val="22"/>
        </w:rPr>
      </w:pPr>
      <w:r w:rsidRPr="008418EA">
        <w:rPr>
          <w:rFonts w:asciiTheme="majorHAnsi" w:hAnsiTheme="majorHAnsi"/>
          <w:sz w:val="24"/>
          <w:szCs w:val="22"/>
        </w:rPr>
        <w:t xml:space="preserve">Reduced crystallite size </w:t>
      </w:r>
    </w:p>
    <w:p w14:paraId="5C51B2B8" w14:textId="77777777" w:rsidR="008418EA" w:rsidRPr="008418EA" w:rsidRDefault="008418EA" w:rsidP="008418EA">
      <w:pPr>
        <w:numPr>
          <w:ilvl w:val="0"/>
          <w:numId w:val="2"/>
        </w:numPr>
        <w:spacing w:line="360" w:lineRule="auto"/>
        <w:jc w:val="both"/>
        <w:rPr>
          <w:rFonts w:asciiTheme="majorHAnsi" w:hAnsiTheme="majorHAnsi"/>
          <w:sz w:val="24"/>
          <w:szCs w:val="22"/>
        </w:rPr>
      </w:pPr>
      <w:r w:rsidRPr="008418EA">
        <w:rPr>
          <w:rFonts w:asciiTheme="majorHAnsi" w:hAnsiTheme="majorHAnsi"/>
          <w:sz w:val="24"/>
          <w:szCs w:val="22"/>
        </w:rPr>
        <w:t xml:space="preserve">Optimized grain boundary density </w:t>
      </w:r>
    </w:p>
    <w:p w14:paraId="45421329" w14:textId="77777777" w:rsidR="008418EA" w:rsidRPr="008418EA" w:rsidRDefault="008418EA" w:rsidP="008418EA">
      <w:pPr>
        <w:numPr>
          <w:ilvl w:val="0"/>
          <w:numId w:val="2"/>
        </w:numPr>
        <w:spacing w:line="360" w:lineRule="auto"/>
        <w:jc w:val="both"/>
        <w:rPr>
          <w:rFonts w:asciiTheme="majorHAnsi" w:hAnsiTheme="majorHAnsi"/>
          <w:sz w:val="24"/>
          <w:szCs w:val="22"/>
        </w:rPr>
      </w:pPr>
      <w:r w:rsidRPr="008418EA">
        <w:rPr>
          <w:rFonts w:asciiTheme="majorHAnsi" w:hAnsiTheme="majorHAnsi"/>
          <w:sz w:val="24"/>
          <w:szCs w:val="22"/>
        </w:rPr>
        <w:t xml:space="preserve">Enhanced dielectric constant </w:t>
      </w:r>
    </w:p>
    <w:p w14:paraId="12E5EF54" w14:textId="77777777" w:rsidR="008418EA" w:rsidRPr="008418EA" w:rsidRDefault="008418EA" w:rsidP="008418EA">
      <w:pPr>
        <w:numPr>
          <w:ilvl w:val="0"/>
          <w:numId w:val="2"/>
        </w:numPr>
        <w:spacing w:line="360" w:lineRule="auto"/>
        <w:jc w:val="both"/>
        <w:rPr>
          <w:rFonts w:asciiTheme="majorHAnsi" w:hAnsiTheme="majorHAnsi"/>
          <w:sz w:val="24"/>
          <w:szCs w:val="22"/>
        </w:rPr>
      </w:pPr>
      <w:r w:rsidRPr="008418EA">
        <w:rPr>
          <w:rFonts w:asciiTheme="majorHAnsi" w:hAnsiTheme="majorHAnsi"/>
          <w:sz w:val="24"/>
          <w:szCs w:val="22"/>
        </w:rPr>
        <w:t xml:space="preserve">Improved electrical conductivity </w:t>
      </w:r>
    </w:p>
    <w:p w14:paraId="1A1B1E6B"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These features collectively contribute to superior functional performance. In contrast, excessive doping leads to defect clustering and microstructural inhomogeneity, which adversely affect dielectric and electrical properties.</w:t>
      </w:r>
    </w:p>
    <w:p w14:paraId="1D6AAB7E" w14:textId="77777777" w:rsidR="008418EA" w:rsidRPr="008418EA" w:rsidRDefault="008418EA" w:rsidP="008418EA">
      <w:pPr>
        <w:spacing w:line="360" w:lineRule="auto"/>
        <w:jc w:val="both"/>
        <w:rPr>
          <w:rFonts w:asciiTheme="majorHAnsi" w:hAnsiTheme="majorHAnsi"/>
          <w:sz w:val="24"/>
          <w:szCs w:val="22"/>
        </w:rPr>
      </w:pPr>
    </w:p>
    <w:p w14:paraId="2041B23A"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3.7 Functional Implications</w:t>
      </w:r>
    </w:p>
    <w:p w14:paraId="135F306B"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lastRenderedPageBreak/>
        <w:t xml:space="preserve">The improved dielectric stability and enhanced electrical conductivity suggest that </w:t>
      </w:r>
      <w:proofErr w:type="spellStart"/>
      <w:r w:rsidRPr="008418EA">
        <w:rPr>
          <w:rFonts w:asciiTheme="majorHAnsi" w:hAnsiTheme="majorHAnsi"/>
          <w:sz w:val="24"/>
          <w:szCs w:val="22"/>
        </w:rPr>
        <w:t>Nb</w:t>
      </w:r>
      <w:proofErr w:type="spellEnd"/>
      <w:r w:rsidRPr="008418EA">
        <w:rPr>
          <w:rFonts w:asciiTheme="majorHAnsi" w:hAnsiTheme="majorHAnsi"/>
          <w:sz w:val="24"/>
          <w:szCs w:val="22"/>
        </w:rPr>
        <w:t>–</w:t>
      </w:r>
      <w:proofErr w:type="spellStart"/>
      <w:r w:rsidRPr="008418EA">
        <w:rPr>
          <w:rFonts w:asciiTheme="majorHAnsi" w:hAnsiTheme="majorHAnsi"/>
          <w:sz w:val="24"/>
          <w:szCs w:val="22"/>
        </w:rPr>
        <w:t>Er</w:t>
      </w:r>
      <w:proofErr w:type="spellEnd"/>
      <w:r w:rsidRPr="008418EA">
        <w:rPr>
          <w:rFonts w:asciiTheme="majorHAnsi" w:hAnsiTheme="majorHAnsi"/>
          <w:sz w:val="24"/>
          <w:szCs w:val="22"/>
        </w:rPr>
        <w:t xml:space="preserve"> co-doped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₂ is a promising candidate for low-power energy applications. Efficient charge transport and reduced dielectric loss are critical for improving the performance of solar energy systems.</w:t>
      </w:r>
    </w:p>
    <w:p w14:paraId="45D12813"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Furthermore, the tunable microstructure and defect chemistry provide opportunities for integrating these materials into compact devices, including energy-harvesting systems and multifunctional platforms. The observed structure–property–function relationship highlights the importance of controlled doping and microstructural engineering in designing advanced oxide materials.</w:t>
      </w:r>
    </w:p>
    <w:p w14:paraId="03FB4B61" w14:textId="3E67D15A" w:rsidR="003C616F" w:rsidRDefault="003C616F" w:rsidP="008418EA">
      <w:pPr>
        <w:spacing w:line="360" w:lineRule="auto"/>
        <w:jc w:val="both"/>
        <w:rPr>
          <w:rFonts w:asciiTheme="majorHAnsi" w:hAnsiTheme="majorHAnsi"/>
          <w:b/>
          <w:bCs/>
          <w:color w:val="FF0000"/>
          <w:sz w:val="24"/>
          <w:szCs w:val="22"/>
        </w:rPr>
      </w:pPr>
    </w:p>
    <w:p w14:paraId="299663A8" w14:textId="77777777" w:rsidR="008418EA" w:rsidRPr="008418EA" w:rsidRDefault="008418EA" w:rsidP="008418EA">
      <w:pPr>
        <w:spacing w:line="360" w:lineRule="auto"/>
        <w:jc w:val="both"/>
        <w:rPr>
          <w:rFonts w:asciiTheme="majorHAnsi" w:hAnsiTheme="majorHAnsi"/>
          <w:b/>
          <w:bCs/>
          <w:sz w:val="24"/>
          <w:szCs w:val="22"/>
        </w:rPr>
      </w:pPr>
      <w:r w:rsidRPr="008418EA">
        <w:rPr>
          <w:rFonts w:asciiTheme="majorHAnsi" w:hAnsiTheme="majorHAnsi"/>
          <w:b/>
          <w:bCs/>
          <w:sz w:val="24"/>
          <w:szCs w:val="22"/>
        </w:rPr>
        <w:t>4. Conclusion</w:t>
      </w:r>
    </w:p>
    <w:p w14:paraId="0979DC15"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In this study, </w:t>
      </w:r>
      <w:r w:rsidRPr="008418EA">
        <w:rPr>
          <w:rFonts w:asciiTheme="majorHAnsi" w:hAnsiTheme="majorHAnsi"/>
          <w:i/>
          <w:iCs/>
          <w:sz w:val="24"/>
          <w:szCs w:val="22"/>
        </w:rPr>
        <w:t>(</w:t>
      </w:r>
      <w:proofErr w:type="spellStart"/>
      <w:r w:rsidRPr="008418EA">
        <w:rPr>
          <w:rFonts w:asciiTheme="majorHAnsi" w:hAnsiTheme="majorHAnsi"/>
          <w:i/>
          <w:iCs/>
          <w:sz w:val="24"/>
          <w:szCs w:val="22"/>
        </w:rPr>
        <w:t>Nb</w:t>
      </w:r>
      <w:proofErr w:type="spellEnd"/>
      <w:proofErr w:type="gramStart"/>
      <w:r w:rsidRPr="008418EA">
        <w:rPr>
          <w:rFonts w:asciiTheme="majorHAnsi" w:hAnsiTheme="majorHAnsi"/>
          <w:i/>
          <w:iCs/>
          <w:sz w:val="24"/>
          <w:szCs w:val="22"/>
        </w:rPr>
        <w:t>₀.₅</w:t>
      </w:r>
      <w:proofErr w:type="spellStart"/>
      <w:proofErr w:type="gramEnd"/>
      <w:r w:rsidRPr="008418EA">
        <w:rPr>
          <w:rFonts w:asciiTheme="majorHAnsi" w:hAnsiTheme="majorHAnsi"/>
          <w:i/>
          <w:iCs/>
          <w:sz w:val="24"/>
          <w:szCs w:val="22"/>
        </w:rPr>
        <w:t>Er</w:t>
      </w:r>
      <w:proofErr w:type="spellEnd"/>
      <w:r w:rsidRPr="008418EA">
        <w:rPr>
          <w:rFonts w:asciiTheme="majorHAnsi" w:hAnsiTheme="majorHAnsi"/>
          <w:i/>
          <w:iCs/>
          <w:sz w:val="24"/>
          <w:szCs w:val="22"/>
        </w:rPr>
        <w:t>₀.₅)</w:t>
      </w:r>
      <w:proofErr w:type="spellStart"/>
      <w:r w:rsidRPr="008418EA">
        <w:rPr>
          <w:rFonts w:asciiTheme="majorHAnsi" w:hAnsiTheme="majorHAnsi"/>
          <w:i/>
          <w:iCs/>
          <w:sz w:val="24"/>
          <w:szCs w:val="22"/>
        </w:rPr>
        <w:t>xTi</w:t>
      </w:r>
      <w:proofErr w:type="spellEnd"/>
      <w:r w:rsidRPr="008418EA">
        <w:rPr>
          <w:rFonts w:asciiTheme="majorHAnsi" w:hAnsiTheme="majorHAnsi"/>
          <w:i/>
          <w:iCs/>
          <w:sz w:val="24"/>
          <w:szCs w:val="22"/>
        </w:rPr>
        <w:t>₁₋</w:t>
      </w:r>
      <w:proofErr w:type="spellStart"/>
      <w:r w:rsidRPr="005F727D">
        <w:rPr>
          <w:rFonts w:asciiTheme="majorHAnsi" w:hAnsiTheme="majorHAnsi"/>
          <w:i/>
          <w:iCs/>
          <w:sz w:val="24"/>
          <w:szCs w:val="22"/>
          <w:vertAlign w:val="subscript"/>
        </w:rPr>
        <w:t>x</w:t>
      </w:r>
      <w:r w:rsidRPr="008418EA">
        <w:rPr>
          <w:rFonts w:asciiTheme="majorHAnsi" w:hAnsiTheme="majorHAnsi"/>
          <w:i/>
          <w:iCs/>
          <w:sz w:val="24"/>
          <w:szCs w:val="22"/>
        </w:rPr>
        <w:t>O</w:t>
      </w:r>
      <w:proofErr w:type="spellEnd"/>
      <w:r w:rsidRPr="008418EA">
        <w:rPr>
          <w:rFonts w:asciiTheme="majorHAnsi" w:hAnsiTheme="majorHAnsi"/>
          <w:i/>
          <w:iCs/>
          <w:sz w:val="24"/>
          <w:szCs w:val="22"/>
        </w:rPr>
        <w:t>₂</w:t>
      </w:r>
      <w:r w:rsidRPr="008418EA">
        <w:rPr>
          <w:rFonts w:asciiTheme="majorHAnsi" w:hAnsiTheme="majorHAnsi"/>
          <w:sz w:val="24"/>
          <w:szCs w:val="22"/>
        </w:rPr>
        <w:t xml:space="preserve"> (x = 0.01–0.10) was successfully synthesized via a solid-state route to investigate the effect of Nb–Er co-doping on the structural, microstructural, dielectric, and electrical properties of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₂. X-ray diffraction confirmed the stabilization of the rutile phase across all compositions, with systematic peak broadening and slight shifts indicating dopant-induced lattice distortion and reduced crystallite size. Microstructural analysis revealed a transition from relatively uniform grains at low doping levels to dense, interconnected structures at intermediate compositions, followed by agglomeration at higher dopant concentrations.</w:t>
      </w:r>
    </w:p>
    <w:p w14:paraId="22FCC003"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 xml:space="preserve">The dielectric response exhibited pronounced frequency dispersion consistent with Maxwell–Wagner interfacial polarization, while impedance and modulus analyses indicated non-Debye relaxation behavior associated with a distribution of relaxation times. The AC conductivity followed </w:t>
      </w:r>
      <w:proofErr w:type="spellStart"/>
      <w:r w:rsidRPr="008418EA">
        <w:rPr>
          <w:rFonts w:asciiTheme="majorHAnsi" w:hAnsiTheme="majorHAnsi"/>
          <w:sz w:val="24"/>
          <w:szCs w:val="22"/>
        </w:rPr>
        <w:t>Jonscher’s</w:t>
      </w:r>
      <w:proofErr w:type="spellEnd"/>
      <w:r w:rsidRPr="008418EA">
        <w:rPr>
          <w:rFonts w:asciiTheme="majorHAnsi" w:hAnsiTheme="majorHAnsi"/>
          <w:sz w:val="24"/>
          <w:szCs w:val="22"/>
        </w:rPr>
        <w:t xml:space="preserve"> power law, confirming a hopping conduction mechanism mediated by defect states and oxygen vacancies introduced through Nb⁵⁺ and Er³⁺ substitution.</w:t>
      </w:r>
    </w:p>
    <w:p w14:paraId="555EF746" w14:textId="1D12F3AA"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t>A clear structure–property correlation was established, identifying intermediate compositions (x ≈ 0.04–0.06) as optimal, where enhanced dielectric constant, reduced loss</w:t>
      </w:r>
      <w:r w:rsidR="005F727D">
        <w:rPr>
          <w:rFonts w:asciiTheme="majorHAnsi" w:hAnsiTheme="majorHAnsi"/>
          <w:sz w:val="24"/>
          <w:szCs w:val="22"/>
        </w:rPr>
        <w:t xml:space="preserve"> </w:t>
      </w:r>
      <w:r w:rsidRPr="008418EA">
        <w:rPr>
          <w:rFonts w:asciiTheme="majorHAnsi" w:hAnsiTheme="majorHAnsi"/>
          <w:sz w:val="24"/>
          <w:szCs w:val="22"/>
        </w:rPr>
        <w:t xml:space="preserve">and improved electrical conductivity are achieved due to the synergistic interaction between donor-induced charge carriers and defect-driven polarization mechanisms. These findings demonstrate that controlled co-doping and microstructural tuning can effectively enhance the functional performance of </w:t>
      </w:r>
      <w:proofErr w:type="spellStart"/>
      <w:r w:rsidRPr="008418EA">
        <w:rPr>
          <w:rFonts w:asciiTheme="majorHAnsi" w:hAnsiTheme="majorHAnsi"/>
          <w:sz w:val="24"/>
          <w:szCs w:val="22"/>
        </w:rPr>
        <w:t>TiO</w:t>
      </w:r>
      <w:proofErr w:type="spellEnd"/>
      <w:r w:rsidRPr="008418EA">
        <w:rPr>
          <w:rFonts w:asciiTheme="majorHAnsi" w:hAnsiTheme="majorHAnsi"/>
          <w:sz w:val="24"/>
          <w:szCs w:val="22"/>
        </w:rPr>
        <w:t>₂.</w:t>
      </w:r>
    </w:p>
    <w:p w14:paraId="37411D82" w14:textId="77777777" w:rsidR="008418EA" w:rsidRPr="008418EA" w:rsidRDefault="008418EA" w:rsidP="008418EA">
      <w:pPr>
        <w:spacing w:line="360" w:lineRule="auto"/>
        <w:jc w:val="both"/>
        <w:rPr>
          <w:rFonts w:asciiTheme="majorHAnsi" w:hAnsiTheme="majorHAnsi"/>
          <w:sz w:val="24"/>
          <w:szCs w:val="22"/>
        </w:rPr>
      </w:pPr>
      <w:r w:rsidRPr="008418EA">
        <w:rPr>
          <w:rFonts w:asciiTheme="majorHAnsi" w:hAnsiTheme="majorHAnsi"/>
          <w:sz w:val="24"/>
          <w:szCs w:val="22"/>
        </w:rPr>
        <w:lastRenderedPageBreak/>
        <w:t>From an application perspective, the improved charge transport and dielectric stability suggest strong potential for low-power energy systems, particularly in solar-related applications. Additionally, the multifunctional nature of the material offers opportunities for integration into compact, energy-aware devices, including platforms designed for interactive and educational demonstrations of energy conversion processes. Overall, this work provides a coherent framework for the rational design of defect-engineered oxide materials with tunable electrical properties and multifunctional applicability.</w:t>
      </w:r>
    </w:p>
    <w:p w14:paraId="5815DF57" w14:textId="77777777" w:rsidR="008418EA" w:rsidRDefault="008418EA" w:rsidP="008418EA">
      <w:pPr>
        <w:spacing w:line="360" w:lineRule="auto"/>
        <w:jc w:val="both"/>
        <w:rPr>
          <w:rFonts w:asciiTheme="majorHAnsi" w:hAnsiTheme="majorHAnsi"/>
          <w:sz w:val="24"/>
          <w:szCs w:val="22"/>
        </w:rPr>
      </w:pPr>
    </w:p>
    <w:p w14:paraId="5CB91EB6" w14:textId="77777777" w:rsidR="00EC1467" w:rsidRPr="00CA3906" w:rsidRDefault="00EC1467" w:rsidP="00EC1467">
      <w:pPr>
        <w:rPr>
          <w:b/>
          <w:highlight w:val="yellow"/>
        </w:rPr>
      </w:pPr>
      <w:r w:rsidRPr="00CA3906">
        <w:rPr>
          <w:b/>
          <w:highlight w:val="yellow"/>
        </w:rPr>
        <w:t>Disclaimer (Artificial intelligence)</w:t>
      </w:r>
    </w:p>
    <w:p w14:paraId="44DC0CDA" w14:textId="77777777" w:rsidR="00EC1467" w:rsidRPr="00740879" w:rsidRDefault="00EC1467" w:rsidP="00EC1467">
      <w:pPr>
        <w:rPr>
          <w:highlight w:val="yellow"/>
        </w:rPr>
      </w:pPr>
      <w:r w:rsidRPr="00740879">
        <w:rPr>
          <w:highlight w:val="yellow"/>
        </w:rPr>
        <w:t xml:space="preserve">Author(s) hereby declare that NO generative AI technologies such as Large Language Models (ChatGPT, COPILOT, etc.) and text-to-image generators have been used </w:t>
      </w:r>
      <w:bookmarkStart w:id="0" w:name="_GoBack"/>
      <w:bookmarkEnd w:id="0"/>
      <w:r w:rsidRPr="00740879">
        <w:rPr>
          <w:highlight w:val="yellow"/>
        </w:rPr>
        <w:t xml:space="preserve">during the writing or editing of this manuscript. </w:t>
      </w:r>
    </w:p>
    <w:p w14:paraId="5A25E1A6" w14:textId="77777777" w:rsidR="00182652" w:rsidRDefault="00182652" w:rsidP="008418EA">
      <w:pPr>
        <w:spacing w:line="360" w:lineRule="auto"/>
        <w:jc w:val="both"/>
        <w:rPr>
          <w:rFonts w:asciiTheme="majorHAnsi" w:hAnsiTheme="majorHAnsi"/>
          <w:sz w:val="24"/>
          <w:szCs w:val="22"/>
        </w:rPr>
      </w:pPr>
    </w:p>
    <w:p w14:paraId="7748A7B1" w14:textId="4CA1C3AC" w:rsidR="00A46E74" w:rsidRDefault="00182652" w:rsidP="00A46E74">
      <w:pPr>
        <w:spacing w:line="360" w:lineRule="auto"/>
        <w:jc w:val="both"/>
        <w:rPr>
          <w:rFonts w:asciiTheme="majorHAnsi" w:hAnsiTheme="majorHAnsi"/>
          <w:color w:val="000000" w:themeColor="text1"/>
          <w:sz w:val="24"/>
          <w:szCs w:val="22"/>
        </w:rPr>
      </w:pPr>
      <w:r w:rsidRPr="00182652">
        <w:rPr>
          <w:rFonts w:asciiTheme="majorHAnsi" w:hAnsiTheme="majorHAnsi"/>
          <w:b/>
          <w:bCs/>
          <w:sz w:val="24"/>
          <w:szCs w:val="22"/>
        </w:rPr>
        <w:t>References</w:t>
      </w:r>
      <w:r>
        <w:rPr>
          <w:rFonts w:asciiTheme="majorHAnsi" w:hAnsiTheme="majorHAnsi"/>
          <w:sz w:val="24"/>
          <w:szCs w:val="22"/>
        </w:rPr>
        <w:br/>
      </w:r>
      <w:r w:rsidR="00A46E74" w:rsidRPr="00A46E74">
        <w:rPr>
          <w:rFonts w:asciiTheme="majorHAnsi" w:hAnsiTheme="majorHAnsi"/>
          <w:b/>
          <w:bCs/>
          <w:color w:val="000000" w:themeColor="text1"/>
          <w:sz w:val="24"/>
          <w:szCs w:val="22"/>
        </w:rPr>
        <w:t>[1]</w:t>
      </w:r>
      <w:r w:rsidR="00A46E74" w:rsidRPr="00A46E74">
        <w:rPr>
          <w:rFonts w:asciiTheme="majorHAnsi" w:hAnsiTheme="majorHAnsi"/>
          <w:color w:val="000000" w:themeColor="text1"/>
          <w:sz w:val="24"/>
          <w:szCs w:val="22"/>
        </w:rPr>
        <w:t xml:space="preserve"> Chen, X., Liu, L., Yu, P. Y., &amp; Mao, S. S. (2011). Increasing solar absorption for photocatalysis with black hydrogenated titanium dioxide nanocrystals. </w:t>
      </w:r>
      <w:r w:rsidR="00A46E74" w:rsidRPr="00A46E74">
        <w:rPr>
          <w:rFonts w:asciiTheme="majorHAnsi" w:hAnsiTheme="majorHAnsi"/>
          <w:i/>
          <w:iCs/>
          <w:color w:val="000000" w:themeColor="text1"/>
          <w:sz w:val="24"/>
          <w:szCs w:val="22"/>
        </w:rPr>
        <w:t>Science</w:t>
      </w:r>
      <w:r w:rsidR="00A46E74" w:rsidRPr="00A46E74">
        <w:rPr>
          <w:rFonts w:asciiTheme="majorHAnsi" w:hAnsiTheme="majorHAnsi"/>
          <w:color w:val="000000" w:themeColor="text1"/>
          <w:sz w:val="24"/>
          <w:szCs w:val="22"/>
        </w:rPr>
        <w:t>, 331(6018), 746–750.</w:t>
      </w:r>
      <w:r w:rsidR="00A46E74">
        <w:rPr>
          <w:rFonts w:asciiTheme="majorHAnsi" w:hAnsiTheme="majorHAnsi"/>
          <w:color w:val="000000" w:themeColor="text1"/>
          <w:sz w:val="24"/>
          <w:szCs w:val="22"/>
        </w:rPr>
        <w:t xml:space="preserve"> </w:t>
      </w:r>
      <w:hyperlink r:id="rId29" w:tgtFrame="_new" w:history="1">
        <w:r w:rsidR="00A46E74" w:rsidRPr="00A46E74">
          <w:rPr>
            <w:rStyle w:val="Hyperlink"/>
            <w:rFonts w:asciiTheme="majorHAnsi" w:hAnsiTheme="majorHAnsi"/>
            <w:sz w:val="24"/>
            <w:szCs w:val="22"/>
          </w:rPr>
          <w:t>https://doi.org/10.1126/science.1200448</w:t>
        </w:r>
      </w:hyperlink>
    </w:p>
    <w:p w14:paraId="7A4E7D5C" w14:textId="28FA4183" w:rsidR="00182652" w:rsidRPr="008A79FC" w:rsidRDefault="00A46E74" w:rsidP="00A46E74">
      <w:pPr>
        <w:spacing w:line="360" w:lineRule="auto"/>
        <w:jc w:val="both"/>
        <w:rPr>
          <w:rFonts w:asciiTheme="majorHAnsi" w:hAnsiTheme="majorHAnsi"/>
          <w:color w:val="FF0000"/>
          <w:sz w:val="24"/>
          <w:szCs w:val="22"/>
        </w:rPr>
      </w:pPr>
      <w:r w:rsidRPr="00A46E74">
        <w:rPr>
          <w:rFonts w:asciiTheme="majorHAnsi" w:hAnsiTheme="majorHAnsi"/>
          <w:b/>
          <w:bCs/>
          <w:color w:val="000000" w:themeColor="text1"/>
          <w:sz w:val="24"/>
          <w:szCs w:val="22"/>
        </w:rPr>
        <w:t>[2]</w:t>
      </w:r>
      <w:r w:rsidRPr="00A46E74">
        <w:rPr>
          <w:rFonts w:asciiTheme="majorHAnsi" w:hAnsiTheme="majorHAnsi"/>
          <w:color w:val="000000" w:themeColor="text1"/>
          <w:sz w:val="24"/>
          <w:szCs w:val="22"/>
        </w:rPr>
        <w:t xml:space="preserve"> </w:t>
      </w:r>
      <w:proofErr w:type="spellStart"/>
      <w:r w:rsidRPr="00A46E74">
        <w:rPr>
          <w:rFonts w:asciiTheme="majorHAnsi" w:hAnsiTheme="majorHAnsi"/>
          <w:color w:val="000000" w:themeColor="text1"/>
          <w:sz w:val="24"/>
          <w:szCs w:val="22"/>
        </w:rPr>
        <w:t>Grätzel</w:t>
      </w:r>
      <w:proofErr w:type="spellEnd"/>
      <w:r w:rsidRPr="00A46E74">
        <w:rPr>
          <w:rFonts w:asciiTheme="majorHAnsi" w:hAnsiTheme="majorHAnsi"/>
          <w:color w:val="000000" w:themeColor="text1"/>
          <w:sz w:val="24"/>
          <w:szCs w:val="22"/>
        </w:rPr>
        <w:t xml:space="preserve">, M. (2001). Photoelectrochemical cells. </w:t>
      </w:r>
      <w:r w:rsidRPr="00A46E74">
        <w:rPr>
          <w:rFonts w:asciiTheme="majorHAnsi" w:hAnsiTheme="majorHAnsi"/>
          <w:i/>
          <w:iCs/>
          <w:color w:val="000000" w:themeColor="text1"/>
          <w:sz w:val="24"/>
          <w:szCs w:val="22"/>
        </w:rPr>
        <w:t>Nature</w:t>
      </w:r>
      <w:r w:rsidRPr="00A46E74">
        <w:rPr>
          <w:rFonts w:asciiTheme="majorHAnsi" w:hAnsiTheme="majorHAnsi"/>
          <w:color w:val="000000" w:themeColor="text1"/>
          <w:sz w:val="24"/>
          <w:szCs w:val="22"/>
        </w:rPr>
        <w:t>, 414, 338–344.</w:t>
      </w:r>
      <w:r w:rsidRPr="00A46E74">
        <w:rPr>
          <w:rFonts w:asciiTheme="majorHAnsi" w:hAnsiTheme="majorHAnsi"/>
          <w:color w:val="000000" w:themeColor="text1"/>
          <w:sz w:val="24"/>
          <w:szCs w:val="22"/>
        </w:rPr>
        <w:br/>
      </w:r>
      <w:hyperlink r:id="rId30" w:tgtFrame="_new" w:history="1">
        <w:r w:rsidRPr="00A46E74">
          <w:rPr>
            <w:rStyle w:val="Hyperlink"/>
            <w:rFonts w:asciiTheme="majorHAnsi" w:hAnsiTheme="majorHAnsi"/>
            <w:sz w:val="24"/>
            <w:szCs w:val="22"/>
          </w:rPr>
          <w:t>https://doi.org/10.1038/35104607</w:t>
        </w:r>
      </w:hyperlink>
    </w:p>
    <w:p w14:paraId="1D4E76CE" w14:textId="77777777" w:rsidR="00A46E74" w:rsidRPr="00A46E74" w:rsidRDefault="00A46E74" w:rsidP="00A46E74">
      <w:pPr>
        <w:spacing w:line="360" w:lineRule="auto"/>
        <w:jc w:val="both"/>
        <w:rPr>
          <w:rFonts w:asciiTheme="majorHAnsi" w:hAnsiTheme="majorHAnsi"/>
          <w:sz w:val="24"/>
          <w:szCs w:val="22"/>
        </w:rPr>
      </w:pPr>
      <w:r w:rsidRPr="00A46E74">
        <w:rPr>
          <w:rFonts w:asciiTheme="majorHAnsi" w:hAnsiTheme="majorHAnsi"/>
          <w:b/>
          <w:bCs/>
          <w:sz w:val="24"/>
          <w:szCs w:val="22"/>
        </w:rPr>
        <w:t>[3]</w:t>
      </w:r>
      <w:r w:rsidRPr="00A46E74">
        <w:rPr>
          <w:rFonts w:asciiTheme="majorHAnsi" w:hAnsiTheme="majorHAnsi"/>
          <w:sz w:val="24"/>
          <w:szCs w:val="22"/>
        </w:rPr>
        <w:t xml:space="preserve"> Chen, X., &amp; Mao, S. S. (2007). Titanium dioxide nanomaterials: synthesis, properties, modifications, and applications. </w:t>
      </w:r>
      <w:r w:rsidRPr="00A46E74">
        <w:rPr>
          <w:rFonts w:asciiTheme="majorHAnsi" w:hAnsiTheme="majorHAnsi"/>
          <w:i/>
          <w:iCs/>
          <w:sz w:val="24"/>
          <w:szCs w:val="22"/>
        </w:rPr>
        <w:t>Chemical Reviews</w:t>
      </w:r>
      <w:r w:rsidRPr="00A46E74">
        <w:rPr>
          <w:rFonts w:asciiTheme="majorHAnsi" w:hAnsiTheme="majorHAnsi"/>
          <w:sz w:val="24"/>
          <w:szCs w:val="22"/>
        </w:rPr>
        <w:t>, 107(7), 2891–2959.</w:t>
      </w:r>
      <w:r w:rsidRPr="00A46E74">
        <w:rPr>
          <w:rFonts w:asciiTheme="majorHAnsi" w:hAnsiTheme="majorHAnsi"/>
          <w:sz w:val="24"/>
          <w:szCs w:val="22"/>
        </w:rPr>
        <w:br/>
      </w:r>
      <w:hyperlink r:id="rId31" w:tgtFrame="_new" w:history="1">
        <w:r w:rsidRPr="00A46E74">
          <w:rPr>
            <w:rStyle w:val="Hyperlink"/>
            <w:rFonts w:asciiTheme="majorHAnsi" w:hAnsiTheme="majorHAnsi"/>
            <w:sz w:val="24"/>
            <w:szCs w:val="22"/>
          </w:rPr>
          <w:t>https://doi.org/10.1021/cr0500535</w:t>
        </w:r>
      </w:hyperlink>
    </w:p>
    <w:p w14:paraId="4D158BB3" w14:textId="77777777" w:rsidR="00A46E74" w:rsidRDefault="00A46E74" w:rsidP="00A46E74">
      <w:pPr>
        <w:spacing w:line="360" w:lineRule="auto"/>
        <w:jc w:val="both"/>
        <w:rPr>
          <w:rFonts w:asciiTheme="majorHAnsi" w:hAnsiTheme="majorHAnsi"/>
          <w:sz w:val="24"/>
          <w:szCs w:val="22"/>
        </w:rPr>
      </w:pPr>
      <w:r w:rsidRPr="00A46E74">
        <w:rPr>
          <w:rFonts w:asciiTheme="majorHAnsi" w:hAnsiTheme="majorHAnsi"/>
          <w:b/>
          <w:bCs/>
          <w:sz w:val="24"/>
          <w:szCs w:val="22"/>
        </w:rPr>
        <w:t>[4]</w:t>
      </w:r>
      <w:r w:rsidRPr="00A46E74">
        <w:rPr>
          <w:rFonts w:asciiTheme="majorHAnsi" w:hAnsiTheme="majorHAnsi"/>
          <w:sz w:val="24"/>
          <w:szCs w:val="22"/>
        </w:rPr>
        <w:t xml:space="preserve"> Fujishima, A., Zhang, X., &amp; Tryk, D. A. (2008). </w:t>
      </w:r>
      <w:proofErr w:type="spellStart"/>
      <w:r w:rsidRPr="00A46E74">
        <w:rPr>
          <w:rFonts w:asciiTheme="majorHAnsi" w:hAnsiTheme="majorHAnsi"/>
          <w:sz w:val="24"/>
          <w:szCs w:val="22"/>
        </w:rPr>
        <w:t>TiO</w:t>
      </w:r>
      <w:proofErr w:type="spellEnd"/>
      <w:r w:rsidRPr="00A46E74">
        <w:rPr>
          <w:rFonts w:asciiTheme="majorHAnsi" w:hAnsiTheme="majorHAnsi"/>
          <w:sz w:val="24"/>
          <w:szCs w:val="22"/>
        </w:rPr>
        <w:t xml:space="preserve">₂ photocatalysis and related surface phenomena. </w:t>
      </w:r>
      <w:r w:rsidRPr="00A46E74">
        <w:rPr>
          <w:rFonts w:asciiTheme="majorHAnsi" w:hAnsiTheme="majorHAnsi"/>
          <w:i/>
          <w:iCs/>
          <w:sz w:val="24"/>
          <w:szCs w:val="22"/>
        </w:rPr>
        <w:t>Surface Science Reports</w:t>
      </w:r>
      <w:r w:rsidRPr="00A46E74">
        <w:rPr>
          <w:rFonts w:asciiTheme="majorHAnsi" w:hAnsiTheme="majorHAnsi"/>
          <w:sz w:val="24"/>
          <w:szCs w:val="22"/>
        </w:rPr>
        <w:t>, 63(12), 515–582.</w:t>
      </w:r>
    </w:p>
    <w:p w14:paraId="29D5BEED" w14:textId="62062527" w:rsidR="00182652" w:rsidRDefault="006A4323" w:rsidP="00A46E74">
      <w:pPr>
        <w:spacing w:line="360" w:lineRule="auto"/>
        <w:jc w:val="both"/>
        <w:rPr>
          <w:rFonts w:asciiTheme="majorHAnsi" w:hAnsiTheme="majorHAnsi"/>
          <w:sz w:val="24"/>
          <w:szCs w:val="22"/>
        </w:rPr>
      </w:pPr>
      <w:hyperlink r:id="rId32" w:history="1">
        <w:r w:rsidR="00A46E74" w:rsidRPr="000A2D91">
          <w:rPr>
            <w:rStyle w:val="Hyperlink"/>
            <w:rFonts w:asciiTheme="majorHAnsi" w:hAnsiTheme="majorHAnsi"/>
            <w:sz w:val="24"/>
            <w:szCs w:val="22"/>
          </w:rPr>
          <w:t>https://doi.org/10.1016/j.surfrep.2008.10.001</w:t>
        </w:r>
      </w:hyperlink>
    </w:p>
    <w:p w14:paraId="080A5807" w14:textId="2579C017" w:rsidR="00182652" w:rsidRDefault="00A46E74" w:rsidP="00A46E74">
      <w:pPr>
        <w:spacing w:line="360" w:lineRule="auto"/>
        <w:jc w:val="both"/>
        <w:rPr>
          <w:rFonts w:asciiTheme="majorHAnsi" w:hAnsiTheme="majorHAnsi"/>
          <w:sz w:val="24"/>
          <w:szCs w:val="22"/>
        </w:rPr>
      </w:pPr>
      <w:r w:rsidRPr="00A46E74">
        <w:rPr>
          <w:rFonts w:asciiTheme="majorHAnsi" w:hAnsiTheme="majorHAnsi"/>
          <w:b/>
          <w:bCs/>
          <w:sz w:val="24"/>
          <w:szCs w:val="22"/>
        </w:rPr>
        <w:t>[5]</w:t>
      </w:r>
      <w:r w:rsidRPr="00A46E74">
        <w:rPr>
          <w:rFonts w:asciiTheme="majorHAnsi" w:hAnsiTheme="majorHAnsi"/>
          <w:sz w:val="24"/>
          <w:szCs w:val="22"/>
        </w:rPr>
        <w:t xml:space="preserve"> Diebold, U. (2003). The surface science of titanium dioxide. </w:t>
      </w:r>
      <w:r w:rsidRPr="00A46E74">
        <w:rPr>
          <w:rFonts w:asciiTheme="majorHAnsi" w:hAnsiTheme="majorHAnsi"/>
          <w:i/>
          <w:iCs/>
          <w:sz w:val="24"/>
          <w:szCs w:val="22"/>
        </w:rPr>
        <w:t>Surface Science Reports</w:t>
      </w:r>
      <w:r w:rsidRPr="00A46E74">
        <w:rPr>
          <w:rFonts w:asciiTheme="majorHAnsi" w:hAnsiTheme="majorHAnsi"/>
          <w:sz w:val="24"/>
          <w:szCs w:val="22"/>
        </w:rPr>
        <w:t>, 48(5–8), 53–229.</w:t>
      </w:r>
      <w:r>
        <w:rPr>
          <w:rFonts w:asciiTheme="majorHAnsi" w:hAnsiTheme="majorHAnsi"/>
          <w:sz w:val="24"/>
          <w:szCs w:val="22"/>
        </w:rPr>
        <w:t xml:space="preserve"> </w:t>
      </w:r>
      <w:hyperlink r:id="rId33" w:history="1">
        <w:r w:rsidRPr="000A2D91">
          <w:rPr>
            <w:rStyle w:val="Hyperlink"/>
            <w:rFonts w:asciiTheme="majorHAnsi" w:hAnsiTheme="majorHAnsi"/>
            <w:sz w:val="24"/>
            <w:szCs w:val="22"/>
          </w:rPr>
          <w:t>https://doi.org/10.1016/S0167-5729(02)00100-0</w:t>
        </w:r>
      </w:hyperlink>
    </w:p>
    <w:p w14:paraId="4A8C5C54" w14:textId="6F59D3C8" w:rsidR="00A46E74" w:rsidRDefault="00A46E74" w:rsidP="00A46E74">
      <w:pPr>
        <w:spacing w:line="360" w:lineRule="auto"/>
        <w:jc w:val="both"/>
        <w:rPr>
          <w:rFonts w:asciiTheme="majorHAnsi" w:hAnsiTheme="majorHAnsi"/>
          <w:sz w:val="24"/>
          <w:szCs w:val="22"/>
        </w:rPr>
      </w:pPr>
      <w:r w:rsidRPr="00A46E74">
        <w:rPr>
          <w:rFonts w:asciiTheme="majorHAnsi" w:hAnsiTheme="majorHAnsi"/>
          <w:b/>
          <w:bCs/>
          <w:sz w:val="24"/>
          <w:szCs w:val="22"/>
        </w:rPr>
        <w:t>[6]</w:t>
      </w:r>
      <w:r w:rsidRPr="00A46E74">
        <w:rPr>
          <w:rFonts w:asciiTheme="majorHAnsi" w:hAnsiTheme="majorHAnsi"/>
          <w:sz w:val="24"/>
          <w:szCs w:val="22"/>
        </w:rPr>
        <w:t xml:space="preserve"> Choi, W., Termin, A., &amp; Hoffmann, M. R. (1994). The role of metal ion dopants in quantum-sized </w:t>
      </w:r>
      <w:proofErr w:type="spellStart"/>
      <w:r w:rsidRPr="00A46E74">
        <w:rPr>
          <w:rFonts w:asciiTheme="majorHAnsi" w:hAnsiTheme="majorHAnsi"/>
          <w:sz w:val="24"/>
          <w:szCs w:val="22"/>
        </w:rPr>
        <w:t>TiO</w:t>
      </w:r>
      <w:proofErr w:type="spellEnd"/>
      <w:r w:rsidRPr="00A46E74">
        <w:rPr>
          <w:rFonts w:asciiTheme="majorHAnsi" w:hAnsiTheme="majorHAnsi"/>
          <w:sz w:val="24"/>
          <w:szCs w:val="22"/>
        </w:rPr>
        <w:t xml:space="preserve">₂. </w:t>
      </w:r>
      <w:r w:rsidRPr="00A46E74">
        <w:rPr>
          <w:rFonts w:asciiTheme="majorHAnsi" w:hAnsiTheme="majorHAnsi"/>
          <w:i/>
          <w:iCs/>
          <w:sz w:val="24"/>
          <w:szCs w:val="22"/>
        </w:rPr>
        <w:t>Journal of Physical Chemistry</w:t>
      </w:r>
      <w:r w:rsidRPr="00A46E74">
        <w:rPr>
          <w:rFonts w:asciiTheme="majorHAnsi" w:hAnsiTheme="majorHAnsi"/>
          <w:sz w:val="24"/>
          <w:szCs w:val="22"/>
        </w:rPr>
        <w:t>, 98(51), 13669–13679.</w:t>
      </w:r>
      <w:r>
        <w:rPr>
          <w:rFonts w:asciiTheme="majorHAnsi" w:hAnsiTheme="majorHAnsi"/>
          <w:sz w:val="24"/>
          <w:szCs w:val="22"/>
        </w:rPr>
        <w:t xml:space="preserve"> </w:t>
      </w:r>
      <w:hyperlink r:id="rId34" w:history="1">
        <w:r w:rsidRPr="000A2D91">
          <w:rPr>
            <w:rStyle w:val="Hyperlink"/>
            <w:rFonts w:asciiTheme="majorHAnsi" w:hAnsiTheme="majorHAnsi"/>
            <w:sz w:val="24"/>
            <w:szCs w:val="22"/>
          </w:rPr>
          <w:t>https://doi.org/10.1021/j100102a038</w:t>
        </w:r>
      </w:hyperlink>
    </w:p>
    <w:p w14:paraId="14196FB3" w14:textId="21B40F99" w:rsidR="00182652" w:rsidRDefault="00A46E74" w:rsidP="00A46E74">
      <w:pPr>
        <w:spacing w:line="360" w:lineRule="auto"/>
        <w:jc w:val="both"/>
        <w:rPr>
          <w:rFonts w:asciiTheme="majorHAnsi" w:hAnsiTheme="majorHAnsi"/>
          <w:sz w:val="24"/>
          <w:szCs w:val="22"/>
        </w:rPr>
      </w:pPr>
      <w:r w:rsidRPr="00A46E74">
        <w:rPr>
          <w:rFonts w:asciiTheme="majorHAnsi" w:hAnsiTheme="majorHAnsi"/>
          <w:b/>
          <w:bCs/>
          <w:sz w:val="24"/>
          <w:szCs w:val="22"/>
        </w:rPr>
        <w:t>[7]</w:t>
      </w:r>
      <w:r w:rsidRPr="00A46E74">
        <w:rPr>
          <w:rFonts w:asciiTheme="majorHAnsi" w:hAnsiTheme="majorHAnsi"/>
          <w:sz w:val="24"/>
          <w:szCs w:val="22"/>
        </w:rPr>
        <w:t xml:space="preserve"> Zhang, J., et al. (2010). Role of rare-earth doping in </w:t>
      </w:r>
      <w:proofErr w:type="spellStart"/>
      <w:r w:rsidRPr="00A46E74">
        <w:rPr>
          <w:rFonts w:asciiTheme="majorHAnsi" w:hAnsiTheme="majorHAnsi"/>
          <w:sz w:val="24"/>
          <w:szCs w:val="22"/>
        </w:rPr>
        <w:t>TiO</w:t>
      </w:r>
      <w:proofErr w:type="spellEnd"/>
      <w:r w:rsidRPr="00A46E74">
        <w:rPr>
          <w:rFonts w:asciiTheme="majorHAnsi" w:hAnsiTheme="majorHAnsi"/>
          <w:sz w:val="24"/>
          <w:szCs w:val="22"/>
        </w:rPr>
        <w:t xml:space="preserve">₂. </w:t>
      </w:r>
      <w:r w:rsidRPr="00A46E74">
        <w:rPr>
          <w:rFonts w:asciiTheme="majorHAnsi" w:hAnsiTheme="majorHAnsi"/>
          <w:i/>
          <w:iCs/>
          <w:sz w:val="24"/>
          <w:szCs w:val="22"/>
        </w:rPr>
        <w:t>Journal of Physical Chemistry C</w:t>
      </w:r>
      <w:r w:rsidRPr="00A46E74">
        <w:rPr>
          <w:rFonts w:asciiTheme="majorHAnsi" w:hAnsiTheme="majorHAnsi"/>
          <w:sz w:val="24"/>
          <w:szCs w:val="22"/>
        </w:rPr>
        <w:t>, 114, 18300–18305.</w:t>
      </w:r>
      <w:r>
        <w:rPr>
          <w:rFonts w:asciiTheme="majorHAnsi" w:hAnsiTheme="majorHAnsi"/>
          <w:sz w:val="24"/>
          <w:szCs w:val="22"/>
        </w:rPr>
        <w:t xml:space="preserve"> </w:t>
      </w:r>
      <w:hyperlink r:id="rId35" w:history="1">
        <w:r w:rsidRPr="000A2D91">
          <w:rPr>
            <w:rStyle w:val="Hyperlink"/>
            <w:rFonts w:asciiTheme="majorHAnsi" w:hAnsiTheme="majorHAnsi"/>
            <w:sz w:val="24"/>
            <w:szCs w:val="22"/>
          </w:rPr>
          <w:t>https://doi.org/10.1021/jp105164p</w:t>
        </w:r>
      </w:hyperlink>
    </w:p>
    <w:p w14:paraId="232B090C" w14:textId="119F2B25" w:rsidR="00A46E74" w:rsidRDefault="00A46E74" w:rsidP="00A46E74">
      <w:pPr>
        <w:spacing w:line="360" w:lineRule="auto"/>
        <w:jc w:val="both"/>
        <w:rPr>
          <w:rFonts w:asciiTheme="majorHAnsi" w:hAnsiTheme="majorHAnsi"/>
          <w:sz w:val="24"/>
          <w:szCs w:val="22"/>
        </w:rPr>
      </w:pPr>
      <w:r w:rsidRPr="00A46E74">
        <w:rPr>
          <w:rFonts w:asciiTheme="majorHAnsi" w:hAnsiTheme="majorHAnsi"/>
          <w:b/>
          <w:bCs/>
          <w:sz w:val="24"/>
          <w:szCs w:val="22"/>
        </w:rPr>
        <w:lastRenderedPageBreak/>
        <w:t>[8]</w:t>
      </w:r>
      <w:r w:rsidRPr="00A46E74">
        <w:rPr>
          <w:rFonts w:asciiTheme="majorHAnsi" w:hAnsiTheme="majorHAnsi"/>
          <w:sz w:val="24"/>
          <w:szCs w:val="22"/>
        </w:rPr>
        <w:t xml:space="preserve"> Furubayashi, Y., et al. (2005). Transparent conducting </w:t>
      </w:r>
      <w:proofErr w:type="spellStart"/>
      <w:r w:rsidRPr="00A46E74">
        <w:rPr>
          <w:rFonts w:asciiTheme="majorHAnsi" w:hAnsiTheme="majorHAnsi"/>
          <w:sz w:val="24"/>
          <w:szCs w:val="22"/>
        </w:rPr>
        <w:t>Nb</w:t>
      </w:r>
      <w:proofErr w:type="spellEnd"/>
      <w:r w:rsidRPr="00A46E74">
        <w:rPr>
          <w:rFonts w:asciiTheme="majorHAnsi" w:hAnsiTheme="majorHAnsi"/>
          <w:sz w:val="24"/>
          <w:szCs w:val="22"/>
        </w:rPr>
        <w:t xml:space="preserve">-doped </w:t>
      </w:r>
      <w:proofErr w:type="spellStart"/>
      <w:r w:rsidRPr="00A46E74">
        <w:rPr>
          <w:rFonts w:asciiTheme="majorHAnsi" w:hAnsiTheme="majorHAnsi"/>
          <w:sz w:val="24"/>
          <w:szCs w:val="22"/>
        </w:rPr>
        <w:t>TiO</w:t>
      </w:r>
      <w:proofErr w:type="spellEnd"/>
      <w:r w:rsidRPr="00A46E74">
        <w:rPr>
          <w:rFonts w:asciiTheme="majorHAnsi" w:hAnsiTheme="majorHAnsi"/>
          <w:sz w:val="24"/>
          <w:szCs w:val="22"/>
        </w:rPr>
        <w:t xml:space="preserve">₂. </w:t>
      </w:r>
      <w:r w:rsidRPr="00A46E74">
        <w:rPr>
          <w:rFonts w:asciiTheme="majorHAnsi" w:hAnsiTheme="majorHAnsi"/>
          <w:i/>
          <w:iCs/>
          <w:sz w:val="24"/>
          <w:szCs w:val="22"/>
        </w:rPr>
        <w:t>Applied Physics Letters</w:t>
      </w:r>
      <w:r w:rsidRPr="00A46E74">
        <w:rPr>
          <w:rFonts w:asciiTheme="majorHAnsi" w:hAnsiTheme="majorHAnsi"/>
          <w:sz w:val="24"/>
          <w:szCs w:val="22"/>
        </w:rPr>
        <w:t>, 86, 252101.</w:t>
      </w:r>
      <w:r>
        <w:rPr>
          <w:rFonts w:asciiTheme="majorHAnsi" w:hAnsiTheme="majorHAnsi"/>
          <w:sz w:val="24"/>
          <w:szCs w:val="22"/>
        </w:rPr>
        <w:t xml:space="preserve"> </w:t>
      </w:r>
      <w:hyperlink r:id="rId36" w:history="1">
        <w:r w:rsidRPr="000A2D91">
          <w:rPr>
            <w:rStyle w:val="Hyperlink"/>
            <w:rFonts w:asciiTheme="majorHAnsi" w:hAnsiTheme="majorHAnsi"/>
            <w:sz w:val="24"/>
            <w:szCs w:val="22"/>
          </w:rPr>
          <w:t>https://doi.org/10.1063/1.1949728</w:t>
        </w:r>
      </w:hyperlink>
    </w:p>
    <w:p w14:paraId="371FB1F7" w14:textId="61DAA825" w:rsidR="00182652" w:rsidRPr="008418EA" w:rsidRDefault="00A46E74" w:rsidP="00A46E74">
      <w:pPr>
        <w:spacing w:line="360" w:lineRule="auto"/>
        <w:jc w:val="both"/>
        <w:rPr>
          <w:rFonts w:asciiTheme="majorHAnsi" w:hAnsiTheme="majorHAnsi"/>
          <w:sz w:val="24"/>
          <w:szCs w:val="22"/>
        </w:rPr>
      </w:pPr>
      <w:r w:rsidRPr="00A46E74">
        <w:rPr>
          <w:rFonts w:asciiTheme="majorHAnsi" w:hAnsiTheme="majorHAnsi"/>
          <w:b/>
          <w:bCs/>
          <w:sz w:val="24"/>
          <w:szCs w:val="22"/>
        </w:rPr>
        <w:t>[9]</w:t>
      </w:r>
      <w:r w:rsidRPr="00A46E74">
        <w:rPr>
          <w:rFonts w:asciiTheme="majorHAnsi" w:hAnsiTheme="majorHAnsi"/>
          <w:sz w:val="24"/>
          <w:szCs w:val="22"/>
        </w:rPr>
        <w:t xml:space="preserve"> </w:t>
      </w:r>
      <w:proofErr w:type="spellStart"/>
      <w:r w:rsidRPr="00A46E74">
        <w:rPr>
          <w:rFonts w:asciiTheme="majorHAnsi" w:hAnsiTheme="majorHAnsi"/>
          <w:sz w:val="24"/>
          <w:szCs w:val="22"/>
        </w:rPr>
        <w:t>Auzel</w:t>
      </w:r>
      <w:proofErr w:type="spellEnd"/>
      <w:r w:rsidRPr="00A46E74">
        <w:rPr>
          <w:rFonts w:asciiTheme="majorHAnsi" w:hAnsiTheme="majorHAnsi"/>
          <w:sz w:val="24"/>
          <w:szCs w:val="22"/>
        </w:rPr>
        <w:t xml:space="preserve">, F. (2004). </w:t>
      </w:r>
      <w:proofErr w:type="spellStart"/>
      <w:r w:rsidRPr="00A46E74">
        <w:rPr>
          <w:rFonts w:asciiTheme="majorHAnsi" w:hAnsiTheme="majorHAnsi"/>
          <w:sz w:val="24"/>
          <w:szCs w:val="22"/>
        </w:rPr>
        <w:t>Upconversion</w:t>
      </w:r>
      <w:proofErr w:type="spellEnd"/>
      <w:r w:rsidRPr="00A46E74">
        <w:rPr>
          <w:rFonts w:asciiTheme="majorHAnsi" w:hAnsiTheme="majorHAnsi"/>
          <w:sz w:val="24"/>
          <w:szCs w:val="22"/>
        </w:rPr>
        <w:t xml:space="preserve"> and anti-Stokes processes with f and d ions. </w:t>
      </w:r>
      <w:r w:rsidRPr="00A46E74">
        <w:rPr>
          <w:rFonts w:asciiTheme="majorHAnsi" w:hAnsiTheme="majorHAnsi"/>
          <w:i/>
          <w:iCs/>
          <w:sz w:val="24"/>
          <w:szCs w:val="22"/>
        </w:rPr>
        <w:t>Chemical Reviews</w:t>
      </w:r>
      <w:r w:rsidRPr="00A46E74">
        <w:rPr>
          <w:rFonts w:asciiTheme="majorHAnsi" w:hAnsiTheme="majorHAnsi"/>
          <w:sz w:val="24"/>
          <w:szCs w:val="22"/>
        </w:rPr>
        <w:t>, 104(1), 139–174.</w:t>
      </w:r>
      <w:r>
        <w:rPr>
          <w:rFonts w:asciiTheme="majorHAnsi" w:hAnsiTheme="majorHAnsi"/>
          <w:sz w:val="24"/>
          <w:szCs w:val="22"/>
        </w:rPr>
        <w:t xml:space="preserve"> </w:t>
      </w:r>
      <w:hyperlink r:id="rId37" w:tgtFrame="_new" w:history="1">
        <w:r w:rsidRPr="00A46E74">
          <w:rPr>
            <w:rStyle w:val="Hyperlink"/>
            <w:rFonts w:asciiTheme="majorHAnsi" w:hAnsiTheme="majorHAnsi"/>
            <w:sz w:val="24"/>
            <w:szCs w:val="22"/>
          </w:rPr>
          <w:t>https://doi.org/10.1021/cr020357g</w:t>
        </w:r>
      </w:hyperlink>
    </w:p>
    <w:p w14:paraId="55FB2C11" w14:textId="77777777" w:rsidR="00182652" w:rsidRDefault="00182652" w:rsidP="00182652">
      <w:pPr>
        <w:spacing w:line="360" w:lineRule="auto"/>
        <w:jc w:val="both"/>
        <w:rPr>
          <w:rFonts w:asciiTheme="majorHAnsi" w:hAnsiTheme="majorHAnsi"/>
          <w:sz w:val="24"/>
          <w:szCs w:val="22"/>
        </w:rPr>
      </w:pPr>
      <w:r w:rsidRPr="008418EA">
        <w:rPr>
          <w:rFonts w:asciiTheme="majorHAnsi" w:hAnsiTheme="majorHAnsi"/>
          <w:sz w:val="24"/>
          <w:szCs w:val="22"/>
        </w:rPr>
        <w:t xml:space="preserve">[10] West, A. R. (2014). </w:t>
      </w:r>
      <w:r w:rsidRPr="008418EA">
        <w:rPr>
          <w:rFonts w:asciiTheme="majorHAnsi" w:hAnsiTheme="majorHAnsi"/>
          <w:i/>
          <w:iCs/>
          <w:sz w:val="24"/>
          <w:szCs w:val="22"/>
        </w:rPr>
        <w:t>Solid State Chemistry and Its Applications</w:t>
      </w:r>
      <w:r w:rsidRPr="008418EA">
        <w:rPr>
          <w:rFonts w:asciiTheme="majorHAnsi" w:hAnsiTheme="majorHAnsi"/>
          <w:sz w:val="24"/>
          <w:szCs w:val="22"/>
        </w:rPr>
        <w:t>. Wiley.</w:t>
      </w:r>
    </w:p>
    <w:p w14:paraId="1FD67220" w14:textId="77777777" w:rsidR="00182652" w:rsidRDefault="00182652" w:rsidP="00182652">
      <w:pPr>
        <w:spacing w:line="360" w:lineRule="auto"/>
        <w:jc w:val="both"/>
        <w:rPr>
          <w:rFonts w:asciiTheme="majorHAnsi" w:hAnsiTheme="majorHAnsi"/>
          <w:sz w:val="24"/>
          <w:szCs w:val="22"/>
        </w:rPr>
      </w:pPr>
      <w:r w:rsidRPr="008418EA">
        <w:rPr>
          <w:rFonts w:asciiTheme="majorHAnsi" w:hAnsiTheme="majorHAnsi"/>
          <w:sz w:val="24"/>
          <w:szCs w:val="22"/>
        </w:rPr>
        <w:t xml:space="preserve">[11] German, R. M. (1996). </w:t>
      </w:r>
      <w:r w:rsidRPr="008418EA">
        <w:rPr>
          <w:rFonts w:asciiTheme="majorHAnsi" w:hAnsiTheme="majorHAnsi"/>
          <w:i/>
          <w:iCs/>
          <w:sz w:val="24"/>
          <w:szCs w:val="22"/>
        </w:rPr>
        <w:t>Sintering Theory and Practice</w:t>
      </w:r>
      <w:r w:rsidRPr="008418EA">
        <w:rPr>
          <w:rFonts w:asciiTheme="majorHAnsi" w:hAnsiTheme="majorHAnsi"/>
          <w:sz w:val="24"/>
          <w:szCs w:val="22"/>
        </w:rPr>
        <w:t>. Wiley.</w:t>
      </w:r>
    </w:p>
    <w:p w14:paraId="00E50953" w14:textId="77777777" w:rsidR="00182652" w:rsidRDefault="00182652" w:rsidP="00182652">
      <w:pPr>
        <w:spacing w:line="360" w:lineRule="auto"/>
        <w:jc w:val="both"/>
        <w:rPr>
          <w:rFonts w:asciiTheme="majorHAnsi" w:hAnsiTheme="majorHAnsi"/>
          <w:sz w:val="24"/>
          <w:szCs w:val="22"/>
        </w:rPr>
      </w:pPr>
      <w:r w:rsidRPr="008418EA">
        <w:rPr>
          <w:rFonts w:asciiTheme="majorHAnsi" w:hAnsiTheme="majorHAnsi"/>
          <w:sz w:val="24"/>
          <w:szCs w:val="22"/>
        </w:rPr>
        <w:t xml:space="preserve">[12] Chiang, Y. M., Birnie, D., &amp; Kingery, W. D. (1997). </w:t>
      </w:r>
      <w:r w:rsidRPr="008418EA">
        <w:rPr>
          <w:rFonts w:asciiTheme="majorHAnsi" w:hAnsiTheme="majorHAnsi"/>
          <w:i/>
          <w:iCs/>
          <w:sz w:val="24"/>
          <w:szCs w:val="22"/>
        </w:rPr>
        <w:t>Physical Ceramics</w:t>
      </w:r>
      <w:r w:rsidRPr="008418EA">
        <w:rPr>
          <w:rFonts w:asciiTheme="majorHAnsi" w:hAnsiTheme="majorHAnsi"/>
          <w:sz w:val="24"/>
          <w:szCs w:val="22"/>
        </w:rPr>
        <w:t>. Wiley.</w:t>
      </w:r>
    </w:p>
    <w:p w14:paraId="6DA36481" w14:textId="77777777" w:rsidR="00182652" w:rsidRDefault="00182652" w:rsidP="00182652">
      <w:pPr>
        <w:spacing w:line="360" w:lineRule="auto"/>
        <w:jc w:val="both"/>
        <w:rPr>
          <w:rFonts w:asciiTheme="majorHAnsi" w:hAnsiTheme="majorHAnsi"/>
          <w:sz w:val="24"/>
          <w:szCs w:val="22"/>
        </w:rPr>
      </w:pPr>
      <w:r w:rsidRPr="008418EA">
        <w:rPr>
          <w:rFonts w:asciiTheme="majorHAnsi" w:hAnsiTheme="majorHAnsi"/>
          <w:sz w:val="24"/>
          <w:szCs w:val="22"/>
        </w:rPr>
        <w:t xml:space="preserve">[13] Cullity, B. D., &amp; Stock, S. R. (2001). </w:t>
      </w:r>
      <w:r w:rsidRPr="008418EA">
        <w:rPr>
          <w:rFonts w:asciiTheme="majorHAnsi" w:hAnsiTheme="majorHAnsi"/>
          <w:i/>
          <w:iCs/>
          <w:sz w:val="24"/>
          <w:szCs w:val="22"/>
        </w:rPr>
        <w:t>Elements of X-Ray Diffraction</w:t>
      </w:r>
      <w:r w:rsidRPr="008418EA">
        <w:rPr>
          <w:rFonts w:asciiTheme="majorHAnsi" w:hAnsiTheme="majorHAnsi"/>
          <w:sz w:val="24"/>
          <w:szCs w:val="22"/>
        </w:rPr>
        <w:t>. Prentice Hall.</w:t>
      </w:r>
    </w:p>
    <w:p w14:paraId="7519C1D8" w14:textId="4590AC83" w:rsidR="00A46E74" w:rsidRDefault="00A46E74" w:rsidP="00A46E74">
      <w:pPr>
        <w:spacing w:line="360" w:lineRule="auto"/>
        <w:jc w:val="both"/>
        <w:rPr>
          <w:rFonts w:asciiTheme="majorHAnsi" w:hAnsiTheme="majorHAnsi"/>
          <w:sz w:val="24"/>
          <w:szCs w:val="22"/>
        </w:rPr>
      </w:pPr>
      <w:r w:rsidRPr="00A46E74">
        <w:rPr>
          <w:rFonts w:asciiTheme="majorHAnsi" w:hAnsiTheme="majorHAnsi"/>
          <w:b/>
          <w:bCs/>
          <w:sz w:val="24"/>
          <w:szCs w:val="22"/>
        </w:rPr>
        <w:t>[14]</w:t>
      </w:r>
      <w:r w:rsidRPr="00A46E74">
        <w:rPr>
          <w:rFonts w:asciiTheme="majorHAnsi" w:hAnsiTheme="majorHAnsi"/>
          <w:sz w:val="24"/>
          <w:szCs w:val="22"/>
        </w:rPr>
        <w:t xml:space="preserve"> Goldstein, J., et al. (2017). </w:t>
      </w:r>
      <w:r w:rsidRPr="00A46E74">
        <w:rPr>
          <w:rFonts w:asciiTheme="majorHAnsi" w:hAnsiTheme="majorHAnsi"/>
          <w:i/>
          <w:iCs/>
          <w:sz w:val="24"/>
          <w:szCs w:val="22"/>
        </w:rPr>
        <w:t>Scanning Electron Microscopy and X-ray Microanalysis</w:t>
      </w:r>
      <w:r w:rsidRPr="00A46E74">
        <w:rPr>
          <w:rFonts w:asciiTheme="majorHAnsi" w:hAnsiTheme="majorHAnsi"/>
          <w:sz w:val="24"/>
          <w:szCs w:val="22"/>
        </w:rPr>
        <w:t>. Springer.</w:t>
      </w:r>
      <w:r>
        <w:rPr>
          <w:rFonts w:asciiTheme="majorHAnsi" w:hAnsiTheme="majorHAnsi"/>
          <w:sz w:val="24"/>
          <w:szCs w:val="22"/>
        </w:rPr>
        <w:t xml:space="preserve"> </w:t>
      </w:r>
      <w:hyperlink r:id="rId38" w:history="1">
        <w:r w:rsidRPr="000A2D91">
          <w:rPr>
            <w:rStyle w:val="Hyperlink"/>
            <w:rFonts w:asciiTheme="majorHAnsi" w:hAnsiTheme="majorHAnsi"/>
            <w:sz w:val="24"/>
            <w:szCs w:val="22"/>
          </w:rPr>
          <w:t>https://doi.org/10.1007/978-1-4939-6676-9</w:t>
        </w:r>
      </w:hyperlink>
    </w:p>
    <w:p w14:paraId="3053A147" w14:textId="0AFEF41E" w:rsidR="00182652" w:rsidRDefault="00182652" w:rsidP="00A46E74">
      <w:pPr>
        <w:spacing w:line="360" w:lineRule="auto"/>
        <w:jc w:val="both"/>
        <w:rPr>
          <w:rFonts w:asciiTheme="majorHAnsi" w:hAnsiTheme="majorHAnsi"/>
          <w:sz w:val="24"/>
          <w:szCs w:val="22"/>
        </w:rPr>
      </w:pPr>
      <w:r w:rsidRPr="008418EA">
        <w:rPr>
          <w:rFonts w:asciiTheme="majorHAnsi" w:hAnsiTheme="majorHAnsi"/>
          <w:sz w:val="24"/>
          <w:szCs w:val="22"/>
        </w:rPr>
        <w:t xml:space="preserve">[15] Barsoum, M. W. (2002). </w:t>
      </w:r>
      <w:r w:rsidRPr="008418EA">
        <w:rPr>
          <w:rFonts w:asciiTheme="majorHAnsi" w:hAnsiTheme="majorHAnsi"/>
          <w:i/>
          <w:iCs/>
          <w:sz w:val="24"/>
          <w:szCs w:val="22"/>
        </w:rPr>
        <w:t>Fundamentals of Ceramics</w:t>
      </w:r>
      <w:r w:rsidRPr="008418EA">
        <w:rPr>
          <w:rFonts w:asciiTheme="majorHAnsi" w:hAnsiTheme="majorHAnsi"/>
          <w:sz w:val="24"/>
          <w:szCs w:val="22"/>
        </w:rPr>
        <w:t>. Taylor &amp; Francis.</w:t>
      </w:r>
    </w:p>
    <w:p w14:paraId="2A75306D" w14:textId="77777777" w:rsidR="00A46E74" w:rsidRDefault="00A46E74" w:rsidP="00A46E74">
      <w:pPr>
        <w:spacing w:line="360" w:lineRule="auto"/>
        <w:jc w:val="both"/>
        <w:rPr>
          <w:rFonts w:asciiTheme="majorHAnsi" w:hAnsiTheme="majorHAnsi"/>
          <w:sz w:val="24"/>
          <w:szCs w:val="22"/>
        </w:rPr>
      </w:pPr>
      <w:r w:rsidRPr="00A46E74">
        <w:rPr>
          <w:rFonts w:asciiTheme="majorHAnsi" w:hAnsiTheme="majorHAnsi"/>
          <w:b/>
          <w:bCs/>
          <w:sz w:val="24"/>
          <w:szCs w:val="22"/>
        </w:rPr>
        <w:t>[16]</w:t>
      </w:r>
      <w:r w:rsidRPr="00A46E74">
        <w:rPr>
          <w:rFonts w:asciiTheme="majorHAnsi" w:hAnsiTheme="majorHAnsi"/>
          <w:sz w:val="24"/>
          <w:szCs w:val="22"/>
        </w:rPr>
        <w:t xml:space="preserve"> </w:t>
      </w:r>
      <w:proofErr w:type="spellStart"/>
      <w:r w:rsidRPr="00A46E74">
        <w:rPr>
          <w:rFonts w:asciiTheme="majorHAnsi" w:hAnsiTheme="majorHAnsi"/>
          <w:sz w:val="24"/>
          <w:szCs w:val="22"/>
        </w:rPr>
        <w:t>Barsoukov</w:t>
      </w:r>
      <w:proofErr w:type="spellEnd"/>
      <w:r w:rsidRPr="00A46E74">
        <w:rPr>
          <w:rFonts w:asciiTheme="majorHAnsi" w:hAnsiTheme="majorHAnsi"/>
          <w:sz w:val="24"/>
          <w:szCs w:val="22"/>
        </w:rPr>
        <w:t xml:space="preserve">, E., &amp; Macdonald, J. R. (2005). </w:t>
      </w:r>
      <w:r w:rsidRPr="00A46E74">
        <w:rPr>
          <w:rFonts w:asciiTheme="majorHAnsi" w:hAnsiTheme="majorHAnsi"/>
          <w:i/>
          <w:iCs/>
          <w:sz w:val="24"/>
          <w:szCs w:val="22"/>
        </w:rPr>
        <w:t>Impedance Spectroscopy: Theory, Experiment, and Applications</w:t>
      </w:r>
      <w:r w:rsidRPr="00A46E74">
        <w:rPr>
          <w:rFonts w:asciiTheme="majorHAnsi" w:hAnsiTheme="majorHAnsi"/>
          <w:sz w:val="24"/>
          <w:szCs w:val="22"/>
        </w:rPr>
        <w:t>. Wiley.</w:t>
      </w:r>
      <w:r>
        <w:rPr>
          <w:rFonts w:asciiTheme="majorHAnsi" w:hAnsiTheme="majorHAnsi"/>
          <w:sz w:val="24"/>
          <w:szCs w:val="22"/>
        </w:rPr>
        <w:t xml:space="preserve"> </w:t>
      </w:r>
      <w:hyperlink r:id="rId39" w:tgtFrame="_new" w:history="1">
        <w:r w:rsidRPr="00A46E74">
          <w:rPr>
            <w:rStyle w:val="Hyperlink"/>
            <w:rFonts w:asciiTheme="majorHAnsi" w:hAnsiTheme="majorHAnsi"/>
            <w:sz w:val="24"/>
            <w:szCs w:val="22"/>
          </w:rPr>
          <w:t>https://doi.org/10.1002/0471716243</w:t>
        </w:r>
      </w:hyperlink>
      <w:r w:rsidRPr="00A46E74">
        <w:rPr>
          <w:rFonts w:asciiTheme="majorHAnsi" w:hAnsiTheme="majorHAnsi"/>
          <w:sz w:val="24"/>
          <w:szCs w:val="22"/>
        </w:rPr>
        <w:t xml:space="preserve"> </w:t>
      </w:r>
    </w:p>
    <w:p w14:paraId="4FB0111D" w14:textId="3DEAC1C1" w:rsidR="00A46E74" w:rsidRDefault="00A46E74" w:rsidP="00A46E74">
      <w:pPr>
        <w:spacing w:line="360" w:lineRule="auto"/>
        <w:jc w:val="both"/>
        <w:rPr>
          <w:rFonts w:asciiTheme="majorHAnsi" w:hAnsiTheme="majorHAnsi"/>
          <w:sz w:val="24"/>
          <w:szCs w:val="22"/>
        </w:rPr>
      </w:pPr>
      <w:r w:rsidRPr="00A46E74">
        <w:rPr>
          <w:rFonts w:asciiTheme="majorHAnsi" w:hAnsiTheme="majorHAnsi"/>
          <w:b/>
          <w:bCs/>
          <w:sz w:val="24"/>
          <w:szCs w:val="22"/>
        </w:rPr>
        <w:t>[17]</w:t>
      </w:r>
      <w:r w:rsidRPr="00A46E74">
        <w:rPr>
          <w:rFonts w:asciiTheme="majorHAnsi" w:hAnsiTheme="majorHAnsi"/>
          <w:sz w:val="24"/>
          <w:szCs w:val="22"/>
        </w:rPr>
        <w:t xml:space="preserve"> Shannon, R. D. (1976). Revised effective ionic radii. </w:t>
      </w:r>
      <w:r w:rsidRPr="00A46E74">
        <w:rPr>
          <w:rFonts w:asciiTheme="majorHAnsi" w:hAnsiTheme="majorHAnsi"/>
          <w:i/>
          <w:iCs/>
          <w:sz w:val="24"/>
          <w:szCs w:val="22"/>
        </w:rPr>
        <w:t xml:space="preserve">Acta </w:t>
      </w:r>
      <w:proofErr w:type="spellStart"/>
      <w:r w:rsidRPr="00A46E74">
        <w:rPr>
          <w:rFonts w:asciiTheme="majorHAnsi" w:hAnsiTheme="majorHAnsi"/>
          <w:i/>
          <w:iCs/>
          <w:sz w:val="24"/>
          <w:szCs w:val="22"/>
        </w:rPr>
        <w:t>Crystallographica</w:t>
      </w:r>
      <w:proofErr w:type="spellEnd"/>
      <w:r w:rsidRPr="00A46E74">
        <w:rPr>
          <w:rFonts w:asciiTheme="majorHAnsi" w:hAnsiTheme="majorHAnsi"/>
          <w:i/>
          <w:iCs/>
          <w:sz w:val="24"/>
          <w:szCs w:val="22"/>
        </w:rPr>
        <w:t xml:space="preserve"> A</w:t>
      </w:r>
      <w:r w:rsidRPr="00A46E74">
        <w:rPr>
          <w:rFonts w:asciiTheme="majorHAnsi" w:hAnsiTheme="majorHAnsi"/>
          <w:sz w:val="24"/>
          <w:szCs w:val="22"/>
        </w:rPr>
        <w:t>, 32(5), 751–767.</w:t>
      </w:r>
      <w:r>
        <w:rPr>
          <w:rFonts w:asciiTheme="majorHAnsi" w:hAnsiTheme="majorHAnsi"/>
          <w:sz w:val="24"/>
          <w:szCs w:val="22"/>
        </w:rPr>
        <w:t xml:space="preserve"> </w:t>
      </w:r>
      <w:hyperlink r:id="rId40" w:history="1">
        <w:r w:rsidRPr="000A2D91">
          <w:rPr>
            <w:rStyle w:val="Hyperlink"/>
            <w:rFonts w:asciiTheme="majorHAnsi" w:hAnsiTheme="majorHAnsi"/>
            <w:sz w:val="24"/>
            <w:szCs w:val="22"/>
          </w:rPr>
          <w:t>https://doi.org/10.1107/S0567739476001551</w:t>
        </w:r>
      </w:hyperlink>
    </w:p>
    <w:p w14:paraId="5E0F994D" w14:textId="1F2368A2" w:rsidR="00A46E74" w:rsidRDefault="00182652" w:rsidP="00A46E74">
      <w:pPr>
        <w:spacing w:line="360" w:lineRule="auto"/>
        <w:jc w:val="both"/>
        <w:rPr>
          <w:rFonts w:asciiTheme="majorHAnsi" w:hAnsiTheme="majorHAnsi"/>
          <w:szCs w:val="22"/>
        </w:rPr>
      </w:pPr>
      <w:r w:rsidRPr="008418EA">
        <w:rPr>
          <w:rFonts w:asciiTheme="majorHAnsi" w:hAnsiTheme="majorHAnsi"/>
          <w:sz w:val="24"/>
          <w:szCs w:val="22"/>
        </w:rPr>
        <w:t xml:space="preserve">[18] Kingery, W. D., Bowen, H. K., &amp; Uhlmann, D. R. (1976). </w:t>
      </w:r>
      <w:r w:rsidRPr="008418EA">
        <w:rPr>
          <w:rFonts w:asciiTheme="majorHAnsi" w:hAnsiTheme="majorHAnsi"/>
          <w:i/>
          <w:iCs/>
          <w:sz w:val="24"/>
          <w:szCs w:val="22"/>
        </w:rPr>
        <w:t>Introduction to Ceramics</w:t>
      </w:r>
      <w:r w:rsidRPr="008418EA">
        <w:rPr>
          <w:rFonts w:asciiTheme="majorHAnsi" w:hAnsiTheme="majorHAnsi"/>
          <w:sz w:val="24"/>
          <w:szCs w:val="22"/>
        </w:rPr>
        <w:t>. Wiley.</w:t>
      </w:r>
      <w:r w:rsidRPr="008418EA">
        <w:rPr>
          <w:rFonts w:asciiTheme="majorHAnsi" w:hAnsiTheme="majorHAnsi"/>
          <w:sz w:val="24"/>
          <w:szCs w:val="22"/>
        </w:rPr>
        <w:br/>
        <w:t xml:space="preserve">[19] Wagner, K. W. (1914). Explanation of dielectric relaxation. </w:t>
      </w:r>
      <w:proofErr w:type="spellStart"/>
      <w:r w:rsidRPr="008418EA">
        <w:rPr>
          <w:rFonts w:asciiTheme="majorHAnsi" w:hAnsiTheme="majorHAnsi"/>
          <w:i/>
          <w:iCs/>
          <w:sz w:val="24"/>
          <w:szCs w:val="22"/>
        </w:rPr>
        <w:t>Archiv</w:t>
      </w:r>
      <w:proofErr w:type="spellEnd"/>
      <w:r w:rsidRPr="008418EA">
        <w:rPr>
          <w:rFonts w:asciiTheme="majorHAnsi" w:hAnsiTheme="majorHAnsi"/>
          <w:i/>
          <w:iCs/>
          <w:sz w:val="24"/>
          <w:szCs w:val="22"/>
        </w:rPr>
        <w:t xml:space="preserve"> </w:t>
      </w:r>
      <w:proofErr w:type="spellStart"/>
      <w:r w:rsidRPr="008418EA">
        <w:rPr>
          <w:rFonts w:asciiTheme="majorHAnsi" w:hAnsiTheme="majorHAnsi"/>
          <w:i/>
          <w:iCs/>
          <w:sz w:val="24"/>
          <w:szCs w:val="22"/>
        </w:rPr>
        <w:t>für</w:t>
      </w:r>
      <w:proofErr w:type="spellEnd"/>
      <w:r w:rsidRPr="008418EA">
        <w:rPr>
          <w:rFonts w:asciiTheme="majorHAnsi" w:hAnsiTheme="majorHAnsi"/>
          <w:i/>
          <w:iCs/>
          <w:sz w:val="24"/>
          <w:szCs w:val="22"/>
        </w:rPr>
        <w:t xml:space="preserve"> </w:t>
      </w:r>
      <w:proofErr w:type="spellStart"/>
      <w:r w:rsidRPr="008418EA">
        <w:rPr>
          <w:rFonts w:asciiTheme="majorHAnsi" w:hAnsiTheme="majorHAnsi"/>
          <w:i/>
          <w:iCs/>
          <w:sz w:val="24"/>
          <w:szCs w:val="22"/>
        </w:rPr>
        <w:t>Elektrotechnik</w:t>
      </w:r>
      <w:proofErr w:type="spellEnd"/>
      <w:r w:rsidRPr="008418EA">
        <w:rPr>
          <w:rFonts w:asciiTheme="majorHAnsi" w:hAnsiTheme="majorHAnsi"/>
          <w:sz w:val="24"/>
          <w:szCs w:val="22"/>
        </w:rPr>
        <w:t>, 2, 371–387.</w:t>
      </w:r>
      <w:r w:rsidRPr="008418EA">
        <w:rPr>
          <w:rFonts w:asciiTheme="majorHAnsi" w:hAnsiTheme="majorHAnsi"/>
          <w:sz w:val="24"/>
          <w:szCs w:val="22"/>
        </w:rPr>
        <w:br/>
      </w:r>
      <w:r w:rsidR="00A46E74" w:rsidRPr="00A46E74">
        <w:rPr>
          <w:rFonts w:asciiTheme="majorHAnsi" w:hAnsiTheme="majorHAnsi"/>
          <w:szCs w:val="22"/>
        </w:rPr>
        <w:t xml:space="preserve">[20] </w:t>
      </w:r>
      <w:proofErr w:type="spellStart"/>
      <w:r w:rsidR="00A46E74" w:rsidRPr="00A46E74">
        <w:rPr>
          <w:rFonts w:asciiTheme="majorHAnsi" w:hAnsiTheme="majorHAnsi"/>
          <w:szCs w:val="22"/>
        </w:rPr>
        <w:t>Jonscher</w:t>
      </w:r>
      <w:proofErr w:type="spellEnd"/>
      <w:r w:rsidR="00A46E74" w:rsidRPr="00A46E74">
        <w:rPr>
          <w:rFonts w:asciiTheme="majorHAnsi" w:hAnsiTheme="majorHAnsi"/>
          <w:szCs w:val="22"/>
        </w:rPr>
        <w:t xml:space="preserve">, A. K. (1977). The universal dielectric response. </w:t>
      </w:r>
      <w:r w:rsidR="00A46E74" w:rsidRPr="00A46E74">
        <w:rPr>
          <w:rFonts w:asciiTheme="majorHAnsi" w:hAnsiTheme="majorHAnsi"/>
          <w:i/>
          <w:iCs/>
          <w:szCs w:val="22"/>
        </w:rPr>
        <w:t>Nature</w:t>
      </w:r>
      <w:r w:rsidR="00A46E74" w:rsidRPr="00A46E74">
        <w:rPr>
          <w:rFonts w:asciiTheme="majorHAnsi" w:hAnsiTheme="majorHAnsi"/>
          <w:szCs w:val="22"/>
        </w:rPr>
        <w:t>, 267, 673–679.</w:t>
      </w:r>
      <w:r w:rsidR="00A46E74" w:rsidRPr="00A46E74">
        <w:rPr>
          <w:rFonts w:asciiTheme="majorHAnsi" w:hAnsiTheme="majorHAnsi"/>
          <w:szCs w:val="22"/>
        </w:rPr>
        <w:br/>
      </w:r>
      <w:hyperlink r:id="rId41" w:history="1">
        <w:r w:rsidR="00A46E74" w:rsidRPr="000A2D91">
          <w:rPr>
            <w:rStyle w:val="Hyperlink"/>
            <w:rFonts w:asciiTheme="majorHAnsi" w:hAnsiTheme="majorHAnsi"/>
            <w:szCs w:val="22"/>
          </w:rPr>
          <w:t>https://doi.org/10.1038/267673a0</w:t>
        </w:r>
      </w:hyperlink>
    </w:p>
    <w:p w14:paraId="39275F8C" w14:textId="7E34FE96" w:rsidR="00182652" w:rsidRDefault="00A46E74" w:rsidP="00A46E74">
      <w:pPr>
        <w:spacing w:line="360" w:lineRule="auto"/>
        <w:jc w:val="both"/>
        <w:rPr>
          <w:rFonts w:asciiTheme="majorHAnsi" w:hAnsiTheme="majorHAnsi"/>
          <w:sz w:val="24"/>
          <w:szCs w:val="22"/>
        </w:rPr>
      </w:pPr>
      <w:r w:rsidRPr="00A46E74">
        <w:rPr>
          <w:rFonts w:asciiTheme="majorHAnsi" w:hAnsiTheme="majorHAnsi"/>
          <w:b/>
          <w:bCs/>
          <w:sz w:val="24"/>
          <w:szCs w:val="22"/>
        </w:rPr>
        <w:t>[21]</w:t>
      </w:r>
      <w:r w:rsidRPr="00A46E74">
        <w:rPr>
          <w:rFonts w:asciiTheme="majorHAnsi" w:hAnsiTheme="majorHAnsi"/>
          <w:sz w:val="24"/>
          <w:szCs w:val="22"/>
        </w:rPr>
        <w:t xml:space="preserve"> Elliott, S. R. (1987). A.C. conduction in disordered materials. </w:t>
      </w:r>
      <w:r w:rsidRPr="00A46E74">
        <w:rPr>
          <w:rFonts w:asciiTheme="majorHAnsi" w:hAnsiTheme="majorHAnsi"/>
          <w:i/>
          <w:iCs/>
          <w:sz w:val="24"/>
          <w:szCs w:val="22"/>
        </w:rPr>
        <w:t>Advances in Physics</w:t>
      </w:r>
      <w:r w:rsidRPr="00A46E74">
        <w:rPr>
          <w:rFonts w:asciiTheme="majorHAnsi" w:hAnsiTheme="majorHAnsi"/>
          <w:sz w:val="24"/>
          <w:szCs w:val="22"/>
        </w:rPr>
        <w:t>, 36(2), 135–217.</w:t>
      </w:r>
      <w:r>
        <w:rPr>
          <w:rFonts w:asciiTheme="majorHAnsi" w:hAnsiTheme="majorHAnsi"/>
          <w:sz w:val="24"/>
          <w:szCs w:val="22"/>
        </w:rPr>
        <w:t xml:space="preserve"> </w:t>
      </w:r>
      <w:hyperlink r:id="rId42" w:history="1">
        <w:r w:rsidRPr="000A2D91">
          <w:rPr>
            <w:rStyle w:val="Hyperlink"/>
            <w:rFonts w:asciiTheme="majorHAnsi" w:hAnsiTheme="majorHAnsi"/>
            <w:sz w:val="24"/>
            <w:szCs w:val="22"/>
          </w:rPr>
          <w:t>https://doi.org/10.1080/00018738700101971</w:t>
        </w:r>
      </w:hyperlink>
    </w:p>
    <w:p w14:paraId="368958E6" w14:textId="77777777" w:rsidR="00182652" w:rsidRPr="00182652" w:rsidRDefault="00182652" w:rsidP="00182652">
      <w:pPr>
        <w:spacing w:line="360" w:lineRule="auto"/>
        <w:jc w:val="both"/>
        <w:rPr>
          <w:rFonts w:asciiTheme="majorHAnsi" w:hAnsiTheme="majorHAnsi"/>
          <w:b/>
          <w:bCs/>
          <w:sz w:val="24"/>
          <w:szCs w:val="22"/>
        </w:rPr>
      </w:pPr>
    </w:p>
    <w:sectPr w:rsidR="00182652" w:rsidRPr="00182652" w:rsidSect="00D373A9">
      <w:headerReference w:type="even" r:id="rId43"/>
      <w:headerReference w:type="default" r:id="rId44"/>
      <w:footerReference w:type="even" r:id="rId45"/>
      <w:footerReference w:type="default" r:id="rId46"/>
      <w:headerReference w:type="first" r:id="rId47"/>
      <w:footerReference w:type="first" r:id="rId4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ED0C33A" w14:textId="77777777" w:rsidR="007E5E9A" w:rsidRDefault="007E5E9A" w:rsidP="009805F3">
      <w:r>
        <w:separator/>
      </w:r>
    </w:p>
  </w:endnote>
  <w:endnote w:type="continuationSeparator" w:id="0">
    <w:p w14:paraId="262D98FD" w14:textId="77777777" w:rsidR="007E5E9A" w:rsidRDefault="007E5E9A" w:rsidP="009805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hruti">
    <w:altName w:val="Shruti"/>
    <w:panose1 w:val="02000500000000000000"/>
    <w:charset w:val="00"/>
    <w:family w:val="swiss"/>
    <w:pitch w:val="variable"/>
    <w:sig w:usb0="0004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C476AA" w14:textId="77777777" w:rsidR="009805F3" w:rsidRDefault="009805F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E64199" w14:textId="77777777" w:rsidR="009805F3" w:rsidRDefault="009805F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601C16" w14:textId="77777777" w:rsidR="009805F3" w:rsidRDefault="009805F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A25653" w14:textId="77777777" w:rsidR="007E5E9A" w:rsidRDefault="007E5E9A" w:rsidP="009805F3">
      <w:r>
        <w:separator/>
      </w:r>
    </w:p>
  </w:footnote>
  <w:footnote w:type="continuationSeparator" w:id="0">
    <w:p w14:paraId="41F37498" w14:textId="77777777" w:rsidR="007E5E9A" w:rsidRDefault="007E5E9A" w:rsidP="009805F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0BEE73" w14:textId="1D68388E" w:rsidR="009805F3" w:rsidRDefault="006A4323">
    <w:pPr>
      <w:pStyle w:val="Header"/>
    </w:pPr>
    <w:r>
      <w:rPr>
        <w:noProof/>
      </w:rPr>
      <w:pict w14:anchorId="30CF57C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03779938" o:spid="_x0000_s2050" type="#_x0000_t136" style="position:absolute;margin-left:0;margin-top:0;width:555.05pt;height:104.6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8C31DC" w14:textId="0A09696A" w:rsidR="009805F3" w:rsidRDefault="006A4323">
    <w:pPr>
      <w:pStyle w:val="Header"/>
    </w:pPr>
    <w:r>
      <w:rPr>
        <w:noProof/>
      </w:rPr>
      <w:pict w14:anchorId="5CA6E76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03779939" o:spid="_x0000_s2051" type="#_x0000_t136" style="position:absolute;margin-left:0;margin-top:0;width:555.05pt;height:104.6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060A22" w14:textId="097C86E2" w:rsidR="009805F3" w:rsidRDefault="006A4323">
    <w:pPr>
      <w:pStyle w:val="Header"/>
    </w:pPr>
    <w:r>
      <w:rPr>
        <w:noProof/>
      </w:rPr>
      <w:pict w14:anchorId="1C97E01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03779937" o:spid="_x0000_s2049" type="#_x0000_t136" style="position:absolute;margin-left:0;margin-top:0;width:555.05pt;height:104.6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4D222E"/>
    <w:multiLevelType w:val="multilevel"/>
    <w:tmpl w:val="D1E00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CAB7732"/>
    <w:multiLevelType w:val="multilevel"/>
    <w:tmpl w:val="F9FCC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hideSpellingErrors/>
  <w:hideGrammaticalErrors/>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docVars>
    <w:docVar w:name="__Grammarly_42____i" w:val="H4sIAAAAAAAEAKtWckksSQxILCpxzi/NK1GyMqwFAAEhoTITAAAA"/>
    <w:docVar w:name="__Grammarly_42___1" w:val="H4sIAAAAAAAEAKtWcslP9kxRslIyNDYxMjKzNLUwtTQ3M7UwMzZU0lEKTi0uzszPAykwrAUAwKzPySwAAAA="/>
  </w:docVars>
  <w:rsids>
    <w:rsidRoot w:val="008418EA"/>
    <w:rsid w:val="00112E8A"/>
    <w:rsid w:val="00173A35"/>
    <w:rsid w:val="00182652"/>
    <w:rsid w:val="0027647B"/>
    <w:rsid w:val="002B4E86"/>
    <w:rsid w:val="003C616F"/>
    <w:rsid w:val="00440F08"/>
    <w:rsid w:val="004611AE"/>
    <w:rsid w:val="0050039E"/>
    <w:rsid w:val="005A47D0"/>
    <w:rsid w:val="005F727D"/>
    <w:rsid w:val="0063385F"/>
    <w:rsid w:val="006A4323"/>
    <w:rsid w:val="006C4578"/>
    <w:rsid w:val="007A4882"/>
    <w:rsid w:val="007E5E9A"/>
    <w:rsid w:val="008418EA"/>
    <w:rsid w:val="00856A02"/>
    <w:rsid w:val="008A79FC"/>
    <w:rsid w:val="00910D38"/>
    <w:rsid w:val="00940C86"/>
    <w:rsid w:val="009805F3"/>
    <w:rsid w:val="00A4004C"/>
    <w:rsid w:val="00A46E74"/>
    <w:rsid w:val="00A61E84"/>
    <w:rsid w:val="00B0313C"/>
    <w:rsid w:val="00B11741"/>
    <w:rsid w:val="00B92C6E"/>
    <w:rsid w:val="00D342F1"/>
    <w:rsid w:val="00D373A9"/>
    <w:rsid w:val="00DF57AC"/>
    <w:rsid w:val="00E50FEA"/>
    <w:rsid w:val="00E53CF2"/>
    <w:rsid w:val="00EC1467"/>
  </w:rsids>
  <m:mathPr>
    <m:mathFont m:val="Cambria Math"/>
    <m:brkBin m:val="before"/>
    <m:brkBinSub m:val="--"/>
    <m:smallFrac/>
    <m:dispDef/>
    <m:lMargin m:val="0"/>
    <m:rMargin m:val="0"/>
    <m:defJc m:val="centerGroup"/>
    <m:wrapIndent m:val="1440"/>
    <m:intLim m:val="subSup"/>
    <m:naryLim m:val="undOvr"/>
  </m:mathPr>
  <w:themeFontLang w:val="en-US" w:bidi="gu-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4C6CB311"/>
  <w15:docId w15:val="{FB81AFE4-51BC-4698-A6DE-899DC1E845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lang w:val="en-US" w:eastAsia="en-US" w:bidi="hi-IN"/>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373A9"/>
  </w:style>
  <w:style w:type="paragraph" w:styleId="Heading1">
    <w:name w:val="heading 1"/>
    <w:basedOn w:val="Normal"/>
    <w:next w:val="Normal"/>
    <w:link w:val="Heading1Char"/>
    <w:uiPriority w:val="9"/>
    <w:qFormat/>
    <w:rsid w:val="008418EA"/>
    <w:pPr>
      <w:keepNext/>
      <w:keepLines/>
      <w:spacing w:before="360" w:after="80"/>
      <w:outlineLvl w:val="0"/>
    </w:pPr>
    <w:rPr>
      <w:rFonts w:asciiTheme="majorHAnsi" w:eastAsiaTheme="majorEastAsia" w:hAnsiTheme="majorHAnsi" w:cstheme="majorBidi"/>
      <w:color w:val="365F91" w:themeColor="accent1" w:themeShade="BF"/>
      <w:sz w:val="40"/>
      <w:szCs w:val="36"/>
    </w:rPr>
  </w:style>
  <w:style w:type="paragraph" w:styleId="Heading2">
    <w:name w:val="heading 2"/>
    <w:basedOn w:val="Normal"/>
    <w:next w:val="Normal"/>
    <w:link w:val="Heading2Char"/>
    <w:uiPriority w:val="9"/>
    <w:semiHidden/>
    <w:unhideWhenUsed/>
    <w:qFormat/>
    <w:rsid w:val="008418EA"/>
    <w:pPr>
      <w:keepNext/>
      <w:keepLines/>
      <w:spacing w:before="160" w:after="80"/>
      <w:outlineLvl w:val="1"/>
    </w:pPr>
    <w:rPr>
      <w:rFonts w:asciiTheme="majorHAnsi" w:eastAsiaTheme="majorEastAsia" w:hAnsiTheme="majorHAnsi" w:cstheme="majorBidi"/>
      <w:color w:val="365F91" w:themeColor="accent1" w:themeShade="BF"/>
      <w:sz w:val="32"/>
      <w:szCs w:val="29"/>
    </w:rPr>
  </w:style>
  <w:style w:type="paragraph" w:styleId="Heading3">
    <w:name w:val="heading 3"/>
    <w:basedOn w:val="Normal"/>
    <w:next w:val="Normal"/>
    <w:link w:val="Heading3Char"/>
    <w:uiPriority w:val="9"/>
    <w:semiHidden/>
    <w:unhideWhenUsed/>
    <w:qFormat/>
    <w:rsid w:val="008418EA"/>
    <w:pPr>
      <w:keepNext/>
      <w:keepLines/>
      <w:spacing w:before="160" w:after="80"/>
      <w:outlineLvl w:val="2"/>
    </w:pPr>
    <w:rPr>
      <w:rFonts w:eastAsiaTheme="majorEastAsia" w:cstheme="majorBidi"/>
      <w:color w:val="365F91" w:themeColor="accent1" w:themeShade="BF"/>
      <w:sz w:val="28"/>
      <w:szCs w:val="25"/>
    </w:rPr>
  </w:style>
  <w:style w:type="paragraph" w:styleId="Heading4">
    <w:name w:val="heading 4"/>
    <w:basedOn w:val="Normal"/>
    <w:next w:val="Normal"/>
    <w:link w:val="Heading4Char"/>
    <w:uiPriority w:val="9"/>
    <w:semiHidden/>
    <w:unhideWhenUsed/>
    <w:qFormat/>
    <w:rsid w:val="008418EA"/>
    <w:pPr>
      <w:keepNext/>
      <w:keepLines/>
      <w:spacing w:before="80" w:after="40"/>
      <w:outlineLvl w:val="3"/>
    </w:pPr>
    <w:rPr>
      <w:rFonts w:eastAsiaTheme="majorEastAsia" w:cstheme="majorBidi"/>
      <w:i/>
      <w:iCs/>
      <w:color w:val="365F91" w:themeColor="accent1" w:themeShade="BF"/>
    </w:rPr>
  </w:style>
  <w:style w:type="paragraph" w:styleId="Heading5">
    <w:name w:val="heading 5"/>
    <w:basedOn w:val="Normal"/>
    <w:next w:val="Normal"/>
    <w:link w:val="Heading5Char"/>
    <w:uiPriority w:val="9"/>
    <w:semiHidden/>
    <w:unhideWhenUsed/>
    <w:qFormat/>
    <w:rsid w:val="008418EA"/>
    <w:pPr>
      <w:keepNext/>
      <w:keepLines/>
      <w:spacing w:before="80" w:after="40"/>
      <w:outlineLvl w:val="4"/>
    </w:pPr>
    <w:rPr>
      <w:rFonts w:eastAsiaTheme="majorEastAsia" w:cstheme="majorBidi"/>
      <w:color w:val="365F91" w:themeColor="accent1" w:themeShade="BF"/>
    </w:rPr>
  </w:style>
  <w:style w:type="paragraph" w:styleId="Heading6">
    <w:name w:val="heading 6"/>
    <w:basedOn w:val="Normal"/>
    <w:next w:val="Normal"/>
    <w:link w:val="Heading6Char"/>
    <w:uiPriority w:val="9"/>
    <w:semiHidden/>
    <w:unhideWhenUsed/>
    <w:qFormat/>
    <w:rsid w:val="008418EA"/>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418EA"/>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418EA"/>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418EA"/>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418EA"/>
    <w:rPr>
      <w:rFonts w:asciiTheme="majorHAnsi" w:eastAsiaTheme="majorEastAsia" w:hAnsiTheme="majorHAnsi" w:cstheme="majorBidi"/>
      <w:color w:val="365F91" w:themeColor="accent1" w:themeShade="BF"/>
      <w:sz w:val="40"/>
      <w:szCs w:val="36"/>
    </w:rPr>
  </w:style>
  <w:style w:type="character" w:customStyle="1" w:styleId="Heading2Char">
    <w:name w:val="Heading 2 Char"/>
    <w:basedOn w:val="DefaultParagraphFont"/>
    <w:link w:val="Heading2"/>
    <w:uiPriority w:val="9"/>
    <w:semiHidden/>
    <w:rsid w:val="008418EA"/>
    <w:rPr>
      <w:rFonts w:asciiTheme="majorHAnsi" w:eastAsiaTheme="majorEastAsia" w:hAnsiTheme="majorHAnsi" w:cstheme="majorBidi"/>
      <w:color w:val="365F91" w:themeColor="accent1" w:themeShade="BF"/>
      <w:sz w:val="32"/>
      <w:szCs w:val="29"/>
    </w:rPr>
  </w:style>
  <w:style w:type="character" w:customStyle="1" w:styleId="Heading3Char">
    <w:name w:val="Heading 3 Char"/>
    <w:basedOn w:val="DefaultParagraphFont"/>
    <w:link w:val="Heading3"/>
    <w:uiPriority w:val="9"/>
    <w:semiHidden/>
    <w:rsid w:val="008418EA"/>
    <w:rPr>
      <w:rFonts w:eastAsiaTheme="majorEastAsia" w:cstheme="majorBidi"/>
      <w:color w:val="365F91" w:themeColor="accent1" w:themeShade="BF"/>
      <w:sz w:val="28"/>
      <w:szCs w:val="25"/>
    </w:rPr>
  </w:style>
  <w:style w:type="character" w:customStyle="1" w:styleId="Heading4Char">
    <w:name w:val="Heading 4 Char"/>
    <w:basedOn w:val="DefaultParagraphFont"/>
    <w:link w:val="Heading4"/>
    <w:uiPriority w:val="9"/>
    <w:semiHidden/>
    <w:rsid w:val="008418EA"/>
    <w:rPr>
      <w:rFonts w:eastAsiaTheme="majorEastAsia" w:cstheme="majorBidi"/>
      <w:i/>
      <w:iCs/>
      <w:color w:val="365F91" w:themeColor="accent1" w:themeShade="BF"/>
    </w:rPr>
  </w:style>
  <w:style w:type="character" w:customStyle="1" w:styleId="Heading5Char">
    <w:name w:val="Heading 5 Char"/>
    <w:basedOn w:val="DefaultParagraphFont"/>
    <w:link w:val="Heading5"/>
    <w:uiPriority w:val="9"/>
    <w:semiHidden/>
    <w:rsid w:val="008418EA"/>
    <w:rPr>
      <w:rFonts w:eastAsiaTheme="majorEastAsia" w:cstheme="majorBidi"/>
      <w:color w:val="365F91" w:themeColor="accent1" w:themeShade="BF"/>
    </w:rPr>
  </w:style>
  <w:style w:type="character" w:customStyle="1" w:styleId="Heading6Char">
    <w:name w:val="Heading 6 Char"/>
    <w:basedOn w:val="DefaultParagraphFont"/>
    <w:link w:val="Heading6"/>
    <w:uiPriority w:val="9"/>
    <w:semiHidden/>
    <w:rsid w:val="008418E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418E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418E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418EA"/>
    <w:rPr>
      <w:rFonts w:eastAsiaTheme="majorEastAsia" w:cstheme="majorBidi"/>
      <w:color w:val="272727" w:themeColor="text1" w:themeTint="D8"/>
    </w:rPr>
  </w:style>
  <w:style w:type="paragraph" w:styleId="Title">
    <w:name w:val="Title"/>
    <w:basedOn w:val="Normal"/>
    <w:next w:val="Normal"/>
    <w:link w:val="TitleChar"/>
    <w:uiPriority w:val="10"/>
    <w:qFormat/>
    <w:rsid w:val="008418EA"/>
    <w:pPr>
      <w:spacing w:after="80"/>
      <w:contextualSpacing/>
    </w:pPr>
    <w:rPr>
      <w:rFonts w:asciiTheme="majorHAnsi" w:eastAsiaTheme="majorEastAsia" w:hAnsiTheme="majorHAnsi" w:cstheme="majorBidi"/>
      <w:spacing w:val="-10"/>
      <w:kern w:val="28"/>
      <w:sz w:val="56"/>
      <w:szCs w:val="50"/>
    </w:rPr>
  </w:style>
  <w:style w:type="character" w:customStyle="1" w:styleId="TitleChar">
    <w:name w:val="Title Char"/>
    <w:basedOn w:val="DefaultParagraphFont"/>
    <w:link w:val="Title"/>
    <w:uiPriority w:val="10"/>
    <w:rsid w:val="008418EA"/>
    <w:rPr>
      <w:rFonts w:asciiTheme="majorHAnsi" w:eastAsiaTheme="majorEastAsia" w:hAnsiTheme="majorHAnsi" w:cstheme="majorBidi"/>
      <w:spacing w:val="-10"/>
      <w:kern w:val="28"/>
      <w:sz w:val="56"/>
      <w:szCs w:val="50"/>
    </w:rPr>
  </w:style>
  <w:style w:type="paragraph" w:styleId="Subtitle">
    <w:name w:val="Subtitle"/>
    <w:basedOn w:val="Normal"/>
    <w:next w:val="Normal"/>
    <w:link w:val="SubtitleChar"/>
    <w:uiPriority w:val="11"/>
    <w:qFormat/>
    <w:rsid w:val="008418EA"/>
    <w:pPr>
      <w:numPr>
        <w:ilvl w:val="1"/>
      </w:numPr>
      <w:spacing w:after="160"/>
    </w:pPr>
    <w:rPr>
      <w:rFonts w:eastAsiaTheme="majorEastAsia" w:cstheme="majorBidi"/>
      <w:color w:val="595959" w:themeColor="text1" w:themeTint="A6"/>
      <w:spacing w:val="15"/>
      <w:sz w:val="28"/>
      <w:szCs w:val="25"/>
    </w:rPr>
  </w:style>
  <w:style w:type="character" w:customStyle="1" w:styleId="SubtitleChar">
    <w:name w:val="Subtitle Char"/>
    <w:basedOn w:val="DefaultParagraphFont"/>
    <w:link w:val="Subtitle"/>
    <w:uiPriority w:val="11"/>
    <w:rsid w:val="008418EA"/>
    <w:rPr>
      <w:rFonts w:eastAsiaTheme="majorEastAsia" w:cstheme="majorBidi"/>
      <w:color w:val="595959" w:themeColor="text1" w:themeTint="A6"/>
      <w:spacing w:val="15"/>
      <w:sz w:val="28"/>
      <w:szCs w:val="25"/>
    </w:rPr>
  </w:style>
  <w:style w:type="paragraph" w:styleId="Quote">
    <w:name w:val="Quote"/>
    <w:basedOn w:val="Normal"/>
    <w:next w:val="Normal"/>
    <w:link w:val="QuoteChar"/>
    <w:uiPriority w:val="29"/>
    <w:qFormat/>
    <w:rsid w:val="008418EA"/>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8418EA"/>
    <w:rPr>
      <w:i/>
      <w:iCs/>
      <w:color w:val="404040" w:themeColor="text1" w:themeTint="BF"/>
    </w:rPr>
  </w:style>
  <w:style w:type="paragraph" w:styleId="ListParagraph">
    <w:name w:val="List Paragraph"/>
    <w:basedOn w:val="Normal"/>
    <w:uiPriority w:val="34"/>
    <w:qFormat/>
    <w:rsid w:val="008418EA"/>
    <w:pPr>
      <w:ind w:left="720"/>
      <w:contextualSpacing/>
    </w:pPr>
  </w:style>
  <w:style w:type="character" w:styleId="IntenseEmphasis">
    <w:name w:val="Intense Emphasis"/>
    <w:basedOn w:val="DefaultParagraphFont"/>
    <w:uiPriority w:val="21"/>
    <w:qFormat/>
    <w:rsid w:val="008418EA"/>
    <w:rPr>
      <w:i/>
      <w:iCs/>
      <w:color w:val="365F91" w:themeColor="accent1" w:themeShade="BF"/>
    </w:rPr>
  </w:style>
  <w:style w:type="paragraph" w:styleId="IntenseQuote">
    <w:name w:val="Intense Quote"/>
    <w:basedOn w:val="Normal"/>
    <w:next w:val="Normal"/>
    <w:link w:val="IntenseQuoteChar"/>
    <w:uiPriority w:val="30"/>
    <w:qFormat/>
    <w:rsid w:val="008418EA"/>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8418EA"/>
    <w:rPr>
      <w:i/>
      <w:iCs/>
      <w:color w:val="365F91" w:themeColor="accent1" w:themeShade="BF"/>
    </w:rPr>
  </w:style>
  <w:style w:type="character" w:styleId="IntenseReference">
    <w:name w:val="Intense Reference"/>
    <w:basedOn w:val="DefaultParagraphFont"/>
    <w:uiPriority w:val="32"/>
    <w:qFormat/>
    <w:rsid w:val="008418EA"/>
    <w:rPr>
      <w:b/>
      <w:bCs/>
      <w:smallCaps/>
      <w:color w:val="365F91" w:themeColor="accent1" w:themeShade="BF"/>
      <w:spacing w:val="5"/>
    </w:rPr>
  </w:style>
  <w:style w:type="paragraph" w:styleId="NormalWeb">
    <w:name w:val="Normal (Web)"/>
    <w:basedOn w:val="Normal"/>
    <w:uiPriority w:val="99"/>
    <w:semiHidden/>
    <w:unhideWhenUsed/>
    <w:rsid w:val="008418EA"/>
    <w:rPr>
      <w:rFonts w:ascii="Times New Roman" w:hAnsi="Times New Roman" w:cs="Mangal"/>
      <w:sz w:val="24"/>
      <w:szCs w:val="21"/>
    </w:rPr>
  </w:style>
  <w:style w:type="paragraph" w:styleId="BalloonText">
    <w:name w:val="Balloon Text"/>
    <w:basedOn w:val="Normal"/>
    <w:link w:val="BalloonTextChar"/>
    <w:uiPriority w:val="99"/>
    <w:semiHidden/>
    <w:unhideWhenUsed/>
    <w:rsid w:val="00D342F1"/>
    <w:rPr>
      <w:rFonts w:ascii="Tahoma" w:hAnsi="Tahoma" w:cs="Mangal"/>
      <w:sz w:val="16"/>
      <w:szCs w:val="14"/>
    </w:rPr>
  </w:style>
  <w:style w:type="character" w:customStyle="1" w:styleId="BalloonTextChar">
    <w:name w:val="Balloon Text Char"/>
    <w:basedOn w:val="DefaultParagraphFont"/>
    <w:link w:val="BalloonText"/>
    <w:uiPriority w:val="99"/>
    <w:semiHidden/>
    <w:rsid w:val="00D342F1"/>
    <w:rPr>
      <w:rFonts w:ascii="Tahoma" w:hAnsi="Tahoma" w:cs="Mangal"/>
      <w:sz w:val="16"/>
      <w:szCs w:val="14"/>
    </w:rPr>
  </w:style>
  <w:style w:type="character" w:styleId="Hyperlink">
    <w:name w:val="Hyperlink"/>
    <w:basedOn w:val="DefaultParagraphFont"/>
    <w:uiPriority w:val="99"/>
    <w:unhideWhenUsed/>
    <w:rsid w:val="00A46E74"/>
    <w:rPr>
      <w:color w:val="0000FF" w:themeColor="hyperlink"/>
      <w:u w:val="single"/>
    </w:rPr>
  </w:style>
  <w:style w:type="character" w:customStyle="1" w:styleId="UnresolvedMention1">
    <w:name w:val="Unresolved Mention1"/>
    <w:basedOn w:val="DefaultParagraphFont"/>
    <w:uiPriority w:val="99"/>
    <w:semiHidden/>
    <w:unhideWhenUsed/>
    <w:rsid w:val="00A46E74"/>
    <w:rPr>
      <w:color w:val="605E5C"/>
      <w:shd w:val="clear" w:color="auto" w:fill="E1DFDD"/>
    </w:rPr>
  </w:style>
  <w:style w:type="table" w:styleId="TableGrid">
    <w:name w:val="Table Grid"/>
    <w:basedOn w:val="TableNormal"/>
    <w:uiPriority w:val="39"/>
    <w:rsid w:val="00B0313C"/>
    <w:rPr>
      <w:szCs w:val="22"/>
      <w:lang w:val="en-GB"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805F3"/>
    <w:pPr>
      <w:tabs>
        <w:tab w:val="center" w:pos="4680"/>
        <w:tab w:val="right" w:pos="9360"/>
      </w:tabs>
    </w:pPr>
    <w:rPr>
      <w:rFonts w:cs="Mangal"/>
    </w:rPr>
  </w:style>
  <w:style w:type="character" w:customStyle="1" w:styleId="HeaderChar">
    <w:name w:val="Header Char"/>
    <w:basedOn w:val="DefaultParagraphFont"/>
    <w:link w:val="Header"/>
    <w:uiPriority w:val="99"/>
    <w:rsid w:val="009805F3"/>
    <w:rPr>
      <w:rFonts w:cs="Mangal"/>
    </w:rPr>
  </w:style>
  <w:style w:type="paragraph" w:styleId="Footer">
    <w:name w:val="footer"/>
    <w:basedOn w:val="Normal"/>
    <w:link w:val="FooterChar"/>
    <w:uiPriority w:val="99"/>
    <w:unhideWhenUsed/>
    <w:rsid w:val="009805F3"/>
    <w:pPr>
      <w:tabs>
        <w:tab w:val="center" w:pos="4680"/>
        <w:tab w:val="right" w:pos="9360"/>
      </w:tabs>
    </w:pPr>
    <w:rPr>
      <w:rFonts w:cs="Mangal"/>
    </w:rPr>
  </w:style>
  <w:style w:type="character" w:customStyle="1" w:styleId="FooterChar">
    <w:name w:val="Footer Char"/>
    <w:basedOn w:val="DefaultParagraphFont"/>
    <w:link w:val="Footer"/>
    <w:uiPriority w:val="99"/>
    <w:rsid w:val="009805F3"/>
    <w:rPr>
      <w:rFonts w:cs="Mang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image" Target="media/image20.wmf"/><Relationship Id="rId39" Type="http://schemas.openxmlformats.org/officeDocument/2006/relationships/hyperlink" Target="https://doi.org/10.1002/0471716243" TargetMode="External"/><Relationship Id="rId21" Type="http://schemas.openxmlformats.org/officeDocument/2006/relationships/image" Target="media/image15.tiff"/><Relationship Id="rId34" Type="http://schemas.openxmlformats.org/officeDocument/2006/relationships/hyperlink" Target="https://doi.org/10.1021/j100102a038" TargetMode="External"/><Relationship Id="rId42" Type="http://schemas.openxmlformats.org/officeDocument/2006/relationships/hyperlink" Target="https://doi.org/10.1080/00018738700101971" TargetMode="External"/><Relationship Id="rId47" Type="http://schemas.openxmlformats.org/officeDocument/2006/relationships/header" Target="header3.xml"/><Relationship Id="rId50"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tiff"/><Relationship Id="rId29" Type="http://schemas.openxmlformats.org/officeDocument/2006/relationships/hyperlink" Target="https://doi.org/10.1126/science.1200448" TargetMode="External"/><Relationship Id="rId11" Type="http://schemas.openxmlformats.org/officeDocument/2006/relationships/image" Target="media/image5.tiff"/><Relationship Id="rId24" Type="http://schemas.openxmlformats.org/officeDocument/2006/relationships/image" Target="media/image18.tiff"/><Relationship Id="rId32" Type="http://schemas.openxmlformats.org/officeDocument/2006/relationships/hyperlink" Target="https://doi.org/10.1016/j.surfrep.2008.10.001" TargetMode="External"/><Relationship Id="rId37" Type="http://schemas.openxmlformats.org/officeDocument/2006/relationships/hyperlink" Target="https://doi.org/10.1021/cr020357g" TargetMode="External"/><Relationship Id="rId40" Type="http://schemas.openxmlformats.org/officeDocument/2006/relationships/hyperlink" Target="https://doi.org/10.1107/S0567739476001551" TargetMode="External"/><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image" Target="media/image17.tiff"/><Relationship Id="rId28" Type="http://schemas.openxmlformats.org/officeDocument/2006/relationships/image" Target="media/image22.wmf"/><Relationship Id="rId36" Type="http://schemas.openxmlformats.org/officeDocument/2006/relationships/hyperlink" Target="https://doi.org/10.1063/1.1949728" TargetMode="External"/><Relationship Id="rId49" Type="http://schemas.openxmlformats.org/officeDocument/2006/relationships/fontTable" Target="fontTable.xml"/><Relationship Id="rId10" Type="http://schemas.openxmlformats.org/officeDocument/2006/relationships/image" Target="media/image4.tiff"/><Relationship Id="rId19" Type="http://schemas.openxmlformats.org/officeDocument/2006/relationships/image" Target="media/image13.tiff"/><Relationship Id="rId31" Type="http://schemas.openxmlformats.org/officeDocument/2006/relationships/hyperlink" Target="https://doi.org/10.1021/cr0500535" TargetMode="External"/><Relationship Id="rId44"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wmf"/><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image" Target="media/image21.wmf"/><Relationship Id="rId30" Type="http://schemas.openxmlformats.org/officeDocument/2006/relationships/hyperlink" Target="https://doi.org/10.1038/35104607" TargetMode="External"/><Relationship Id="rId35" Type="http://schemas.openxmlformats.org/officeDocument/2006/relationships/hyperlink" Target="https://doi.org/10.1021/jp105164p" TargetMode="External"/><Relationship Id="rId43" Type="http://schemas.openxmlformats.org/officeDocument/2006/relationships/header" Target="header1.xml"/><Relationship Id="rId48" Type="http://schemas.openxmlformats.org/officeDocument/2006/relationships/footer" Target="footer3.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image" Target="media/image19.tiff"/><Relationship Id="rId33" Type="http://schemas.openxmlformats.org/officeDocument/2006/relationships/hyperlink" Target="https://doi.org/10.1016/S0167-5729(02)00100-0" TargetMode="External"/><Relationship Id="rId38" Type="http://schemas.openxmlformats.org/officeDocument/2006/relationships/hyperlink" Target="https://doi.org/10.1007/978-1-4939-6676-9" TargetMode="External"/><Relationship Id="rId46" Type="http://schemas.openxmlformats.org/officeDocument/2006/relationships/footer" Target="footer2.xml"/><Relationship Id="rId20" Type="http://schemas.openxmlformats.org/officeDocument/2006/relationships/image" Target="media/image14.tiff"/><Relationship Id="rId41" Type="http://schemas.openxmlformats.org/officeDocument/2006/relationships/hyperlink" Target="https://doi.org/10.1038/267673a0" TargetMode="Externa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144</TotalTime>
  <Pages>17</Pages>
  <Words>3811</Words>
  <Characters>21728</Characters>
  <Application>Microsoft Office Word</Application>
  <DocSecurity>0</DocSecurity>
  <Lines>181</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Nimish Vasoya</dc:creator>
  <cp:keywords/>
  <dc:description/>
  <cp:lastModifiedBy>SDI PC New 16</cp:lastModifiedBy>
  <cp:revision>14</cp:revision>
  <dcterms:created xsi:type="dcterms:W3CDTF">2026-04-28T10:25:00Z</dcterms:created>
  <dcterms:modified xsi:type="dcterms:W3CDTF">2026-05-08T06:40:00Z</dcterms:modified>
</cp:coreProperties>
</file>