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ECA55" w14:textId="77777777" w:rsidR="006C48B7" w:rsidRDefault="006C48B7" w:rsidP="00E47F58">
      <w:pPr>
        <w:pStyle w:val="Heading1"/>
      </w:pPr>
      <w:bookmarkStart w:id="0" w:name="_Toc50652434"/>
      <w:bookmarkStart w:id="1" w:name="_Toc49955743"/>
      <w:r w:rsidRPr="006C48B7">
        <w:t xml:space="preserve">Original Research Article </w:t>
      </w:r>
    </w:p>
    <w:p w14:paraId="2CB98FC0" w14:textId="0370C2D3" w:rsidR="00EB6AE8" w:rsidRPr="00E47F58" w:rsidRDefault="005601D0" w:rsidP="00E47F58">
      <w:pPr>
        <w:pStyle w:val="Heading1"/>
      </w:pPr>
      <w:commentRangeStart w:id="2"/>
      <w:r w:rsidRPr="00E47F58">
        <w:t>Dietary</w:t>
      </w:r>
      <w:commentRangeEnd w:id="2"/>
      <w:r w:rsidR="008C6887" w:rsidRPr="00E47F58">
        <w:rPr>
          <w:rStyle w:val="CommentReference"/>
          <w:sz w:val="36"/>
          <w:szCs w:val="36"/>
        </w:rPr>
        <w:commentReference w:id="2"/>
      </w:r>
      <w:r w:rsidRPr="00E47F58">
        <w:t xml:space="preserve"> Incorporation of </w:t>
      </w:r>
      <w:r w:rsidR="004D6B11" w:rsidRPr="00E47F58">
        <w:rPr>
          <w:i/>
        </w:rPr>
        <w:t xml:space="preserve">Chlorella vulgaris </w:t>
      </w:r>
      <w:r w:rsidRPr="00E47F58">
        <w:t xml:space="preserve">as a </w:t>
      </w:r>
      <w:r w:rsidR="00AF3D39" w:rsidRPr="00E47F58">
        <w:t>Prophylactic Treatment</w:t>
      </w:r>
      <w:r w:rsidR="00ED0C51" w:rsidRPr="00E47F58">
        <w:t>:</w:t>
      </w:r>
      <w:r w:rsidR="00AF3D39" w:rsidRPr="00E47F58">
        <w:t xml:space="preserve"> </w:t>
      </w:r>
      <w:r w:rsidR="00D8682D" w:rsidRPr="00E47F58">
        <w:t xml:space="preserve">Sustained Immune Improvements </w:t>
      </w:r>
      <w:r w:rsidR="00ED0C51" w:rsidRPr="00E47F58">
        <w:t xml:space="preserve">in Nile Tilapia </w:t>
      </w:r>
      <w:r w:rsidR="00ED0C51" w:rsidRPr="00E47F58">
        <w:rPr>
          <w:i/>
        </w:rPr>
        <w:t>(Oreochromis niloticus)</w:t>
      </w:r>
      <w:r w:rsidR="00ED0C51" w:rsidRPr="00E47F58">
        <w:t xml:space="preserve"> Following </w:t>
      </w:r>
      <w:r w:rsidR="00EB6AE8" w:rsidRPr="00E47F58">
        <w:rPr>
          <w:i/>
        </w:rPr>
        <w:t>Streptococcus agalactiae</w:t>
      </w:r>
      <w:r w:rsidR="00EB6AE8" w:rsidRPr="00E47F58">
        <w:t xml:space="preserve"> </w:t>
      </w:r>
      <w:r w:rsidR="00AF3D39" w:rsidRPr="00E47F58">
        <w:t>Challenge</w:t>
      </w:r>
      <w:bookmarkEnd w:id="0"/>
      <w:bookmarkEnd w:id="1"/>
    </w:p>
    <w:p w14:paraId="071CEC56" w14:textId="7F1A1951" w:rsidR="00755B4F" w:rsidRDefault="00755B4F" w:rsidP="00755B4F">
      <w:pPr>
        <w:ind w:firstLine="720"/>
        <w:jc w:val="both"/>
        <w:rPr>
          <w:rFonts w:ascii="Times New Roman" w:hAnsi="Times New Roman" w:cs="Times New Roman"/>
          <w:b/>
          <w:sz w:val="20"/>
          <w:szCs w:val="20"/>
          <w:lang w:val="en-GB"/>
        </w:rPr>
      </w:pPr>
    </w:p>
    <w:p w14:paraId="274A3D20" w14:textId="77777777" w:rsidR="00250BE8" w:rsidRPr="00755B4F" w:rsidRDefault="00250BE8" w:rsidP="00755B4F">
      <w:pPr>
        <w:ind w:firstLine="720"/>
        <w:jc w:val="both"/>
        <w:rPr>
          <w:rFonts w:ascii="Times New Roman" w:hAnsi="Times New Roman" w:cs="Times New Roman"/>
          <w:b/>
          <w:sz w:val="20"/>
          <w:szCs w:val="20"/>
          <w:lang w:val="en-GB"/>
        </w:rPr>
      </w:pPr>
    </w:p>
    <w:p w14:paraId="7BA34694" w14:textId="77777777" w:rsidR="00AC2D0A" w:rsidRPr="00E47F58" w:rsidRDefault="00AC2D0A" w:rsidP="00E47F58">
      <w:pPr>
        <w:pStyle w:val="Heading3"/>
      </w:pPr>
      <w:r w:rsidRPr="00E47F58">
        <w:t>ABSTRACT</w:t>
      </w:r>
    </w:p>
    <w:p w14:paraId="41D78377" w14:textId="77777777" w:rsidR="00AC2D0A" w:rsidRPr="00E47F58" w:rsidRDefault="00AC2D0A" w:rsidP="00AC2D0A">
      <w:pPr>
        <w:jc w:val="both"/>
        <w:rPr>
          <w:rFonts w:ascii="Arial" w:hAnsi="Arial" w:cs="Arial"/>
          <w:sz w:val="20"/>
          <w:szCs w:val="20"/>
        </w:rPr>
      </w:pPr>
      <w:r w:rsidRPr="00E47F58">
        <w:rPr>
          <w:rFonts w:ascii="Arial" w:hAnsi="Arial" w:cs="Arial"/>
          <w:b/>
          <w:bCs/>
          <w:sz w:val="20"/>
          <w:szCs w:val="20"/>
        </w:rPr>
        <w:t>Background:</w:t>
      </w:r>
      <w:r w:rsidRPr="00E47F58">
        <w:rPr>
          <w:rFonts w:ascii="Arial" w:hAnsi="Arial" w:cs="Arial"/>
          <w:sz w:val="20"/>
          <w:szCs w:val="20"/>
        </w:rPr>
        <w:t xml:space="preserve"> Disease outbreaks, particularly those caused by </w:t>
      </w:r>
      <w:r w:rsidRPr="00E47F58">
        <w:rPr>
          <w:rFonts w:ascii="Arial" w:hAnsi="Arial" w:cs="Arial"/>
          <w:i/>
          <w:iCs/>
          <w:sz w:val="20"/>
          <w:szCs w:val="20"/>
        </w:rPr>
        <w:t>Streptococcus agalactiae</w:t>
      </w:r>
      <w:r w:rsidRPr="00E47F58">
        <w:rPr>
          <w:rFonts w:ascii="Arial" w:hAnsi="Arial" w:cs="Arial"/>
          <w:sz w:val="20"/>
          <w:szCs w:val="20"/>
        </w:rPr>
        <w:t>, represent a significant challenge in Nile tilapia (</w:t>
      </w:r>
      <w:r w:rsidRPr="00E47F58">
        <w:rPr>
          <w:rFonts w:ascii="Arial" w:hAnsi="Arial" w:cs="Arial"/>
          <w:i/>
          <w:iCs/>
          <w:sz w:val="20"/>
          <w:szCs w:val="20"/>
        </w:rPr>
        <w:t>Oreochromis niloticus</w:t>
      </w:r>
      <w:r w:rsidRPr="00E47F58">
        <w:rPr>
          <w:rFonts w:ascii="Arial" w:hAnsi="Arial" w:cs="Arial"/>
          <w:sz w:val="20"/>
          <w:szCs w:val="20"/>
        </w:rPr>
        <w:t xml:space="preserve">) aquaculture. While </w:t>
      </w:r>
      <w:r w:rsidRPr="00E47F58">
        <w:rPr>
          <w:rFonts w:ascii="Arial" w:hAnsi="Arial" w:cs="Arial"/>
          <w:i/>
          <w:iCs/>
          <w:sz w:val="20"/>
          <w:szCs w:val="20"/>
        </w:rPr>
        <w:t>Chlorella vulgaris</w:t>
      </w:r>
      <w:r w:rsidRPr="00E47F58">
        <w:rPr>
          <w:rFonts w:ascii="Arial" w:hAnsi="Arial" w:cs="Arial"/>
          <w:sz w:val="20"/>
          <w:szCs w:val="20"/>
        </w:rPr>
        <w:t xml:space="preserve"> is recognized as a promising immunostimulant due to its rich nutrient profile, the molecular mechanisms underlying its protective effects during a live bacterial challenge require further elucidation. </w:t>
      </w:r>
    </w:p>
    <w:p w14:paraId="03DB550F" w14:textId="77777777" w:rsidR="00AC2D0A" w:rsidRPr="00E47F58" w:rsidRDefault="00AC2D0A" w:rsidP="00AC2D0A">
      <w:pPr>
        <w:jc w:val="both"/>
        <w:rPr>
          <w:rFonts w:ascii="Arial" w:hAnsi="Arial" w:cs="Arial"/>
          <w:sz w:val="20"/>
          <w:szCs w:val="20"/>
        </w:rPr>
      </w:pPr>
      <w:r w:rsidRPr="00E47F58">
        <w:rPr>
          <w:rFonts w:ascii="Arial" w:hAnsi="Arial" w:cs="Arial"/>
          <w:b/>
          <w:bCs/>
          <w:sz w:val="20"/>
          <w:szCs w:val="20"/>
        </w:rPr>
        <w:t>Objective:</w:t>
      </w:r>
      <w:r w:rsidRPr="00E47F58">
        <w:rPr>
          <w:rFonts w:ascii="Arial" w:hAnsi="Arial" w:cs="Arial"/>
          <w:sz w:val="20"/>
          <w:szCs w:val="20"/>
        </w:rPr>
        <w:t xml:space="preserve"> This study aimed to evaluate the efficacy of a prophylactic diet incorporated with </w:t>
      </w:r>
      <w:r w:rsidRPr="00E47F58">
        <w:rPr>
          <w:rFonts w:ascii="Arial" w:hAnsi="Arial" w:cs="Arial"/>
          <w:i/>
          <w:iCs/>
          <w:sz w:val="20"/>
          <w:szCs w:val="20"/>
        </w:rPr>
        <w:t>C. vulgaris</w:t>
      </w:r>
      <w:r w:rsidRPr="00E47F58">
        <w:rPr>
          <w:rFonts w:ascii="Arial" w:hAnsi="Arial" w:cs="Arial"/>
          <w:sz w:val="20"/>
          <w:szCs w:val="20"/>
        </w:rPr>
        <w:t xml:space="preserve"> in enhancing the survival of Nile tilapia challenged with </w:t>
      </w:r>
      <w:r w:rsidRPr="00E47F58">
        <w:rPr>
          <w:rFonts w:ascii="Arial" w:hAnsi="Arial" w:cs="Arial"/>
          <w:i/>
          <w:iCs/>
          <w:sz w:val="20"/>
          <w:szCs w:val="20"/>
        </w:rPr>
        <w:t>Streptococcus agalactiae</w:t>
      </w:r>
      <w:r w:rsidRPr="00E47F58">
        <w:rPr>
          <w:rFonts w:ascii="Arial" w:hAnsi="Arial" w:cs="Arial"/>
          <w:sz w:val="20"/>
          <w:szCs w:val="20"/>
        </w:rPr>
        <w:t xml:space="preserve"> and to characterize the associated metabolic signatures using an NMR-based metabolomics approach. </w:t>
      </w:r>
    </w:p>
    <w:p w14:paraId="105AD859" w14:textId="77777777" w:rsidR="00AC2D0A" w:rsidRPr="00E47F58" w:rsidRDefault="00AC2D0A" w:rsidP="00AC2D0A">
      <w:pPr>
        <w:jc w:val="both"/>
        <w:rPr>
          <w:rFonts w:ascii="Arial" w:hAnsi="Arial" w:cs="Arial"/>
          <w:sz w:val="20"/>
          <w:szCs w:val="20"/>
        </w:rPr>
      </w:pPr>
      <w:r w:rsidRPr="00E47F58">
        <w:rPr>
          <w:rFonts w:ascii="Arial" w:hAnsi="Arial" w:cs="Arial"/>
          <w:b/>
          <w:bCs/>
          <w:sz w:val="20"/>
          <w:szCs w:val="20"/>
        </w:rPr>
        <w:t>Methodology:</w:t>
      </w:r>
      <w:r w:rsidRPr="00E47F58">
        <w:rPr>
          <w:rFonts w:ascii="Arial" w:hAnsi="Arial" w:cs="Arial"/>
          <w:sz w:val="20"/>
          <w:szCs w:val="20"/>
        </w:rPr>
        <w:t xml:space="preserve"> Juvenile Nile tilapia were fed a commercial diet supplemented with 125 mg/kg body weight of </w:t>
      </w:r>
      <w:r w:rsidRPr="00E47F58">
        <w:rPr>
          <w:rFonts w:ascii="Arial" w:hAnsi="Arial" w:cs="Arial"/>
          <w:i/>
          <w:iCs/>
          <w:sz w:val="20"/>
          <w:szCs w:val="20"/>
        </w:rPr>
        <w:t>C. vulgaris</w:t>
      </w:r>
      <w:r w:rsidRPr="00E47F58">
        <w:rPr>
          <w:rFonts w:ascii="Arial" w:hAnsi="Arial" w:cs="Arial"/>
          <w:sz w:val="20"/>
          <w:szCs w:val="20"/>
        </w:rPr>
        <w:t xml:space="preserve"> biomass for 21 days. Following the feeding period, the fish were subjected to a bacterial challenge via the immersion method using a 1x10⁸ CFU/mL concentration of </w:t>
      </w:r>
      <w:r w:rsidRPr="00E47F58">
        <w:rPr>
          <w:rFonts w:ascii="Arial" w:hAnsi="Arial" w:cs="Arial"/>
          <w:i/>
          <w:iCs/>
          <w:sz w:val="20"/>
          <w:szCs w:val="20"/>
        </w:rPr>
        <w:t>S. agalactiae</w:t>
      </w:r>
      <w:r w:rsidRPr="00E47F58">
        <w:rPr>
          <w:rFonts w:ascii="Arial" w:hAnsi="Arial" w:cs="Arial"/>
          <w:sz w:val="20"/>
          <w:szCs w:val="20"/>
        </w:rPr>
        <w:t xml:space="preserve"> (exceeding the calculated LC</w:t>
      </w:r>
      <w:r w:rsidRPr="00E47F58">
        <w:rPr>
          <w:rFonts w:ascii="Cambria Math" w:hAnsi="Cambria Math" w:cs="Cambria Math"/>
          <w:sz w:val="20"/>
          <w:szCs w:val="20"/>
        </w:rPr>
        <w:t>₅₀</w:t>
      </w:r>
      <w:r w:rsidRPr="00E47F58">
        <w:rPr>
          <w:rFonts w:ascii="Arial" w:hAnsi="Arial" w:cs="Arial"/>
          <w:sz w:val="20"/>
          <w:szCs w:val="20"/>
        </w:rPr>
        <w:t xml:space="preserve"> of 9x10⁷ CFU/mL). Spleen samples were collected on day 29 for ¹H NMR spectroscopy and multivariate data analysis (MVDA), including PCA and OPLS-DA, to identify differentiating biomarkers between control and treated groups. </w:t>
      </w:r>
    </w:p>
    <w:p w14:paraId="082A9525" w14:textId="77777777" w:rsidR="00AC2D0A" w:rsidRPr="00E47F58" w:rsidRDefault="00AC2D0A" w:rsidP="00AC2D0A">
      <w:pPr>
        <w:jc w:val="both"/>
        <w:rPr>
          <w:rFonts w:ascii="Arial" w:hAnsi="Arial" w:cs="Arial"/>
          <w:sz w:val="20"/>
          <w:szCs w:val="20"/>
        </w:rPr>
      </w:pPr>
      <w:r w:rsidRPr="00E47F58">
        <w:rPr>
          <w:rFonts w:ascii="Arial" w:hAnsi="Arial" w:cs="Arial"/>
          <w:b/>
          <w:bCs/>
          <w:sz w:val="20"/>
          <w:szCs w:val="20"/>
        </w:rPr>
        <w:t>Results:</w:t>
      </w:r>
      <w:r w:rsidRPr="00E47F58">
        <w:rPr>
          <w:rFonts w:ascii="Arial" w:hAnsi="Arial" w:cs="Arial"/>
          <w:sz w:val="20"/>
          <w:szCs w:val="20"/>
        </w:rPr>
        <w:t xml:space="preserve"> The </w:t>
      </w:r>
      <w:r w:rsidRPr="00E47F58">
        <w:rPr>
          <w:rFonts w:ascii="Arial" w:hAnsi="Arial" w:cs="Arial"/>
          <w:i/>
          <w:iCs/>
          <w:sz w:val="20"/>
          <w:szCs w:val="20"/>
        </w:rPr>
        <w:t>C. vulgaris</w:t>
      </w:r>
      <w:r w:rsidRPr="00E47F58">
        <w:rPr>
          <w:rFonts w:ascii="Arial" w:hAnsi="Arial" w:cs="Arial"/>
          <w:sz w:val="20"/>
          <w:szCs w:val="20"/>
        </w:rPr>
        <w:t xml:space="preserve"> treatment significantly improved survival rates, with the treated challenged group (CVC) exhibiting a 90% survival rate compared to only 13.3% in the control challenged group (CFC). Metabolomics analysis identified 21 metabolites in the spleen, with significant up-regulation of key biomarkers in </w:t>
      </w:r>
      <w:r w:rsidRPr="00E47F58">
        <w:rPr>
          <w:rFonts w:ascii="Arial" w:hAnsi="Arial" w:cs="Arial"/>
          <w:i/>
          <w:iCs/>
          <w:sz w:val="20"/>
          <w:szCs w:val="20"/>
        </w:rPr>
        <w:t>C. vulgaris</w:t>
      </w:r>
      <w:r w:rsidRPr="00E47F58">
        <w:rPr>
          <w:rFonts w:ascii="Arial" w:hAnsi="Arial" w:cs="Arial"/>
          <w:sz w:val="20"/>
          <w:szCs w:val="20"/>
        </w:rPr>
        <w:t xml:space="preserve">-fed fish, including palmitic acid (11.55-fold), riboflavin (6.51-fold), arginine (2.62-fold), and alanine (2.12-fold). Conversely, </w:t>
      </w:r>
      <w:r w:rsidRPr="00E47F58">
        <w:rPr>
          <w:rFonts w:ascii="Arial" w:hAnsi="Arial" w:cs="Arial"/>
          <w:i/>
          <w:iCs/>
          <w:sz w:val="20"/>
          <w:szCs w:val="20"/>
        </w:rPr>
        <w:t>S. agalactiae</w:t>
      </w:r>
      <w:r w:rsidRPr="00E47F58">
        <w:rPr>
          <w:rFonts w:ascii="Arial" w:hAnsi="Arial" w:cs="Arial"/>
          <w:sz w:val="20"/>
          <w:szCs w:val="20"/>
        </w:rPr>
        <w:t xml:space="preserve"> challenge in control fish led to a severe down-regulation of essential metabolites, most notably linoleic acid (33.28-fold reduction) and stearic acid (18.46-fold reduction). This drastic metabolic depletion was effectively mitigated in fish previously fed with </w:t>
      </w:r>
      <w:r w:rsidRPr="00E47F58">
        <w:rPr>
          <w:rFonts w:ascii="Arial" w:hAnsi="Arial" w:cs="Arial"/>
          <w:i/>
          <w:iCs/>
          <w:sz w:val="20"/>
          <w:szCs w:val="20"/>
        </w:rPr>
        <w:t>C. vulgaris</w:t>
      </w:r>
      <w:r w:rsidRPr="00E47F58">
        <w:rPr>
          <w:rFonts w:ascii="Arial" w:hAnsi="Arial" w:cs="Arial"/>
          <w:sz w:val="20"/>
          <w:szCs w:val="20"/>
        </w:rPr>
        <w:t xml:space="preserve">, where metabolite levels remained stable despite the bacterial challenge. </w:t>
      </w:r>
    </w:p>
    <w:p w14:paraId="64A85281" w14:textId="77777777" w:rsidR="00AC2D0A" w:rsidRPr="00E47F58" w:rsidRDefault="00AC2D0A" w:rsidP="00AC2D0A">
      <w:pPr>
        <w:jc w:val="both"/>
        <w:rPr>
          <w:rFonts w:ascii="Arial" w:hAnsi="Arial" w:cs="Arial"/>
          <w:sz w:val="20"/>
          <w:szCs w:val="20"/>
        </w:rPr>
      </w:pPr>
      <w:r w:rsidRPr="00E47F58">
        <w:rPr>
          <w:rFonts w:ascii="Arial" w:hAnsi="Arial" w:cs="Arial"/>
          <w:b/>
          <w:bCs/>
          <w:sz w:val="20"/>
          <w:szCs w:val="20"/>
        </w:rPr>
        <w:t>Conclusion:</w:t>
      </w:r>
      <w:r w:rsidRPr="00E47F58">
        <w:rPr>
          <w:rFonts w:ascii="Arial" w:hAnsi="Arial" w:cs="Arial"/>
          <w:sz w:val="20"/>
          <w:szCs w:val="20"/>
        </w:rPr>
        <w:t xml:space="preserve"> Prophylactic supplementation with </w:t>
      </w:r>
      <w:r w:rsidRPr="00E47F58">
        <w:rPr>
          <w:rFonts w:ascii="Arial" w:hAnsi="Arial" w:cs="Arial"/>
          <w:i/>
          <w:iCs/>
          <w:sz w:val="20"/>
          <w:szCs w:val="20"/>
        </w:rPr>
        <w:t>C. vulgaris</w:t>
      </w:r>
      <w:r w:rsidRPr="00E47F58">
        <w:rPr>
          <w:rFonts w:ascii="Arial" w:hAnsi="Arial" w:cs="Arial"/>
          <w:sz w:val="20"/>
          <w:szCs w:val="20"/>
        </w:rPr>
        <w:t xml:space="preserve"> at 125 mg/kg bw effectively primes the innate immune system of Nile tilapia, providing robust protection against </w:t>
      </w:r>
      <w:r w:rsidRPr="00E47F58">
        <w:rPr>
          <w:rFonts w:ascii="Arial" w:hAnsi="Arial" w:cs="Arial"/>
          <w:i/>
          <w:iCs/>
          <w:sz w:val="20"/>
          <w:szCs w:val="20"/>
        </w:rPr>
        <w:t>S. agalactiae</w:t>
      </w:r>
      <w:r w:rsidRPr="00E47F58">
        <w:rPr>
          <w:rFonts w:ascii="Arial" w:hAnsi="Arial" w:cs="Arial"/>
          <w:sz w:val="20"/>
          <w:szCs w:val="20"/>
        </w:rPr>
        <w:t xml:space="preserve"> infection. The sustained levels of vital amino acids and fatty acids in treated fish suggest that </w:t>
      </w:r>
      <w:r w:rsidRPr="00E47F58">
        <w:rPr>
          <w:rFonts w:ascii="Arial" w:hAnsi="Arial" w:cs="Arial"/>
          <w:i/>
          <w:iCs/>
          <w:sz w:val="20"/>
          <w:szCs w:val="20"/>
        </w:rPr>
        <w:t>C. vulgaris</w:t>
      </w:r>
      <w:r w:rsidRPr="00E47F58">
        <w:rPr>
          <w:rFonts w:ascii="Arial" w:hAnsi="Arial" w:cs="Arial"/>
          <w:sz w:val="20"/>
          <w:szCs w:val="20"/>
        </w:rPr>
        <w:t xml:space="preserve"> maintains metabolic homeostasis and immune cell viability, offering a sustainable alternative to traditional disease management in aquaculture. </w:t>
      </w:r>
    </w:p>
    <w:p w14:paraId="28720332" w14:textId="77777777" w:rsidR="00AC2D0A" w:rsidRPr="00E47F58" w:rsidRDefault="00AC2D0A" w:rsidP="00AC2D0A">
      <w:pPr>
        <w:jc w:val="both"/>
        <w:rPr>
          <w:rFonts w:ascii="Arial" w:hAnsi="Arial" w:cs="Arial"/>
          <w:sz w:val="20"/>
          <w:szCs w:val="20"/>
        </w:rPr>
      </w:pPr>
      <w:r w:rsidRPr="00E47F58">
        <w:rPr>
          <w:rFonts w:ascii="Arial" w:hAnsi="Arial" w:cs="Arial"/>
          <w:b/>
          <w:bCs/>
          <w:sz w:val="20"/>
          <w:szCs w:val="20"/>
        </w:rPr>
        <w:lastRenderedPageBreak/>
        <w:t xml:space="preserve">Keywords: </w:t>
      </w:r>
      <w:r w:rsidRPr="00E47F58">
        <w:rPr>
          <w:rFonts w:ascii="Arial" w:hAnsi="Arial" w:cs="Arial"/>
          <w:i/>
          <w:iCs/>
          <w:sz w:val="20"/>
          <w:szCs w:val="20"/>
        </w:rPr>
        <w:t>Chlorella vulgaris</w:t>
      </w:r>
      <w:r w:rsidRPr="00E47F58">
        <w:rPr>
          <w:rFonts w:ascii="Arial" w:hAnsi="Arial" w:cs="Arial"/>
          <w:sz w:val="20"/>
          <w:szCs w:val="20"/>
        </w:rPr>
        <w:t xml:space="preserve">; </w:t>
      </w:r>
      <w:r w:rsidRPr="00E47F58">
        <w:rPr>
          <w:rFonts w:ascii="Arial" w:hAnsi="Arial" w:cs="Arial"/>
          <w:i/>
          <w:iCs/>
          <w:sz w:val="20"/>
          <w:szCs w:val="20"/>
        </w:rPr>
        <w:t>Streptococcus agalactiae</w:t>
      </w:r>
      <w:r w:rsidRPr="00E47F58">
        <w:rPr>
          <w:rFonts w:ascii="Arial" w:hAnsi="Arial" w:cs="Arial"/>
          <w:sz w:val="20"/>
          <w:szCs w:val="20"/>
        </w:rPr>
        <w:t>; Nile tilapia; NMR-based metabolomics; Prophylactic treatment</w:t>
      </w:r>
    </w:p>
    <w:p w14:paraId="38F150F5" w14:textId="77777777" w:rsidR="00AC2D0A" w:rsidRPr="00C4167B" w:rsidRDefault="00AC2D0A" w:rsidP="00C4167B">
      <w:pPr>
        <w:rPr>
          <w:lang w:val="en-GB"/>
        </w:rPr>
      </w:pPr>
    </w:p>
    <w:p w14:paraId="1CBB9EE6" w14:textId="77777777" w:rsidR="00EB6AE8" w:rsidRPr="00E47F58" w:rsidRDefault="00982E49" w:rsidP="00101146">
      <w:pPr>
        <w:pStyle w:val="Heading2"/>
      </w:pPr>
      <w:bookmarkStart w:id="3" w:name="_Toc49955744"/>
      <w:bookmarkStart w:id="4" w:name="_Toc50652435"/>
      <w:r w:rsidRPr="00E47F58">
        <w:t>1.0</w:t>
      </w:r>
      <w:r w:rsidRPr="00E47F58">
        <w:tab/>
      </w:r>
      <w:r w:rsidR="00123C53" w:rsidRPr="00E47F58">
        <w:t>INTRODUCTION</w:t>
      </w:r>
      <w:bookmarkEnd w:id="3"/>
      <w:bookmarkEnd w:id="4"/>
    </w:p>
    <w:p w14:paraId="64CB9380" w14:textId="77777777" w:rsidR="005769C4" w:rsidRPr="00E47F58" w:rsidRDefault="00245B80" w:rsidP="005769C4">
      <w:pPr>
        <w:pStyle w:val="single"/>
        <w:rPr>
          <w:rFonts w:ascii="Arial" w:hAnsi="Arial" w:cs="Arial"/>
          <w:sz w:val="20"/>
          <w:szCs w:val="20"/>
        </w:rPr>
      </w:pPr>
      <w:r w:rsidRPr="00E47F58">
        <w:rPr>
          <w:rFonts w:ascii="Arial" w:hAnsi="Arial" w:cs="Arial"/>
          <w:sz w:val="20"/>
          <w:szCs w:val="20"/>
        </w:rPr>
        <w:t xml:space="preserve">Microalgae can be considered as an innovative and promising food ingredients, rich in nutrients such as high value proteins, polyunsaturated fatty acids, carotenoids, vitamins, minerals, chlorophylls and phenolics as well as other bioactive molecules </w:t>
      </w:r>
      <w:r w:rsidRPr="00E47F58">
        <w:rPr>
          <w:rFonts w:ascii="Arial" w:hAnsi="Arial" w:cs="Arial"/>
          <w:sz w:val="20"/>
          <w:szCs w:val="20"/>
        </w:rPr>
        <w:fldChar w:fldCharType="begin" w:fldLock="1"/>
      </w:r>
      <w:r w:rsidR="00BF3849" w:rsidRPr="00E47F58">
        <w:rPr>
          <w:rFonts w:ascii="Arial" w:hAnsi="Arial" w:cs="Arial"/>
          <w:sz w:val="20"/>
          <w:szCs w:val="20"/>
        </w:rPr>
        <w:instrText>ADDIN CSL_CITATION {"citationItems":[{"id":"ITEM-1","itemData":{"DOI":"10.1016/j.algal.2017.07.017","ISSN":"22119264","abstract":"Microalgae can be regarded as an alternative and promising food ingredient due to their nutritional composition, richness in bioactive compounds, and because they are considered a sustainable protein source for the future. The aim of this work was to evaluate microalgae (Arthrospira platensis F&amp;M-C256, Chlorella vulgaris Allma, Tetraselmis suecica F&amp;M-M33 and Phaeodactylum tricornutum F&amp;M-M40) as innovative ingredients to enhance functional properties of cookies. Two biomass levels were tested and compared to control: 2% (w/w) and 6% (w/w), to provide high levels of algae-bioactives. The cookies sensory and physical properties were evaluated during eight weeks showing high color and texture stability. Cookies prepared with A. platensis and C. vulgaris presented significantly (p &lt; 0.05) higher protein content compared to the control, and by sensory analysis A. platensis cookies were preferred. Besides, A. platensis also provided a structuring effect in terms of cookies texture. All microalgae-based cookies showed significantly higher (p &lt; 0.05) total phenolic content and in vitro antioxidant capacity compared to the control. No significant difference (p &lt; 0.05) in in vitro digestibility between microalgae cookies and the control was found.","author":[{"dropping-particle":"","family":"Batista","given":"Ana Paula","non-dropping-particle":"","parse-names":false,"suffix":""},{"dropping-particle":"","family":"Niccolai","given":"Alberto","non-dropping-particle":"","parse-names":false,"suffix":""},{"dropping-particle":"","family":"Fradinho","given":"Patrícia","non-dropping-particle":"","parse-names":false,"suffix":""},{"dropping-particle":"","family":"Fragoso","given":"Solange","non-dropping-particle":"","parse-names":false,"suffix":""},{"dropping-particle":"","family":"Bursic","given":"Ivana","non-dropping-particle":"","parse-names":false,"suffix":""},{"dropping-particle":"","family":"Rodolfi","given":"Liliana","non-dropping-particle":"","parse-names":false,"suffix":""},{"dropping-particle":"","family":"Biondi","given":"Natascia","non-dropping-particle":"","parse-names":false,"suffix":""},{"dropping-particle":"","family":"Tredici","given":"Mario R.","non-dropping-particle":"","parse-names":false,"suffix":""},{"dropping-particle":"","family":"Sousa","given":"Isabel","non-dropping-particle":"","parse-names":false,"suffix":""},{"dropping-particle":"","family":"Raymundo","given":"Anabela","non-dropping-particle":"","parse-names":false,"suffix":""}],"container-title":"Algal Research","id":"ITEM-1","issue":"June","issued":{"date-parts":[["2017"]]},"page":"161-171","title":"Microalgae biomass as an alternative ingredient in cookies: Sensory, physical and chemical properties, antioxidant activity and in vitro digestibility","type":"article-journal","volume":"26"},"uris":["http://www.mendeley.com/documents/?uuid=e714bc9a-1a65-43d9-ae5f-c7ce281f64ea"]}],"mendeley":{"formattedCitation":"(Batista et al. 2017)","manualFormatting":"(Batista et al. 2017"},"properties":{"noteIndex":0},"schema":"https://github.com/citation-style-language/schema/raw/master/csl-citation.json"}</w:instrText>
      </w:r>
      <w:r w:rsidRPr="00E47F58">
        <w:rPr>
          <w:rFonts w:ascii="Arial" w:hAnsi="Arial" w:cs="Arial"/>
          <w:sz w:val="20"/>
          <w:szCs w:val="20"/>
        </w:rPr>
        <w:fldChar w:fldCharType="separate"/>
      </w:r>
      <w:r w:rsidR="00827A17" w:rsidRPr="00E47F58">
        <w:rPr>
          <w:rFonts w:ascii="Arial" w:hAnsi="Arial" w:cs="Arial"/>
          <w:noProof/>
          <w:sz w:val="20"/>
          <w:szCs w:val="20"/>
        </w:rPr>
        <w:t>(Batista et al. 2017</w:t>
      </w:r>
      <w:r w:rsidRPr="00E47F58">
        <w:rPr>
          <w:rFonts w:ascii="Arial" w:hAnsi="Arial" w:cs="Arial"/>
          <w:sz w:val="20"/>
          <w:szCs w:val="20"/>
        </w:rPr>
        <w:fldChar w:fldCharType="end"/>
      </w:r>
      <w:r w:rsidR="00BF3849" w:rsidRPr="00E47F58">
        <w:rPr>
          <w:rFonts w:ascii="Arial" w:hAnsi="Arial" w:cs="Arial"/>
          <w:sz w:val="20"/>
          <w:szCs w:val="20"/>
        </w:rPr>
        <w:t>;</w:t>
      </w:r>
      <w:r w:rsidR="00827A17" w:rsidRPr="00E47F58">
        <w:rPr>
          <w:rFonts w:ascii="Arial" w:hAnsi="Arial" w:cs="Arial"/>
          <w:sz w:val="20"/>
          <w:szCs w:val="20"/>
        </w:rPr>
        <w:t xml:space="preserve"> </w:t>
      </w:r>
      <w:r w:rsidR="00827A17" w:rsidRPr="00E47F58">
        <w:rPr>
          <w:rFonts w:ascii="Arial" w:hAnsi="Arial" w:cs="Arial"/>
          <w:sz w:val="20"/>
          <w:szCs w:val="20"/>
        </w:rPr>
        <w:fldChar w:fldCharType="begin" w:fldLock="1"/>
      </w:r>
      <w:r w:rsidR="00BF3849" w:rsidRPr="00E47F58">
        <w:rPr>
          <w:rFonts w:ascii="Arial" w:hAnsi="Arial" w:cs="Arial"/>
          <w:sz w:val="20"/>
          <w:szCs w:val="20"/>
        </w:rPr>
        <w:instrText>ADDIN CSL_CITATION {"citationItems":[{"id":"ITEM-1","itemData":{"DOI":"10.3390/MD18070367","ISSN":"16603397","PMID":"32709006","abstract":"The commercial cultivation of microalgae began in the 1960s and Chlorella was one of the first target organisms. The species has long been considered a potential source of renewable energy, an alternative for phytoremediation, and more recently, as a growth and immune stimulant. However, Chlorella vulgaris, which is one of the most studied microalga, has never been comprehensively profiled chemically. In the present study, comprehensive profiling of the Chlorella vulgaris metabolome grown under normal culture conditions was carried out, employing tandem LC-MS/MS to profile the ethanolic extract and GC-MS for fatty acid analysis. The fatty acid profile of C. vulgaris was shown to be rich in omega-6,-7,-9, and-13 fatty acids, with omega-6 being the highest, representing more than sixty percent (&gt;60%) of the total fatty acids. This is a clear indication that this species of Chlorella could serve as a good source of nutrition when incorporated in diets. The profile also showed that the main fatty acid composition was that of C16-C18 (&gt;92%), suggesting that it might be a potential candidate for biodiesel production. LC-MS/MS analysis revealed carotenoid constituents comprising violaxanthin, neoxanthin, lutein, β-carotene, vulgaxanthin I, astaxanthin, and antheraxanthin, along with other pigments such as the chlorophylls. In addition to these, amino acids, vitamins, and simple sugars were also profiled, and through mass spectrometry-based molecular networking, 48 phospholipids were putatively identified.","author":[{"dropping-particle":"","family":"Pantami","given":"Hamza Ahmed","non-dropping-particle":"","parse-names":false,"suffix":""},{"dropping-particle":"","family":"Bustamam","given":"Muhammad Safwan Ahamad","non-dropping-particle":"","parse-names":false,"suffix":""},{"dropping-particle":"","family":"Lee","given":"Soo Yee","non-dropping-particle":"","parse-names":false,"suffix":""},{"dropping-particle":"","family":"Ismail","given":"Intan Safinar","non-dropping-particle":"","parse-names":false,"suffix":""},{"dropping-particle":"","family":"Faudzi","given":"Siti Munirah Mohd","non-dropping-particle":"","parse-names":false,"suffix":""},{"dropping-particle":"","family":"Nakakuni","given":"Masatoshi","non-dropping-particle":"","parse-names":false,"suffix":""},{"dropping-particle":"","family":"Shaari","given":"Khozirah","non-dropping-particle":"","parse-names":false,"suffix":""}],"container-title":"Marine Drugs","id":"ITEM-1","issue":"7","issued":{"date-parts":[["2020"]]},"title":"Comprehensive GCMS and LC-MS/MS metabolite profiling of chlorella vulgaris","type":"article-journal","volume":"18"},"uris":["http://www.mendeley.com/documents/?uuid=de074128-4993-4080-89b8-e0b319240005"]}],"mendeley":{"formattedCitation":"(Pantami et al. 2020)","manualFormatting":"Pantami et al. 2020)","plainTextFormattedCitation":"(Pantami et al. 2020)"},"properties":{"noteIndex":0},"schema":"https://github.com/citation-style-language/schema/raw/master/csl-citation.json"}</w:instrText>
      </w:r>
      <w:r w:rsidR="00827A17" w:rsidRPr="00E47F58">
        <w:rPr>
          <w:rFonts w:ascii="Arial" w:hAnsi="Arial" w:cs="Arial"/>
          <w:sz w:val="20"/>
          <w:szCs w:val="20"/>
        </w:rPr>
        <w:fldChar w:fldCharType="separate"/>
      </w:r>
      <w:r w:rsidR="00827A17" w:rsidRPr="00E47F58">
        <w:rPr>
          <w:rFonts w:ascii="Arial" w:hAnsi="Arial" w:cs="Arial"/>
          <w:noProof/>
          <w:sz w:val="20"/>
          <w:szCs w:val="20"/>
        </w:rPr>
        <w:t>Pantami et al. 2020)</w:t>
      </w:r>
      <w:r w:rsidR="00827A17" w:rsidRPr="00E47F58">
        <w:rPr>
          <w:rFonts w:ascii="Arial" w:hAnsi="Arial" w:cs="Arial"/>
          <w:sz w:val="20"/>
          <w:szCs w:val="20"/>
        </w:rPr>
        <w:fldChar w:fldCharType="end"/>
      </w:r>
      <w:r w:rsidRPr="00E47F58">
        <w:rPr>
          <w:rFonts w:ascii="Arial" w:hAnsi="Arial" w:cs="Arial"/>
          <w:sz w:val="20"/>
          <w:szCs w:val="20"/>
        </w:rPr>
        <w:t xml:space="preserve">. In the previous years some researches focused on innovative and healthy food products integrated with micro algal biomass such as pasta, biscuits and vegetarian dessert </w:t>
      </w:r>
      <w:r w:rsidRPr="00E47F58">
        <w:rPr>
          <w:rFonts w:ascii="Arial" w:hAnsi="Arial" w:cs="Arial"/>
          <w:sz w:val="20"/>
          <w:szCs w:val="20"/>
        </w:rPr>
        <w:fldChar w:fldCharType="begin" w:fldLock="1"/>
      </w:r>
      <w:r w:rsidR="00F345E2" w:rsidRPr="00E47F58">
        <w:rPr>
          <w:rFonts w:ascii="Arial" w:hAnsi="Arial" w:cs="Arial"/>
          <w:sz w:val="20"/>
          <w:szCs w:val="20"/>
        </w:rPr>
        <w:instrText>ADDIN CSL_CITATION {"citationItems":[{"id":"ITEM-1","itemData":{"DOI":"10.1016/j.jfoodeng.2011.05.044","ISSN":"02608774","abstract":"Microalgae represent an alternative and innovative source of natural ingredients that can be used in the development of novel food products. Biologically active compounds (e.g. carotenoids) are naturally encapsulated within microalgal cells, being able to resist harsh technological conditions involved in food technology processes. The aim of this work was to study the effect of adding Haematococcus pluvialis and Spirulina maxima microalgal biomass on the linear viscoelastic behaviour of vegetarian food gels prepared from pea protein, j-carrageenan and starch. The gelation process was monitored in situ through dynamic oscillatory measurements, under different thermal profile conditions. Increasing temperature (70-90 °C, 5 min) resulted in more structured gels, while the effect of time (5-30 min, at 90 °C) was less pronounced. The effect of heating and cooling rates on gel setting was also studied. Haematococcus gels were highly structured and less dependent on gel setting conditions. Spirulina gels presented lower values of viscoelastic functions than the control (gel matrix without microalgae), but this was overcome when using lower heating/cooling rates. © 2011 Elsevier Ltd. All rights reserved.","author":[{"dropping-particle":"","family":"Batista","given":"Ana Paula","non-dropping-particle":"","parse-names":false,"suffix":""},{"dropping-particle":"","family":"Nunes","given":"Ma Cristiana","non-dropping-particle":"","parse-names":false,"suffix":""},{"dropping-particle":"","family":"Fradinho","given":"Patrícia","non-dropping-particle":"","parse-names":false,"suffix":""},{"dropping-particle":"","family":"Gouveia","given":"Luísa","non-dropping-particle":"","parse-names":false,"suffix":""},{"dropping-particle":"","family":"Sousa","given":"Isabel","non-dropping-particle":"","parse-names":false,"suffix":""},{"dropping-particle":"","family":"Raymundo","given":"Anabela","non-dropping-particle":"","parse-names":false,"suffix":""},{"dropping-particle":"","family":"Franco","given":"José M.","non-dropping-particle":"","parse-names":false,"suffix":""}],"container-title":"Journal of Food Engineering","id":"ITEM-1","issue":"2","issued":{"date-parts":[["2012"]]},"page":"182-189","publisher":"Elsevier Ltd","title":"Novel foods with microalgal ingredients - Effect of gel setting conditions on the linear viscoelasticity of Spirulina and Haematococcus gels","type":"article-journal","volume":"110"},"uris":["http://www.mendeley.com/documents/?uuid=38307e62-6e3c-4199-882d-a33b9138f8ab"]}],"mendeley":{"formattedCitation":"(Batista et al. 2012)","plainTextFormattedCitation":"(Batista et al. 2012)","previouslyFormattedCitation":"(Batista et al. 2012)"},"properties":{"noteIndex":0},"schema":"https://github.com/citation-style-language/schema/raw/master/csl-citation.json"}</w:instrText>
      </w:r>
      <w:r w:rsidRPr="00E47F58">
        <w:rPr>
          <w:rFonts w:ascii="Arial" w:hAnsi="Arial" w:cs="Arial"/>
          <w:sz w:val="20"/>
          <w:szCs w:val="20"/>
        </w:rPr>
        <w:fldChar w:fldCharType="separate"/>
      </w:r>
      <w:r w:rsidR="00F345E2" w:rsidRPr="00E47F58">
        <w:rPr>
          <w:rFonts w:ascii="Arial" w:hAnsi="Arial" w:cs="Arial"/>
          <w:noProof/>
          <w:sz w:val="20"/>
          <w:szCs w:val="20"/>
        </w:rPr>
        <w:t>(Batista et al. 2012)</w:t>
      </w:r>
      <w:r w:rsidRPr="00E47F58">
        <w:rPr>
          <w:rFonts w:ascii="Arial" w:hAnsi="Arial" w:cs="Arial"/>
          <w:sz w:val="20"/>
          <w:szCs w:val="20"/>
        </w:rPr>
        <w:fldChar w:fldCharType="end"/>
      </w:r>
      <w:r w:rsidRPr="00E47F58">
        <w:rPr>
          <w:rFonts w:ascii="Arial" w:hAnsi="Arial" w:cs="Arial"/>
          <w:sz w:val="20"/>
          <w:szCs w:val="20"/>
        </w:rPr>
        <w:t xml:space="preserve">. </w:t>
      </w:r>
      <w:r w:rsidR="005769C4" w:rsidRPr="00E47F58">
        <w:rPr>
          <w:rFonts w:ascii="Arial" w:hAnsi="Arial" w:cs="Arial"/>
          <w:sz w:val="20"/>
          <w:szCs w:val="20"/>
        </w:rPr>
        <w:t xml:space="preserve">High value microalgae species produce an array of different classes of compounds that contribute to improvement of immunity in living orgasms. In this regard, economic affordability and pharmacological potentials of microalgae-derived drugs, have gain prominent and current research interest worldwide especially in tropical countries due to suitability of culturing conditions. Metabolomics as a science field that characterizes endogenous and exogenous low molecular mass metabolites within various samples, is also applicable in studies involving cells, tissues, and bio fluids of an organism in response to external stimuli such as diseases, contaminants, nutritional imbalance and immune stimulants </w:t>
      </w:r>
      <w:r w:rsidR="005769C4" w:rsidRPr="00E47F58">
        <w:rPr>
          <w:rFonts w:ascii="Arial" w:hAnsi="Arial" w:cs="Arial"/>
          <w:sz w:val="20"/>
          <w:szCs w:val="20"/>
        </w:rPr>
        <w:fldChar w:fldCharType="begin" w:fldLock="1"/>
      </w:r>
      <w:r w:rsidR="00F345E2" w:rsidRPr="00E47F58">
        <w:rPr>
          <w:rFonts w:ascii="Arial" w:hAnsi="Arial" w:cs="Arial"/>
          <w:sz w:val="20"/>
          <w:szCs w:val="20"/>
        </w:rPr>
        <w:instrText>ADDIN CSL_CITATION {"citationItems":[{"id":"ITEM-1","itemData":{"author":[{"dropping-particle":"","family":"Lankadurai","given":"Brian P","non-dropping-particle":"","parse-names":false,"suffix":""},{"dropping-particle":"","family":"Nagato","given":"Edward G","non-dropping-particle":"","parse-names":false,"suffix":""},{"dropping-particle":"","family":"Simpson","given":"Myrna J","non-dropping-particle":"","parse-names":false,"suffix":""}],"container-title":"Environmental Review","id":"ITEM-1","issue":"21","issued":{"date-parts":[["2013"]]},"page":"180-205","title":"Environmental metabolomics : an emerging approach to study organism responses to environmental stressors","type":"article-journal","volume":"205"},"uris":["http://www.mendeley.com/documents/?uuid=b4cfbe68-cbdd-4dd4-9a2d-ac3b02453953"]}],"mendeley":{"formattedCitation":"(Lankadurai, Nagato, and Simpson 2013)","plainTextFormattedCitation":"(Lankadurai, Nagato, and Simpson 2013)","previouslyFormattedCitation":"(Lankadurai, Nagato, and Simpson 2013)"},"properties":{"noteIndex":0},"schema":"https://github.com/citation-style-language/schema/raw/master/csl-citation.json"}</w:instrText>
      </w:r>
      <w:r w:rsidR="005769C4" w:rsidRPr="00E47F58">
        <w:rPr>
          <w:rFonts w:ascii="Arial" w:hAnsi="Arial" w:cs="Arial"/>
          <w:sz w:val="20"/>
          <w:szCs w:val="20"/>
        </w:rPr>
        <w:fldChar w:fldCharType="separate"/>
      </w:r>
      <w:r w:rsidR="00F345E2" w:rsidRPr="00E47F58">
        <w:rPr>
          <w:rFonts w:ascii="Arial" w:hAnsi="Arial" w:cs="Arial"/>
          <w:noProof/>
          <w:sz w:val="20"/>
          <w:szCs w:val="20"/>
        </w:rPr>
        <w:t>(Lankadurai, Nagato, and Simpson 2013)</w:t>
      </w:r>
      <w:r w:rsidR="005769C4" w:rsidRPr="00E47F58">
        <w:rPr>
          <w:rFonts w:ascii="Arial" w:hAnsi="Arial" w:cs="Arial"/>
          <w:sz w:val="20"/>
          <w:szCs w:val="20"/>
        </w:rPr>
        <w:fldChar w:fldCharType="end"/>
      </w:r>
      <w:r w:rsidR="005769C4" w:rsidRPr="00E47F58">
        <w:rPr>
          <w:rFonts w:ascii="Arial" w:hAnsi="Arial" w:cs="Arial"/>
          <w:sz w:val="20"/>
          <w:szCs w:val="20"/>
        </w:rPr>
        <w:t xml:space="preserve">. Metabolomics approach can generate comprehensive data sets of the sample being analyzed. This is simply because the metabolites within a cell, tissue, organ, biological fluid or the entire organism constitute the metabolome </w:t>
      </w:r>
      <w:r w:rsidR="005769C4" w:rsidRPr="00E47F58">
        <w:rPr>
          <w:rFonts w:ascii="Arial" w:hAnsi="Arial" w:cs="Arial"/>
          <w:sz w:val="20"/>
          <w:szCs w:val="20"/>
        </w:rPr>
        <w:fldChar w:fldCharType="begin" w:fldLock="1"/>
      </w:r>
      <w:r w:rsidR="00F345E2" w:rsidRPr="00E47F58">
        <w:rPr>
          <w:rFonts w:ascii="Arial" w:hAnsi="Arial" w:cs="Arial"/>
          <w:sz w:val="20"/>
          <w:szCs w:val="20"/>
        </w:rPr>
        <w:instrText>ADDIN CSL_CITATION {"citationItems":[{"id":"ITEM-1","itemData":{"DOI":"10.1016/j.jpba.2005.05.012","author":[{"dropping-particle":"","family":"Webb-robertson","given":"Bobbie-jo M","non-dropping-particle":"","parse-names":false,"suffix":""},{"dropping-particle":"","family":"Lowry","given":"David F","non-dropping-particle":"","parse-names":false,"suffix":""},{"dropping-particle":"","family":"Jarman","given":"Kristin H","non-dropping-particle":"","parse-names":false,"suffix":""},{"dropping-particle":"","family":"Harbo","given":"Sam J","non-dropping-particle":"","parse-names":false,"suffix":""},{"dropping-particle":"","family":"Meng","given":"Q Ryan","non-dropping-particle":"","parse-names":false,"suffix":""},{"dropping-particle":"","family":"Fuciarelli","given":"Alfred F","non-dropping-particle":"","parse-names":false,"suffix":""},{"dropping-particle":"","family":"Pounds","given":"Joel G","non-dropping-particle":"","parse-names":false,"suffix":""},{"dropping-particle":"","family":"Lee","given":"K Monica","non-dropping-particle":"","parse-names":false,"suffix":""}],"container-title":"Journal of Pharmaceutical and Biomedical Analysis","id":"ITEM-1","issued":{"date-parts":[["2005"]]},"page":"830-836","title":"A Study of spectral integration and normalization in NMR-based metabonomic analyses","type":"article-journal","volume":"39"},"uris":["http://www.mendeley.com/documents/?uuid=2524683a-6695-45cc-acc4-7b06b75ab86b"]}],"mendeley":{"formattedCitation":"(Webb-robertson et al. 2005)","plainTextFormattedCitation":"(Webb-robertson et al. 2005)","previouslyFormattedCitation":"(Webb-robertson et al. 2005)"},"properties":{"noteIndex":0},"schema":"https://github.com/citation-style-language/schema/raw/master/csl-citation.json"}</w:instrText>
      </w:r>
      <w:r w:rsidR="005769C4" w:rsidRPr="00E47F58">
        <w:rPr>
          <w:rFonts w:ascii="Arial" w:hAnsi="Arial" w:cs="Arial"/>
          <w:sz w:val="20"/>
          <w:szCs w:val="20"/>
        </w:rPr>
        <w:fldChar w:fldCharType="separate"/>
      </w:r>
      <w:r w:rsidR="00F345E2" w:rsidRPr="00E47F58">
        <w:rPr>
          <w:rFonts w:ascii="Arial" w:hAnsi="Arial" w:cs="Arial"/>
          <w:noProof/>
          <w:sz w:val="20"/>
          <w:szCs w:val="20"/>
        </w:rPr>
        <w:t>(Webb-robertson et al. 2005)</w:t>
      </w:r>
      <w:r w:rsidR="005769C4" w:rsidRPr="00E47F58">
        <w:rPr>
          <w:rFonts w:ascii="Arial" w:hAnsi="Arial" w:cs="Arial"/>
          <w:sz w:val="20"/>
          <w:szCs w:val="20"/>
        </w:rPr>
        <w:fldChar w:fldCharType="end"/>
      </w:r>
      <w:r w:rsidR="005769C4" w:rsidRPr="00E47F58">
        <w:rPr>
          <w:rFonts w:ascii="Arial" w:hAnsi="Arial" w:cs="Arial"/>
          <w:sz w:val="20"/>
          <w:szCs w:val="20"/>
        </w:rPr>
        <w:t>.</w:t>
      </w:r>
    </w:p>
    <w:p w14:paraId="70E68D4F" w14:textId="77777777" w:rsidR="00123C53" w:rsidRPr="00E47F58" w:rsidRDefault="00123C53" w:rsidP="00EB6AE8">
      <w:pPr>
        <w:pStyle w:val="single"/>
        <w:rPr>
          <w:rFonts w:ascii="Arial" w:hAnsi="Arial" w:cs="Arial"/>
          <w:sz w:val="20"/>
          <w:szCs w:val="20"/>
          <w:lang w:val="en-GB"/>
        </w:rPr>
      </w:pPr>
      <w:r w:rsidRPr="00E47F58">
        <w:rPr>
          <w:rFonts w:ascii="Arial" w:hAnsi="Arial" w:cs="Arial"/>
          <w:sz w:val="20"/>
          <w:szCs w:val="20"/>
        </w:rPr>
        <w:t xml:space="preserve">Incorporation of immunostimulants such as microalgal biomass into fish feed is one of the recent developments in mitigating disease outbreak in fish </w:t>
      </w:r>
      <w:r w:rsidRPr="00E47F58">
        <w:rPr>
          <w:rFonts w:ascii="Arial" w:hAnsi="Arial" w:cs="Arial"/>
          <w:sz w:val="20"/>
          <w:szCs w:val="20"/>
        </w:rPr>
        <w:fldChar w:fldCharType="begin" w:fldLock="1"/>
      </w:r>
      <w:r w:rsidR="00F345E2" w:rsidRPr="00E47F58">
        <w:rPr>
          <w:rFonts w:ascii="Arial" w:hAnsi="Arial" w:cs="Arial"/>
          <w:sz w:val="20"/>
          <w:szCs w:val="20"/>
        </w:rPr>
        <w:instrText>ADDIN CSL_CITATION {"citationItems":[{"id":"ITEM-1","itemData":{"DOI":"10.1111/raq.12320","ISSN":"17535131","abstract":"Microalgae biomass is used in aquaculture as feed, growth enhancers and immunostimulants. Chlorella vulgaris is an important species with a good biomolecular composition. Commercially, it is one of the most commonly used microalga in aquaculture. Several studies confirmed its ability to improve nutrition , immunity, aquatic bioremediation, amelioration of stress, disease resistance of fish and inhibits bacterial quorum sensing when used appropriately. Despite claims of its benefits, C. vulgaris is reported to have unfavourable effects when incorporated in diets at higher inclusion levels. In addition, its rigid cell wall might restrict the access of digestive enzymes to the intracellular components for proper digestion and assimilation. Thus, this review discusses the role of C. vul-garis and its importance in aquaculture with emphasis on its environmental requirements, morphology, pigments, digestibility, dynamics on growth performance , antibacterial activity, bacterial quorum sensing, immunomodulatory effect, anti-stress effect, gut microbiome, aquatic bioremediation and its safety as food or feed.","author":[{"dropping-particle":"","family":"Ahmad","given":"Muhammad Talba","non-dropping-particle":"","parse-names":false,"suffix":""},{"dropping-particle":"","family":"Shariff","given":"Mohamed","non-dropping-particle":"","parse-names":false,"suffix":""},{"dropping-particle":"","family":"Md. Yusoff","given":"Fatimah","non-dropping-particle":"","parse-names":false,"suffix":""},{"dropping-particle":"","family":"Goh","given":"Yong Meng","non-dropping-particle":"","parse-names":false,"suffix":""},{"dropping-particle":"","family":"Banerjee","given":"Sanjoy","non-dropping-particle":"","parse-names":false,"suffix":""}],"container-title":"Reviews in Aquaculture","id":"ITEM-1","issued":{"date-parts":[["2018"]]},"page":"1-19","title":"Applications of microalga Chlorella vulgaris in aquaculture","type":"article-journal"},"uris":["http://www.mendeley.com/documents/?uuid=4b4274a3-1f8a-4375-8944-168d31e8cbfe"]}],"mendeley":{"formattedCitation":"(Ahmad et al. 2018)","plainTextFormattedCitation":"(Ahmad et al. 2018)","previouslyFormattedCitation":"(Ahmad et al. 2018)"},"properties":{"noteIndex":0},"schema":"https://github.com/citation-style-language/schema/raw/master/csl-citation.json"}</w:instrText>
      </w:r>
      <w:r w:rsidRPr="00E47F58">
        <w:rPr>
          <w:rFonts w:ascii="Arial" w:hAnsi="Arial" w:cs="Arial"/>
          <w:sz w:val="20"/>
          <w:szCs w:val="20"/>
        </w:rPr>
        <w:fldChar w:fldCharType="separate"/>
      </w:r>
      <w:r w:rsidR="00F345E2" w:rsidRPr="00E47F58">
        <w:rPr>
          <w:rFonts w:ascii="Arial" w:hAnsi="Arial" w:cs="Arial"/>
          <w:noProof/>
          <w:sz w:val="20"/>
          <w:szCs w:val="20"/>
        </w:rPr>
        <w:t>(Ahmad et al. 2018)</w:t>
      </w:r>
      <w:r w:rsidRPr="00E47F58">
        <w:rPr>
          <w:rFonts w:ascii="Arial" w:hAnsi="Arial" w:cs="Arial"/>
          <w:sz w:val="20"/>
          <w:szCs w:val="20"/>
          <w:lang w:val="en-GB"/>
        </w:rPr>
        <w:fldChar w:fldCharType="end"/>
      </w:r>
      <w:r w:rsidRPr="00E47F58">
        <w:rPr>
          <w:rFonts w:ascii="Arial" w:hAnsi="Arial" w:cs="Arial"/>
          <w:sz w:val="20"/>
          <w:szCs w:val="20"/>
        </w:rPr>
        <w:t>. Nevertheless, the available scientific evidence in using microalgae as immunostimulants depends largely on reports of immune assays conducted. Much of the knowledge of the mechanisms at molecular level is still lacking. Metabolomics studies of the endogenous biomarkers of immune boost in complement with pathway analysis holds a promising future in understanding and regulating the mechanisms involved in immunogenesis leading to mitigating disease outbreak</w:t>
      </w:r>
      <w:r w:rsidR="008B4CCD" w:rsidRPr="00E47F58">
        <w:rPr>
          <w:rFonts w:ascii="Arial" w:hAnsi="Arial" w:cs="Arial"/>
          <w:sz w:val="20"/>
          <w:szCs w:val="20"/>
        </w:rPr>
        <w:t>.</w:t>
      </w:r>
    </w:p>
    <w:p w14:paraId="57C7FA8C" w14:textId="77777777" w:rsidR="00EB6AE8" w:rsidRPr="00E47F58" w:rsidRDefault="00F4346E" w:rsidP="00EB6AE8">
      <w:pPr>
        <w:pStyle w:val="single"/>
        <w:rPr>
          <w:rFonts w:ascii="Arial" w:hAnsi="Arial" w:cs="Arial"/>
          <w:sz w:val="20"/>
          <w:szCs w:val="20"/>
          <w:lang w:val="en-GB"/>
        </w:rPr>
      </w:pPr>
      <w:r w:rsidRPr="00E47F58">
        <w:rPr>
          <w:rFonts w:ascii="Arial" w:hAnsi="Arial" w:cs="Arial"/>
          <w:sz w:val="20"/>
          <w:szCs w:val="20"/>
          <w:lang w:val="en-GB"/>
        </w:rPr>
        <w:t>In previous research</w:t>
      </w:r>
      <w:r w:rsidR="00EB6AE8" w:rsidRPr="00E47F58">
        <w:rPr>
          <w:rFonts w:ascii="Arial" w:hAnsi="Arial" w:cs="Arial"/>
          <w:sz w:val="20"/>
          <w:szCs w:val="20"/>
          <w:lang w:val="en-GB"/>
        </w:rPr>
        <w:t xml:space="preserve">, it was evidently proven that </w:t>
      </w:r>
      <w:r w:rsidR="00EB6AE8" w:rsidRPr="00E47F58">
        <w:rPr>
          <w:rFonts w:ascii="Arial" w:hAnsi="Arial" w:cs="Arial"/>
          <w:i/>
          <w:iCs/>
          <w:sz w:val="20"/>
          <w:szCs w:val="20"/>
          <w:lang w:val="en-GB"/>
        </w:rPr>
        <w:t xml:space="preserve">C. vulgaris </w:t>
      </w:r>
      <w:r w:rsidR="00EB6AE8" w:rsidRPr="00E47F58">
        <w:rPr>
          <w:rFonts w:ascii="Arial" w:hAnsi="Arial" w:cs="Arial"/>
          <w:sz w:val="20"/>
          <w:szCs w:val="20"/>
          <w:lang w:val="en-GB"/>
        </w:rPr>
        <w:t>incorporation into fish feed enhances innate immunity of tilapia fish via regulation of some biochemical pathways</w:t>
      </w:r>
      <w:r w:rsidR="0022766E" w:rsidRPr="00E47F58">
        <w:rPr>
          <w:rFonts w:ascii="Arial" w:hAnsi="Arial" w:cs="Arial"/>
          <w:sz w:val="20"/>
          <w:szCs w:val="20"/>
          <w:lang w:val="en-GB"/>
        </w:rPr>
        <w:t xml:space="preserve"> </w:t>
      </w:r>
      <w:r w:rsidR="0022766E" w:rsidRPr="00E47F58">
        <w:rPr>
          <w:rFonts w:ascii="Arial" w:hAnsi="Arial" w:cs="Arial"/>
          <w:sz w:val="20"/>
          <w:szCs w:val="20"/>
          <w:lang w:val="en-GB"/>
        </w:rPr>
        <w:fldChar w:fldCharType="begin" w:fldLock="1"/>
      </w:r>
      <w:r w:rsidR="00A71624" w:rsidRPr="00E47F58">
        <w:rPr>
          <w:rFonts w:ascii="Arial" w:hAnsi="Arial" w:cs="Arial"/>
          <w:sz w:val="20"/>
          <w:szCs w:val="20"/>
          <w:lang w:val="en-GB"/>
        </w:rPr>
        <w:instrText>ADDIN CSL_CITATION {"citationItems":[{"id":"ITEM-1","itemData":{"DOI":"10.56892/bima.v7i01.396","author":[{"dropping-particle":"","family":"Pantami","given":"Hamza Ahmed","non-dropping-particle":"","parse-names":false,"suffix":""},{"dropping-particle":"","family":"Safwan","given":"Muhammad","non-dropping-particle":"","parse-names":false,"suffix":""},{"dropping-particle":"","family":"Bustamam","given":"Ahamad","non-dropping-particle":"","parse-names":false,"suffix":""},{"dropping-particle":"","family":"Min","given":"Chong Chou","non-dropping-particle":"","parse-names":false,"suffix":""},{"dropping-particle":"","family":"Ismail","given":"Intan Safinar","non-dropping-particle":"","parse-names":false,"suffix":""},{"dropping-particle":"","family":"Lee","given":"Soo Yee","non-dropping-particle":"","parse-names":false,"suffix":""},{"dropping-particle":"","family":"Abubakar","given":"Samaila","non-dropping-particle":"","parse-names":false,"suffix":""},{"dropping-particle":"","family":"Mohammed","given":"Usman Yakubu","non-dropping-particle":"","parse-names":false,"suffix":""}],"container-title":"Bima Journal of Science and Technology","id":"ITEM-1","issue":"1","issued":{"date-parts":[["2023"]]},"page":"165-189","title":"Integration of Spleen 1H NMR-Based Metabolomics Revealed the Immunomodulatory Effect of Chlorella vulgaris on Nile Tilapia (Oreochromis niloticus)","type":"article-journal","volume":"7"},"uris":["http://www.mendeley.com/documents/?uuid=1bbcbe67-81d3-4c86-972d-12b5b9b8bb5e"]}],"mendeley":{"formattedCitation":"(Pantami et al. 2023)","plainTextFormattedCitation":"(Pantami et al. 2023)","previouslyFormattedCitation":"(Pantami et al. 2023)"},"properties":{"noteIndex":0},"schema":"https://github.com/citation-style-language/schema/raw/master/csl-citation.json"}</w:instrText>
      </w:r>
      <w:r w:rsidR="0022766E" w:rsidRPr="00E47F58">
        <w:rPr>
          <w:rFonts w:ascii="Arial" w:hAnsi="Arial" w:cs="Arial"/>
          <w:sz w:val="20"/>
          <w:szCs w:val="20"/>
          <w:lang w:val="en-GB"/>
        </w:rPr>
        <w:fldChar w:fldCharType="separate"/>
      </w:r>
      <w:r w:rsidR="00F345E2" w:rsidRPr="00E47F58">
        <w:rPr>
          <w:rFonts w:ascii="Arial" w:hAnsi="Arial" w:cs="Arial"/>
          <w:noProof/>
          <w:sz w:val="20"/>
          <w:szCs w:val="20"/>
          <w:lang w:val="en-GB"/>
        </w:rPr>
        <w:t>(Pantami et al. 2023)</w:t>
      </w:r>
      <w:r w:rsidR="0022766E" w:rsidRPr="00E47F58">
        <w:rPr>
          <w:rFonts w:ascii="Arial" w:hAnsi="Arial" w:cs="Arial"/>
          <w:sz w:val="20"/>
          <w:szCs w:val="20"/>
          <w:lang w:val="en-GB"/>
        </w:rPr>
        <w:fldChar w:fldCharType="end"/>
      </w:r>
      <w:r w:rsidR="00EB6AE8" w:rsidRPr="00E47F58">
        <w:rPr>
          <w:rFonts w:ascii="Arial" w:hAnsi="Arial" w:cs="Arial"/>
          <w:sz w:val="20"/>
          <w:szCs w:val="20"/>
          <w:lang w:val="en-GB"/>
        </w:rPr>
        <w:t xml:space="preserve">. But that was not enough to justify that immunity boosted as a result of </w:t>
      </w:r>
      <w:r w:rsidR="00EB6AE8" w:rsidRPr="00E47F58">
        <w:rPr>
          <w:rFonts w:ascii="Arial" w:hAnsi="Arial" w:cs="Arial"/>
          <w:i/>
          <w:iCs/>
          <w:sz w:val="20"/>
          <w:szCs w:val="20"/>
          <w:lang w:val="en-GB"/>
        </w:rPr>
        <w:t xml:space="preserve">C. vulgaris </w:t>
      </w:r>
      <w:r w:rsidR="00EB6AE8" w:rsidRPr="00E47F58">
        <w:rPr>
          <w:rFonts w:ascii="Arial" w:hAnsi="Arial" w:cs="Arial"/>
          <w:sz w:val="20"/>
          <w:szCs w:val="20"/>
          <w:lang w:val="en-GB"/>
        </w:rPr>
        <w:t xml:space="preserve">feeding can prevent the treated fish from massive death unless a real bacterial challenge is carried out. </w:t>
      </w:r>
      <w:r w:rsidR="00EB6AE8" w:rsidRPr="00E47F58">
        <w:rPr>
          <w:rFonts w:ascii="Arial" w:hAnsi="Arial" w:cs="Arial"/>
          <w:i/>
          <w:iCs/>
          <w:sz w:val="20"/>
          <w:szCs w:val="20"/>
          <w:lang w:val="en-GB"/>
        </w:rPr>
        <w:t>Streptococcus agalactiae</w:t>
      </w:r>
      <w:r w:rsidR="00EB6AE8" w:rsidRPr="00E47F58">
        <w:rPr>
          <w:rFonts w:ascii="Arial" w:hAnsi="Arial" w:cs="Arial"/>
          <w:sz w:val="20"/>
          <w:szCs w:val="20"/>
          <w:lang w:val="en-GB"/>
        </w:rPr>
        <w:t>, a considerably strong virulent</w:t>
      </w:r>
      <w:r w:rsidR="00EB6AE8" w:rsidRPr="00E47F58">
        <w:rPr>
          <w:rFonts w:ascii="Arial" w:hAnsi="Arial" w:cs="Arial"/>
          <w:i/>
          <w:iCs/>
          <w:sz w:val="20"/>
          <w:szCs w:val="20"/>
          <w:lang w:val="en-GB"/>
        </w:rPr>
        <w:t xml:space="preserve"> </w:t>
      </w:r>
      <w:r w:rsidR="00EB6AE8" w:rsidRPr="00E47F58">
        <w:rPr>
          <w:rFonts w:ascii="Arial" w:hAnsi="Arial" w:cs="Arial"/>
          <w:sz w:val="20"/>
          <w:szCs w:val="20"/>
          <w:lang w:val="en-GB"/>
        </w:rPr>
        <w:t xml:space="preserve">bacteria, is one of the major concern of possible infections in most of tilapia fish culture farms </w:t>
      </w:r>
      <w:r w:rsidR="00EB6AE8" w:rsidRPr="00E47F58">
        <w:rPr>
          <w:rFonts w:ascii="Arial" w:hAnsi="Arial" w:cs="Arial"/>
          <w:sz w:val="20"/>
          <w:szCs w:val="20"/>
          <w:lang w:val="en-GB"/>
        </w:rPr>
        <w:fldChar w:fldCharType="begin" w:fldLock="1"/>
      </w:r>
      <w:r w:rsidR="00F345E2" w:rsidRPr="00E47F58">
        <w:rPr>
          <w:rFonts w:ascii="Arial" w:hAnsi="Arial" w:cs="Arial"/>
          <w:sz w:val="20"/>
          <w:szCs w:val="20"/>
          <w:lang w:val="en-GB"/>
        </w:rPr>
        <w:instrText>ADDIN CSL_CITATION {"citationItems":[{"id":"ITEM-1","itemData":{"DOI":"10.1016/j.jcpa.2010.01.020","ISSN":"00219975","PMID":"20334871","abstract":"The pathological changes present in 300 red tilapias (Oreochromis spp.) naturally infected by Streptococcus agalactiae are described. The most consistent gross findings were marked congestion of internal organs, particularly the liver, spleen and kidneys. Other features included exophthalmos, softening of the brain and the occasional accumulation of fluid within the abdominal cavity. Microscopical examination confirmed the presence of marked congestion of the liver, spleen and kidneys. The endothelial cells lining major blood vessels of the liver and occasionally the spleen were swollen and vacuolated. There was evidence of vascular thrombosis with infarction of surrounding tissue. Bacterial colonies were noted within and immediately surrounding the affected blood vessels. The meninges were thickened by the infiltration of numerous heterophils. Similar infiltrates of heterophils and lymphocytes were observed in the lamina propria of the intestine. The kidneys were severely congested and haemorrhagic, with extensive interstitial nephritis. © 2010 Elsevier Ltd.","author":[{"dropping-particle":"","family":"Zamri-Saad","given":"M.","non-dropping-particle":"","parse-names":false,"suffix":""},{"dropping-particle":"","family":"Amal","given":"M. N.A.","non-dropping-particle":"","parse-names":false,"suffix":""},{"dropping-particle":"","family":"Siti-Zahrah","given":"A.","non-dropping-particle":"","parse-names":false,"suffix":""}],"container-title":"Journal of Comparative Pathology","id":"ITEM-1","issue":"2-3","issued":{"date-parts":[["2010"]]},"page":"227-229","publisher":"Elsevier Ltd","title":"Pathological changes in red tilapias (Oreochromis spp.) naturally infected by Streptococcus agalactiae","type":"article-journal","volume":"143"},"uris":["http://www.mendeley.com/documents/?uuid=23cfc099-f5e4-4e0f-b281-bc6ed5dc5bbc","http://www.mendeley.com/documents/?uuid=be920a56-c0f1-4260-8be6-a536829849a1"]}],"mendeley":{"formattedCitation":"(Zamri-Saad, Amal, and Siti-Zahrah 2010)","manualFormatting":"(Zamri-Saad et al., 2010","plainTextFormattedCitation":"(Zamri-Saad, Amal, and Siti-Zahrah 2010)","previouslyFormattedCitation":"(Zamri-Saad, Amal, and Siti-Zahrah 2010)"},"properties":{"noteIndex":0},"schema":"https://github.com/citation-style-language/schema/raw/master/csl-citation.json"}</w:instrText>
      </w:r>
      <w:r w:rsidR="00EB6AE8" w:rsidRPr="00E47F58">
        <w:rPr>
          <w:rFonts w:ascii="Arial" w:hAnsi="Arial" w:cs="Arial"/>
          <w:sz w:val="20"/>
          <w:szCs w:val="20"/>
          <w:lang w:val="en-GB"/>
        </w:rPr>
        <w:fldChar w:fldCharType="separate"/>
      </w:r>
      <w:r w:rsidR="00EB6AE8" w:rsidRPr="00E47F58">
        <w:rPr>
          <w:rFonts w:ascii="Arial" w:hAnsi="Arial" w:cs="Arial"/>
          <w:noProof/>
          <w:sz w:val="20"/>
          <w:szCs w:val="20"/>
          <w:lang w:val="en-GB"/>
        </w:rPr>
        <w:t>(Zamri-Saad et al., 2010</w:t>
      </w:r>
      <w:r w:rsidR="00EB6AE8" w:rsidRPr="00E47F58">
        <w:rPr>
          <w:rFonts w:ascii="Arial" w:hAnsi="Arial" w:cs="Arial"/>
          <w:sz w:val="20"/>
          <w:szCs w:val="20"/>
          <w:lang w:val="en-GB"/>
        </w:rPr>
        <w:fldChar w:fldCharType="end"/>
      </w:r>
      <w:r w:rsidR="00EB6AE8" w:rsidRPr="00E47F58">
        <w:rPr>
          <w:rFonts w:ascii="Arial" w:hAnsi="Arial" w:cs="Arial"/>
          <w:sz w:val="20"/>
          <w:szCs w:val="20"/>
          <w:lang w:val="en-GB"/>
        </w:rPr>
        <w:t xml:space="preserve">; </w:t>
      </w:r>
      <w:r w:rsidR="00EB6AE8" w:rsidRPr="00E47F58">
        <w:rPr>
          <w:rFonts w:ascii="Arial" w:hAnsi="Arial" w:cs="Arial"/>
          <w:sz w:val="20"/>
          <w:szCs w:val="20"/>
          <w:lang w:val="en-GB"/>
        </w:rPr>
        <w:fldChar w:fldCharType="begin" w:fldLock="1"/>
      </w:r>
      <w:r w:rsidR="00F345E2" w:rsidRPr="00E47F58">
        <w:rPr>
          <w:rFonts w:ascii="Arial" w:hAnsi="Arial" w:cs="Arial"/>
          <w:sz w:val="20"/>
          <w:szCs w:val="20"/>
          <w:lang w:val="en-GB"/>
        </w:rPr>
        <w:instrText>ADDIN CSL_CITATION {"citationItems":[{"id":"ITEM-1","itemData":{"DOI":"10.1016/j.aquaculture.2017.11.019","ISSN":"00448486","abstract":"This paper reports a case of natural co-infection of Tilapia Lake Virus (TiLV) and Aeromonas veronii in a Malaysian red hybrid tilapia (Oreochromis niloticus × O. mossambicus) farm. In May 2017, a tilapia farm operator reported a mass mortality among cultured red hybrid tilapia juveniles, approximately 45 days after introduction into earthen ponds. Affected fish showed lethargy, loss of appetite, swim near the pond edge, pale and isolated from schooling group. There were skin redness and haemorrhages, particularly at the operculum area and at the base of dorsal, caudal and anal fins. Histopathological examinations revealed swollen hepatocytes, haemorrhagic spleens and perivascular cuffing consisted of mononuclear cells in the brains. PCR and sequence analyses confirmed the presence of TiLV and A. veronii in the diseased fish. Phylogenetic tree revealed that Malaysian's TiLV strain was more closely related with the virus isolated in Israel than in Egypt or Thailand, while Malaysian's A. veronii strain 5L was closely related with strains from China. TiLV infection is a significant threat to global tilapia industry. However, synergistic co-infection of TiLV and other bacterial might aggravate the problem.","author":[{"dropping-particle":"","family":"Amal","given":"M. N.A.","non-dropping-particle":"","parse-names":false,"suffix":""},{"dropping-particle":"","family":"Koh","given":"C. B.","non-dropping-particle":"","parse-names":false,"suffix":""},{"dropping-particle":"","family":"Nurliyana","given":"M.","non-dropping-particle":"","parse-names":false,"suffix":""},{"dropping-particle":"","family":"Suhaiba","given":"M.","non-dropping-particle":"","parse-names":false,"suffix":""},{"dropping-particle":"","family":"Nor-Amalina","given":"Z.","non-dropping-particle":"","parse-names":false,"suffix":""},{"dropping-particle":"","family":"Santha","given":"S.","non-dropping-particle":"","parse-names":false,"suffix":""},{"dropping-particle":"","family":"Diyana-Nadhirah","given":"K. P.","non-dropping-particle":"","parse-names":false,"suffix":""},{"dropping-particle":"","family":"Yusof","given":"M. T.","non-dropping-particle":"","parse-names":false,"suffix":""},{"dropping-particle":"","family":"Ina-Salwany","given":"M. Y.","non-dropping-particle":"","parse-names":false,"suffix":""},{"dropping-particle":"","family":"Zamri-Saad","given":"M.","non-dropping-particle":"","parse-names":false,"suffix":""}],"container-title":"Aquaculture","id":"ITEM-1","issue":"July 2017","issued":{"date-parts":[["2018"]]},"page":"12-16","publisher":"Elsevier","title":"A case of natural co-infection of Tilapia Lake Virus and Aeromonas veronii in a Malaysian red hybrid tilapia (Oreochromis niloticus × O. mossambicus) farm experiencing high mortality","type":"article-journal","volume":"485"},"uris":["http://www.mendeley.com/documents/?uuid=ed481209-8d68-4ce1-9229-d9bea92cd902"]}],"mendeley":{"formattedCitation":"(Amal et al. 2018)","manualFormatting":"Amal et al., 2018)","plainTextFormattedCitation":"(Amal et al. 2018)","previouslyFormattedCitation":"(Amal et al. 2018)"},"properties":{"noteIndex":0},"schema":"https://github.com/citation-style-language/schema/raw/master/csl-citation.json"}</w:instrText>
      </w:r>
      <w:r w:rsidR="00EB6AE8" w:rsidRPr="00E47F58">
        <w:rPr>
          <w:rFonts w:ascii="Arial" w:hAnsi="Arial" w:cs="Arial"/>
          <w:sz w:val="20"/>
          <w:szCs w:val="20"/>
          <w:lang w:val="en-GB"/>
        </w:rPr>
        <w:fldChar w:fldCharType="separate"/>
      </w:r>
      <w:r w:rsidR="00EB6AE8" w:rsidRPr="00E47F58">
        <w:rPr>
          <w:rFonts w:ascii="Arial" w:hAnsi="Arial" w:cs="Arial"/>
          <w:noProof/>
          <w:sz w:val="20"/>
          <w:szCs w:val="20"/>
          <w:lang w:val="en-GB"/>
        </w:rPr>
        <w:t>Amal et al., 2018)</w:t>
      </w:r>
      <w:r w:rsidR="00EB6AE8" w:rsidRPr="00E47F58">
        <w:rPr>
          <w:rFonts w:ascii="Arial" w:hAnsi="Arial" w:cs="Arial"/>
          <w:sz w:val="20"/>
          <w:szCs w:val="20"/>
          <w:lang w:val="en-GB"/>
        </w:rPr>
        <w:fldChar w:fldCharType="end"/>
      </w:r>
      <w:r w:rsidR="00EB6AE8" w:rsidRPr="00E47F58">
        <w:rPr>
          <w:rFonts w:ascii="Arial" w:hAnsi="Arial" w:cs="Arial"/>
          <w:sz w:val="20"/>
          <w:szCs w:val="20"/>
          <w:lang w:val="en-GB"/>
        </w:rPr>
        <w:t>. And hence</w:t>
      </w:r>
      <w:r w:rsidR="0022766E" w:rsidRPr="00E47F58">
        <w:rPr>
          <w:rFonts w:ascii="Arial" w:hAnsi="Arial" w:cs="Arial"/>
          <w:sz w:val="20"/>
          <w:szCs w:val="20"/>
          <w:lang w:val="en-GB"/>
        </w:rPr>
        <w:t xml:space="preserve"> it</w:t>
      </w:r>
      <w:r w:rsidR="00EB6AE8" w:rsidRPr="00E47F58">
        <w:rPr>
          <w:rFonts w:ascii="Arial" w:hAnsi="Arial" w:cs="Arial"/>
          <w:sz w:val="20"/>
          <w:szCs w:val="20"/>
          <w:lang w:val="en-GB"/>
        </w:rPr>
        <w:t xml:space="preserve"> was used in bacterial challenge in this study.</w:t>
      </w:r>
    </w:p>
    <w:p w14:paraId="2DE3A799" w14:textId="77777777" w:rsidR="00EB6AE8" w:rsidRPr="00E47F58" w:rsidRDefault="0022766E" w:rsidP="00EB6AE8">
      <w:pPr>
        <w:pStyle w:val="single"/>
        <w:rPr>
          <w:rFonts w:ascii="Arial" w:hAnsi="Arial" w:cs="Arial"/>
          <w:sz w:val="20"/>
          <w:szCs w:val="20"/>
          <w:lang w:val="en-GB"/>
        </w:rPr>
      </w:pPr>
      <w:r w:rsidRPr="00E47F58">
        <w:rPr>
          <w:rFonts w:ascii="Arial" w:hAnsi="Arial" w:cs="Arial"/>
          <w:sz w:val="20"/>
          <w:szCs w:val="20"/>
          <w:lang w:val="en-GB"/>
        </w:rPr>
        <w:t>In this research</w:t>
      </w:r>
      <w:r w:rsidR="00EB6AE8" w:rsidRPr="00E47F58">
        <w:rPr>
          <w:rFonts w:ascii="Arial" w:hAnsi="Arial" w:cs="Arial"/>
          <w:sz w:val="20"/>
          <w:szCs w:val="20"/>
          <w:lang w:val="en-GB"/>
        </w:rPr>
        <w:t xml:space="preserve">, we also consider some pressing issues which may arise from the concept of the overall studies. Which is whether the innate immune boost in fish was sustained when </w:t>
      </w:r>
      <w:r w:rsidR="00EB6AE8" w:rsidRPr="00E47F58">
        <w:rPr>
          <w:rFonts w:ascii="Arial" w:hAnsi="Arial" w:cs="Arial"/>
          <w:i/>
          <w:iCs/>
          <w:sz w:val="20"/>
          <w:szCs w:val="20"/>
          <w:lang w:val="en-GB"/>
        </w:rPr>
        <w:t xml:space="preserve">C. vulgaris </w:t>
      </w:r>
      <w:r w:rsidR="00EB6AE8" w:rsidRPr="00E47F58">
        <w:rPr>
          <w:rFonts w:ascii="Arial" w:hAnsi="Arial" w:cs="Arial"/>
          <w:sz w:val="20"/>
          <w:szCs w:val="20"/>
          <w:lang w:val="en-GB"/>
        </w:rPr>
        <w:t>feeding was stopped, and the fish challenged with bacteria</w:t>
      </w:r>
      <w:r w:rsidR="00EB6AE8" w:rsidRPr="00E47F58">
        <w:rPr>
          <w:rFonts w:ascii="Arial" w:hAnsi="Arial" w:cs="Arial"/>
          <w:i/>
          <w:iCs/>
          <w:sz w:val="20"/>
          <w:szCs w:val="20"/>
          <w:lang w:val="en-GB"/>
        </w:rPr>
        <w:t>.</w:t>
      </w:r>
      <w:r w:rsidR="00EB6AE8" w:rsidRPr="00E47F58">
        <w:rPr>
          <w:rFonts w:ascii="Arial" w:hAnsi="Arial" w:cs="Arial"/>
          <w:sz w:val="20"/>
          <w:szCs w:val="20"/>
          <w:lang w:val="en-GB"/>
        </w:rPr>
        <w:t xml:space="preserve"> These has to do with trying to see the actual effect of bacterial challenge on the experimental fish, the metabolite fold changes as a result of </w:t>
      </w:r>
      <w:r w:rsidR="00EB6AE8" w:rsidRPr="00E47F58">
        <w:rPr>
          <w:rFonts w:ascii="Arial" w:hAnsi="Arial" w:cs="Arial"/>
          <w:i/>
          <w:iCs/>
          <w:sz w:val="20"/>
          <w:szCs w:val="20"/>
          <w:lang w:val="en-GB"/>
        </w:rPr>
        <w:t xml:space="preserve">C. vulgaris </w:t>
      </w:r>
      <w:r w:rsidR="00EB6AE8" w:rsidRPr="00E47F58">
        <w:rPr>
          <w:rFonts w:ascii="Arial" w:hAnsi="Arial" w:cs="Arial"/>
          <w:sz w:val="20"/>
          <w:szCs w:val="20"/>
          <w:lang w:val="en-GB"/>
        </w:rPr>
        <w:t xml:space="preserve">feeding in fish, the effect of environment on the fish with respect to zero day-point and lastly, the effect of bacterial challenge on </w:t>
      </w:r>
      <w:r w:rsidR="00EB6AE8" w:rsidRPr="00E47F58">
        <w:rPr>
          <w:rFonts w:ascii="Arial" w:hAnsi="Arial" w:cs="Arial"/>
          <w:i/>
          <w:iCs/>
          <w:sz w:val="20"/>
          <w:szCs w:val="20"/>
          <w:lang w:val="en-GB"/>
        </w:rPr>
        <w:t xml:space="preserve">C. vulgaris </w:t>
      </w:r>
      <w:r w:rsidR="00EB6AE8" w:rsidRPr="00E47F58">
        <w:rPr>
          <w:rFonts w:ascii="Arial" w:hAnsi="Arial" w:cs="Arial"/>
          <w:sz w:val="20"/>
          <w:szCs w:val="20"/>
          <w:lang w:val="en-GB"/>
        </w:rPr>
        <w:t xml:space="preserve">fed fish. These were achieved via the metabolomics </w:t>
      </w:r>
      <w:r w:rsidRPr="00E47F58">
        <w:rPr>
          <w:rFonts w:ascii="Arial" w:hAnsi="Arial" w:cs="Arial"/>
          <w:sz w:val="20"/>
          <w:szCs w:val="20"/>
          <w:lang w:val="en-GB"/>
        </w:rPr>
        <w:t>multivariate data analysis (</w:t>
      </w:r>
      <w:r w:rsidR="00EB6AE8" w:rsidRPr="00E47F58">
        <w:rPr>
          <w:rFonts w:ascii="Arial" w:hAnsi="Arial" w:cs="Arial"/>
          <w:sz w:val="20"/>
          <w:szCs w:val="20"/>
          <w:lang w:val="en-GB"/>
        </w:rPr>
        <w:t>MVDA</w:t>
      </w:r>
      <w:r w:rsidRPr="00E47F58">
        <w:rPr>
          <w:rFonts w:ascii="Arial" w:hAnsi="Arial" w:cs="Arial"/>
          <w:sz w:val="20"/>
          <w:szCs w:val="20"/>
          <w:lang w:val="en-GB"/>
        </w:rPr>
        <w:t>)</w:t>
      </w:r>
      <w:r w:rsidR="00EB6AE8" w:rsidRPr="00E47F58">
        <w:rPr>
          <w:rFonts w:ascii="Arial" w:hAnsi="Arial" w:cs="Arial"/>
          <w:sz w:val="20"/>
          <w:szCs w:val="20"/>
          <w:lang w:val="en-GB"/>
        </w:rPr>
        <w:t xml:space="preserve"> of the resulting spleen samples from 0 day-point fish, bacterial challenged fish, control fish and treated fish groups.</w:t>
      </w:r>
      <w:r w:rsidRPr="00E47F58">
        <w:rPr>
          <w:rFonts w:ascii="Arial" w:hAnsi="Arial" w:cs="Arial"/>
          <w:sz w:val="20"/>
          <w:szCs w:val="20"/>
          <w:lang w:val="en-GB"/>
        </w:rPr>
        <w:t xml:space="preserve"> Hence t</w:t>
      </w:r>
      <w:r w:rsidR="00EB6AE8" w:rsidRPr="00E47F58">
        <w:rPr>
          <w:rFonts w:ascii="Arial" w:hAnsi="Arial" w:cs="Arial"/>
          <w:sz w:val="20"/>
          <w:szCs w:val="20"/>
          <w:lang w:val="en-GB"/>
        </w:rPr>
        <w:t>he sp</w:t>
      </w:r>
      <w:r w:rsidRPr="00E47F58">
        <w:rPr>
          <w:rFonts w:ascii="Arial" w:hAnsi="Arial" w:cs="Arial"/>
          <w:sz w:val="20"/>
          <w:szCs w:val="20"/>
          <w:lang w:val="en-GB"/>
        </w:rPr>
        <w:t>ecific objective of this study</w:t>
      </w:r>
      <w:r w:rsidR="00EB6AE8" w:rsidRPr="00E47F58">
        <w:rPr>
          <w:rFonts w:ascii="Arial" w:hAnsi="Arial" w:cs="Arial"/>
          <w:sz w:val="20"/>
          <w:szCs w:val="20"/>
          <w:lang w:val="en-GB"/>
        </w:rPr>
        <w:t xml:space="preserve"> was to confirm the immune signatures of </w:t>
      </w:r>
      <w:r w:rsidR="00EB6AE8" w:rsidRPr="00E47F58">
        <w:rPr>
          <w:rFonts w:ascii="Arial" w:hAnsi="Arial" w:cs="Arial"/>
          <w:i/>
          <w:iCs/>
          <w:sz w:val="20"/>
          <w:szCs w:val="20"/>
          <w:lang w:val="en-GB"/>
        </w:rPr>
        <w:t xml:space="preserve">C. vulgaris </w:t>
      </w:r>
      <w:r w:rsidRPr="00E47F58">
        <w:rPr>
          <w:rFonts w:ascii="Arial" w:hAnsi="Arial" w:cs="Arial"/>
          <w:sz w:val="20"/>
          <w:szCs w:val="20"/>
          <w:lang w:val="en-GB"/>
        </w:rPr>
        <w:t>in tilapia fish assessed in previous studies</w:t>
      </w:r>
      <w:r w:rsidR="00EB6AE8" w:rsidRPr="00E47F58">
        <w:rPr>
          <w:rFonts w:ascii="Arial" w:hAnsi="Arial" w:cs="Arial"/>
          <w:sz w:val="20"/>
          <w:szCs w:val="20"/>
          <w:lang w:val="en-GB"/>
        </w:rPr>
        <w:t xml:space="preserve"> via prophylaxis and bacterial challenge studies.</w:t>
      </w:r>
    </w:p>
    <w:p w14:paraId="11A17127" w14:textId="77777777" w:rsidR="00EB6AE8" w:rsidRPr="00E47F58" w:rsidRDefault="00982E49" w:rsidP="00101146">
      <w:pPr>
        <w:pStyle w:val="Heading2"/>
      </w:pPr>
      <w:bookmarkStart w:id="5" w:name="_Toc49955746"/>
      <w:bookmarkStart w:id="6" w:name="_Toc50652437"/>
      <w:r w:rsidRPr="00E47F58">
        <w:lastRenderedPageBreak/>
        <w:t>1.0.1</w:t>
      </w:r>
      <w:r w:rsidRPr="00E47F58">
        <w:tab/>
      </w:r>
      <w:r w:rsidR="00EB6AE8" w:rsidRPr="00E47F58">
        <w:t>Instruments</w:t>
      </w:r>
      <w:bookmarkEnd w:id="5"/>
      <w:bookmarkEnd w:id="6"/>
    </w:p>
    <w:p w14:paraId="797E8D1A"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rPr>
        <w:t xml:space="preserve">700 MHz Bruker Ascend Nuclear Magnetic Resonance Spectrometer (NMR) with cryo-probe (Bruker Inc., </w:t>
      </w:r>
      <w:hyperlink r:id="rId12" w:tooltip="Billerica, Massachusetts" w:history="1">
        <w:r w:rsidRPr="00E47F58">
          <w:rPr>
            <w:rStyle w:val="Hyperlink"/>
            <w:rFonts w:ascii="Arial" w:hAnsi="Arial" w:cs="Arial"/>
            <w:color w:val="auto"/>
            <w:sz w:val="20"/>
            <w:szCs w:val="20"/>
            <w:u w:val="none"/>
            <w:lang w:val="en-SG"/>
          </w:rPr>
          <w:t>Billerica, Massachusetts</w:t>
        </w:r>
      </w:hyperlink>
      <w:r w:rsidRPr="00E47F58">
        <w:rPr>
          <w:rFonts w:ascii="Arial" w:hAnsi="Arial" w:cs="Arial"/>
          <w:color w:val="auto"/>
          <w:sz w:val="20"/>
          <w:szCs w:val="20"/>
          <w:lang w:val="en-SG"/>
        </w:rPr>
        <w:t xml:space="preserve">, </w:t>
      </w:r>
      <w:r w:rsidRPr="00E47F58">
        <w:rPr>
          <w:rFonts w:ascii="Arial" w:hAnsi="Arial" w:cs="Arial"/>
          <w:sz w:val="20"/>
          <w:szCs w:val="20"/>
          <w:lang w:val="en-SG"/>
        </w:rPr>
        <w:t>USA) for spleen analysis</w:t>
      </w:r>
      <w:r w:rsidRPr="00E47F58">
        <w:rPr>
          <w:rFonts w:ascii="Arial" w:hAnsi="Arial" w:cs="Arial"/>
          <w:sz w:val="20"/>
          <w:szCs w:val="20"/>
        </w:rPr>
        <w:t xml:space="preserve">, </w:t>
      </w:r>
      <w:r w:rsidRPr="00E47F58">
        <w:rPr>
          <w:rFonts w:ascii="Arial" w:hAnsi="Arial" w:cs="Arial"/>
          <w:sz w:val="20"/>
          <w:szCs w:val="20"/>
          <w:lang w:val="en-GB"/>
        </w:rPr>
        <w:t>Chenomx NMR Suite (Chenomx Inc.,</w:t>
      </w:r>
      <w:r w:rsidRPr="00E47F58">
        <w:rPr>
          <w:rFonts w:ascii="Arial" w:hAnsi="Arial" w:cs="Arial"/>
          <w:sz w:val="20"/>
          <w:szCs w:val="20"/>
        </w:rPr>
        <w:t xml:space="preserve"> Edmonton, Canada), </w:t>
      </w:r>
      <w:r w:rsidRPr="00E47F58">
        <w:rPr>
          <w:rFonts w:ascii="Arial" w:hAnsi="Arial" w:cs="Arial"/>
          <w:sz w:val="20"/>
          <w:szCs w:val="20"/>
          <w:lang w:val="en-GB"/>
        </w:rPr>
        <w:t>MestRenova (version 6.02-5475 Mestrelab Research, Santiago de Compostella, Spain) for NMR data processing</w:t>
      </w:r>
      <w:r w:rsidRPr="00E47F58">
        <w:rPr>
          <w:rFonts w:ascii="Arial" w:hAnsi="Arial" w:cs="Arial"/>
          <w:sz w:val="20"/>
          <w:szCs w:val="20"/>
        </w:rPr>
        <w:t>, SIMCA Umetrics 14.1 (Sartorius Stedim Biotech, Sweden) for MVA.</w:t>
      </w:r>
    </w:p>
    <w:p w14:paraId="06F81789" w14:textId="77777777" w:rsidR="00EB6AE8" w:rsidRPr="00E47F58" w:rsidRDefault="00982E49" w:rsidP="00101146">
      <w:pPr>
        <w:pStyle w:val="Heading2"/>
      </w:pPr>
      <w:bookmarkStart w:id="7" w:name="_Toc49955747"/>
      <w:bookmarkStart w:id="8" w:name="_Toc50652438"/>
      <w:r w:rsidRPr="00E47F58">
        <w:t>1.0.2</w:t>
      </w:r>
      <w:r w:rsidRPr="00E47F58">
        <w:tab/>
      </w:r>
      <w:r w:rsidR="00EB6AE8" w:rsidRPr="00E47F58">
        <w:t>Chemicals</w:t>
      </w:r>
      <w:bookmarkEnd w:id="7"/>
      <w:bookmarkEnd w:id="8"/>
    </w:p>
    <w:p w14:paraId="76AB8442" w14:textId="77777777" w:rsidR="00EB6AE8" w:rsidRPr="00E47F58" w:rsidRDefault="00EB6AE8" w:rsidP="00EB6AE8">
      <w:pPr>
        <w:pStyle w:val="single"/>
        <w:rPr>
          <w:rStyle w:val="Hyperlink"/>
          <w:rFonts w:ascii="Arial" w:hAnsi="Arial" w:cs="Arial"/>
          <w:sz w:val="20"/>
          <w:szCs w:val="20"/>
          <w:lang w:val="en-SG"/>
        </w:rPr>
      </w:pPr>
      <w:r w:rsidRPr="00E47F58">
        <w:rPr>
          <w:rFonts w:ascii="Arial" w:hAnsi="Arial" w:cs="Arial"/>
          <w:sz w:val="20"/>
          <w:szCs w:val="20"/>
        </w:rPr>
        <w:t>MS2, Methanol, Deuterated water, Phosphate buffer, Sodium azide (NaN</w:t>
      </w:r>
      <w:r w:rsidRPr="00E47F58">
        <w:rPr>
          <w:rFonts w:ascii="Arial" w:hAnsi="Arial" w:cs="Arial"/>
          <w:sz w:val="20"/>
          <w:szCs w:val="20"/>
          <w:vertAlign w:val="subscript"/>
        </w:rPr>
        <w:t>3</w:t>
      </w:r>
      <w:r w:rsidRPr="00E47F58">
        <w:rPr>
          <w:rFonts w:ascii="Arial" w:hAnsi="Arial" w:cs="Arial"/>
          <w:sz w:val="20"/>
          <w:szCs w:val="20"/>
        </w:rPr>
        <w:t>), Trimethylsilyl propanoic acid (TSP).</w:t>
      </w:r>
      <w:r w:rsidRPr="00E47F58">
        <w:rPr>
          <w:rFonts w:ascii="Arial" w:hAnsi="Arial" w:cs="Arial"/>
          <w:sz w:val="20"/>
          <w:szCs w:val="20"/>
          <w:lang w:val="en-SG"/>
        </w:rPr>
        <w:fldChar w:fldCharType="begin"/>
      </w:r>
      <w:r w:rsidRPr="00E47F58">
        <w:rPr>
          <w:rFonts w:ascii="Arial" w:hAnsi="Arial" w:cs="Arial"/>
          <w:sz w:val="20"/>
          <w:szCs w:val="20"/>
          <w:lang w:val="en-SG"/>
        </w:rPr>
        <w:instrText xml:space="preserve"> HYPERLINK "https://en.wikipedia.org/wiki/Trimethylsilylpropanoic_acid" </w:instrText>
      </w:r>
      <w:r w:rsidRPr="00E47F58">
        <w:rPr>
          <w:rFonts w:ascii="Arial" w:hAnsi="Arial" w:cs="Arial"/>
          <w:sz w:val="20"/>
          <w:szCs w:val="20"/>
          <w:lang w:val="en-SG"/>
        </w:rPr>
      </w:r>
      <w:r w:rsidRPr="00E47F58">
        <w:rPr>
          <w:rFonts w:ascii="Arial" w:hAnsi="Arial" w:cs="Arial"/>
          <w:sz w:val="20"/>
          <w:szCs w:val="20"/>
          <w:lang w:val="en-SG"/>
        </w:rPr>
        <w:fldChar w:fldCharType="separate"/>
      </w:r>
    </w:p>
    <w:p w14:paraId="2CFDDF99" w14:textId="77777777" w:rsidR="00EB6AE8" w:rsidRPr="00E47F58" w:rsidRDefault="00EB6AE8" w:rsidP="00101146">
      <w:pPr>
        <w:pStyle w:val="Heading2"/>
      </w:pPr>
      <w:r w:rsidRPr="00E47F58">
        <w:rPr>
          <w:sz w:val="20"/>
          <w:szCs w:val="20"/>
        </w:rPr>
        <w:fldChar w:fldCharType="end"/>
      </w:r>
      <w:bookmarkStart w:id="9" w:name="_Toc49955748"/>
      <w:bookmarkStart w:id="10" w:name="_Toc50652439"/>
      <w:r w:rsidR="00982E49" w:rsidRPr="00E47F58">
        <w:t>2.0</w:t>
      </w:r>
      <w:r w:rsidR="00982E49" w:rsidRPr="00E47F58">
        <w:tab/>
        <w:t xml:space="preserve">MATERIALS AND </w:t>
      </w:r>
      <w:r w:rsidR="00123C53" w:rsidRPr="00E47F58">
        <w:t>METH</w:t>
      </w:r>
      <w:bookmarkEnd w:id="9"/>
      <w:bookmarkEnd w:id="10"/>
      <w:r w:rsidR="00982E49" w:rsidRPr="00E47F58">
        <w:t>ODS</w:t>
      </w:r>
    </w:p>
    <w:p w14:paraId="2277C1BB" w14:textId="77777777" w:rsidR="00586825" w:rsidRPr="00E47F58" w:rsidRDefault="00982E49" w:rsidP="00E47F58">
      <w:pPr>
        <w:pStyle w:val="Heading3"/>
        <w:rPr>
          <w:sz w:val="20"/>
          <w:szCs w:val="20"/>
        </w:rPr>
      </w:pPr>
      <w:r w:rsidRPr="00E47F58">
        <w:rPr>
          <w:sz w:val="20"/>
          <w:szCs w:val="20"/>
        </w:rPr>
        <w:t>2.0.1</w:t>
      </w:r>
      <w:r w:rsidRPr="00E47F58">
        <w:rPr>
          <w:sz w:val="20"/>
          <w:szCs w:val="20"/>
        </w:rPr>
        <w:tab/>
      </w:r>
      <w:r w:rsidR="00586825" w:rsidRPr="00E47F58">
        <w:rPr>
          <w:sz w:val="20"/>
          <w:szCs w:val="20"/>
        </w:rPr>
        <w:t>Fish acclimatization and Ethical clearance</w:t>
      </w:r>
    </w:p>
    <w:p w14:paraId="674FF1E8" w14:textId="77777777" w:rsidR="00EB6AE8" w:rsidRPr="00E47F58" w:rsidRDefault="00EB6AE8" w:rsidP="00EB6AE8">
      <w:pPr>
        <w:pStyle w:val="single"/>
        <w:rPr>
          <w:rFonts w:ascii="Arial" w:hAnsi="Arial" w:cs="Arial"/>
          <w:sz w:val="20"/>
          <w:szCs w:val="20"/>
        </w:rPr>
      </w:pPr>
      <w:r w:rsidRPr="00E47F58">
        <w:rPr>
          <w:rFonts w:ascii="Arial" w:hAnsi="Arial" w:cs="Arial"/>
          <w:sz w:val="20"/>
          <w:szCs w:val="20"/>
        </w:rPr>
        <w:t xml:space="preserve">One hundred and ten juvenile Nile tilapia </w:t>
      </w:r>
      <w:r w:rsidR="0022766E" w:rsidRPr="00E47F58">
        <w:rPr>
          <w:rFonts w:ascii="Arial" w:hAnsi="Arial" w:cs="Arial"/>
          <w:i/>
          <w:sz w:val="20"/>
          <w:szCs w:val="20"/>
        </w:rPr>
        <w:t xml:space="preserve">oreochromis niloticus </w:t>
      </w:r>
      <w:r w:rsidRPr="00E47F58">
        <w:rPr>
          <w:rFonts w:ascii="Arial" w:hAnsi="Arial" w:cs="Arial"/>
          <w:sz w:val="20"/>
          <w:szCs w:val="20"/>
        </w:rPr>
        <w:t>(</w:t>
      </w:r>
      <w:r w:rsidRPr="00E47F58">
        <w:rPr>
          <w:rFonts w:ascii="Arial" w:hAnsi="Arial" w:cs="Arial"/>
          <w:i/>
          <w:sz w:val="20"/>
          <w:szCs w:val="20"/>
        </w:rPr>
        <w:t>O.  niloticus</w:t>
      </w:r>
      <w:r w:rsidRPr="00E47F58">
        <w:rPr>
          <w:rFonts w:ascii="Arial" w:hAnsi="Arial" w:cs="Arial"/>
          <w:sz w:val="20"/>
          <w:szCs w:val="20"/>
        </w:rPr>
        <w:t xml:space="preserve">) with an average weight of 60 ± 0.5 g (mean ± SE) were obtained from Taman Pertanian Universiti (TPU), Universiti Putra Malaysia. The fish were acclimatized in glass aquaria (80 x 40 x 30 cm) for 2 weeks and fed a 1% body weight (bw) commercial diet daily before the initiation of the experiment. The water temperature was kept at 25-28 °C, while pH and dissolved oxygen were maintained at 6.9-7.3 and 9-12 mg/L, respectively </w:t>
      </w:r>
      <w:r w:rsidRPr="00E47F58">
        <w:rPr>
          <w:rFonts w:ascii="Arial" w:hAnsi="Arial" w:cs="Arial"/>
          <w:sz w:val="20"/>
          <w:szCs w:val="20"/>
        </w:rPr>
        <w:fldChar w:fldCharType="begin" w:fldLock="1"/>
      </w:r>
      <w:r w:rsidR="00F345E2" w:rsidRPr="00E47F58">
        <w:rPr>
          <w:rFonts w:ascii="Arial" w:hAnsi="Arial" w:cs="Arial"/>
          <w:sz w:val="20"/>
          <w:szCs w:val="20"/>
        </w:rPr>
        <w:instrText>ADDIN CSL_CITATION {"citationItems":[{"id":"ITEM-1","itemData":{"DOI":"10.2105/AJPH.56.3.387","ISSN":"00029572","PMID":"5948695","author":[{"dropping-particle":"","family":"Gilcreas","given":"F. W.","non-dropping-particle":"","parse-names":false,"suffix":""}],"container-title":"American journal of public health and the nation's health","id":"ITEM-1","issue":"3","issued":{"date-parts":[["1966"]]},"page":"387-388","title":"Standard methods for the examination of water and waste water.","type":"article-journal","volume":"56"},"uris":["http://www.mendeley.com/documents/?uuid=5adfd6ab-b3a1-45e3-bd7f-2e007f9ac92f","http://www.mendeley.com/documents/?uuid=58993a2f-4362-40ec-a891-dcfe0ceed07e"]}],"mendeley":{"formattedCitation":"(Gilcreas 1966)","plainTextFormattedCitation":"(Gilcreas 1966)","previouslyFormattedCitation":"(Gilcreas 1966)"},"properties":{"noteIndex":0},"schema":"https://github.com/citation-style-language/schema/raw/master/csl-citation.json"}</w:instrText>
      </w:r>
      <w:r w:rsidRPr="00E47F58">
        <w:rPr>
          <w:rFonts w:ascii="Arial" w:hAnsi="Arial" w:cs="Arial"/>
          <w:sz w:val="20"/>
          <w:szCs w:val="20"/>
        </w:rPr>
        <w:fldChar w:fldCharType="separate"/>
      </w:r>
      <w:r w:rsidR="00F345E2" w:rsidRPr="00E47F58">
        <w:rPr>
          <w:rFonts w:ascii="Arial" w:hAnsi="Arial" w:cs="Arial"/>
          <w:noProof/>
          <w:sz w:val="20"/>
          <w:szCs w:val="20"/>
        </w:rPr>
        <w:t>(Gilcreas 1966)</w:t>
      </w:r>
      <w:r w:rsidRPr="00E47F58">
        <w:rPr>
          <w:rFonts w:ascii="Arial" w:hAnsi="Arial" w:cs="Arial"/>
          <w:sz w:val="20"/>
          <w:szCs w:val="20"/>
        </w:rPr>
        <w:fldChar w:fldCharType="end"/>
      </w:r>
      <w:r w:rsidRPr="00E47F58">
        <w:rPr>
          <w:rFonts w:ascii="Arial" w:hAnsi="Arial" w:cs="Arial"/>
          <w:sz w:val="20"/>
          <w:szCs w:val="20"/>
        </w:rPr>
        <w:t>. All experiments were approved by the Universiti Putra Malaysia Institutional Animal Care and Use Committee (UPM/IACUC/AUP-R080/2018).</w:t>
      </w:r>
    </w:p>
    <w:p w14:paraId="01003C5C" w14:textId="77777777" w:rsidR="00EB6AE8" w:rsidRPr="00E47F58" w:rsidRDefault="00982E49" w:rsidP="00E47F58">
      <w:pPr>
        <w:pStyle w:val="Heading3"/>
        <w:rPr>
          <w:sz w:val="20"/>
          <w:szCs w:val="20"/>
        </w:rPr>
      </w:pPr>
      <w:bookmarkStart w:id="11" w:name="_Toc49955749"/>
      <w:bookmarkStart w:id="12" w:name="_Toc50652440"/>
      <w:r w:rsidRPr="00E47F58">
        <w:rPr>
          <w:sz w:val="20"/>
          <w:szCs w:val="20"/>
        </w:rPr>
        <w:t>2.0.2</w:t>
      </w:r>
      <w:r w:rsidRPr="00E47F58">
        <w:rPr>
          <w:sz w:val="20"/>
          <w:szCs w:val="20"/>
        </w:rPr>
        <w:tab/>
      </w:r>
      <w:r w:rsidR="00EB6AE8" w:rsidRPr="00E47F58">
        <w:rPr>
          <w:sz w:val="20"/>
          <w:szCs w:val="20"/>
        </w:rPr>
        <w:t>Bacterial challenge LC</w:t>
      </w:r>
      <w:r w:rsidR="00EB6AE8" w:rsidRPr="00E47F58">
        <w:rPr>
          <w:sz w:val="20"/>
          <w:szCs w:val="20"/>
          <w:vertAlign w:val="subscript"/>
        </w:rPr>
        <w:t>50</w:t>
      </w:r>
      <w:bookmarkEnd w:id="11"/>
      <w:bookmarkEnd w:id="12"/>
    </w:p>
    <w:p w14:paraId="01183831" w14:textId="77777777" w:rsidR="00EB6AE8" w:rsidRPr="00E47F58" w:rsidRDefault="00EB6AE8" w:rsidP="00EB6AE8">
      <w:pPr>
        <w:pStyle w:val="single"/>
        <w:rPr>
          <w:rFonts w:ascii="Arial" w:hAnsi="Arial" w:cs="Arial"/>
          <w:sz w:val="20"/>
          <w:szCs w:val="20"/>
        </w:rPr>
      </w:pPr>
      <w:r w:rsidRPr="00E47F58">
        <w:rPr>
          <w:rFonts w:ascii="Arial" w:hAnsi="Arial" w:cs="Arial"/>
          <w:sz w:val="20"/>
          <w:szCs w:val="20"/>
        </w:rPr>
        <w:t>The bacteria used for challenge test was</w:t>
      </w:r>
      <w:r w:rsidR="006412F3" w:rsidRPr="00E47F58">
        <w:rPr>
          <w:rFonts w:ascii="Arial" w:hAnsi="Arial" w:cs="Arial"/>
          <w:sz w:val="20"/>
          <w:szCs w:val="20"/>
        </w:rPr>
        <w:t xml:space="preserve"> </w:t>
      </w:r>
      <w:r w:rsidR="006412F3" w:rsidRPr="00E47F58">
        <w:rPr>
          <w:rFonts w:ascii="Arial" w:hAnsi="Arial" w:cs="Arial"/>
          <w:i/>
          <w:sz w:val="20"/>
          <w:szCs w:val="20"/>
        </w:rPr>
        <w:t>Streptococcus agalactiae</w:t>
      </w:r>
      <w:r w:rsidRPr="00E47F58">
        <w:rPr>
          <w:rFonts w:ascii="Arial" w:hAnsi="Arial" w:cs="Arial"/>
          <w:sz w:val="20"/>
          <w:szCs w:val="20"/>
        </w:rPr>
        <w:t xml:space="preserve"> </w:t>
      </w:r>
      <w:r w:rsidR="006412F3" w:rsidRPr="00E47F58">
        <w:rPr>
          <w:rFonts w:ascii="Arial" w:hAnsi="Arial" w:cs="Arial"/>
          <w:sz w:val="20"/>
          <w:szCs w:val="20"/>
        </w:rPr>
        <w:t>(</w:t>
      </w:r>
      <w:r w:rsidRPr="00E47F58">
        <w:rPr>
          <w:rFonts w:ascii="Arial" w:hAnsi="Arial" w:cs="Arial"/>
          <w:i/>
          <w:iCs/>
          <w:sz w:val="20"/>
          <w:szCs w:val="20"/>
        </w:rPr>
        <w:t>S. agalactiae</w:t>
      </w:r>
      <w:r w:rsidR="006412F3" w:rsidRPr="00E47F58">
        <w:rPr>
          <w:rFonts w:ascii="Arial" w:hAnsi="Arial" w:cs="Arial"/>
          <w:i/>
          <w:iCs/>
          <w:sz w:val="20"/>
          <w:szCs w:val="20"/>
        </w:rPr>
        <w:t>)</w:t>
      </w:r>
      <w:r w:rsidRPr="00E47F58">
        <w:rPr>
          <w:rFonts w:ascii="Arial" w:hAnsi="Arial" w:cs="Arial"/>
          <w:i/>
          <w:iCs/>
          <w:sz w:val="20"/>
          <w:szCs w:val="20"/>
        </w:rPr>
        <w:t xml:space="preserve"> </w:t>
      </w:r>
      <w:r w:rsidRPr="00E47F58">
        <w:rPr>
          <w:rFonts w:ascii="Arial" w:hAnsi="Arial" w:cs="Arial"/>
          <w:sz w:val="20"/>
          <w:szCs w:val="20"/>
        </w:rPr>
        <w:t>and its concentration used was assessed by first determining the 50% lethal concentration (LC</w:t>
      </w:r>
      <w:r w:rsidRPr="00E47F58">
        <w:rPr>
          <w:rFonts w:ascii="Arial" w:hAnsi="Arial" w:cs="Arial"/>
          <w:sz w:val="20"/>
          <w:szCs w:val="20"/>
          <w:vertAlign w:val="subscript"/>
        </w:rPr>
        <w:t>50</w:t>
      </w:r>
      <w:r w:rsidRPr="00E47F58">
        <w:rPr>
          <w:rFonts w:ascii="Arial" w:hAnsi="Arial" w:cs="Arial"/>
          <w:sz w:val="20"/>
          <w:szCs w:val="20"/>
        </w:rPr>
        <w:t>) via immersion</w:t>
      </w:r>
      <w:r w:rsidR="006412F3" w:rsidRPr="00E47F58">
        <w:rPr>
          <w:rFonts w:ascii="Arial" w:hAnsi="Arial" w:cs="Arial"/>
          <w:sz w:val="20"/>
          <w:szCs w:val="20"/>
        </w:rPr>
        <w:t xml:space="preserve"> method</w:t>
      </w:r>
      <w:r w:rsidRPr="00E47F58">
        <w:rPr>
          <w:rFonts w:ascii="Arial" w:hAnsi="Arial" w:cs="Arial"/>
          <w:sz w:val="20"/>
          <w:szCs w:val="20"/>
        </w:rPr>
        <w:t>.</w:t>
      </w:r>
    </w:p>
    <w:p w14:paraId="19306E12" w14:textId="77777777" w:rsidR="00EB6AE8" w:rsidRPr="00E47F58" w:rsidRDefault="00982E49" w:rsidP="006412F3">
      <w:pPr>
        <w:pStyle w:val="Heading4"/>
        <w:rPr>
          <w:rFonts w:ascii="Arial" w:hAnsi="Arial" w:cs="Arial"/>
          <w:sz w:val="20"/>
          <w:szCs w:val="20"/>
          <w:lang w:val="en-SG"/>
        </w:rPr>
      </w:pPr>
      <w:bookmarkStart w:id="13" w:name="_Toc49955750"/>
      <w:bookmarkStart w:id="14" w:name="_Toc50652441"/>
      <w:r w:rsidRPr="00E47F58">
        <w:rPr>
          <w:rFonts w:ascii="Arial" w:hAnsi="Arial" w:cs="Arial"/>
          <w:sz w:val="20"/>
          <w:szCs w:val="20"/>
          <w:lang w:val="en-SG"/>
        </w:rPr>
        <w:t>2.0.3</w:t>
      </w:r>
      <w:r w:rsidRPr="00E47F58">
        <w:rPr>
          <w:rFonts w:ascii="Arial" w:hAnsi="Arial" w:cs="Arial"/>
          <w:sz w:val="20"/>
          <w:szCs w:val="20"/>
          <w:lang w:val="en-SG"/>
        </w:rPr>
        <w:tab/>
      </w:r>
      <w:r w:rsidR="00EB6AE8" w:rsidRPr="00E47F58">
        <w:rPr>
          <w:rFonts w:ascii="Arial" w:hAnsi="Arial" w:cs="Arial"/>
          <w:sz w:val="20"/>
          <w:szCs w:val="20"/>
          <w:lang w:val="en-SG"/>
        </w:rPr>
        <w:t>Bacterial strain</w:t>
      </w:r>
      <w:bookmarkEnd w:id="13"/>
      <w:bookmarkEnd w:id="14"/>
    </w:p>
    <w:p w14:paraId="71FB6557" w14:textId="77777777" w:rsidR="00EB6AE8" w:rsidRPr="00E47F58" w:rsidRDefault="00EB6AE8" w:rsidP="00EB6AE8">
      <w:pPr>
        <w:pStyle w:val="single"/>
        <w:rPr>
          <w:rFonts w:ascii="Arial" w:hAnsi="Arial" w:cs="Arial"/>
          <w:sz w:val="20"/>
          <w:szCs w:val="20"/>
          <w:lang w:val="en-SG"/>
        </w:rPr>
      </w:pPr>
      <w:r w:rsidRPr="00E47F58">
        <w:rPr>
          <w:rFonts w:ascii="Arial" w:hAnsi="Arial" w:cs="Arial"/>
          <w:sz w:val="20"/>
          <w:szCs w:val="20"/>
          <w:lang w:val="en-SG"/>
        </w:rPr>
        <w:t xml:space="preserve">The pathogenic strain of </w:t>
      </w:r>
      <w:r w:rsidRPr="00E47F58">
        <w:rPr>
          <w:rFonts w:ascii="Arial" w:hAnsi="Arial" w:cs="Arial"/>
          <w:i/>
          <w:iCs/>
          <w:sz w:val="20"/>
          <w:szCs w:val="20"/>
          <w:lang w:val="en-SG"/>
        </w:rPr>
        <w:t>S. agalactiae</w:t>
      </w:r>
      <w:r w:rsidRPr="00E47F58">
        <w:rPr>
          <w:rFonts w:ascii="Arial" w:hAnsi="Arial" w:cs="Arial"/>
          <w:sz w:val="20"/>
          <w:szCs w:val="20"/>
          <w:lang w:val="en-SG"/>
        </w:rPr>
        <w:t xml:space="preserve"> SAK2 was obtained from previous study </w:t>
      </w:r>
      <w:r w:rsidRPr="00E47F58">
        <w:rPr>
          <w:rFonts w:ascii="Arial" w:hAnsi="Arial" w:cs="Arial"/>
          <w:sz w:val="20"/>
          <w:szCs w:val="20"/>
          <w:lang w:val="en-SG"/>
        </w:rPr>
        <w:fldChar w:fldCharType="begin" w:fldLock="1"/>
      </w:r>
      <w:r w:rsidR="00F345E2" w:rsidRPr="00E47F58">
        <w:rPr>
          <w:rFonts w:ascii="Arial" w:hAnsi="Arial" w:cs="Arial"/>
          <w:sz w:val="20"/>
          <w:szCs w:val="20"/>
          <w:lang w:val="en-SG"/>
        </w:rPr>
        <w:instrText>ADDIN CSL_CITATION {"citationItems":[{"id":"ITEM-1","itemData":{"DOI":"10.1007/s10499-019-00372-8","ISSN":"1573143X","abstract":"This study was carried out to determine the potential of a biofilm vaccine of Streptococcus agalactiae in protecting tilapia from streptococcocal infection. The tilapia were vaccinated orally using the biofilm vaccine with 10 9 10 10 CFU/g (FBV) incorporated in feed and killed whole-cell vaccine (FCV) of S. agalactiae also prepared in feed, and the unvaccinated control group (Cx) was fed with standard feed formulation. Throughout the study, serum, mucus and gut lavage fluid were collected to evaluate the antibody responses among the groups. The results showed that tilapia vaccinated with FBV exhibited significantly (p &lt; 0.05) stronger immune response and high protection with the relative percentage survival (RPS) of more than 70% (85%) compared with the FCV group, which was only 56%. None of the tilapia in the Cx group survived (0%) post-challenge. Thus, the study revealed that the feed-based biofilm vaccine (FBV) significantly confers the immune protection against the high-dose challenge of S. agalactiae by secretion of the protective immunity in the mucosal and humoral in tilapia.","author":[{"dropping-particle":"","family":"Kahieshesfandiari","given":"M.","non-dropping-particle":"","parse-names":false,"suffix":""},{"dropping-particle":"","family":"Sabri","given":"M. Y.","non-dropping-particle":"","parse-names":false,"suffix":""},{"dropping-particle":"","family":"Ina-salwany","given":"M. Y.","non-dropping-particle":"","parse-names":false,"suffix":""},{"dropping-particle":"","family":"Hassan","given":"M. D.","non-dropping-particle":"","parse-names":false,"suffix":""},{"dropping-particle":"","family":"Noraini","given":"O.","non-dropping-particle":"","parse-names":false,"suffix":""},{"dropping-particle":"","family":"Ajadi","given":"A. A.","non-dropping-particle":"","parse-names":false,"suffix":""},{"dropping-particle":"","family":"Isiaku","given":"A. I.","non-dropping-particle":"","parse-names":false,"suffix":""}],"container-title":"Aquaculture International","id":"ITEM-1","issued":{"date-parts":[["2019"]]},"page":"817–832","title":"Streptococcosis in Oreochromis sp.: is feed-based biofilm vaccine of Streptococcus agalactiae effective?","type":"article-journal","volume":"27"},"uris":["http://www.mendeley.com/documents/?uuid=9bc17a05-9957-4df1-aebc-14e51ed38ed8","http://www.mendeley.com/documents/?uuid=04052a03-bcff-4d3e-accd-1a3f95f5dbd6"]}],"mendeley":{"formattedCitation":"(Kahieshesfandiari et al. 2019)","plainTextFormattedCitation":"(Kahieshesfandiari et al. 2019)","previouslyFormattedCitation":"(Kahieshesfandiari et al. 2019)"},"properties":{"noteIndex":0},"schema":"https://github.com/citation-style-language/schema/raw/master/csl-citation.json"}</w:instrText>
      </w:r>
      <w:r w:rsidRPr="00E47F58">
        <w:rPr>
          <w:rFonts w:ascii="Arial" w:hAnsi="Arial" w:cs="Arial"/>
          <w:sz w:val="20"/>
          <w:szCs w:val="20"/>
          <w:lang w:val="en-SG"/>
        </w:rPr>
        <w:fldChar w:fldCharType="separate"/>
      </w:r>
      <w:r w:rsidR="00F345E2" w:rsidRPr="00E47F58">
        <w:rPr>
          <w:rFonts w:ascii="Arial" w:hAnsi="Arial" w:cs="Arial"/>
          <w:noProof/>
          <w:sz w:val="20"/>
          <w:szCs w:val="20"/>
          <w:lang w:val="en-SG"/>
        </w:rPr>
        <w:t>(Kahieshesfandiari et al. 2019)</w:t>
      </w:r>
      <w:r w:rsidRPr="00E47F58">
        <w:rPr>
          <w:rFonts w:ascii="Arial" w:hAnsi="Arial" w:cs="Arial"/>
          <w:sz w:val="20"/>
          <w:szCs w:val="20"/>
          <w:lang w:val="en-SG"/>
        </w:rPr>
        <w:fldChar w:fldCharType="end"/>
      </w:r>
      <w:r w:rsidRPr="00E47F58">
        <w:rPr>
          <w:rFonts w:ascii="Arial" w:hAnsi="Arial" w:cs="Arial"/>
          <w:sz w:val="20"/>
          <w:szCs w:val="20"/>
          <w:lang w:val="en-SG"/>
        </w:rPr>
        <w:t xml:space="preserve">. Bacteria were </w:t>
      </w:r>
      <w:r w:rsidR="006412F3" w:rsidRPr="00E47F58">
        <w:rPr>
          <w:rFonts w:ascii="Arial" w:hAnsi="Arial" w:cs="Arial"/>
          <w:sz w:val="20"/>
          <w:szCs w:val="20"/>
          <w:lang w:val="en-SG"/>
        </w:rPr>
        <w:t>sub cultured</w:t>
      </w:r>
      <w:r w:rsidRPr="00E47F58">
        <w:rPr>
          <w:rFonts w:ascii="Arial" w:hAnsi="Arial" w:cs="Arial"/>
          <w:sz w:val="20"/>
          <w:szCs w:val="20"/>
          <w:lang w:val="en-SG"/>
        </w:rPr>
        <w:t xml:space="preserve"> on the blood agar</w:t>
      </w:r>
      <w:r w:rsidR="006412F3" w:rsidRPr="00E47F58">
        <w:rPr>
          <w:rFonts w:ascii="Arial" w:hAnsi="Arial" w:cs="Arial"/>
          <w:sz w:val="20"/>
          <w:szCs w:val="20"/>
          <w:lang w:val="en-SG"/>
        </w:rPr>
        <w:t xml:space="preserve"> </w:t>
      </w:r>
      <w:r w:rsidRPr="00E47F58">
        <w:rPr>
          <w:rFonts w:ascii="Arial" w:hAnsi="Arial" w:cs="Arial"/>
          <w:sz w:val="20"/>
          <w:szCs w:val="20"/>
          <w:lang w:val="en-SG"/>
        </w:rPr>
        <w:t>(Oxoid, Basingstoke, Hampshire, UK), and the pure colony was grown in 1.5% (w/v) tryptone soya broth (TSB; HiMedia, Mumbai, India) at 37 °C overnight in an incubator shaker. The bacteria were harvested by centrifugation at 10,000 rpm for 10 min. Subsequently, the pellet was suspended in 1.5% TSB with 18% glycerol as</w:t>
      </w:r>
      <w:r w:rsidR="006412F3" w:rsidRPr="00E47F58">
        <w:rPr>
          <w:rFonts w:ascii="Arial" w:hAnsi="Arial" w:cs="Arial"/>
          <w:sz w:val="20"/>
          <w:szCs w:val="20"/>
          <w:lang w:val="en-SG"/>
        </w:rPr>
        <w:t xml:space="preserve"> stock suspensions and stored at</w:t>
      </w:r>
      <w:r w:rsidRPr="00E47F58">
        <w:rPr>
          <w:rFonts w:ascii="Arial" w:hAnsi="Arial" w:cs="Arial"/>
          <w:sz w:val="20"/>
          <w:szCs w:val="20"/>
          <w:lang w:val="en-SG"/>
        </w:rPr>
        <w:t xml:space="preserve"> -20 °C for further use. To confirm the identity of the isolates, biochemical tests (API Rapid ID Strep32) and 16S rRNA gene sequencing were conducted according to the manufacturer protocol before commencing the experiment.</w:t>
      </w:r>
    </w:p>
    <w:p w14:paraId="546BA005" w14:textId="77777777" w:rsidR="00EB6AE8" w:rsidRPr="00E47F58" w:rsidRDefault="00982E49" w:rsidP="006412F3">
      <w:pPr>
        <w:pStyle w:val="Heading4"/>
        <w:rPr>
          <w:rFonts w:ascii="Arial" w:hAnsi="Arial" w:cs="Arial"/>
          <w:sz w:val="20"/>
          <w:szCs w:val="20"/>
          <w:lang w:val="en-SG"/>
        </w:rPr>
      </w:pPr>
      <w:bookmarkStart w:id="15" w:name="_Toc49955751"/>
      <w:bookmarkStart w:id="16" w:name="_Toc50652442"/>
      <w:r w:rsidRPr="00E47F58">
        <w:rPr>
          <w:rFonts w:ascii="Arial" w:hAnsi="Arial" w:cs="Arial"/>
          <w:sz w:val="20"/>
          <w:szCs w:val="20"/>
          <w:lang w:val="en-SG"/>
        </w:rPr>
        <w:t>2.0.4</w:t>
      </w:r>
      <w:r w:rsidRPr="00E47F58">
        <w:rPr>
          <w:rFonts w:ascii="Arial" w:hAnsi="Arial" w:cs="Arial"/>
          <w:sz w:val="20"/>
          <w:szCs w:val="20"/>
          <w:lang w:val="en-SG"/>
        </w:rPr>
        <w:tab/>
      </w:r>
      <w:r w:rsidR="00EB6AE8" w:rsidRPr="00E47F58">
        <w:rPr>
          <w:rFonts w:ascii="Arial" w:hAnsi="Arial" w:cs="Arial"/>
          <w:sz w:val="20"/>
          <w:szCs w:val="20"/>
          <w:lang w:val="en-SG"/>
        </w:rPr>
        <w:t>Preparation of live bacteria inoculums and preparation of its different concentrations for challenge</w:t>
      </w:r>
      <w:bookmarkEnd w:id="15"/>
      <w:bookmarkEnd w:id="16"/>
    </w:p>
    <w:p w14:paraId="3FE6C725" w14:textId="77777777" w:rsidR="00EB6AE8" w:rsidRPr="00E47F58" w:rsidRDefault="00EB6AE8" w:rsidP="00EB6AE8">
      <w:pPr>
        <w:pStyle w:val="single"/>
        <w:rPr>
          <w:rFonts w:ascii="Arial" w:hAnsi="Arial" w:cs="Arial"/>
          <w:sz w:val="20"/>
          <w:szCs w:val="20"/>
          <w:lang w:val="en-SG"/>
        </w:rPr>
      </w:pPr>
      <w:r w:rsidRPr="00E47F58">
        <w:rPr>
          <w:rFonts w:ascii="Arial" w:hAnsi="Arial" w:cs="Arial"/>
          <w:i/>
          <w:iCs/>
          <w:sz w:val="20"/>
          <w:szCs w:val="20"/>
          <w:lang w:val="en-SG"/>
        </w:rPr>
        <w:t>Streptococcus agalactiae</w:t>
      </w:r>
      <w:r w:rsidRPr="00E47F58">
        <w:rPr>
          <w:rFonts w:ascii="Arial" w:hAnsi="Arial" w:cs="Arial"/>
          <w:sz w:val="20"/>
          <w:szCs w:val="20"/>
          <w:lang w:val="en-SG"/>
        </w:rPr>
        <w:t xml:space="preserve"> was </w:t>
      </w:r>
      <w:r w:rsidR="006412F3" w:rsidRPr="00E47F58">
        <w:rPr>
          <w:rFonts w:ascii="Arial" w:hAnsi="Arial" w:cs="Arial"/>
          <w:sz w:val="20"/>
          <w:szCs w:val="20"/>
          <w:lang w:val="en-SG"/>
        </w:rPr>
        <w:t>sub cultured</w:t>
      </w:r>
      <w:r w:rsidRPr="00E47F58">
        <w:rPr>
          <w:rFonts w:ascii="Arial" w:hAnsi="Arial" w:cs="Arial"/>
          <w:sz w:val="20"/>
          <w:szCs w:val="20"/>
          <w:lang w:val="en-SG"/>
        </w:rPr>
        <w:t xml:space="preserve"> in blood agar and incubated at 37 °C for 24 h, before </w:t>
      </w:r>
      <w:r w:rsidR="006412F3" w:rsidRPr="00E47F58">
        <w:rPr>
          <w:rFonts w:ascii="Arial" w:hAnsi="Arial" w:cs="Arial"/>
          <w:sz w:val="20"/>
          <w:szCs w:val="20"/>
          <w:lang w:val="en-SG"/>
        </w:rPr>
        <w:t>sub culturing</w:t>
      </w:r>
      <w:r w:rsidRPr="00E47F58">
        <w:rPr>
          <w:rFonts w:ascii="Arial" w:hAnsi="Arial" w:cs="Arial"/>
          <w:sz w:val="20"/>
          <w:szCs w:val="20"/>
          <w:lang w:val="en-SG"/>
        </w:rPr>
        <w:t xml:space="preserve"> further in brain heart infusion broth (BHIB) at the same temperature for the next 18 h with gentle </w:t>
      </w:r>
      <w:r w:rsidRPr="00E47F58">
        <w:rPr>
          <w:rFonts w:ascii="Arial" w:hAnsi="Arial" w:cs="Arial"/>
          <w:sz w:val="20"/>
          <w:szCs w:val="20"/>
          <w:lang w:val="en-SG"/>
        </w:rPr>
        <w:lastRenderedPageBreak/>
        <w:t xml:space="preserve">shaking. To activate the virulence of the bacteria, about 3 mL of broth was passed into the tilapia by intraperitoneal inoculation. </w:t>
      </w:r>
      <w:r w:rsidRPr="00E47F58">
        <w:rPr>
          <w:rFonts w:ascii="Arial" w:hAnsi="Arial" w:cs="Arial"/>
          <w:i/>
          <w:iCs/>
          <w:sz w:val="20"/>
          <w:szCs w:val="20"/>
          <w:lang w:val="en-SG"/>
        </w:rPr>
        <w:t>Streptococcus agalactiae</w:t>
      </w:r>
      <w:r w:rsidRPr="00E47F58">
        <w:rPr>
          <w:rFonts w:ascii="Arial" w:hAnsi="Arial" w:cs="Arial"/>
          <w:sz w:val="20"/>
          <w:szCs w:val="20"/>
          <w:lang w:val="en-SG"/>
        </w:rPr>
        <w:t xml:space="preserve"> was then isolated from the eye, brain and kidney of the dead tilapia within 24 h. The identity of the isolates were confirmed by biochemical tests and </w:t>
      </w:r>
      <w:r w:rsidR="00296D5B" w:rsidRPr="00E47F58">
        <w:rPr>
          <w:rFonts w:ascii="Arial" w:hAnsi="Arial" w:cs="Arial"/>
          <w:sz w:val="20"/>
          <w:szCs w:val="20"/>
          <w:lang w:val="en-SG"/>
        </w:rPr>
        <w:t>inoculated</w:t>
      </w:r>
      <w:r w:rsidRPr="00E47F58">
        <w:rPr>
          <w:rFonts w:ascii="Arial" w:hAnsi="Arial" w:cs="Arial"/>
          <w:sz w:val="20"/>
          <w:szCs w:val="20"/>
          <w:lang w:val="en-SG"/>
        </w:rPr>
        <w:t xml:space="preserve"> into 100 mL of BHIB until the logarithmic phase. Subsequently, a tenfold serial dilution and colony counting technique were performed to determine the bacterial concentration. Briefly, 1 mL of </w:t>
      </w:r>
      <w:r w:rsidRPr="00E47F58">
        <w:rPr>
          <w:rFonts w:ascii="Arial" w:hAnsi="Arial" w:cs="Arial"/>
          <w:i/>
          <w:iCs/>
          <w:sz w:val="20"/>
          <w:szCs w:val="20"/>
          <w:lang w:val="en-SG"/>
        </w:rPr>
        <w:t xml:space="preserve">S. agalactiae </w:t>
      </w:r>
      <w:r w:rsidRPr="00E47F58">
        <w:rPr>
          <w:rFonts w:ascii="Arial" w:hAnsi="Arial" w:cs="Arial"/>
          <w:sz w:val="20"/>
          <w:szCs w:val="20"/>
          <w:lang w:val="en-SG"/>
        </w:rPr>
        <w:t xml:space="preserve">broth was added into 9 mL of peptone water with a series of highest dilution (101) to the lowest (109). Again, blood agar was used to spread 0.1 mL of each dilution before incubation at 37 °C for 24 h. Colonies between 25 and 250 were counted before the concentration was expressed as colony-forming unit per millilitre (CFU/mL) </w:t>
      </w:r>
      <w:r w:rsidRPr="00E47F58">
        <w:rPr>
          <w:rFonts w:ascii="Arial" w:hAnsi="Arial" w:cs="Arial"/>
          <w:sz w:val="20"/>
          <w:szCs w:val="20"/>
          <w:lang w:val="en-SG"/>
        </w:rPr>
        <w:fldChar w:fldCharType="begin" w:fldLock="1"/>
      </w:r>
      <w:r w:rsidR="00F345E2" w:rsidRPr="00E47F58">
        <w:rPr>
          <w:rFonts w:ascii="Arial" w:hAnsi="Arial" w:cs="Arial"/>
          <w:sz w:val="20"/>
          <w:szCs w:val="20"/>
          <w:lang w:val="en-SG"/>
        </w:rPr>
        <w:instrText>ADDIN CSL_CITATION {"citationItems":[{"id":"ITEM-1","itemData":{"DOI":"10.1007/s10499-019-00372-8","ISSN":"1573143X","abstract":"This study was carried out to determine the potential of a biofilm vaccine of Streptococcus agalactiae in protecting tilapia from streptococcocal infection. The tilapia were vaccinated orally using the biofilm vaccine with 10 9 10 10 CFU/g (FBV) incorporated in feed and killed whole-cell vaccine (FCV) of S. agalactiae also prepared in feed, and the unvaccinated control group (Cx) was fed with standard feed formulation. Throughout the study, serum, mucus and gut lavage fluid were collected to evaluate the antibody responses among the groups. The results showed that tilapia vaccinated with FBV exhibited significantly (p &lt; 0.05) stronger immune response and high protection with the relative percentage survival (RPS) of more than 70% (85%) compared with the FCV group, which was only 56%. None of the tilapia in the Cx group survived (0%) post-challenge. Thus, the study revealed that the feed-based biofilm vaccine (FBV) significantly confers the immune protection against the high-dose challenge of S. agalactiae by secretion of the protective immunity in the mucosal and humoral in tilapia.","author":[{"dropping-particle":"","family":"Kahieshesfandiari","given":"M.","non-dropping-particle":"","parse-names":false,"suffix":""},{"dropping-particle":"","family":"Sabri","given":"M. Y.","non-dropping-particle":"","parse-names":false,"suffix":""},{"dropping-particle":"","family":"Ina-salwany","given":"M. Y.","non-dropping-particle":"","parse-names":false,"suffix":""},{"dropping-particle":"","family":"Hassan","given":"M. D.","non-dropping-particle":"","parse-names":false,"suffix":""},{"dropping-particle":"","family":"Noraini","given":"O.","non-dropping-particle":"","parse-names":false,"suffix":""},{"dropping-particle":"","family":"Ajadi","given":"A. A.","non-dropping-particle":"","parse-names":false,"suffix":""},{"dropping-particle":"","family":"Isiaku","given":"A. I.","non-dropping-particle":"","parse-names":false,"suffix":""}],"container-title":"Aquaculture International","id":"ITEM-1","issued":{"date-parts":[["2019"]]},"page":"817–832","title":"Streptococcosis in Oreochromis sp.: is feed-based biofilm vaccine of Streptococcus agalactiae effective?","type":"article-journal","volume":"27"},"uris":["http://www.mendeley.com/documents/?uuid=04052a03-bcff-4d3e-accd-1a3f95f5dbd6","http://www.mendeley.com/documents/?uuid=9bc17a05-9957-4df1-aebc-14e51ed38ed8"]}],"mendeley":{"formattedCitation":"(Kahieshesfandiari et al. 2019)","plainTextFormattedCitation":"(Kahieshesfandiari et al. 2019)","previouslyFormattedCitation":"(Kahieshesfandiari et al. 2019)"},"properties":{"noteIndex":0},"schema":"https://github.com/citation-style-language/schema/raw/master/csl-citation.json"}</w:instrText>
      </w:r>
      <w:r w:rsidRPr="00E47F58">
        <w:rPr>
          <w:rFonts w:ascii="Arial" w:hAnsi="Arial" w:cs="Arial"/>
          <w:sz w:val="20"/>
          <w:szCs w:val="20"/>
          <w:lang w:val="en-SG"/>
        </w:rPr>
        <w:fldChar w:fldCharType="separate"/>
      </w:r>
      <w:r w:rsidR="00F345E2" w:rsidRPr="00E47F58">
        <w:rPr>
          <w:rFonts w:ascii="Arial" w:hAnsi="Arial" w:cs="Arial"/>
          <w:noProof/>
          <w:sz w:val="20"/>
          <w:szCs w:val="20"/>
          <w:lang w:val="en-SG"/>
        </w:rPr>
        <w:t>(Kahieshesfandiari et al. 2019)</w:t>
      </w:r>
      <w:r w:rsidRPr="00E47F58">
        <w:rPr>
          <w:rFonts w:ascii="Arial" w:hAnsi="Arial" w:cs="Arial"/>
          <w:sz w:val="20"/>
          <w:szCs w:val="20"/>
          <w:lang w:val="en-SG"/>
        </w:rPr>
        <w:fldChar w:fldCharType="end"/>
      </w:r>
      <w:r w:rsidRPr="00E47F58">
        <w:rPr>
          <w:rFonts w:ascii="Arial" w:hAnsi="Arial" w:cs="Arial"/>
          <w:sz w:val="20"/>
          <w:szCs w:val="20"/>
          <w:lang w:val="en-SG"/>
        </w:rPr>
        <w:t>. The different concentrations of the bacteria; 10</w:t>
      </w:r>
      <w:r w:rsidRPr="00E47F58">
        <w:rPr>
          <w:rFonts w:ascii="Arial" w:hAnsi="Arial" w:cs="Arial"/>
          <w:sz w:val="20"/>
          <w:szCs w:val="20"/>
          <w:vertAlign w:val="superscript"/>
          <w:lang w:val="en-SG"/>
        </w:rPr>
        <w:t>5</w:t>
      </w:r>
      <w:r w:rsidRPr="00E47F58">
        <w:rPr>
          <w:rFonts w:ascii="Arial" w:hAnsi="Arial" w:cs="Arial"/>
          <w:sz w:val="20"/>
          <w:szCs w:val="20"/>
          <w:lang w:val="en-SG"/>
        </w:rPr>
        <w:t>, 10</w:t>
      </w:r>
      <w:r w:rsidRPr="00E47F58">
        <w:rPr>
          <w:rFonts w:ascii="Arial" w:hAnsi="Arial" w:cs="Arial"/>
          <w:sz w:val="20"/>
          <w:szCs w:val="20"/>
          <w:vertAlign w:val="superscript"/>
          <w:lang w:val="en-SG"/>
        </w:rPr>
        <w:t>6</w:t>
      </w:r>
      <w:r w:rsidRPr="00E47F58">
        <w:rPr>
          <w:rFonts w:ascii="Arial" w:hAnsi="Arial" w:cs="Arial"/>
          <w:sz w:val="20"/>
          <w:szCs w:val="20"/>
          <w:lang w:val="en-SG"/>
        </w:rPr>
        <w:t>, 10</w:t>
      </w:r>
      <w:r w:rsidRPr="00E47F58">
        <w:rPr>
          <w:rFonts w:ascii="Arial" w:hAnsi="Arial" w:cs="Arial"/>
          <w:sz w:val="20"/>
          <w:szCs w:val="20"/>
          <w:vertAlign w:val="superscript"/>
          <w:lang w:val="en-SG"/>
        </w:rPr>
        <w:t>7</w:t>
      </w:r>
      <w:r w:rsidRPr="00E47F58">
        <w:rPr>
          <w:rFonts w:ascii="Arial" w:hAnsi="Arial" w:cs="Arial"/>
          <w:sz w:val="20"/>
          <w:szCs w:val="20"/>
          <w:lang w:val="en-SG"/>
        </w:rPr>
        <w:t xml:space="preserve"> and 10</w:t>
      </w:r>
      <w:r w:rsidRPr="00E47F58">
        <w:rPr>
          <w:rFonts w:ascii="Arial" w:hAnsi="Arial" w:cs="Arial"/>
          <w:sz w:val="20"/>
          <w:szCs w:val="20"/>
          <w:vertAlign w:val="superscript"/>
          <w:lang w:val="en-SG"/>
        </w:rPr>
        <w:t>8</w:t>
      </w:r>
      <w:r w:rsidRPr="00E47F58">
        <w:rPr>
          <w:rFonts w:ascii="Arial" w:hAnsi="Arial" w:cs="Arial"/>
          <w:sz w:val="20"/>
          <w:szCs w:val="20"/>
          <w:lang w:val="en-SG"/>
        </w:rPr>
        <w:t xml:space="preserve"> CFU/mL was prepared by referencing to MacFarland standard of the same concentration and used for the bacterial challenge via immersion method. The choice of immersion method of bacterial challenge over intraperitoneal injection was due to consideration that in practical fish contract diseases via contact with water.</w:t>
      </w:r>
    </w:p>
    <w:p w14:paraId="13729C6D" w14:textId="77777777" w:rsidR="00EB6AE8" w:rsidRPr="00E47F58" w:rsidRDefault="00EB6AE8" w:rsidP="00EB6AE8">
      <w:pPr>
        <w:pStyle w:val="single"/>
        <w:rPr>
          <w:rFonts w:ascii="Arial" w:hAnsi="Arial" w:cs="Arial"/>
          <w:sz w:val="20"/>
          <w:szCs w:val="20"/>
        </w:rPr>
      </w:pPr>
      <w:r w:rsidRPr="00E47F58">
        <w:rPr>
          <w:rFonts w:ascii="Arial" w:hAnsi="Arial" w:cs="Arial"/>
          <w:sz w:val="20"/>
          <w:szCs w:val="20"/>
        </w:rPr>
        <w:t>The LC</w:t>
      </w:r>
      <w:r w:rsidRPr="00E47F58">
        <w:rPr>
          <w:rFonts w:ascii="Arial" w:hAnsi="Arial" w:cs="Arial"/>
          <w:sz w:val="20"/>
          <w:szCs w:val="20"/>
          <w:vertAlign w:val="subscript"/>
        </w:rPr>
        <w:t xml:space="preserve">50 </w:t>
      </w:r>
      <w:r w:rsidRPr="00E47F58">
        <w:rPr>
          <w:rFonts w:ascii="Arial" w:hAnsi="Arial" w:cs="Arial"/>
          <w:sz w:val="20"/>
          <w:szCs w:val="20"/>
        </w:rPr>
        <w:t>was conducted with the varying bacterial concentrations ranging from 1x10</w:t>
      </w:r>
      <w:r w:rsidRPr="00E47F58">
        <w:rPr>
          <w:rFonts w:ascii="Arial" w:hAnsi="Arial" w:cs="Arial"/>
          <w:sz w:val="20"/>
          <w:szCs w:val="20"/>
          <w:vertAlign w:val="superscript"/>
        </w:rPr>
        <w:t>5</w:t>
      </w:r>
      <w:r w:rsidRPr="00E47F58">
        <w:rPr>
          <w:rFonts w:ascii="Arial" w:hAnsi="Arial" w:cs="Arial"/>
          <w:sz w:val="20"/>
          <w:szCs w:val="20"/>
        </w:rPr>
        <w:t>–1x10</w:t>
      </w:r>
      <w:r w:rsidRPr="00E47F58">
        <w:rPr>
          <w:rFonts w:ascii="Arial" w:hAnsi="Arial" w:cs="Arial"/>
          <w:sz w:val="20"/>
          <w:szCs w:val="20"/>
          <w:vertAlign w:val="superscript"/>
        </w:rPr>
        <w:t xml:space="preserve">8 </w:t>
      </w:r>
      <w:r w:rsidRPr="00E47F58">
        <w:rPr>
          <w:rFonts w:ascii="Arial" w:hAnsi="Arial" w:cs="Arial"/>
          <w:sz w:val="20"/>
          <w:szCs w:val="20"/>
        </w:rPr>
        <w:t>CFU/mL and each test was performed with 10 fish group in 3 replicates and a control (also 10 fish). The plot of bacterial concentrations against the corresponding mortality was generated and the linear equation of the plot was used to calculate the LC</w:t>
      </w:r>
      <w:r w:rsidRPr="00E47F58">
        <w:rPr>
          <w:rFonts w:ascii="Arial" w:hAnsi="Arial" w:cs="Arial"/>
          <w:sz w:val="20"/>
          <w:szCs w:val="20"/>
          <w:vertAlign w:val="subscript"/>
        </w:rPr>
        <w:t>50</w:t>
      </w:r>
      <w:r w:rsidRPr="00E47F58">
        <w:rPr>
          <w:rFonts w:ascii="Arial" w:hAnsi="Arial" w:cs="Arial"/>
          <w:sz w:val="20"/>
          <w:szCs w:val="20"/>
        </w:rPr>
        <w:t>.</w:t>
      </w:r>
    </w:p>
    <w:p w14:paraId="2EE7CE1A" w14:textId="77777777" w:rsidR="00EB6AE8" w:rsidRPr="00E47F58" w:rsidRDefault="00982E49" w:rsidP="00E47F58">
      <w:pPr>
        <w:pStyle w:val="Heading3"/>
        <w:rPr>
          <w:sz w:val="20"/>
          <w:szCs w:val="20"/>
        </w:rPr>
      </w:pPr>
      <w:bookmarkStart w:id="17" w:name="_Toc49955752"/>
      <w:bookmarkStart w:id="18" w:name="_Toc50652443"/>
      <w:r w:rsidRPr="00E47F58">
        <w:rPr>
          <w:sz w:val="20"/>
          <w:szCs w:val="20"/>
        </w:rPr>
        <w:t>2.0.5</w:t>
      </w:r>
      <w:r w:rsidRPr="00E47F58">
        <w:rPr>
          <w:sz w:val="20"/>
          <w:szCs w:val="20"/>
        </w:rPr>
        <w:tab/>
      </w:r>
      <w:r w:rsidR="00EB6AE8" w:rsidRPr="00E47F58">
        <w:rPr>
          <w:sz w:val="20"/>
          <w:szCs w:val="20"/>
        </w:rPr>
        <w:t>Prophylactic treatment and bacterial challenge</w:t>
      </w:r>
      <w:bookmarkEnd w:id="17"/>
      <w:bookmarkEnd w:id="18"/>
    </w:p>
    <w:p w14:paraId="0DDA8062" w14:textId="77777777" w:rsidR="00EB6AE8" w:rsidRPr="00E47F58" w:rsidRDefault="00EB6AE8" w:rsidP="00EB6AE8">
      <w:pPr>
        <w:pStyle w:val="single"/>
        <w:rPr>
          <w:rFonts w:ascii="Arial" w:hAnsi="Arial" w:cs="Arial"/>
          <w:sz w:val="20"/>
          <w:szCs w:val="20"/>
        </w:rPr>
      </w:pPr>
      <w:r w:rsidRPr="00E47F58">
        <w:rPr>
          <w:rFonts w:ascii="Arial" w:hAnsi="Arial" w:cs="Arial"/>
          <w:sz w:val="20"/>
          <w:szCs w:val="20"/>
        </w:rPr>
        <w:t xml:space="preserve">To evaluate the effect of environment on the experimental fish, 6 fish were sacrificed at zero-day (0D) point, and their spleen was sampled for NMR and MVA for correlation with control fish at the end of prophylactic experiment and challenge test via immersion method. The control fish were further categorized into 2 groups, the control fish (CF) and the control fish challenged (CFC). CF was fed with commercial diet and was not challenged with bacteria while CFC was fed with commercial diet and challenged with bacteria after feeding duration. Similarly, the </w:t>
      </w:r>
      <w:r w:rsidRPr="00E47F58">
        <w:rPr>
          <w:rFonts w:ascii="Arial" w:hAnsi="Arial" w:cs="Arial"/>
          <w:i/>
          <w:iCs/>
          <w:sz w:val="20"/>
          <w:szCs w:val="20"/>
        </w:rPr>
        <w:t xml:space="preserve">C. vulgaris </w:t>
      </w:r>
      <w:r w:rsidRPr="00E47F58">
        <w:rPr>
          <w:rFonts w:ascii="Arial" w:hAnsi="Arial" w:cs="Arial"/>
          <w:sz w:val="20"/>
          <w:szCs w:val="20"/>
        </w:rPr>
        <w:t xml:space="preserve">fed fish were also categorized into </w:t>
      </w:r>
      <w:r w:rsidRPr="00E47F58">
        <w:rPr>
          <w:rFonts w:ascii="Arial" w:hAnsi="Arial" w:cs="Arial"/>
          <w:i/>
          <w:iCs/>
          <w:sz w:val="20"/>
          <w:szCs w:val="20"/>
        </w:rPr>
        <w:t xml:space="preserve">C. vulgaris </w:t>
      </w:r>
      <w:r w:rsidRPr="00E47F58">
        <w:rPr>
          <w:rFonts w:ascii="Arial" w:hAnsi="Arial" w:cs="Arial"/>
          <w:sz w:val="20"/>
          <w:szCs w:val="20"/>
        </w:rPr>
        <w:t xml:space="preserve">(CV) fish group and </w:t>
      </w:r>
      <w:r w:rsidRPr="00E47F58">
        <w:rPr>
          <w:rFonts w:ascii="Arial" w:hAnsi="Arial" w:cs="Arial"/>
          <w:i/>
          <w:iCs/>
          <w:sz w:val="20"/>
          <w:szCs w:val="20"/>
        </w:rPr>
        <w:t xml:space="preserve">C. vulgaris </w:t>
      </w:r>
      <w:r w:rsidRPr="00E47F58">
        <w:rPr>
          <w:rFonts w:ascii="Arial" w:hAnsi="Arial" w:cs="Arial"/>
          <w:sz w:val="20"/>
          <w:szCs w:val="20"/>
        </w:rPr>
        <w:t xml:space="preserve">challenged (CVC) fish. The categorization was to understand the effect of variable experimental factors such as the </w:t>
      </w:r>
      <w:r w:rsidRPr="00E47F58">
        <w:rPr>
          <w:rFonts w:ascii="Arial" w:hAnsi="Arial" w:cs="Arial"/>
          <w:i/>
          <w:iCs/>
          <w:sz w:val="20"/>
          <w:szCs w:val="20"/>
        </w:rPr>
        <w:t xml:space="preserve">C. vulgaris </w:t>
      </w:r>
      <w:r w:rsidRPr="00E47F58">
        <w:rPr>
          <w:rFonts w:ascii="Arial" w:hAnsi="Arial" w:cs="Arial"/>
          <w:sz w:val="20"/>
          <w:szCs w:val="20"/>
        </w:rPr>
        <w:t xml:space="preserve">feeding, bacteria challenge and environment as mentioned earlier. CV was fed with commercial diet incorporated with 125 mg/kg bw </w:t>
      </w:r>
      <w:r w:rsidR="00296D5B" w:rsidRPr="00E47F58">
        <w:rPr>
          <w:rFonts w:ascii="Arial" w:hAnsi="Arial" w:cs="Arial"/>
          <w:i/>
          <w:iCs/>
          <w:sz w:val="20"/>
          <w:szCs w:val="20"/>
        </w:rPr>
        <w:t xml:space="preserve">C. vulgaris </w:t>
      </w:r>
      <w:r w:rsidR="00296D5B" w:rsidRPr="00E47F58">
        <w:rPr>
          <w:rFonts w:ascii="Arial" w:hAnsi="Arial" w:cs="Arial"/>
          <w:sz w:val="20"/>
          <w:szCs w:val="20"/>
        </w:rPr>
        <w:t xml:space="preserve">biomass as this concentration proved to be more efficient from previous study </w:t>
      </w:r>
      <w:r w:rsidR="00296D5B" w:rsidRPr="00E47F58">
        <w:rPr>
          <w:rFonts w:ascii="Arial" w:hAnsi="Arial" w:cs="Arial"/>
          <w:sz w:val="20"/>
          <w:szCs w:val="20"/>
        </w:rPr>
        <w:fldChar w:fldCharType="begin" w:fldLock="1"/>
      </w:r>
      <w:r w:rsidR="00A71624" w:rsidRPr="00E47F58">
        <w:rPr>
          <w:rFonts w:ascii="Arial" w:hAnsi="Arial" w:cs="Arial"/>
          <w:sz w:val="20"/>
          <w:szCs w:val="20"/>
        </w:rPr>
        <w:instrText>ADDIN CSL_CITATION {"citationItems":[{"id":"ITEM-1","itemData":{"DOI":"10.56892/bima.v7i01.396","author":[{"dropping-particle":"","family":"Pantami","given":"Hamza Ahmed","non-dropping-particle":"","parse-names":false,"suffix":""},{"dropping-particle":"","family":"Safwan","given":"Muhammad","non-dropping-particle":"","parse-names":false,"suffix":""},{"dropping-particle":"","family":"Bustamam","given":"Ahamad","non-dropping-particle":"","parse-names":false,"suffix":""},{"dropping-particle":"","family":"Min","given":"Chong Chou","non-dropping-particle":"","parse-names":false,"suffix":""},{"dropping-particle":"","family":"Ismail","given":"Intan Safinar","non-dropping-particle":"","parse-names":false,"suffix":""},{"dropping-particle":"","family":"Lee","given":"Soo Yee","non-dropping-particle":"","parse-names":false,"suffix":""},{"dropping-particle":"","family":"Abubakar","given":"Samaila","non-dropping-particle":"","parse-names":false,"suffix":""},{"dropping-particle":"","family":"Mohammed","given":"Usman Yakubu","non-dropping-particle":"","parse-names":false,"suffix":""}],"container-title":"Bima Journal of Science and Technology","id":"ITEM-1","issue":"1","issued":{"date-parts":[["2023"]]},"page":"165-189","title":"Integration of Spleen 1H NMR-Based Metabolomics Revealed the Immunomodulatory Effect of Chlorella vulgaris on Nile Tilapia (Oreochromis niloticus)","type":"article-journal","volume":"7"},"uris":["http://www.mendeley.com/documents/?uuid=1bbcbe67-81d3-4c86-972d-12b5b9b8bb5e"]}],"mendeley":{"formattedCitation":"(Pantami et al. 2023)","plainTextFormattedCitation":"(Pantami et al. 2023)","previouslyFormattedCitation":"(Pantami et al. 2023)"},"properties":{"noteIndex":0},"schema":"https://github.com/citation-style-language/schema/raw/master/csl-citation.json"}</w:instrText>
      </w:r>
      <w:r w:rsidR="00296D5B" w:rsidRPr="00E47F58">
        <w:rPr>
          <w:rFonts w:ascii="Arial" w:hAnsi="Arial" w:cs="Arial"/>
          <w:sz w:val="20"/>
          <w:szCs w:val="20"/>
        </w:rPr>
        <w:fldChar w:fldCharType="separate"/>
      </w:r>
      <w:r w:rsidR="00F345E2" w:rsidRPr="00E47F58">
        <w:rPr>
          <w:rFonts w:ascii="Arial" w:hAnsi="Arial" w:cs="Arial"/>
          <w:noProof/>
          <w:sz w:val="20"/>
          <w:szCs w:val="20"/>
        </w:rPr>
        <w:t>(Pantami et al. 2023)</w:t>
      </w:r>
      <w:r w:rsidR="00296D5B" w:rsidRPr="00E47F58">
        <w:rPr>
          <w:rFonts w:ascii="Arial" w:hAnsi="Arial" w:cs="Arial"/>
          <w:sz w:val="20"/>
          <w:szCs w:val="20"/>
        </w:rPr>
        <w:fldChar w:fldCharType="end"/>
      </w:r>
      <w:r w:rsidR="00296D5B" w:rsidRPr="00E47F58">
        <w:rPr>
          <w:rFonts w:ascii="Arial" w:hAnsi="Arial" w:cs="Arial"/>
          <w:sz w:val="20"/>
          <w:szCs w:val="20"/>
        </w:rPr>
        <w:t xml:space="preserve"> </w:t>
      </w:r>
      <w:r w:rsidRPr="00E47F58">
        <w:rPr>
          <w:rFonts w:ascii="Arial" w:hAnsi="Arial" w:cs="Arial"/>
          <w:sz w:val="20"/>
          <w:szCs w:val="20"/>
        </w:rPr>
        <w:t xml:space="preserve">while CVC was fed with commercial diet incorporated with 125 mg/kg bw </w:t>
      </w:r>
      <w:r w:rsidRPr="00E47F58">
        <w:rPr>
          <w:rFonts w:ascii="Arial" w:hAnsi="Arial" w:cs="Arial"/>
          <w:i/>
          <w:iCs/>
          <w:sz w:val="20"/>
          <w:szCs w:val="20"/>
        </w:rPr>
        <w:t xml:space="preserve">C. vulgaris </w:t>
      </w:r>
      <w:r w:rsidRPr="00E47F58">
        <w:rPr>
          <w:rFonts w:ascii="Arial" w:hAnsi="Arial" w:cs="Arial"/>
          <w:sz w:val="20"/>
          <w:szCs w:val="20"/>
        </w:rPr>
        <w:t xml:space="preserve">biomass and challenged with bacteria after </w:t>
      </w:r>
      <w:r w:rsidR="00D258E4" w:rsidRPr="00E47F58">
        <w:rPr>
          <w:rFonts w:ascii="Arial" w:hAnsi="Arial" w:cs="Arial"/>
          <w:sz w:val="20"/>
          <w:szCs w:val="20"/>
        </w:rPr>
        <w:t xml:space="preserve">the feeding. </w:t>
      </w:r>
      <w:r w:rsidRPr="00E47F58">
        <w:rPr>
          <w:rFonts w:ascii="Arial" w:hAnsi="Arial" w:cs="Arial"/>
          <w:i/>
          <w:iCs/>
          <w:sz w:val="20"/>
          <w:szCs w:val="20"/>
        </w:rPr>
        <w:t xml:space="preserve">Chlorella vulgaris </w:t>
      </w:r>
      <w:r w:rsidRPr="00E47F58">
        <w:rPr>
          <w:rFonts w:ascii="Arial" w:hAnsi="Arial" w:cs="Arial"/>
          <w:sz w:val="20"/>
          <w:szCs w:val="20"/>
        </w:rPr>
        <w:t xml:space="preserve">concentration of 125 mg/kg bw was used in this research by referring to the findings of recent researches on </w:t>
      </w:r>
      <w:r w:rsidRPr="00E47F58">
        <w:rPr>
          <w:rFonts w:ascii="Arial" w:hAnsi="Arial" w:cs="Arial"/>
          <w:i/>
          <w:iCs/>
          <w:sz w:val="20"/>
          <w:szCs w:val="20"/>
        </w:rPr>
        <w:t xml:space="preserve">C. vulgaris </w:t>
      </w:r>
      <w:r w:rsidRPr="00E47F58">
        <w:rPr>
          <w:rFonts w:ascii="Arial" w:hAnsi="Arial" w:cs="Arial"/>
          <w:sz w:val="20"/>
          <w:szCs w:val="20"/>
        </w:rPr>
        <w:t>which suggests its incorporation into diet at lower concentrations, probably due to its hard cell wall which makes it difficult</w:t>
      </w:r>
      <w:r w:rsidR="00D258E4" w:rsidRPr="00E47F58">
        <w:rPr>
          <w:rFonts w:ascii="Arial" w:hAnsi="Arial" w:cs="Arial"/>
          <w:sz w:val="20"/>
          <w:szCs w:val="20"/>
        </w:rPr>
        <w:t xml:space="preserve"> to</w:t>
      </w:r>
      <w:r w:rsidRPr="00E47F58">
        <w:rPr>
          <w:rFonts w:ascii="Arial" w:hAnsi="Arial" w:cs="Arial"/>
          <w:sz w:val="20"/>
          <w:szCs w:val="20"/>
        </w:rPr>
        <w:t xml:space="preserve"> digestion </w:t>
      </w:r>
      <w:r w:rsidRPr="00E47F58">
        <w:rPr>
          <w:rFonts w:ascii="Arial" w:hAnsi="Arial" w:cs="Arial"/>
          <w:sz w:val="20"/>
          <w:szCs w:val="20"/>
        </w:rPr>
        <w:fldChar w:fldCharType="begin" w:fldLock="1"/>
      </w:r>
      <w:r w:rsidR="00F345E2" w:rsidRPr="00E47F58">
        <w:rPr>
          <w:rFonts w:ascii="Arial" w:hAnsi="Arial" w:cs="Arial"/>
          <w:sz w:val="20"/>
          <w:szCs w:val="20"/>
        </w:rPr>
        <w:instrText>ADDIN CSL_CITATION {"citationItems":[{"id":"ITEM-1","itemData":{"DOI":"10.1111/raq.12320","ISSN":"17535131","abstract":"Microalgae biomass is used in aquaculture as feed, growth enhancers and immunostimulants. Chlorella vulgaris is an important species with a good biomolecular composition. Commercially, it is one of the most commonly used microalga in aquaculture. Several studies confirmed its ability to improve nutrition , immunity, aquatic bioremediation, amelioration of stress, disease resistance of fish and inhibits bacterial quorum sensing when used appropriately. Despite claims of its benefits, C. vulgaris is reported to have unfavourable effects when incorporated in diets at higher inclusion levels. In addition, its rigid cell wall might restrict the access of digestive enzymes to the intracellular components for proper digestion and assimilation. Thus, this review discusses the role of C. vul-garis and its importance in aquaculture with emphasis on its environmental requirements, morphology, pigments, digestibility, dynamics on growth performance , antibacterial activity, bacterial quorum sensing, immunomodulatory effect, anti-stress effect, gut microbiome, aquatic bioremediation and its safety as food or feed.","author":[{"dropping-particle":"","family":"Ahmad","given":"Muhammad Talba","non-dropping-particle":"","parse-names":false,"suffix":""},{"dropping-particle":"","family":"Shariff","given":"Mohamed","non-dropping-particle":"","parse-names":false,"suffix":""},{"dropping-particle":"","family":"Md. Yusoff","given":"Fatimah","non-dropping-particle":"","parse-names":false,"suffix":""},{"dropping-particle":"","family":"Goh","given":"Yong Meng","non-dropping-particle":"","parse-names":false,"suffix":""},{"dropping-particle":"","family":"Banerjee","given":"Sanjoy","non-dropping-particle":"","parse-names":false,"suffix":""}],"container-title":"Reviews in Aquaculture","id":"ITEM-1","issued":{"date-parts":[["2018"]]},"page":"1-19","title":"Applications of microalga Chlorella vulgaris in aquaculture","type":"article-journal"},"uris":["http://www.mendeley.com/documents/?uuid=4b4274a3-1f8a-4375-8944-168d31e8cbfe"]}],"mendeley":{"formattedCitation":"(Ahmad et al. 2018)","plainTextFormattedCitation":"(Ahmad et al. 2018)","previouslyFormattedCitation":"(Ahmad et al. 2018)"},"properties":{"noteIndex":0},"schema":"https://github.com/citation-style-language/schema/raw/master/csl-citation.json"}</w:instrText>
      </w:r>
      <w:r w:rsidRPr="00E47F58">
        <w:rPr>
          <w:rFonts w:ascii="Arial" w:hAnsi="Arial" w:cs="Arial"/>
          <w:sz w:val="20"/>
          <w:szCs w:val="20"/>
        </w:rPr>
        <w:fldChar w:fldCharType="separate"/>
      </w:r>
      <w:r w:rsidR="00F345E2" w:rsidRPr="00E47F58">
        <w:rPr>
          <w:rFonts w:ascii="Arial" w:hAnsi="Arial" w:cs="Arial"/>
          <w:noProof/>
          <w:sz w:val="20"/>
          <w:szCs w:val="20"/>
        </w:rPr>
        <w:t>(Ahmad et al. 2018)</w:t>
      </w:r>
      <w:r w:rsidRPr="00E47F58">
        <w:rPr>
          <w:rFonts w:ascii="Arial" w:hAnsi="Arial" w:cs="Arial"/>
          <w:sz w:val="20"/>
          <w:szCs w:val="20"/>
        </w:rPr>
        <w:fldChar w:fldCharType="end"/>
      </w:r>
      <w:r w:rsidRPr="00E47F58">
        <w:rPr>
          <w:rFonts w:ascii="Arial" w:hAnsi="Arial" w:cs="Arial"/>
          <w:sz w:val="20"/>
          <w:szCs w:val="20"/>
        </w:rPr>
        <w:t>.</w:t>
      </w:r>
    </w:p>
    <w:p w14:paraId="127BE747" w14:textId="77777777" w:rsidR="00EB6AE8" w:rsidRPr="00E47F58" w:rsidRDefault="00EB6AE8" w:rsidP="00851556">
      <w:pPr>
        <w:spacing w:after="0"/>
        <w:jc w:val="center"/>
        <w:rPr>
          <w:rFonts w:ascii="Arial" w:hAnsi="Arial" w:cs="Arial"/>
          <w:color w:val="000000" w:themeColor="text1"/>
          <w:sz w:val="20"/>
          <w:szCs w:val="20"/>
        </w:rPr>
      </w:pPr>
      <w:r w:rsidRPr="00E47F58">
        <w:rPr>
          <w:rFonts w:ascii="Arial" w:hAnsi="Arial" w:cs="Arial"/>
          <w:noProof/>
          <w:color w:val="000000" w:themeColor="text1"/>
          <w:sz w:val="20"/>
          <w:szCs w:val="20"/>
        </w:rPr>
        <w:lastRenderedPageBreak/>
        <w:drawing>
          <wp:inline distT="0" distB="0" distL="0" distR="0" wp14:anchorId="6B699FA4" wp14:editId="4E1E441F">
            <wp:extent cx="4711847" cy="2589663"/>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2289" cy="2639371"/>
                    </a:xfrm>
                    <a:prstGeom prst="rect">
                      <a:avLst/>
                    </a:prstGeom>
                    <a:noFill/>
                  </pic:spPr>
                </pic:pic>
              </a:graphicData>
            </a:graphic>
          </wp:inline>
        </w:drawing>
      </w:r>
    </w:p>
    <w:p w14:paraId="366440B2" w14:textId="77777777" w:rsidR="00EB6AE8" w:rsidRPr="00E47F58" w:rsidRDefault="00EB6AE8" w:rsidP="00EB6AE8">
      <w:pPr>
        <w:pStyle w:val="Caption"/>
        <w:rPr>
          <w:rFonts w:ascii="Arial" w:hAnsi="Arial" w:cs="Arial"/>
          <w:sz w:val="20"/>
          <w:szCs w:val="20"/>
        </w:rPr>
      </w:pPr>
      <w:bookmarkStart w:id="19" w:name="_Toc50653937"/>
      <w:r w:rsidRPr="00E47F58">
        <w:rPr>
          <w:rFonts w:ascii="Arial" w:hAnsi="Arial" w:cs="Arial"/>
          <w:sz w:val="20"/>
          <w:szCs w:val="20"/>
        </w:rPr>
        <w:t>Figure</w:t>
      </w:r>
      <w:r w:rsidR="00D258E4"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Figure \* ARABIC \s 1 </w:instrText>
      </w:r>
      <w:r w:rsidR="0022766E" w:rsidRPr="00E47F58">
        <w:rPr>
          <w:rFonts w:ascii="Arial" w:hAnsi="Arial" w:cs="Arial"/>
          <w:sz w:val="20"/>
          <w:szCs w:val="20"/>
        </w:rPr>
        <w:fldChar w:fldCharType="separate"/>
      </w:r>
      <w:r w:rsidRPr="00E47F58">
        <w:rPr>
          <w:rFonts w:ascii="Arial" w:hAnsi="Arial" w:cs="Arial"/>
          <w:noProof/>
          <w:sz w:val="20"/>
          <w:szCs w:val="20"/>
        </w:rPr>
        <w:t>1</w:t>
      </w:r>
      <w:r w:rsidR="0022766E" w:rsidRPr="00E47F58">
        <w:rPr>
          <w:rFonts w:ascii="Arial" w:hAnsi="Arial" w:cs="Arial"/>
          <w:noProof/>
          <w:sz w:val="20"/>
          <w:szCs w:val="20"/>
        </w:rPr>
        <w:fldChar w:fldCharType="end"/>
      </w:r>
      <w:r w:rsidRPr="00E47F58">
        <w:rPr>
          <w:rFonts w:ascii="Arial" w:hAnsi="Arial" w:cs="Arial"/>
          <w:sz w:val="20"/>
          <w:szCs w:val="20"/>
        </w:rPr>
        <w:t xml:space="preserve"> : Overall schematic diagram of the </w:t>
      </w:r>
      <w:bookmarkEnd w:id="19"/>
      <w:r w:rsidR="00D258E4" w:rsidRPr="00E47F58">
        <w:rPr>
          <w:rFonts w:ascii="Arial" w:hAnsi="Arial" w:cs="Arial"/>
          <w:sz w:val="20"/>
          <w:szCs w:val="20"/>
        </w:rPr>
        <w:t>methodology</w:t>
      </w:r>
    </w:p>
    <w:p w14:paraId="3F12C574" w14:textId="77777777" w:rsidR="00EB6AE8" w:rsidRPr="00E47F58" w:rsidRDefault="00EB6AE8" w:rsidP="00EB6AE8">
      <w:pPr>
        <w:pStyle w:val="j"/>
        <w:rPr>
          <w:rFonts w:ascii="Arial" w:hAnsi="Arial" w:cs="Arial"/>
          <w:sz w:val="20"/>
          <w:szCs w:val="20"/>
          <w:lang w:val="en-GB"/>
        </w:rPr>
      </w:pPr>
    </w:p>
    <w:p w14:paraId="4E2DD658" w14:textId="77777777" w:rsidR="00EB6AE8" w:rsidRPr="00E47F58" w:rsidRDefault="00EB6AE8" w:rsidP="00EB6AE8">
      <w:pPr>
        <w:pStyle w:val="j"/>
        <w:rPr>
          <w:rFonts w:ascii="Arial" w:hAnsi="Arial" w:cs="Arial"/>
          <w:sz w:val="20"/>
          <w:szCs w:val="20"/>
          <w:lang w:val="en-GB"/>
        </w:rPr>
      </w:pPr>
    </w:p>
    <w:p w14:paraId="4F84DAB0" w14:textId="77777777" w:rsidR="00EB6AE8" w:rsidRPr="00E47F58" w:rsidRDefault="00EB6AE8" w:rsidP="00EB6AE8">
      <w:pPr>
        <w:pStyle w:val="single"/>
        <w:rPr>
          <w:rFonts w:ascii="Arial" w:hAnsi="Arial" w:cs="Arial"/>
          <w:sz w:val="20"/>
          <w:szCs w:val="20"/>
        </w:rPr>
      </w:pPr>
      <w:r w:rsidRPr="00E47F58">
        <w:rPr>
          <w:rFonts w:ascii="Arial" w:hAnsi="Arial" w:cs="Arial"/>
          <w:sz w:val="20"/>
          <w:szCs w:val="20"/>
        </w:rPr>
        <w:t>The prophylactic experiment was conducted according</w:t>
      </w:r>
      <w:r w:rsidR="00D258E4" w:rsidRPr="00E47F58">
        <w:rPr>
          <w:rFonts w:ascii="Arial" w:hAnsi="Arial" w:cs="Arial"/>
          <w:sz w:val="20"/>
          <w:szCs w:val="20"/>
        </w:rPr>
        <w:t xml:space="preserve"> to the illustration in Figure </w:t>
      </w:r>
      <w:r w:rsidRPr="00E47F58">
        <w:rPr>
          <w:rFonts w:ascii="Arial" w:hAnsi="Arial" w:cs="Arial"/>
          <w:sz w:val="20"/>
          <w:szCs w:val="20"/>
        </w:rPr>
        <w:t xml:space="preserve">1. Feeding control fish groups with commercial diet and treatment groups with </w:t>
      </w:r>
      <w:r w:rsidRPr="00E47F58">
        <w:rPr>
          <w:rFonts w:ascii="Arial" w:hAnsi="Arial" w:cs="Arial"/>
          <w:i/>
          <w:iCs/>
          <w:sz w:val="20"/>
          <w:szCs w:val="20"/>
        </w:rPr>
        <w:t xml:space="preserve">C. vulgaris </w:t>
      </w:r>
      <w:r w:rsidRPr="00E47F58">
        <w:rPr>
          <w:rFonts w:ascii="Arial" w:hAnsi="Arial" w:cs="Arial"/>
          <w:sz w:val="20"/>
          <w:szCs w:val="20"/>
        </w:rPr>
        <w:t>lasted for 21 days and preceded with bacterial challenge with 1x10</w:t>
      </w:r>
      <w:r w:rsidRPr="00E47F58">
        <w:rPr>
          <w:rFonts w:ascii="Arial" w:hAnsi="Arial" w:cs="Arial"/>
          <w:sz w:val="20"/>
          <w:szCs w:val="20"/>
          <w:vertAlign w:val="superscript"/>
        </w:rPr>
        <w:t>8</w:t>
      </w:r>
      <w:r w:rsidRPr="00E47F58">
        <w:rPr>
          <w:rFonts w:ascii="Arial" w:hAnsi="Arial" w:cs="Arial"/>
          <w:sz w:val="20"/>
          <w:szCs w:val="20"/>
        </w:rPr>
        <w:t xml:space="preserve"> CFU/mL (&gt; LC</w:t>
      </w:r>
      <w:r w:rsidRPr="00E47F58">
        <w:rPr>
          <w:rFonts w:ascii="Arial" w:hAnsi="Arial" w:cs="Arial"/>
          <w:sz w:val="20"/>
          <w:szCs w:val="20"/>
          <w:vertAlign w:val="subscript"/>
        </w:rPr>
        <w:t>50</w:t>
      </w:r>
      <w:r w:rsidRPr="00E47F58">
        <w:rPr>
          <w:rFonts w:ascii="Arial" w:hAnsi="Arial" w:cs="Arial"/>
          <w:sz w:val="20"/>
          <w:szCs w:val="20"/>
        </w:rPr>
        <w:t xml:space="preserve">) concentration of </w:t>
      </w:r>
      <w:r w:rsidRPr="00E47F58">
        <w:rPr>
          <w:rFonts w:ascii="Arial" w:hAnsi="Arial" w:cs="Arial"/>
          <w:i/>
          <w:iCs/>
          <w:sz w:val="20"/>
          <w:szCs w:val="20"/>
        </w:rPr>
        <w:t>S. agalatiae</w:t>
      </w:r>
      <w:r w:rsidRPr="00E47F58">
        <w:rPr>
          <w:rFonts w:ascii="Arial" w:hAnsi="Arial" w:cs="Arial"/>
          <w:sz w:val="20"/>
          <w:szCs w:val="20"/>
        </w:rPr>
        <w:t>. Mortality was observed in 22</w:t>
      </w:r>
      <w:r w:rsidRPr="00E47F58">
        <w:rPr>
          <w:rFonts w:ascii="Arial" w:hAnsi="Arial" w:cs="Arial"/>
          <w:sz w:val="20"/>
          <w:szCs w:val="20"/>
          <w:vertAlign w:val="superscript"/>
        </w:rPr>
        <w:t>nd</w:t>
      </w:r>
      <w:r w:rsidRPr="00E47F58">
        <w:rPr>
          <w:rFonts w:ascii="Arial" w:hAnsi="Arial" w:cs="Arial"/>
          <w:sz w:val="20"/>
          <w:szCs w:val="20"/>
        </w:rPr>
        <w:t>–28</w:t>
      </w:r>
      <w:r w:rsidRPr="00E47F58">
        <w:rPr>
          <w:rFonts w:ascii="Arial" w:hAnsi="Arial" w:cs="Arial"/>
          <w:sz w:val="20"/>
          <w:szCs w:val="20"/>
          <w:vertAlign w:val="superscript"/>
        </w:rPr>
        <w:t>th</w:t>
      </w:r>
      <w:r w:rsidRPr="00E47F58">
        <w:rPr>
          <w:rFonts w:ascii="Arial" w:hAnsi="Arial" w:cs="Arial"/>
          <w:sz w:val="20"/>
          <w:szCs w:val="20"/>
        </w:rPr>
        <w:t xml:space="preserve"> day and all experimental fish sacrificed on the 29</w:t>
      </w:r>
      <w:r w:rsidRPr="00E47F58">
        <w:rPr>
          <w:rFonts w:ascii="Arial" w:hAnsi="Arial" w:cs="Arial"/>
          <w:sz w:val="20"/>
          <w:szCs w:val="20"/>
          <w:vertAlign w:val="superscript"/>
        </w:rPr>
        <w:t>th</w:t>
      </w:r>
      <w:r w:rsidR="00D258E4" w:rsidRPr="00E47F58">
        <w:rPr>
          <w:rFonts w:ascii="Arial" w:hAnsi="Arial" w:cs="Arial"/>
          <w:sz w:val="20"/>
          <w:szCs w:val="20"/>
        </w:rPr>
        <w:t xml:space="preserve"> day (Figure </w:t>
      </w:r>
      <w:r w:rsidRPr="00E47F58">
        <w:rPr>
          <w:rFonts w:ascii="Arial" w:hAnsi="Arial" w:cs="Arial"/>
          <w:sz w:val="20"/>
          <w:szCs w:val="20"/>
        </w:rPr>
        <w:t>1) and samples were taken for metabolomics studies.</w:t>
      </w:r>
    </w:p>
    <w:p w14:paraId="36C68148" w14:textId="77777777" w:rsidR="00EB6AE8" w:rsidRPr="00E47F58" w:rsidRDefault="00982E49" w:rsidP="00E47F58">
      <w:pPr>
        <w:pStyle w:val="Heading3"/>
        <w:rPr>
          <w:sz w:val="20"/>
          <w:szCs w:val="20"/>
        </w:rPr>
      </w:pPr>
      <w:bookmarkStart w:id="20" w:name="_Toc49955753"/>
      <w:bookmarkStart w:id="21" w:name="_Toc50652444"/>
      <w:r w:rsidRPr="00E47F58">
        <w:rPr>
          <w:sz w:val="20"/>
          <w:szCs w:val="20"/>
        </w:rPr>
        <w:t>2.0.6</w:t>
      </w:r>
      <w:r w:rsidRPr="00E47F58">
        <w:rPr>
          <w:sz w:val="20"/>
          <w:szCs w:val="20"/>
        </w:rPr>
        <w:tab/>
      </w:r>
      <w:r w:rsidR="00EB6AE8" w:rsidRPr="00E47F58">
        <w:rPr>
          <w:sz w:val="20"/>
          <w:szCs w:val="20"/>
        </w:rPr>
        <w:t>Spleen preparation for NMR analysis</w:t>
      </w:r>
      <w:bookmarkEnd w:id="20"/>
      <w:bookmarkEnd w:id="21"/>
    </w:p>
    <w:p w14:paraId="785A7DD8" w14:textId="77777777" w:rsidR="00EB6AE8" w:rsidRPr="00E47F58" w:rsidRDefault="00EB6AE8" w:rsidP="00EB6AE8">
      <w:pPr>
        <w:pStyle w:val="single"/>
        <w:rPr>
          <w:rFonts w:ascii="Arial" w:hAnsi="Arial" w:cs="Arial"/>
          <w:sz w:val="20"/>
          <w:szCs w:val="20"/>
        </w:rPr>
      </w:pPr>
      <w:r w:rsidRPr="00E47F58">
        <w:rPr>
          <w:rFonts w:ascii="Arial" w:hAnsi="Arial" w:cs="Arial"/>
          <w:sz w:val="20"/>
          <w:szCs w:val="20"/>
        </w:rPr>
        <w:t>Spleen (10 mg) was added 250 µL 0.2 M Na</w:t>
      </w:r>
      <w:r w:rsidRPr="00E47F58">
        <w:rPr>
          <w:rFonts w:ascii="Arial" w:hAnsi="Arial" w:cs="Arial"/>
          <w:sz w:val="20"/>
          <w:szCs w:val="20"/>
          <w:vertAlign w:val="subscript"/>
        </w:rPr>
        <w:t>2</w:t>
      </w:r>
      <w:r w:rsidRPr="00E47F58">
        <w:rPr>
          <w:rFonts w:ascii="Arial" w:hAnsi="Arial" w:cs="Arial"/>
          <w:sz w:val="20"/>
          <w:szCs w:val="20"/>
        </w:rPr>
        <w:t>HPO</w:t>
      </w:r>
      <w:r w:rsidRPr="00E47F58">
        <w:rPr>
          <w:rFonts w:ascii="Arial" w:hAnsi="Arial" w:cs="Arial"/>
          <w:sz w:val="20"/>
          <w:szCs w:val="20"/>
          <w:vertAlign w:val="subscript"/>
        </w:rPr>
        <w:t>4</w:t>
      </w:r>
      <w:r w:rsidRPr="00E47F58">
        <w:rPr>
          <w:rFonts w:ascii="Arial" w:hAnsi="Arial" w:cs="Arial"/>
          <w:sz w:val="20"/>
          <w:szCs w:val="20"/>
        </w:rPr>
        <w:t>, 0.175 M NaH</w:t>
      </w:r>
      <w:r w:rsidRPr="00E47F58">
        <w:rPr>
          <w:rFonts w:ascii="Arial" w:hAnsi="Arial" w:cs="Arial"/>
          <w:sz w:val="20"/>
          <w:szCs w:val="20"/>
          <w:vertAlign w:val="subscript"/>
        </w:rPr>
        <w:t>2</w:t>
      </w:r>
      <w:r w:rsidRPr="00E47F58">
        <w:rPr>
          <w:rFonts w:ascii="Arial" w:hAnsi="Arial" w:cs="Arial"/>
          <w:sz w:val="20"/>
          <w:szCs w:val="20"/>
        </w:rPr>
        <w:t>PO</w:t>
      </w:r>
      <w:r w:rsidRPr="00E47F58">
        <w:rPr>
          <w:rFonts w:ascii="Arial" w:hAnsi="Arial" w:cs="Arial"/>
          <w:sz w:val="20"/>
          <w:szCs w:val="20"/>
          <w:vertAlign w:val="subscript"/>
        </w:rPr>
        <w:t>4</w:t>
      </w:r>
      <w:r w:rsidRPr="00E47F58">
        <w:rPr>
          <w:rFonts w:ascii="Arial" w:hAnsi="Arial" w:cs="Arial"/>
          <w:sz w:val="20"/>
          <w:szCs w:val="20"/>
        </w:rPr>
        <w:t>, 0.25% TSP and 0.75 mM NaN</w:t>
      </w:r>
      <w:r w:rsidRPr="00E47F58">
        <w:rPr>
          <w:rFonts w:ascii="Arial" w:hAnsi="Arial" w:cs="Arial"/>
          <w:sz w:val="20"/>
          <w:szCs w:val="20"/>
          <w:vertAlign w:val="subscript"/>
        </w:rPr>
        <w:t>3</w:t>
      </w:r>
      <w:r w:rsidRPr="00E47F58">
        <w:rPr>
          <w:rFonts w:ascii="Arial" w:hAnsi="Arial" w:cs="Arial"/>
          <w:sz w:val="20"/>
          <w:szCs w:val="20"/>
        </w:rPr>
        <w:t xml:space="preserve"> in D</w:t>
      </w:r>
      <w:r w:rsidRPr="00E47F58">
        <w:rPr>
          <w:rFonts w:ascii="Arial" w:hAnsi="Arial" w:cs="Arial"/>
          <w:sz w:val="20"/>
          <w:szCs w:val="20"/>
          <w:vertAlign w:val="subscript"/>
        </w:rPr>
        <w:t>2</w:t>
      </w:r>
      <w:r w:rsidRPr="00E47F58">
        <w:rPr>
          <w:rFonts w:ascii="Arial" w:hAnsi="Arial" w:cs="Arial"/>
          <w:sz w:val="20"/>
          <w:szCs w:val="20"/>
        </w:rPr>
        <w:t xml:space="preserve">O (pH 7.4), homogenized, vortexed for 1 min, centrifuged at 1800 rpm and supernatant dispensed into 3 mm NMR tubes for analysis. All spleen samples were made six replicates from biological replicates and ran with 700 MHz Bruker Ascend NMR spectrometer (Bruker Inc., </w:t>
      </w:r>
      <w:hyperlink r:id="rId14" w:tooltip="Billerica, Massachusetts" w:history="1">
        <w:r w:rsidRPr="00E47F58">
          <w:rPr>
            <w:rStyle w:val="Hyperlink"/>
            <w:rFonts w:ascii="Arial" w:hAnsi="Arial" w:cs="Arial"/>
            <w:color w:val="auto"/>
            <w:sz w:val="20"/>
            <w:szCs w:val="20"/>
            <w:u w:val="none"/>
            <w:lang w:val="en-SG"/>
          </w:rPr>
          <w:t>Billerica, Massachusetts</w:t>
        </w:r>
      </w:hyperlink>
      <w:r w:rsidRPr="00E47F58">
        <w:rPr>
          <w:rFonts w:ascii="Arial" w:hAnsi="Arial" w:cs="Arial"/>
          <w:color w:val="auto"/>
          <w:sz w:val="20"/>
          <w:szCs w:val="20"/>
          <w:lang w:val="en-SG"/>
        </w:rPr>
        <w:t xml:space="preserve">, </w:t>
      </w:r>
      <w:r w:rsidRPr="00E47F58">
        <w:rPr>
          <w:rFonts w:ascii="Arial" w:hAnsi="Arial" w:cs="Arial"/>
          <w:sz w:val="20"/>
          <w:szCs w:val="20"/>
          <w:lang w:val="en-SG"/>
        </w:rPr>
        <w:t>USA</w:t>
      </w:r>
      <w:r w:rsidRPr="00E47F58">
        <w:rPr>
          <w:rFonts w:ascii="Arial" w:hAnsi="Arial" w:cs="Arial"/>
          <w:sz w:val="20"/>
          <w:szCs w:val="20"/>
        </w:rPr>
        <w:t xml:space="preserve">) for multivariate analysis. In addition, </w:t>
      </w:r>
      <w:r w:rsidRPr="00E47F58">
        <w:rPr>
          <w:rFonts w:ascii="Arial" w:hAnsi="Arial" w:cs="Arial"/>
          <w:sz w:val="20"/>
          <w:szCs w:val="20"/>
          <w:lang w:val="en-GB"/>
        </w:rPr>
        <w:t>2D NMR; (</w:t>
      </w:r>
      <w:r w:rsidRPr="00E47F58">
        <w:rPr>
          <w:rFonts w:ascii="Arial" w:hAnsi="Arial" w:cs="Arial"/>
          <w:i/>
          <w:iCs/>
          <w:sz w:val="20"/>
          <w:szCs w:val="20"/>
          <w:lang w:val="en-GB"/>
        </w:rPr>
        <w:t>J-</w:t>
      </w:r>
      <w:r w:rsidRPr="00E47F58">
        <w:rPr>
          <w:rFonts w:ascii="Arial" w:hAnsi="Arial" w:cs="Arial"/>
          <w:sz w:val="20"/>
          <w:szCs w:val="20"/>
          <w:lang w:val="en-GB"/>
        </w:rPr>
        <w:t>resolved),</w:t>
      </w:r>
      <w:r w:rsidRPr="00E47F58">
        <w:rPr>
          <w:rFonts w:ascii="Arial" w:hAnsi="Arial" w:cs="Arial"/>
          <w:sz w:val="20"/>
          <w:szCs w:val="20"/>
          <w:vertAlign w:val="superscript"/>
          <w:lang w:val="en-GB"/>
        </w:rPr>
        <w:t xml:space="preserve"> 1</w:t>
      </w:r>
      <w:r w:rsidRPr="00E47F58">
        <w:rPr>
          <w:rFonts w:ascii="Arial" w:hAnsi="Arial" w:cs="Arial"/>
          <w:sz w:val="20"/>
          <w:szCs w:val="20"/>
          <w:lang w:val="en-GB"/>
        </w:rPr>
        <w:t>H-</w:t>
      </w:r>
      <w:r w:rsidRPr="00E47F58">
        <w:rPr>
          <w:rFonts w:ascii="Arial" w:hAnsi="Arial" w:cs="Arial"/>
          <w:sz w:val="20"/>
          <w:szCs w:val="20"/>
        </w:rPr>
        <w:t>Hetero-nuclear Single Quantum Coherence (HSQC) and Hetero-nuclear Multiple Bond Coherence (</w:t>
      </w:r>
      <w:r w:rsidRPr="00E47F58">
        <w:rPr>
          <w:rFonts w:ascii="Arial" w:hAnsi="Arial" w:cs="Arial"/>
          <w:bCs/>
          <w:sz w:val="20"/>
          <w:szCs w:val="20"/>
        </w:rPr>
        <w:t>HMBC</w:t>
      </w:r>
      <w:r w:rsidRPr="00E47F58">
        <w:rPr>
          <w:rFonts w:ascii="Arial" w:hAnsi="Arial" w:cs="Arial"/>
          <w:sz w:val="20"/>
          <w:szCs w:val="20"/>
        </w:rPr>
        <w:t xml:space="preserve">) </w:t>
      </w:r>
      <w:r w:rsidRPr="00E47F58">
        <w:rPr>
          <w:rFonts w:ascii="Arial" w:hAnsi="Arial" w:cs="Arial"/>
          <w:sz w:val="20"/>
          <w:szCs w:val="20"/>
          <w:lang w:val="en-GB"/>
        </w:rPr>
        <w:t>were performed on representative sample of each group and was used for metabolite detection and identification.</w:t>
      </w:r>
    </w:p>
    <w:p w14:paraId="429ACDBE" w14:textId="77777777" w:rsidR="00EB6AE8" w:rsidRPr="00E47F58" w:rsidRDefault="00982E49" w:rsidP="00E47F58">
      <w:pPr>
        <w:pStyle w:val="Heading3"/>
        <w:rPr>
          <w:sz w:val="20"/>
          <w:szCs w:val="20"/>
        </w:rPr>
      </w:pPr>
      <w:bookmarkStart w:id="22" w:name="_Toc49955754"/>
      <w:bookmarkStart w:id="23" w:name="_Toc50652445"/>
      <w:r w:rsidRPr="00E47F58">
        <w:rPr>
          <w:sz w:val="20"/>
          <w:szCs w:val="20"/>
        </w:rPr>
        <w:t>2.0.7</w:t>
      </w:r>
      <w:r w:rsidRPr="00E47F58">
        <w:rPr>
          <w:sz w:val="20"/>
          <w:szCs w:val="20"/>
        </w:rPr>
        <w:tab/>
      </w:r>
      <w:r w:rsidR="00EB6AE8" w:rsidRPr="00E47F58">
        <w:rPr>
          <w:sz w:val="20"/>
          <w:szCs w:val="20"/>
          <w:vertAlign w:val="superscript"/>
        </w:rPr>
        <w:t>1</w:t>
      </w:r>
      <w:r w:rsidR="00EB6AE8" w:rsidRPr="00E47F58">
        <w:rPr>
          <w:sz w:val="20"/>
          <w:szCs w:val="20"/>
        </w:rPr>
        <w:t>H NMR spectra processing and multivariate analysis</w:t>
      </w:r>
      <w:bookmarkEnd w:id="22"/>
      <w:bookmarkEnd w:id="23"/>
    </w:p>
    <w:p w14:paraId="47D3B8AE" w14:textId="77777777" w:rsidR="0026604E" w:rsidRPr="00E47F58" w:rsidRDefault="0026604E" w:rsidP="0026604E">
      <w:pPr>
        <w:pStyle w:val="single"/>
        <w:rPr>
          <w:rFonts w:ascii="Arial" w:hAnsi="Arial" w:cs="Arial"/>
          <w:sz w:val="20"/>
          <w:szCs w:val="20"/>
          <w:lang w:val="en-GB"/>
        </w:rPr>
      </w:pPr>
      <w:r w:rsidRPr="00E47F58">
        <w:rPr>
          <w:rFonts w:ascii="Arial" w:hAnsi="Arial" w:cs="Arial"/>
          <w:sz w:val="20"/>
          <w:szCs w:val="20"/>
          <w:lang w:val="en-GB"/>
        </w:rPr>
        <w:t xml:space="preserve">The </w:t>
      </w:r>
      <w:r w:rsidRPr="00E47F58">
        <w:rPr>
          <w:rFonts w:ascii="Arial" w:hAnsi="Arial" w:cs="Arial"/>
          <w:sz w:val="20"/>
          <w:szCs w:val="20"/>
          <w:vertAlign w:val="superscript"/>
          <w:lang w:val="en-GB"/>
        </w:rPr>
        <w:t>1</w:t>
      </w:r>
      <w:r w:rsidRPr="00E47F58">
        <w:rPr>
          <w:rFonts w:ascii="Arial" w:hAnsi="Arial" w:cs="Arial"/>
          <w:sz w:val="20"/>
          <w:szCs w:val="20"/>
          <w:lang w:val="en-GB"/>
        </w:rPr>
        <w:t>H NMR spectra of all replicate samples were binned to ASCII files using Chenomx software (version 6.2, Edmonton, Alberta, Canada). The spectral region 0.50 to 14.00 ppm was bucketed into integrated regions with spectral width of δ 0.04. The residual signals for water, chloroform and methanol in the ranges 4.68 - 4.88 ppm, 3.29 - 3.32 ppm and 7.50 - 7.60 ppm respectively, were excluded from the analysis. The standardized bucketed data were then pareto-scaled (Par) and subjected to principal component analysis (PCA) and partial least square discriminant analysis (PLS-DA) using SIMCA-P+ software (version 12.0.1.0, Umetrics AB, Umea, Sweden). The 2D NMR spectra was viewed using MestRenova (version 6.02-5475, Mestrelab Research, Santiago de Compostella, Spain).</w:t>
      </w:r>
    </w:p>
    <w:p w14:paraId="2060D011"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t>In general, the variable importance of projec</w:t>
      </w:r>
      <w:r w:rsidR="0026604E" w:rsidRPr="00E47F58">
        <w:rPr>
          <w:rFonts w:ascii="Arial" w:hAnsi="Arial" w:cs="Arial"/>
          <w:sz w:val="20"/>
          <w:szCs w:val="20"/>
          <w:lang w:val="en-GB"/>
        </w:rPr>
        <w:t>tion (VIP) plots in this research</w:t>
      </w:r>
      <w:r w:rsidRPr="00E47F58">
        <w:rPr>
          <w:rFonts w:ascii="Arial" w:hAnsi="Arial" w:cs="Arial"/>
          <w:sz w:val="20"/>
          <w:szCs w:val="20"/>
          <w:lang w:val="en-GB"/>
        </w:rPr>
        <w:t xml:space="preserve"> suggests most contributing metabolites responsible for the separation of comparable samples within an OPLS-DA model: metabolites with VIP ≥ 1 were considered the most contributors for the separation of groups by PC1 and or PC2 in a </w:t>
      </w:r>
      <w:r w:rsidRPr="00E47F58">
        <w:rPr>
          <w:rFonts w:ascii="Arial" w:hAnsi="Arial" w:cs="Arial"/>
          <w:sz w:val="20"/>
          <w:szCs w:val="20"/>
          <w:lang w:val="en-GB"/>
        </w:rPr>
        <w:lastRenderedPageBreak/>
        <w:t>given OPLS-DA model. The detected me</w:t>
      </w:r>
      <w:r w:rsidR="0026604E" w:rsidRPr="00E47F58">
        <w:rPr>
          <w:rFonts w:ascii="Arial" w:hAnsi="Arial" w:cs="Arial"/>
          <w:sz w:val="20"/>
          <w:szCs w:val="20"/>
          <w:lang w:val="en-GB"/>
        </w:rPr>
        <w:t xml:space="preserve">tabolites </w:t>
      </w:r>
      <w:r w:rsidRPr="00E47F58">
        <w:rPr>
          <w:rFonts w:ascii="Arial" w:hAnsi="Arial" w:cs="Arial"/>
          <w:sz w:val="20"/>
          <w:szCs w:val="20"/>
          <w:lang w:val="en-GB"/>
        </w:rPr>
        <w:t xml:space="preserve">were sorted out with reference </w:t>
      </w:r>
      <w:r w:rsidR="0026604E" w:rsidRPr="00E47F58">
        <w:rPr>
          <w:rFonts w:ascii="Arial" w:hAnsi="Arial" w:cs="Arial"/>
          <w:sz w:val="20"/>
          <w:szCs w:val="20"/>
          <w:lang w:val="en-GB"/>
        </w:rPr>
        <w:t>to compounds which were</w:t>
      </w:r>
      <w:r w:rsidRPr="00E47F58">
        <w:rPr>
          <w:rFonts w:ascii="Arial" w:hAnsi="Arial" w:cs="Arial"/>
          <w:sz w:val="20"/>
          <w:szCs w:val="20"/>
          <w:lang w:val="en-GB"/>
        </w:rPr>
        <w:t xml:space="preserve"> reported to contribute to immune improvements</w:t>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F345E2" w:rsidRPr="00E47F58">
        <w:rPr>
          <w:rFonts w:ascii="Arial" w:hAnsi="Arial" w:cs="Arial"/>
          <w:bCs/>
          <w:sz w:val="20"/>
          <w:szCs w:val="20"/>
          <w:lang w:val="en-GB"/>
        </w:rPr>
        <w:instrText>ADDIN CSL_CITATION {"citationItems":[{"id":"ITEM-1","itemData":{"DOI":"10.1186/s13567-014-0138-z","author":[{"dropping-particle":"","family":"Gray","given":"Darren W","non-dropping-particle":"","parse-names":false,"suffix":""},{"dropping-particle":"","family":"Welsh","given":"Michael D","non-dropping-particle":"","parse-names":false,"suffix":""},{"dropping-particle":"","family":"Doherty","given":"Simon","non-dropping-particle":"","parse-names":false,"suffix":""},{"dropping-particle":"","family":"Mansoor","given":"Fawad","non-dropping-particle":"","parse-names":false,"suffix":""},{"dropping-particle":"","family":"Chevallier","given":"Olivier P","non-dropping-particle":"","parse-names":false,"suffix":""},{"dropping-particle":"","family":"Elliott","given":"Christopher T","non-dropping-particle":"","parse-names":false,"suffix":""},{"dropping-particle":"","family":"Mooney","given":"Mark H","non-dropping-particle":"","parse-names":false,"suffix":""}],"container-title":"Veterinary Research","id":"ITEM-1","issue":"7","issued":{"date-parts":[["2015"]]},"page":"1-16","title":"Identification of systemic immune response markers through metabolomic profiling of plasma from calves given an intra-nasally delivered respiratory vaccine","type":"article-journal","volume":"46"},"uris":["http://www.mendeley.com/documents/?uuid=9b07609b-9838-4e1a-ad19-1ef424a7a53f","http://www.mendeley.com/documents/?uuid=d5d6d89c-1f07-47c6-8c76-c64ee1c8c451"]}],"mendeley":{"formattedCitation":"(Gray et al. 2015)","manualFormatting":"(Gray et al., 2015","plainTextFormattedCitation":"(Gray et al. 2015)","previouslyFormattedCitation":"(Gray et al. 2015)"},"properties":{"noteIndex":0},"schema":"https://github.com/citation-style-language/schema/raw/master/csl-citation.json"}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(Gray et al., 2015</w:t>
      </w:r>
      <w:r w:rsidRPr="00E47F58">
        <w:rPr>
          <w:rFonts w:ascii="Arial" w:hAnsi="Arial" w:cs="Arial"/>
          <w:sz w:val="20"/>
          <w:szCs w:val="20"/>
        </w:rPr>
        <w:fldChar w:fldCharType="end"/>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F345E2" w:rsidRPr="00E47F58">
        <w:rPr>
          <w:rFonts w:ascii="Arial" w:hAnsi="Arial" w:cs="Arial"/>
          <w:bCs/>
          <w:sz w:val="20"/>
          <w:szCs w:val="20"/>
          <w:lang w:val="en-GB"/>
        </w:rPr>
        <w:instrText>ADDIN CSL_CITATION {"citationItems":[{"id":"ITEM-1","itemData":{"ISBN":"9781493975921","author":[{"dropping-particle":"","family":"Everts","given":"Bart","non-dropping-particle":"","parse-names":false,"suffix":""}],"container-title":"Clinical Metabolomics: Methods and Protocols, Methods in Molecular Biology","id":"ITEM-1","issue":"Lc","issued":{"date-parts":[["2018"]]},"page":"29-42","title":"Chapter 2 Metabolomics in Immunology Research","type":"chapter","volume":"1730"},"uris":["http://www.mendeley.com/documents/?uuid=9df41288-59b4-47c8-889c-42157646d987","http://www.mendeley.com/documents/?uuid=d7999bc2-9948-4708-bb64-1cb1a170ad69"]}],"mendeley":{"formattedCitation":"(Everts 2018)","manualFormatting":"Everts, 2018","plainTextFormattedCitation":"(Everts 2018)","previouslyFormattedCitation":"(Everts 2018)"},"properties":{"noteIndex":0},"schema":"https://github.com/citation-style-language/schema/raw/master/csl-citation.json"}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Everts, 2018</w:t>
      </w:r>
      <w:r w:rsidRPr="00E47F58">
        <w:rPr>
          <w:rFonts w:ascii="Arial" w:hAnsi="Arial" w:cs="Arial"/>
          <w:sz w:val="20"/>
          <w:szCs w:val="20"/>
        </w:rPr>
        <w:fldChar w:fldCharType="end"/>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F345E2" w:rsidRPr="00E47F58">
        <w:rPr>
          <w:rFonts w:ascii="Arial" w:hAnsi="Arial" w:cs="Arial"/>
          <w:bCs/>
          <w:sz w:val="20"/>
          <w:szCs w:val="20"/>
          <w:lang w:val="en-GB"/>
        </w:rPr>
        <w:instrText>ADDIN CSL_CITATION {"citationItems":[{"id":"ITEM-1","itemData":{"ISBN":"9781493975921","author":[{"dropping-particle":"","family":"Everts","given":"Bart","non-dropping-particle":"","parse-names":false,"suffix":""}],"container-title":"Clinical Metabolomics: Methods and Protocols, Methods in Molecular Biology","id":"ITEM-1","issue":"Lc","issued":{"date-parts":[["2018"]]},"page":"29-42","title":"Chapter 2 Metabolomics in Immunology Research","type":"chapter","volume":"1730"},"uris":["http://www.mendeley.com/documents/?uuid=d7999bc2-9948-4708-bb64-1cb1a170ad69","http://www.mendeley.com/documents/?uuid=9df41288-59b4-47c8-889c-42157646d987"]}],"mendeley":{"formattedCitation":"(Everts 2018)","manualFormatting":"Everts, 2018","plainTextFormattedCitation":"(Everts 2018)","previouslyFormattedCitation":"(Everts 2018)"},"properties":{"noteIndex":0},"schema":"https://github.com/citation-style-language/schema/raw/master/csl-citation.json"}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Everts, 2018</w:t>
      </w:r>
      <w:r w:rsidRPr="00E47F58">
        <w:rPr>
          <w:rFonts w:ascii="Arial" w:hAnsi="Arial" w:cs="Arial"/>
          <w:sz w:val="20"/>
          <w:szCs w:val="20"/>
        </w:rPr>
        <w:fldChar w:fldCharType="end"/>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F345E2" w:rsidRPr="00E47F58">
        <w:rPr>
          <w:rFonts w:ascii="Arial" w:hAnsi="Arial" w:cs="Arial"/>
          <w:bCs/>
          <w:sz w:val="20"/>
          <w:szCs w:val="20"/>
          <w:lang w:val="en-GB"/>
        </w:rPr>
        <w:instrText>ADDIN CSL_CITATION {"citationItems":[{"id":"ITEM-1","itemData":{"DOI":"10.3390/vaccines7040142","ISSN":"2076393X","abstract":"Honey bee venom has been established to have significant effect in immunotherapy. In the present study, (Z)-11-eicosenol-a major constituent of bee venom, along with its derivations methyl cis-11-eicosenoate and cis-11-eicosenoic acid, were synthesised to investigate their immune stimulatory effect and possible use as vaccine adjuvants. Stimuli that prime and activate the immune system have exerted profound effects on immune cells, particularly macrophages; however, the effectiveness of bee venom constituents as immune stimulants has not yet been established. Here, the abilities of these compounds to act as pro-inflammatory stimuli were assessed, either alone or in combination with lipopolysaccharide (LPS), by examining the secretion of tumour necrosis factor-α (TNF-α) and the cytokines interleukin-1β (IL-1β), IL-6 and IL-10 by THP-1 macrophages. The compounds clearly increased the levels of IL-1β and decreased IL-10, whereas a decrease in IL-6 levels suggested a complex mechanism of action. A more in-depth profile of macrophage behaviour was therefore obtained by comprehensive untargeted metabolic profiling of the cells using liquid chromatography mass spectrometry (LC-MS) to confirm the ability of the eicosanoids to trigger the immune system. The level of 358 polar and 315 non-polar metabolites were changed significantly (p &lt; 0.05) by all treatments. The LPS-stimulated production of most of the inflammatory metabolite biomarkers in glycolysis, the tricarboxylic acid (TCA) cycle, the pentose phosphate pathway, purine, pyrimidine and fatty acids metabolism were significantly enhanced by all three compounds, and particularly by methyl cis-11-eicosenoate and cis-11-eicosenoic acid. These findings support the proposed actions of (Z)-11-eicosenol, methyl cis-11-eicosenoate and cis-11-eicosenoic acid as immune system stimulators.","author":[{"dropping-particle":"","family":"Alqarni","given":"Abdulmalik M.","non-dropping-particle":"","parse-names":false,"suffix":""},{"dropping-particle":"","family":"Dissanayake","given":"Tharushi","non-dropping-particle":"","parse-names":false,"suffix":""},{"dropping-particle":"","family":"Nelson","given":"David J.","non-dropping-particle":"","parse-names":false,"suffix":""},{"dropping-particle":"","family":"Parkinson","given":"John A.","non-dropping-particle":"","parse-names":false,"suffix":""},{"dropping-particle":"","family":"Dufton","given":"Mark J.","non-dropping-particle":"","parse-names":false,"suffix":""},{"dropping-particle":"","family":"Ferro","given":"Valerie A.","non-dropping-particle":"","parse-names":false,"suffix":""},{"dropping-particle":"","family":"Watson","given":"David G.","non-dropping-particle":"","parse-names":false,"suffix":""}],"container-title":"Vaccines","id":"ITEM-1","issue":"4","issued":{"date-parts":[["2019"]]},"title":"Metabolomic profiling of the immune stimulatory effect of eicosenoids on PMA-differentiated THP-1 cells","type":"article-journal","volume":"7"},"uris":["http://www.mendeley.com/documents/?uuid=eb005b79-f50a-4f1f-8a87-ef2a16b2ce6b","http://www.mendeley.com/documents/?uuid=e5bd9657-c6cb-47d5-a82d-d3e1be3d1ff4"]}],"mendeley":{"formattedCitation":"(Alqarni et al. 2019)","manualFormatting":"Alqarni et al., 2019","plainTextFormattedCitation":"(Alqarni et al. 2019)","previouslyFormattedCitation":"(Alqarni et al. 2019)"},"properties":{"noteIndex":0},"schema":"https://github.com/citation-style-language/schema/raw/master/csl-citation.json"}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Alqarni et al., 2019</w:t>
      </w:r>
      <w:r w:rsidRPr="00E47F58">
        <w:rPr>
          <w:rFonts w:ascii="Arial" w:hAnsi="Arial" w:cs="Arial"/>
          <w:sz w:val="20"/>
          <w:szCs w:val="20"/>
        </w:rPr>
        <w:fldChar w:fldCharType="end"/>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F345E2" w:rsidRPr="00E47F58">
        <w:rPr>
          <w:rFonts w:ascii="Arial" w:hAnsi="Arial" w:cs="Arial"/>
          <w:bCs/>
          <w:sz w:val="20"/>
          <w:szCs w:val="20"/>
          <w:lang w:val="en-GB"/>
        </w:rPr>
        <w:instrText>ADDIN CSL_CITATION {"citationItems":[{"id":"ITEM-1","itemData":{"DOI":"10.1007/s00726-012-1361-4","ISBN":"0072601213","ISSN":"09394451","abstract":"Taurine (2-aminoethanesulfonic acid) is the most abundant free amino acid in humans and plays an important role in several essential biological processes such as bile acid conjugation, maintenance of calcium homeostasis, osmoregulation and membrane stabilization. Moreover, attenuation of apoptosis and its antioxidant activity seem to be crucial for the cytoprotective effects of taurine. Although these properties are not tissue specific, taurine reaches particularly high concentrations in tissues exposed to elevated levels of oxidants (e.g., inflammatory cells). It suggests that taurine may play an important role in inflammation associated with oxidative stress. Indeed, at the site of inflammation, taurine is known to react with and detoxify hypochlorous acid generated by the neutrophil myeloperoxidase (MPO)-halide system. This reaction results in the formation of less toxic taurine chloramine (TauCl). Both haloamines, TauCl and taurine bromamine (TauBr), the product of taurine reaction with hypobromous acid (HOBr), exert antimicrobial and anti-inflammatory properties. In contrast to a well-documented regulatory role of taurine and taurine haloamines (TauCl, TauBr) in acute inflammation, their role in the pathogenesis of inflammatory diseases is not clear. This review summarizes our current knowledge concerning the role of taurine, TauCl and TauBr in the pathogenesis of inflammatory diseases initiated or propagated by MPO-derived oxidants. The aim of this paper is to show links between inflammation, neutrophils, MPO, oxidative stress and taurine. We will discuss the possible contribution of taurine and taurine haloamines to the pathogenesis of inflammatory diseases, especially in the best studied example of rheumatoid arthritis. © 2012 The Author(s).","author":[{"dropping-particle":"","family":"Marcinkiewicz","given":"Janusz","non-dropping-particle":"","parse-names":false,"suffix":""},{"dropping-particle":"","family":"Kontny","given":"Ewa","non-dropping-particle":"","parse-names":false,"suffix":""}],"container-title":"Amino Acids","id":"ITEM-1","issue":"1","issued":{"date-parts":[["2014"]]},"page":"7-20","title":"Taurine and inflammatory diseases","type":"article-journal","volume":"46"},"uris":["http://www.mendeley.com/documents/?uuid=11d9da89-7674-40d3-8378-bf6d3d652452","http://www.mendeley.com/documents/?uuid=bde01f47-3706-4ea3-aa64-cf9bee57cbca"]}],"mendeley":{"formattedCitation":"(Marcinkiewicz and Kontny 2014)","manualFormatting":"Marcinkiewicz &amp; Kontny, 2014","plainTextFormattedCitation":"(Marcinkiewicz and Kontny 2014)","previouslyFormattedCitation":"(Marcinkiewicz and Kontny 2014)"},"properties":{"noteIndex":0},"schema":"https://github.com/citation-style-language/schema/raw/master/csl-citation.json"}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Marcinkiewicz &amp; Kontny, 2014</w:t>
      </w:r>
      <w:r w:rsidRPr="00E47F58">
        <w:rPr>
          <w:rFonts w:ascii="Arial" w:hAnsi="Arial" w:cs="Arial"/>
          <w:sz w:val="20"/>
          <w:szCs w:val="20"/>
        </w:rPr>
        <w:fldChar w:fldCharType="end"/>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F345E2" w:rsidRPr="00E47F58">
        <w:rPr>
          <w:rFonts w:ascii="Arial" w:hAnsi="Arial" w:cs="Arial"/>
          <w:bCs/>
          <w:sz w:val="20"/>
          <w:szCs w:val="20"/>
          <w:lang w:val="en-GB"/>
        </w:rPr>
        <w:instrText>ADDIN CSL_CITATION {"citationItems":[{"id":"ITEM-1","itemData":{"DOI":"10.1186/s41110-016-0016-8","ISSN":"2316-7874","abstract":"This article aims to review glutamine metabolism and its effects on the immune response. Selected topics are addressed, particularly the effect of glutamine on cell survival and proliferation, as well as its importance in some biochemical pathways. The impact of glutamine on muscle, intestine, and liver metabolism are described, and a special section about glutamine regulation of the immune response is included. In this context, the modulation of glutamine on relevant signaling pathways as nuclear factor kappa B (NF-kB), mitogen-activated protein kinases (MAPKs), and heat shock protein and the influence of this amino acid on cell migration and adhesion molecules are highlighted. Some important immune response pathways modulated by glutamine were described as its action in critically ill patients. In summary, this review describes some important actions of glutamine, and a range of reactions and modulatory effects in different organs, which may inform new therapeutic strategies. However, further studies are necessary to provide information about glutamine use, especially about situations in which it can be better used as well as fine-tuning dose and administration.","author":[{"dropping-particle":"","family":"Oliveira","given":"Dalila Cunha","non-dropping-particle":"de","parse-names":false,"suffix":""},{"dropping-particle":"","family":"Silva Lima","given":"Fabiana","non-dropping-particle":"da","parse-names":false,"suffix":""},{"dropping-particle":"","family":"Sartori","given":"Talita","non-dropping-particle":"","parse-names":false,"suffix":""},{"dropping-particle":"","family":"Santos","given":"Andressa Cristina Antunes","non-dropping-particle":"","parse-names":false,"suffix":""},{"dropping-particle":"","family":"Rogero","given":"Marcelo Macedo","non-dropping-particle":"","parse-names":false,"suffix":""},{"dropping-particle":"","family":"Fock","given":"Ricardo Ambrosio","non-dropping-particle":"","parse-names":false,"suffix":""}],"container-title":"Nutrire","id":"ITEM-1","issue":"1","issued":{"date-parts":[["2016"]]},"page":"1-10","publisher":"Nutrire","title":"Glutamine metabolism and its effects on immune response: molecular mechanism and gene expression","type":"article-journal","volume":"41"},"uris":["http://www.mendeley.com/documents/?uuid=0a8f53be-0e12-4485-9bf5-bed640fce63e","http://www.mendeley.com/documents/?uuid=1393826f-3535-4d9b-a2ab-0cc8c51f14f8"]}],"mendeley":{"formattedCitation":"(de Oliveira et al. 2016)","manualFormatting":"De Oliveira et al., 2016","plainTextFormattedCitation":"(de Oliveira et al. 2016)","previouslyFormattedCitation":"(de Oliveira et al. 2016)"},"properties":{"noteIndex":0},"schema":"https://github.com/citation-style-language/schema/raw/master/csl-citation.json"}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De Oliveira et al., 2016</w:t>
      </w:r>
      <w:r w:rsidRPr="00E47F58">
        <w:rPr>
          <w:rFonts w:ascii="Arial" w:hAnsi="Arial" w:cs="Arial"/>
          <w:sz w:val="20"/>
          <w:szCs w:val="20"/>
        </w:rPr>
        <w:fldChar w:fldCharType="end"/>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F345E2" w:rsidRPr="00E47F58">
        <w:rPr>
          <w:rFonts w:ascii="Arial" w:hAnsi="Arial" w:cs="Arial"/>
          <w:bCs/>
          <w:sz w:val="20"/>
          <w:szCs w:val="20"/>
          <w:lang w:val="en-GB"/>
        </w:rPr>
        <w:instrText>ADDIN CSL_CITATION {"citationItems":[{"id":"ITEM-1","itemData":{"DOI":"10.1016/j.burns.2012.11.008","ISSN":"03054179","abstract":"Background: During critical illness, the demand for glutamine may exceed that which can be mobilized from muscle stores. Infections increase mortality, morbidity, length-of-stay, antibiotic usage and the cost of care. This is a major health care issue. Methods: RCTs were identified from the electronic databases: the Cochrane Library, MEDLINE, PubMed web of knowledge and hand searching journals. The trials compared the supplementation with glutamine and non-supplementation in burn. Statistical analysis was performed using RevMan5.1 software, from Cochrane Collaboration. Results: 216 papers showed a match, in the keyword search. Upon screening the title, reading the abstract and the entire article, only four RCTs, involving 155 patients, were included. For both the glutamine group and control group, total burn surface area (TBSA) (MD = 2.02, 95% CI -2.17, 6.21, p = 0.34) was similar. Glutamine supplementation was associated with a statistically significant decrease in the number of patients with gram-negative bacteremia (OR 0.27, 95% CI 0.08-0.92, p = 0.04) and hospital mortality (OR = 0.13, 95% CI 0.03, 0.51, p = 0.004), however, no statistical difference was noted between groups, for the other results. Conclusion: Glutamine supplemented nutrition can be associated with a reduction in mortality in hospital, complications due to gram-negative bacteremia in burn patients. Further larger and better quality trials are required, in order to determine whether any differences are statistically and clinically important. © 2012 Elsevier Ltd and ISBI.","author":[{"dropping-particle":"","family":"Lin","given":"Jiun Jie","non-dropping-particle":"","parse-names":false,"suffix":""},{"dropping-particle":"","family":"Chung","given":"Xiu Juan","non-dropping-particle":"","parse-names":false,"suffix":""},{"dropping-particle":"","family":"Yang","given":"Chung Yih","non-dropping-particle":"","parse-names":false,"suffix":""},{"dropping-particle":"","family":"Lau","given":"Hui Ling","non-dropping-particle":"","parse-names":false,"suffix":""}],"container-title":"Burns","id":"ITEM-1","issue":"4","issued":{"date-parts":[["2013"]]},"page":"565-570","publisher":"Elsevier Ltd and International Society of Burns Injuries","title":"A meta-analysis of trials using the intention to treat principle for glutamine supplementation in critically ill patients with burn","type":"article-journal","volume":"39"},"uris":["http://www.mendeley.com/documents/?uuid=7bc03b5f-5124-40c8-ba8e-693e8caa47cf","http://www.mendeley.com/documents/?uuid=4a2c50db-bf7e-4b38-b9a5-bdf7856b2331"]}],"mendeley":{"formattedCitation":"(Lin et al. 2013)","manualFormatting":"Lin et al., 2013","plainTextFormattedCitation":"(Lin et al. 2013)","previouslyFormattedCitation":"(Lin et al. 2013)"},"properties":{"noteIndex":0},"schema":"https://github.com/citation-style-language/schema/raw/master/csl-citation.json"}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Lin et al., 2013</w:t>
      </w:r>
      <w:r w:rsidRPr="00E47F58">
        <w:rPr>
          <w:rFonts w:ascii="Arial" w:hAnsi="Arial" w:cs="Arial"/>
          <w:sz w:val="20"/>
          <w:szCs w:val="20"/>
        </w:rPr>
        <w:fldChar w:fldCharType="end"/>
      </w:r>
      <w:r w:rsidRPr="00E47F58">
        <w:rPr>
          <w:rFonts w:ascii="Arial" w:hAnsi="Arial" w:cs="Arial"/>
          <w:bCs/>
          <w:sz w:val="20"/>
          <w:szCs w:val="20"/>
          <w:lang w:val="en-GB"/>
        </w:rPr>
        <w:fldChar w:fldCharType="begin" w:fldLock="1"/>
      </w:r>
      <w:r w:rsidR="00F345E2" w:rsidRPr="00E47F58">
        <w:rPr>
          <w:rFonts w:ascii="Arial" w:hAnsi="Arial" w:cs="Arial"/>
          <w:bCs/>
          <w:sz w:val="20"/>
          <w:szCs w:val="20"/>
          <w:lang w:val="en-GB"/>
        </w:rPr>
        <w:instrText>ADDIN CSL_CITATION {"citationItems":[{"id":"ITEM-1","itemData":{"DOI":"10.1186/s13054-015-1002-x","ISSN":"1466609X","abstract":"Introduction: Glutamine (GLN) has been suggested to have a beneficial influence on outcomes of critically ill patients. However, recent large-scale trials have suggested harm associated with GLN supplementation. Recently, systematic reviews on the use of parenteral GLN have been published; however, less information is available on the role of enteral GLN. Therefore, the aim of this systematic review was to study the effects of enteral GLN supplementation in patients with critical illness. Methods: We identified randomized controlled trials conducted from 1980 to 2014 with enterally administered GLN in adult critically ill patients. Studies of parenteral GLN only or combined enteral-parenteral GLN were excluded. The methodological quality of studies was scored, and trial data were statistically combined. We examined a priori the treatment effects in subgroups of trials of burn and trauma patients. Results: A total of 11 studies involving 1079 adult critically ill patients and enteral GLN supplementation were identified. Enteral GLN supplementation was not associated with a reduction of hospital mortality (risk ratio [RR] 0.94, 95 % confidence interval [CI] 0.65-1.36; p =0.74), infectious complications (RR 0.93, 95 % CI 0.79-1.10; p =0.39) or stay in the intensive care unit (weighted mean difference [WMD] -1.36 days, 95 % CI -5.51 to 2.78; p =0.52). However, there was a significant reduction in hospital stay (WMD 4.73 days, 95 % CI -8.53 to -0.90; p =0.02). In the subset of studies of patients with burns, enteral GLN supplementation was associated with significant reductions in hospital mortality (RR 0.19, 95 % 0.06-0.67; p =0.010) and hospital stay (WMD -9.16, 95 % CI -15.06 to -3.26; p =0.002). There was no effect in trauma patients. Conclusions: Enteral GLN supplementation does not confer significant clinical benefit in critically ill patients, with the exception of reduced hospital stay. There may be a significant benefit in patients with burns, but data are sparse and larger randomized trials are warranted to confirm this effect.","author":[{"dropping-particle":"","family":"Zanten","given":"Arthur R.H.","non-dropping-particle":"van","parse-names":false,"suffix":""},{"dropping-particle":"","family":"Dhaliwal","given":"Rupinder","non-dropping-particle":"","parse-names":false,"suffix":""},{"dropping-particle":"","family":"Garrel","given":"Dominique","non-dropping-particle":"","parse-names":false,"suffix":""},{"dropping-particle":"","family":"Heyland","given":"Daren K.","non-dropping-particle":"","parse-names":false,"suffix":""}],"container-title":"Critical Care","id":"ITEM-1","issue":"1","issued":{"date-parts":[["2015"]]},"publisher":"Critical Care","title":"Enteral glutamine supplementation in critically ill patients: A systematic review and meta-analysis","type":"article-journal","volume":"19"},"uris":["http://www.mendeley.com/documents/?uuid=88bf9ecd-e3e1-4fce-983c-f9cf84f024d6","http://www.mendeley.com/documents/?uuid=aefe5371-9b74-446c-8a50-e06c07c7e634"]}],"mendeley":{"formattedCitation":"(van Zanten et al. 2015)","manualFormatting":"; Van Zanten et al., 2015","plainTextFormattedCitation":"(van Zanten et al. 2015)","previouslyFormattedCitation":"(van Zanten et al. 2015)"},"properties":{"noteIndex":0},"schema":"https://github.com/citation-style-language/schema/raw/master/csl-citation.json"}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 Van Zanten et al., 2015</w:t>
      </w:r>
      <w:r w:rsidRPr="00E47F58">
        <w:rPr>
          <w:rFonts w:ascii="Arial" w:hAnsi="Arial" w:cs="Arial"/>
          <w:sz w:val="20"/>
          <w:szCs w:val="20"/>
        </w:rPr>
        <w:fldChar w:fldCharType="end"/>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F345E2" w:rsidRPr="00E47F58">
        <w:rPr>
          <w:rFonts w:ascii="Arial" w:hAnsi="Arial" w:cs="Arial"/>
          <w:bCs/>
          <w:sz w:val="20"/>
          <w:szCs w:val="20"/>
          <w:lang w:val="en-GB"/>
        </w:rPr>
        <w:instrText>ADDIN CSL_CITATION {"citationItems":[{"id":"ITEM-1","itemData":{"author":[{"dropping-particle":"","family":"Bettina","given":"Mittendorfer","non-dropping-particle":"","parse-names":false,"suffix":""},{"dropping-particle":"","family":"Dennis","given":"C. Gore","non-dropping-particle":"","parse-names":false,"suffix":""},{"dropping-particle":"","family":"Herndon","given":"David N.","non-dropping-particle":"","parse-names":false,"suffix":""},{"dropping-particle":"","family":"Wolfe","given":"Robert R.","non-dropping-particle":"","parse-names":false,"suffix":""}],"container-title":"Journal of Parenteral and Enteral Nutrition","id":"ITEM-1","issue":"5","issued":{"date-parts":[["1999"]]},"page":"243-252","title":"Accelerated Glutamine Synthesis in Critically [I] Patients Cannot Maintain Normal Intramuscular Free Glutamine Concentration","type":"article-journal","volume":"23"},"uris":["http://www.mendeley.com/documents/?uuid=12ebcf0c-cc34-41df-aae7-46da675ef040","http://www.mendeley.com/documents/?uuid=fef96aee-c199-44c4-a4c6-43dc4eb5ed77"]}],"mendeley":{"formattedCitation":"(Bettina et al. 1999)","manualFormatting":"Bettina et al., 1999","plainTextFormattedCitation":"(Bettina et al. 1999)","previouslyFormattedCitation":"(Bettina et al. 1999)"},"properties":{"noteIndex":0},"schema":"https://github.com/citation-style-language/schema/raw/master/csl-citation.json"}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Bettina et al., 1999</w:t>
      </w:r>
      <w:r w:rsidRPr="00E47F58">
        <w:rPr>
          <w:rFonts w:ascii="Arial" w:hAnsi="Arial" w:cs="Arial"/>
          <w:sz w:val="20"/>
          <w:szCs w:val="20"/>
        </w:rPr>
        <w:fldChar w:fldCharType="end"/>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F345E2" w:rsidRPr="00E47F58">
        <w:rPr>
          <w:rFonts w:ascii="Arial" w:hAnsi="Arial" w:cs="Arial"/>
          <w:bCs/>
          <w:sz w:val="20"/>
          <w:szCs w:val="20"/>
          <w:lang w:val="en-GB"/>
        </w:rPr>
        <w:instrText>ADDIN CSL_CITATION {"citationItems":[{"id":"ITEM-1","itemData":{"ISSN":"18991505","abstract":"Ariboflavinosis, that is, vitamin B2 deficiency, is a common problem affecting the populations of both developing and affluent countries. Teenagers, elderly people, pregnant women, and alcohol abusers represent groups that are particularly susceptible to this condition. This study was aimed to determine the effect of different riboflavin concentrations (deficiency and supplementation) on macrophages response induced by bacteria or yeast-derived factors i.e. lipopolysaccharide (LPS) and zymosan, respectively. Mouse macrophage RAW 264.7 cells were cultured for 5 days in a medium with a riboflavin concentration corresponding to moderate riboflavin deficiency (3.1 nM), physiological state (10.4 nM), or vitamin pill supplementation (300 nM). On the third or fourth day of deprivation, the medium in some groups was supplemented with riboflavin (300 nM). Macrophages activation were assessed after LPS or zymosan stimulation. Short-term (5 days) riboflavin deprivation resulted in the pathological macrophages activation, manifested especially in a reduction of cell viability and excess release of tumor necrosis factor-α (TNF-α) and high-mobility group box 1 (HMGB1) protein. Moreover, the levels of inducible nitric oxide synthase (iNOS), nitric oxide (NO), heat shock protein (Hsp72), interleukin 1β (IL-1β), monocyte chemoattractant protein-1 (MCP-1), and interleukin 10 (IL-10) decreased after riboflavin deprivation, but medium enrichment with riboflavin (300 nM) on the third or fourth day reversed this effect. In the riboflavin-supplemented group, LPS-stimulated macrophages showed lower mortality accompanied by higher Hsp72 expression, reduction of Toll-like receptor 4 (TLR4) and TNF-α, and elevation of NO, IL-6, and IL-10. Moreover, the TLR6, NO, iNOS, IL-1β, MCP-1, and the keratinocyte chemoattractant (KC) levels significantly decreased in the zymosan-stimulated groups maintained in riboflavin-enriched medium. We conclude that short-term riboflavin deficiency significantly impairs the ability of macrophages to induce proper immune response, while riboflavin enrichment decreases the proinflammatory activation of macrophages.","author":[{"dropping-particle":"","family":"Mazur-Bialy","given":"Agnieszka I.","non-dropping-particle":"","parse-names":false,"suffix":""},{"dropping-particle":"","family":"Pochec","given":"E.","non-dropping-particle":"","parse-names":false,"suffix":""},{"dropping-particle":"","family":"Plytycz","given":"B.","non-dropping-particle":"","parse-names":false,"suffix":""}],"container-title":"Journal of Physiology and Pharmacology","id":"ITEM-1","issue":"6","issued":{"date-parts":[["2015"]]},"page":"793-802","title":"Immunomodulatory effect of riboflavin deficiency and enrichment - Reversible pathological response versus silencing of inflammatory activation","type":"article-journal","volume":"66"},"uris":["http://www.mendeley.com/documents/?uuid=52e693d3-ae73-4303-9004-372a1f9034b3","http://www.mendeley.com/documents/?uuid=24053baa-a699-4697-97c7-93b9f1bd4e78"]}],"mendeley":{"formattedCitation":"(Mazur-Bialy, Pochec, and Plytycz 2015)","manualFormatting":"Mazur-Bialy et al., 2015","plainTextFormattedCitation":"(Mazur-Bialy, Pochec, and Plytycz 2015)","previouslyFormattedCitation":"(Mazur-Bialy, Pochec, and Plytycz 2015)"},"properties":{"noteIndex":0},"schema":"https://github.com/citation-style-language/schema/raw/master/csl-citation.json"}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Mazur-Bialy et al., 2015</w:t>
      </w:r>
      <w:r w:rsidRPr="00E47F58">
        <w:rPr>
          <w:rFonts w:ascii="Arial" w:hAnsi="Arial" w:cs="Arial"/>
          <w:sz w:val="20"/>
          <w:szCs w:val="20"/>
        </w:rPr>
        <w:fldChar w:fldCharType="end"/>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F345E2" w:rsidRPr="00E47F58">
        <w:rPr>
          <w:rFonts w:ascii="Arial" w:hAnsi="Arial" w:cs="Arial"/>
          <w:bCs/>
          <w:sz w:val="20"/>
          <w:szCs w:val="20"/>
          <w:lang w:val="en-GB"/>
        </w:rPr>
        <w:instrText>ADDIN CSL_CITATION {"citationItems":[{"id":"ITEM-1","itemData":{"DOI":"10.1155/2018/9524075","ISSN":"14661861","abstract":"Inflammatory mediators, including cytokines, histamine, bradykinin, prostaglandins, and leukotrienes, impact the immune system, usually as proinflammatory factors. Other mediators act as regulatory components to establish homeostasis after injury or prevent the inflammatory process. Histamine, a biogenic vasoactive amine, causes symptoms such as allergies and has a pleiotropic effect that is dependent on its interaction with its four histamine receptors. In this review, we discuss the dualistic effects of histamine: how histamine affects inflammation of the immune system through the activation of intracellular pathways that induce the production of inflammatory mediators and cytokines in different immune cells and how histamine exerts regulatory functions in innate and adaptive immune responses. We also evaluate the interactions between these effects.","author":[{"dropping-particle":"","family":"Branco","given":"Anna Cláudia Calvielli Castelo","non-dropping-particle":"","parse-names":false,"suffix":""},{"dropping-particle":"","family":"Yoshikawa","given":"Fábio Seiti Yamada","non-dropping-particle":"","parse-names":false,"suffix":""},{"dropping-particle":"","family":"Pietrobon","given":"Anna Julia","non-dropping-particle":"","parse-names":false,"suffix":""},{"dropping-particle":"","family":"Sato","given":"Maria Notomi","non-dropping-particle":"","parse-names":false,"suffix":""}],"container-title":"Mediators of Inflammation","id":"ITEM-1","issued":{"date-parts":[["2018"]]},"title":"Role of Histamine in Modulating the Immune Response and Inflammation","type":"article-journal","volume":"2018"},"uris":["http://www.mendeley.com/documents/?uuid=171a47b0-16b3-401b-b807-6cb190f0692e","http://www.mendeley.com/documents/?uuid=a200c4e5-a6b7-4370-b6e4-8051e8318ae7"]}],"mendeley":{"formattedCitation":"(Branco et al. 2018)","manualFormatting":"Branco et al., 2018","plainTextFormattedCitation":"(Branco et al. 2018)","previouslyFormattedCitation":"(Branco et al. 2018)"},"properties":{"noteIndex":0},"schema":"https://github.com/citation-style-language/schema/raw/master/csl-citation.json"}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Branco et al., 2018</w:t>
      </w:r>
      <w:r w:rsidRPr="00E47F58">
        <w:rPr>
          <w:rFonts w:ascii="Arial" w:hAnsi="Arial" w:cs="Arial"/>
          <w:sz w:val="20"/>
          <w:szCs w:val="20"/>
        </w:rPr>
        <w:fldChar w:fldCharType="end"/>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F345E2" w:rsidRPr="00E47F58">
        <w:rPr>
          <w:rFonts w:ascii="Arial" w:hAnsi="Arial" w:cs="Arial"/>
          <w:bCs/>
          <w:sz w:val="20"/>
          <w:szCs w:val="20"/>
          <w:lang w:val="en-GB"/>
        </w:rPr>
        <w:instrText>ADDIN CSL_CITATION {"citationItems":[{"id":"ITEM-1","itemData":{"DOI":"10.1016/j.jaci.2011.07.026","ISSN":"00916749","author":[{"dropping-particle":"","family":"Owens","given":"Gregory","non-dropping-particle":"","parse-names":false,"suffix":""},{"dropping-particle":"","family":"Rao","given":"Chitra","non-dropping-particle":"","parse-names":false,"suffix":""},{"dropping-particle":"","family":"Traister","given":"Russell","non-dropping-particle":"","parse-names":false,"suffix":""}],"container-title":"Journal of Allergy and Clinical Immunology","id":"ITEM-1","issue":"6","issued":{"date-parts":[["2011"]]},"page":"1163-1164","title":"Regulation of the immune response and inflammation by histamine and histamine receptors","type":"article-journal","volume":"128"},"uris":["http://www.mendeley.com/documents/?uuid=b310ed60-ca1f-4e39-ac65-ac5ea4b7151d","http://www.mendeley.com/documents/?uuid=1c641057-cb2e-4944-9861-c846872cd230"]}],"mendeley":{"formattedCitation":"(Owens, Rao, and Traister 2011)","manualFormatting":"Owens et al., 2011","plainTextFormattedCitation":"(Owens, Rao, and Traister 2011)","previouslyFormattedCitation":"(Owens, Rao, and Traister 2011)"},"properties":{"noteIndex":0},"schema":"https://github.com/citation-style-language/schema/raw/master/csl-citation.json"}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Owens et al., 2011</w:t>
      </w:r>
      <w:r w:rsidRPr="00E47F58">
        <w:rPr>
          <w:rFonts w:ascii="Arial" w:hAnsi="Arial" w:cs="Arial"/>
          <w:sz w:val="20"/>
          <w:szCs w:val="20"/>
        </w:rPr>
        <w:fldChar w:fldCharType="end"/>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F345E2" w:rsidRPr="00E47F58">
        <w:rPr>
          <w:rFonts w:ascii="Arial" w:hAnsi="Arial" w:cs="Arial"/>
          <w:bCs/>
          <w:sz w:val="20"/>
          <w:szCs w:val="20"/>
          <w:lang w:val="en-GB"/>
        </w:rPr>
        <w:instrText>ADDIN CSL_CITATION {"citationItems":[{"id":"ITEM-1","itemData":{"DOI":"10.1016/j.cmet.2018.03.019","ISSN":"19327420","abstract":"To fight infections, macrophages undergo a metabolic shift whereby increased glycolysis fuels antimicrobial inflammation and killing of pathogens. Here we demonstrate that the pathogen Candida albicans turns this metabolic reprogramming into an Achilles' heel for macrophages. During Candida-macrophage interactions intertwined metabolic shifts occur, with concomitant upregulation of glycolysis in both host and pathogen setting up glucose competition. Candida thrives on multiple carbon sources, but infected macrophages are metabolically trapped in glycolysis and depend on glucose for viability: Candida exploits this limitation by depleting glucose, triggering rapid macrophage death. Using pharmacological or genetic means to modulate glucose metabolism of host and/or pathogen, we show that Candida infection perturbs host glucose homeostasis in the murine candidemia model and demonstrate that glucose supplementation improves host outcomes. Our results support the importance of maintaining glucose homeostasis for immune cell survival during Candida challenge and for host survival in systemic infection. Glucose is essential for innate immune cells to mount effective anti-fungal responses. Tucey et al. show that, for infected macrophages, dependence on glucose becomes their downfall: the human fungal pathogen Candida albicans rapidly consumes glucose, causing macrophages to die. In mice, maintaining host glucose homeostasis is important to prevent life-threatening fungal infection.","author":[{"dropping-particle":"","family":"Tucey","given":"Timothy M.","non-dropping-particle":"","parse-names":false,"suffix":""},{"dropping-particle":"","family":"Verma","given":"Jiyoti","non-dropping-particle":"","parse-names":false,"suffix":""},{"dropping-particle":"","family":"Harrison","given":"Paul F.","non-dropping-particle":"","parse-names":false,"suffix":""},{"dropping-particle":"","family":"Snelgrove","given":"Sarah L.","non-dropping-particle":"","parse-names":false,"suffix":""},{"dropping-particle":"","family":"Lo","given":"Tricia L.","non-dropping-particle":"","parse-names":false,"suffix":""},{"dropping-particle":"","family":"Scherer","given":"Allison K.","non-dropping-particle":"","parse-names":false,"suffix":""},{"dropping-particle":"","family":"Barugahare","given":"Adele A.","non-dropping-particle":"","parse-names":false,"suffix":""},{"dropping-particle":"","family":"Powell","given":"David R.","non-dropping-particle":"","parse-names":false,"suffix":""},{"dropping-particle":"","family":"Wheeler","given":"Robert T.","non-dropping-particle":"","parse-names":false,"suffix":""},{"dropping-particle":"","family":"Hickey","given":"Michael J.","non-dropping-particle":"","parse-names":false,"suffix":""},{"dropping-particle":"","family":"Beilharz","given":"Traude H.","non-dropping-particle":"","parse-names":false,"suffix":""},{"dropping-particle":"","family":"Naderer","given":"Thomas","non-dropping-particle":"","parse-names":false,"suffix":""},{"dropping-particle":"","family":"Traven","given":"Ana","non-dropping-particle":"","parse-names":false,"suffix":""}],"container-title":"Cell Metabolism","id":"ITEM-1","issue":"5","issued":{"date-parts":[["2018"]]},"page":"988-1006.e7","publisher":"Elsevier Inc.","title":"Glucose Homeostasis Is Important for Immune Cell Viability during Candida Challenge and Host Survival of Systemic Fungal Infection","type":"article-journal","volume":"27"},"uris":["http://www.mendeley.com/documents/?uuid=c88ecb21-d5fd-4a9c-8d79-784b1a5bba27","http://www.mendeley.com/documents/?uuid=005ffb75-30b7-4a1e-b07e-83c60d7ca01b"]}],"mendeley":{"formattedCitation":"(Tucey et al. 2018)","manualFormatting":"Tucey et al., 2018)","plainTextFormattedCitation":"(Tucey et al. 2018)","previouslyFormattedCitation":"(Tucey et al. 2018)"},"properties":{"noteIndex":0},"schema":"https://github.com/citation-style-language/schema/raw/master/csl-citation.json"}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Tucey et al., 2018)</w:t>
      </w:r>
      <w:r w:rsidRPr="00E47F58">
        <w:rPr>
          <w:rFonts w:ascii="Arial" w:hAnsi="Arial" w:cs="Arial"/>
          <w:sz w:val="20"/>
          <w:szCs w:val="20"/>
        </w:rPr>
        <w:fldChar w:fldCharType="end"/>
      </w:r>
      <w:r w:rsidRPr="00E47F58">
        <w:rPr>
          <w:rFonts w:ascii="Arial" w:hAnsi="Arial" w:cs="Arial"/>
          <w:bCs/>
          <w:sz w:val="20"/>
          <w:szCs w:val="20"/>
          <w:lang w:val="en-GB"/>
        </w:rPr>
        <w:t>.</w:t>
      </w:r>
    </w:p>
    <w:p w14:paraId="3D1AE262" w14:textId="77777777" w:rsidR="00EB6AE8" w:rsidRPr="00E47F58" w:rsidRDefault="00982E49" w:rsidP="00101146">
      <w:pPr>
        <w:pStyle w:val="Heading2"/>
      </w:pPr>
      <w:bookmarkStart w:id="24" w:name="_Toc49955755"/>
      <w:bookmarkStart w:id="25" w:name="_Toc50652446"/>
      <w:r w:rsidRPr="00E47F58">
        <w:t>3.0</w:t>
      </w:r>
      <w:r w:rsidRPr="00E47F58">
        <w:tab/>
      </w:r>
      <w:commentRangeStart w:id="26"/>
      <w:r w:rsidR="00123C53" w:rsidRPr="00E47F58">
        <w:t>RESULTS</w:t>
      </w:r>
      <w:commentRangeEnd w:id="26"/>
      <w:r w:rsidR="008C6887" w:rsidRPr="00E47F58">
        <w:rPr>
          <w:rStyle w:val="CommentReference"/>
          <w:sz w:val="22"/>
          <w:szCs w:val="22"/>
        </w:rPr>
        <w:commentReference w:id="26"/>
      </w:r>
      <w:r w:rsidR="00123C53" w:rsidRPr="00E47F58">
        <w:t xml:space="preserve"> AND DISCUSSION</w:t>
      </w:r>
      <w:bookmarkEnd w:id="24"/>
      <w:bookmarkEnd w:id="25"/>
    </w:p>
    <w:p w14:paraId="4B6BAB02" w14:textId="77777777" w:rsidR="00EB6AE8" w:rsidRPr="00E47F58" w:rsidRDefault="00982E49" w:rsidP="00E47F58">
      <w:pPr>
        <w:pStyle w:val="Heading3"/>
        <w:rPr>
          <w:sz w:val="20"/>
          <w:szCs w:val="20"/>
          <w:vertAlign w:val="subscript"/>
          <w:lang w:val="en-GB"/>
        </w:rPr>
      </w:pPr>
      <w:bookmarkStart w:id="27" w:name="_Toc49955756"/>
      <w:bookmarkStart w:id="28" w:name="_Toc50652447"/>
      <w:r w:rsidRPr="00E47F58">
        <w:rPr>
          <w:sz w:val="20"/>
          <w:szCs w:val="20"/>
          <w:lang w:val="en-GB"/>
        </w:rPr>
        <w:t>3.0.1</w:t>
      </w:r>
      <w:r w:rsidRPr="00E47F58">
        <w:rPr>
          <w:sz w:val="20"/>
          <w:szCs w:val="20"/>
          <w:lang w:val="en-GB"/>
        </w:rPr>
        <w:tab/>
      </w:r>
      <w:r w:rsidR="00EB6AE8" w:rsidRPr="00E47F58">
        <w:rPr>
          <w:sz w:val="20"/>
          <w:szCs w:val="20"/>
          <w:lang w:val="en-GB"/>
        </w:rPr>
        <w:t>LC</w:t>
      </w:r>
      <w:r w:rsidR="00EB6AE8" w:rsidRPr="00E47F58">
        <w:rPr>
          <w:sz w:val="20"/>
          <w:szCs w:val="20"/>
          <w:vertAlign w:val="subscript"/>
          <w:lang w:val="en-GB"/>
        </w:rPr>
        <w:t>50</w:t>
      </w:r>
      <w:bookmarkEnd w:id="27"/>
      <w:bookmarkEnd w:id="28"/>
    </w:p>
    <w:p w14:paraId="7C8C4AA8"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rPr>
        <w:t xml:space="preserve">The symptoms observed with </w:t>
      </w:r>
      <w:r w:rsidRPr="00E47F58">
        <w:rPr>
          <w:rFonts w:ascii="Arial" w:hAnsi="Arial" w:cs="Arial"/>
          <w:i/>
          <w:iCs/>
          <w:sz w:val="20"/>
          <w:szCs w:val="20"/>
        </w:rPr>
        <w:t xml:space="preserve">S. agalactiae </w:t>
      </w:r>
      <w:r w:rsidRPr="00E47F58">
        <w:rPr>
          <w:rFonts w:ascii="Arial" w:hAnsi="Arial" w:cs="Arial"/>
          <w:sz w:val="20"/>
          <w:szCs w:val="20"/>
        </w:rPr>
        <w:t>infected fish include lack of appetite, movement at the bottom of the tank, appearance of whitish mucus on the skin, gills, and eyes (corneal opacity). In addition, many of the affected tilapias were observed to show red discoloration of the internal organs along with acute inf</w:t>
      </w:r>
      <w:r w:rsidR="00851556" w:rsidRPr="00E47F58">
        <w:rPr>
          <w:rFonts w:ascii="Arial" w:hAnsi="Arial" w:cs="Arial"/>
          <w:sz w:val="20"/>
          <w:szCs w:val="20"/>
        </w:rPr>
        <w:t xml:space="preserve">lammations as shown in Figure </w:t>
      </w:r>
      <w:r w:rsidRPr="00E47F58">
        <w:rPr>
          <w:rFonts w:ascii="Arial" w:hAnsi="Arial" w:cs="Arial"/>
          <w:sz w:val="20"/>
          <w:szCs w:val="20"/>
        </w:rPr>
        <w:t>2.</w:t>
      </w:r>
    </w:p>
    <w:p w14:paraId="2D19148E" w14:textId="77777777" w:rsidR="00EB6AE8" w:rsidRPr="00E47F58" w:rsidRDefault="0026604E" w:rsidP="00851556">
      <w:pPr>
        <w:pStyle w:val="single"/>
        <w:spacing w:after="0"/>
        <w:rPr>
          <w:rFonts w:ascii="Arial" w:hAnsi="Arial" w:cs="Arial"/>
          <w:sz w:val="20"/>
          <w:szCs w:val="20"/>
        </w:rPr>
      </w:pPr>
      <w:r w:rsidRPr="00E47F58">
        <w:rPr>
          <w:rFonts w:ascii="Arial" w:hAnsi="Arial" w:cs="Arial"/>
          <w:sz w:val="20"/>
          <w:szCs w:val="20"/>
          <w:lang w:val="en-GB"/>
        </w:rPr>
        <w:t xml:space="preserve">  </w:t>
      </w:r>
      <w:r w:rsidR="00EB6AE8" w:rsidRPr="00E47F58">
        <w:rPr>
          <w:rFonts w:ascii="Arial" w:hAnsi="Arial" w:cs="Arial"/>
          <w:noProof/>
          <w:sz w:val="20"/>
          <w:szCs w:val="20"/>
        </w:rPr>
        <w:drawing>
          <wp:inline distT="0" distB="0" distL="0" distR="0" wp14:anchorId="7A2848AD" wp14:editId="767918DE">
            <wp:extent cx="5029200" cy="204076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8331" cy="2141854"/>
                    </a:xfrm>
                    <a:prstGeom prst="rect">
                      <a:avLst/>
                    </a:prstGeom>
                    <a:noFill/>
                  </pic:spPr>
                </pic:pic>
              </a:graphicData>
            </a:graphic>
          </wp:inline>
        </w:drawing>
      </w:r>
    </w:p>
    <w:p w14:paraId="36365970" w14:textId="77777777" w:rsidR="00EB6AE8" w:rsidRPr="00E47F58" w:rsidRDefault="00EB6AE8" w:rsidP="00EB6AE8">
      <w:pPr>
        <w:pStyle w:val="Caption"/>
        <w:rPr>
          <w:rFonts w:ascii="Arial" w:hAnsi="Arial" w:cs="Arial"/>
          <w:sz w:val="20"/>
          <w:szCs w:val="20"/>
        </w:rPr>
      </w:pPr>
      <w:bookmarkStart w:id="29" w:name="_Toc50653938"/>
      <w:r w:rsidRPr="00E47F58">
        <w:rPr>
          <w:rFonts w:ascii="Arial" w:hAnsi="Arial" w:cs="Arial"/>
          <w:sz w:val="20"/>
          <w:szCs w:val="20"/>
        </w:rPr>
        <w:t xml:space="preserve">Figure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Figure \* ARABIC \s 1 </w:instrText>
      </w:r>
      <w:r w:rsidR="0022766E" w:rsidRPr="00E47F58">
        <w:rPr>
          <w:rFonts w:ascii="Arial" w:hAnsi="Arial" w:cs="Arial"/>
          <w:sz w:val="20"/>
          <w:szCs w:val="20"/>
        </w:rPr>
        <w:fldChar w:fldCharType="separate"/>
      </w:r>
      <w:r w:rsidRPr="00E47F58">
        <w:rPr>
          <w:rFonts w:ascii="Arial" w:hAnsi="Arial" w:cs="Arial"/>
          <w:noProof/>
          <w:sz w:val="20"/>
          <w:szCs w:val="20"/>
        </w:rPr>
        <w:t>2</w:t>
      </w:r>
      <w:r w:rsidR="0022766E" w:rsidRPr="00E47F58">
        <w:rPr>
          <w:rFonts w:ascii="Arial" w:hAnsi="Arial" w:cs="Arial"/>
          <w:noProof/>
          <w:sz w:val="20"/>
          <w:szCs w:val="20"/>
        </w:rPr>
        <w:fldChar w:fldCharType="end"/>
      </w:r>
      <w:r w:rsidRPr="00E47F58">
        <w:rPr>
          <w:rFonts w:ascii="Arial" w:hAnsi="Arial" w:cs="Arial"/>
          <w:sz w:val="20"/>
          <w:szCs w:val="20"/>
        </w:rPr>
        <w:t xml:space="preserve"> : Tilapia infected by </w:t>
      </w:r>
      <w:r w:rsidRPr="00E47F58">
        <w:rPr>
          <w:rFonts w:ascii="Arial" w:hAnsi="Arial" w:cs="Arial"/>
          <w:i/>
          <w:iCs/>
          <w:sz w:val="20"/>
          <w:szCs w:val="20"/>
        </w:rPr>
        <w:t>S. agalactiae</w:t>
      </w:r>
      <w:r w:rsidRPr="00E47F58">
        <w:rPr>
          <w:rFonts w:ascii="Arial" w:hAnsi="Arial" w:cs="Arial"/>
          <w:sz w:val="20"/>
          <w:szCs w:val="20"/>
        </w:rPr>
        <w:t xml:space="preserve"> showing: A; corneal opacity, B; darkening of internal organs and C; swelling of spleen and liver</w:t>
      </w:r>
      <w:bookmarkEnd w:id="29"/>
    </w:p>
    <w:p w14:paraId="5E11ECF6" w14:textId="77777777" w:rsidR="00851556" w:rsidRPr="00E47F58" w:rsidRDefault="00851556" w:rsidP="00851556">
      <w:pPr>
        <w:rPr>
          <w:rFonts w:ascii="Arial" w:hAnsi="Arial" w:cs="Arial"/>
          <w:sz w:val="20"/>
          <w:szCs w:val="20"/>
        </w:rPr>
      </w:pPr>
    </w:p>
    <w:p w14:paraId="70BC79F2" w14:textId="77777777" w:rsidR="00851556" w:rsidRPr="00E47F58" w:rsidRDefault="00851556" w:rsidP="00851556">
      <w:pPr>
        <w:pStyle w:val="single"/>
        <w:rPr>
          <w:rFonts w:ascii="Arial" w:hAnsi="Arial" w:cs="Arial"/>
          <w:sz w:val="20"/>
          <w:szCs w:val="20"/>
          <w:lang w:val="en-GB"/>
        </w:rPr>
      </w:pPr>
      <w:r w:rsidRPr="00E47F58">
        <w:rPr>
          <w:rFonts w:ascii="Arial" w:hAnsi="Arial" w:cs="Arial"/>
          <w:sz w:val="20"/>
          <w:szCs w:val="20"/>
          <w:lang w:val="en-GB"/>
        </w:rPr>
        <w:t xml:space="preserve">The following Figure 3 shows the plot of bacterial concentrations against observed mortality from bacterial challenged test. The linear equation was used to calculate the </w:t>
      </w:r>
      <w:r w:rsidRPr="00E47F58">
        <w:rPr>
          <w:rFonts w:ascii="Arial" w:hAnsi="Arial" w:cs="Arial"/>
          <w:i/>
          <w:iCs/>
          <w:sz w:val="20"/>
          <w:szCs w:val="20"/>
          <w:lang w:val="en-GB"/>
        </w:rPr>
        <w:t>S. agalactiae</w:t>
      </w:r>
      <w:r w:rsidRPr="00E47F58">
        <w:rPr>
          <w:rFonts w:ascii="Arial" w:hAnsi="Arial" w:cs="Arial"/>
          <w:sz w:val="20"/>
          <w:szCs w:val="20"/>
          <w:lang w:val="en-GB"/>
        </w:rPr>
        <w:t xml:space="preserve"> concentration responsible for 50% mortality of the experimental fish from 3 replicates of each concentration, LC</w:t>
      </w:r>
      <w:r w:rsidRPr="00E47F58">
        <w:rPr>
          <w:rFonts w:ascii="Arial" w:hAnsi="Arial" w:cs="Arial"/>
          <w:sz w:val="20"/>
          <w:szCs w:val="20"/>
          <w:vertAlign w:val="subscript"/>
          <w:lang w:val="en-GB"/>
        </w:rPr>
        <w:t>50</w:t>
      </w:r>
      <w:r w:rsidRPr="00E47F58">
        <w:rPr>
          <w:rFonts w:ascii="Arial" w:hAnsi="Arial" w:cs="Arial"/>
          <w:sz w:val="20"/>
          <w:szCs w:val="20"/>
          <w:lang w:val="en-GB"/>
        </w:rPr>
        <w:t>. The calculated LC</w:t>
      </w:r>
      <w:r w:rsidRPr="00E47F58">
        <w:rPr>
          <w:rFonts w:ascii="Arial" w:hAnsi="Arial" w:cs="Arial"/>
          <w:sz w:val="20"/>
          <w:szCs w:val="20"/>
          <w:vertAlign w:val="subscript"/>
          <w:lang w:val="en-GB"/>
        </w:rPr>
        <w:t xml:space="preserve">50 </w:t>
      </w:r>
      <w:r w:rsidRPr="00E47F58">
        <w:rPr>
          <w:rFonts w:ascii="Arial" w:hAnsi="Arial" w:cs="Arial"/>
          <w:sz w:val="20"/>
          <w:szCs w:val="20"/>
          <w:lang w:val="en-GB"/>
        </w:rPr>
        <w:t>= 9x10</w:t>
      </w:r>
      <w:r w:rsidRPr="00E47F58">
        <w:rPr>
          <w:rFonts w:ascii="Arial" w:hAnsi="Arial" w:cs="Arial"/>
          <w:sz w:val="20"/>
          <w:szCs w:val="20"/>
          <w:vertAlign w:val="superscript"/>
          <w:lang w:val="en-GB"/>
        </w:rPr>
        <w:t xml:space="preserve">7 </w:t>
      </w:r>
      <w:r w:rsidRPr="00E47F58">
        <w:rPr>
          <w:rFonts w:ascii="Arial" w:hAnsi="Arial" w:cs="Arial"/>
          <w:sz w:val="20"/>
          <w:szCs w:val="20"/>
          <w:lang w:val="en-GB"/>
        </w:rPr>
        <w:t>CFU/mL.</w:t>
      </w:r>
    </w:p>
    <w:p w14:paraId="099F3E4A" w14:textId="77777777" w:rsidR="00EB6AE8" w:rsidRPr="00E47F58" w:rsidRDefault="00EB6AE8" w:rsidP="00851556">
      <w:pPr>
        <w:spacing w:after="0"/>
        <w:jc w:val="center"/>
        <w:rPr>
          <w:rFonts w:ascii="Arial" w:hAnsi="Arial" w:cs="Arial"/>
          <w:color w:val="000000" w:themeColor="text1"/>
          <w:sz w:val="20"/>
          <w:szCs w:val="20"/>
        </w:rPr>
      </w:pPr>
      <w:r w:rsidRPr="00E47F58">
        <w:rPr>
          <w:rFonts w:ascii="Arial" w:hAnsi="Arial" w:cs="Arial"/>
          <w:noProof/>
          <w:color w:val="000000" w:themeColor="text1"/>
          <w:sz w:val="20"/>
          <w:szCs w:val="20"/>
        </w:rPr>
        <w:lastRenderedPageBreak/>
        <w:drawing>
          <wp:inline distT="0" distB="0" distL="0" distR="0" wp14:anchorId="1EBBFEF3" wp14:editId="2D308553">
            <wp:extent cx="4722495" cy="2572453"/>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6672" cy="2574728"/>
                    </a:xfrm>
                    <a:prstGeom prst="rect">
                      <a:avLst/>
                    </a:prstGeom>
                    <a:noFill/>
                  </pic:spPr>
                </pic:pic>
              </a:graphicData>
            </a:graphic>
          </wp:inline>
        </w:drawing>
      </w:r>
    </w:p>
    <w:p w14:paraId="3D255CA6" w14:textId="77777777" w:rsidR="00EB6AE8" w:rsidRPr="00E47F58" w:rsidRDefault="00EB6AE8" w:rsidP="00EB6AE8">
      <w:pPr>
        <w:pStyle w:val="Caption"/>
        <w:rPr>
          <w:rFonts w:ascii="Arial" w:hAnsi="Arial" w:cs="Arial"/>
          <w:sz w:val="20"/>
          <w:szCs w:val="20"/>
          <w:lang w:val="en-GB"/>
        </w:rPr>
      </w:pPr>
      <w:bookmarkStart w:id="30" w:name="_Toc50653939"/>
      <w:r w:rsidRPr="00E47F58">
        <w:rPr>
          <w:rFonts w:ascii="Arial" w:hAnsi="Arial" w:cs="Arial"/>
          <w:sz w:val="20"/>
          <w:szCs w:val="20"/>
        </w:rPr>
        <w:t>Figure</w:t>
      </w:r>
      <w:r w:rsidR="0026604E"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Figure \* ARABIC \s 1 </w:instrText>
      </w:r>
      <w:r w:rsidR="0022766E" w:rsidRPr="00E47F58">
        <w:rPr>
          <w:rFonts w:ascii="Arial" w:hAnsi="Arial" w:cs="Arial"/>
          <w:sz w:val="20"/>
          <w:szCs w:val="20"/>
        </w:rPr>
        <w:fldChar w:fldCharType="separate"/>
      </w:r>
      <w:r w:rsidRPr="00E47F58">
        <w:rPr>
          <w:rFonts w:ascii="Arial" w:hAnsi="Arial" w:cs="Arial"/>
          <w:noProof/>
          <w:sz w:val="20"/>
          <w:szCs w:val="20"/>
        </w:rPr>
        <w:t>3</w:t>
      </w:r>
      <w:r w:rsidR="0022766E" w:rsidRPr="00E47F58">
        <w:rPr>
          <w:rFonts w:ascii="Arial" w:hAnsi="Arial" w:cs="Arial"/>
          <w:noProof/>
          <w:sz w:val="20"/>
          <w:szCs w:val="20"/>
        </w:rPr>
        <w:fldChar w:fldCharType="end"/>
      </w:r>
      <w:r w:rsidRPr="00E47F58">
        <w:rPr>
          <w:rFonts w:ascii="Arial" w:hAnsi="Arial" w:cs="Arial"/>
          <w:sz w:val="20"/>
          <w:szCs w:val="20"/>
        </w:rPr>
        <w:t xml:space="preserve"> : Plot of bacterial concentration and mortality for determination of </w:t>
      </w:r>
      <w:r w:rsidRPr="00E47F58">
        <w:rPr>
          <w:rFonts w:ascii="Arial" w:hAnsi="Arial" w:cs="Arial"/>
          <w:sz w:val="20"/>
          <w:szCs w:val="20"/>
          <w:lang w:val="en-GB"/>
        </w:rPr>
        <w:t>LC</w:t>
      </w:r>
      <w:r w:rsidRPr="00E47F58">
        <w:rPr>
          <w:rFonts w:ascii="Arial" w:hAnsi="Arial" w:cs="Arial"/>
          <w:sz w:val="20"/>
          <w:szCs w:val="20"/>
          <w:vertAlign w:val="subscript"/>
          <w:lang w:val="en-GB"/>
        </w:rPr>
        <w:t>50</w:t>
      </w:r>
      <w:bookmarkEnd w:id="30"/>
    </w:p>
    <w:p w14:paraId="5D6015E2" w14:textId="77777777" w:rsidR="00EB6AE8" w:rsidRPr="00E47F58" w:rsidRDefault="00EB6AE8" w:rsidP="00EB6AE8">
      <w:pPr>
        <w:pStyle w:val="j"/>
        <w:rPr>
          <w:rFonts w:ascii="Arial" w:hAnsi="Arial" w:cs="Arial"/>
          <w:sz w:val="20"/>
          <w:szCs w:val="20"/>
          <w:lang w:val="en-GB"/>
        </w:rPr>
      </w:pPr>
    </w:p>
    <w:p w14:paraId="4A34672D" w14:textId="77777777" w:rsidR="00EB6AE8" w:rsidRPr="00E47F58" w:rsidRDefault="00EB6AE8" w:rsidP="00EB6AE8">
      <w:pPr>
        <w:pStyle w:val="j"/>
        <w:rPr>
          <w:rFonts w:ascii="Arial" w:hAnsi="Arial" w:cs="Arial"/>
          <w:sz w:val="20"/>
          <w:szCs w:val="20"/>
          <w:lang w:val="en-SG"/>
        </w:rPr>
      </w:pPr>
    </w:p>
    <w:p w14:paraId="57670EA6" w14:textId="77777777" w:rsidR="00EB6AE8" w:rsidRPr="00E47F58" w:rsidRDefault="00982E49" w:rsidP="00E47F58">
      <w:pPr>
        <w:pStyle w:val="Heading3"/>
        <w:rPr>
          <w:sz w:val="20"/>
          <w:szCs w:val="20"/>
          <w:lang w:val="en-GB"/>
        </w:rPr>
      </w:pPr>
      <w:bookmarkStart w:id="31" w:name="_Toc49955757"/>
      <w:bookmarkStart w:id="32" w:name="_Toc50652448"/>
      <w:r w:rsidRPr="00E47F58">
        <w:rPr>
          <w:sz w:val="20"/>
          <w:szCs w:val="20"/>
          <w:lang w:val="en-GB"/>
        </w:rPr>
        <w:t>3.0.2</w:t>
      </w:r>
      <w:r w:rsidRPr="00E47F58">
        <w:rPr>
          <w:sz w:val="20"/>
          <w:szCs w:val="20"/>
          <w:lang w:val="en-GB"/>
        </w:rPr>
        <w:tab/>
      </w:r>
      <w:r w:rsidR="00EB6AE8" w:rsidRPr="00E47F58">
        <w:rPr>
          <w:sz w:val="20"/>
          <w:szCs w:val="20"/>
          <w:lang w:val="en-GB"/>
        </w:rPr>
        <w:t>Bacterial challenge mortality and survival rate</w:t>
      </w:r>
      <w:bookmarkEnd w:id="31"/>
      <w:bookmarkEnd w:id="32"/>
    </w:p>
    <w:p w14:paraId="27A9E653"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t xml:space="preserve">The mortality results after 7 days of bacteria challenge test with </w:t>
      </w:r>
      <w:r w:rsidRPr="00E47F58">
        <w:rPr>
          <w:rFonts w:ascii="Arial" w:hAnsi="Arial" w:cs="Arial"/>
          <w:i/>
          <w:iCs/>
          <w:sz w:val="20"/>
          <w:szCs w:val="20"/>
          <w:lang w:val="en-GB"/>
        </w:rPr>
        <w:t xml:space="preserve">S. agalactiae </w:t>
      </w:r>
      <w:r w:rsidRPr="00E47F58">
        <w:rPr>
          <w:rFonts w:ascii="Arial" w:hAnsi="Arial" w:cs="Arial"/>
          <w:sz w:val="20"/>
          <w:szCs w:val="20"/>
          <w:lang w:val="en-GB"/>
        </w:rPr>
        <w:t>concentration of 1x10</w:t>
      </w:r>
      <w:r w:rsidRPr="00E47F58">
        <w:rPr>
          <w:rFonts w:ascii="Arial" w:hAnsi="Arial" w:cs="Arial"/>
          <w:sz w:val="20"/>
          <w:szCs w:val="20"/>
          <w:vertAlign w:val="superscript"/>
          <w:lang w:val="en-GB"/>
        </w:rPr>
        <w:t>8</w:t>
      </w:r>
      <w:r w:rsidRPr="00E47F58">
        <w:rPr>
          <w:rFonts w:ascii="Arial" w:hAnsi="Arial" w:cs="Arial"/>
          <w:sz w:val="20"/>
          <w:szCs w:val="20"/>
          <w:lang w:val="en-GB"/>
        </w:rPr>
        <w:t xml:space="preserve"> CFU/mL (&gt; LC</w:t>
      </w:r>
      <w:r w:rsidRPr="00E47F58">
        <w:rPr>
          <w:rFonts w:ascii="Arial" w:hAnsi="Arial" w:cs="Arial"/>
          <w:sz w:val="20"/>
          <w:szCs w:val="20"/>
          <w:vertAlign w:val="subscript"/>
          <w:lang w:val="en-GB"/>
        </w:rPr>
        <w:t>50</w:t>
      </w:r>
      <w:r w:rsidRPr="00E47F58">
        <w:rPr>
          <w:rFonts w:ascii="Arial" w:hAnsi="Arial" w:cs="Arial"/>
          <w:sz w:val="20"/>
          <w:szCs w:val="20"/>
          <w:lang w:val="en-GB"/>
        </w:rPr>
        <w:t xml:space="preserve">) via immersion method from 3 replicates of each fish </w:t>
      </w:r>
      <w:r w:rsidR="0026604E" w:rsidRPr="00E47F58">
        <w:rPr>
          <w:rFonts w:ascii="Arial" w:hAnsi="Arial" w:cs="Arial"/>
          <w:sz w:val="20"/>
          <w:szCs w:val="20"/>
          <w:lang w:val="en-GB"/>
        </w:rPr>
        <w:t xml:space="preserve">group was summarized in Table </w:t>
      </w:r>
      <w:r w:rsidRPr="00E47F58">
        <w:rPr>
          <w:rFonts w:ascii="Arial" w:hAnsi="Arial" w:cs="Arial"/>
          <w:sz w:val="20"/>
          <w:szCs w:val="20"/>
          <w:lang w:val="en-GB"/>
        </w:rPr>
        <w:t>1.</w:t>
      </w:r>
    </w:p>
    <w:p w14:paraId="3BF5C6D5" w14:textId="77777777" w:rsidR="00EB6AE8" w:rsidRPr="00E47F58" w:rsidRDefault="00EB6AE8" w:rsidP="00EB6AE8">
      <w:pPr>
        <w:pStyle w:val="Caption"/>
        <w:keepNext/>
        <w:rPr>
          <w:rFonts w:ascii="Arial" w:hAnsi="Arial" w:cs="Arial"/>
          <w:sz w:val="20"/>
          <w:szCs w:val="20"/>
        </w:rPr>
      </w:pPr>
      <w:bookmarkStart w:id="33" w:name="_Toc50652950"/>
      <w:r w:rsidRPr="00E47F58">
        <w:rPr>
          <w:rFonts w:ascii="Arial" w:hAnsi="Arial" w:cs="Arial"/>
          <w:sz w:val="20"/>
          <w:szCs w:val="20"/>
        </w:rPr>
        <w:t>Table</w:t>
      </w:r>
      <w:r w:rsidR="006E116E"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Table \* ARABIC \s 1 </w:instrText>
      </w:r>
      <w:r w:rsidR="0022766E" w:rsidRPr="00E47F58">
        <w:rPr>
          <w:rFonts w:ascii="Arial" w:hAnsi="Arial" w:cs="Arial"/>
          <w:sz w:val="20"/>
          <w:szCs w:val="20"/>
        </w:rPr>
        <w:fldChar w:fldCharType="separate"/>
      </w:r>
      <w:r w:rsidRPr="00E47F58">
        <w:rPr>
          <w:rFonts w:ascii="Arial" w:hAnsi="Arial" w:cs="Arial"/>
          <w:noProof/>
          <w:sz w:val="20"/>
          <w:szCs w:val="20"/>
        </w:rPr>
        <w:t>1</w:t>
      </w:r>
      <w:r w:rsidR="0022766E" w:rsidRPr="00E47F58">
        <w:rPr>
          <w:rFonts w:ascii="Arial" w:hAnsi="Arial" w:cs="Arial"/>
          <w:noProof/>
          <w:sz w:val="20"/>
          <w:szCs w:val="20"/>
        </w:rPr>
        <w:fldChar w:fldCharType="end"/>
      </w:r>
      <w:r w:rsidR="006E116E" w:rsidRPr="00E47F58">
        <w:rPr>
          <w:rFonts w:ascii="Arial" w:hAnsi="Arial" w:cs="Arial"/>
          <w:sz w:val="20"/>
          <w:szCs w:val="20"/>
        </w:rPr>
        <w:t xml:space="preserve"> : P</w:t>
      </w:r>
      <w:r w:rsidRPr="00E47F58">
        <w:rPr>
          <w:rFonts w:ascii="Arial" w:hAnsi="Arial" w:cs="Arial"/>
          <w:sz w:val="20"/>
          <w:szCs w:val="20"/>
        </w:rPr>
        <w:t>ercentage mortality from bacterial challenge test</w:t>
      </w:r>
      <w:bookmarkEnd w:id="33"/>
    </w:p>
    <w:p w14:paraId="5ED9BA8F" w14:textId="77777777" w:rsidR="00EB6AE8" w:rsidRPr="00E47F58" w:rsidRDefault="00EB6AE8" w:rsidP="00EB6AE8">
      <w:pPr>
        <w:pStyle w:val="j"/>
        <w:rPr>
          <w:rFonts w:ascii="Arial" w:hAnsi="Arial" w:cs="Arial"/>
          <w:sz w:val="20"/>
          <w:szCs w:val="20"/>
        </w:rPr>
      </w:pPr>
    </w:p>
    <w:tbl>
      <w:tblPr>
        <w:tblStyle w:val="TableGrid"/>
        <w:tblW w:w="5000" w:type="pct"/>
        <w:jc w:val="center"/>
        <w:tblLook w:val="04A0" w:firstRow="1" w:lastRow="0" w:firstColumn="1" w:lastColumn="0" w:noHBand="0" w:noVBand="1"/>
      </w:tblPr>
      <w:tblGrid>
        <w:gridCol w:w="3117"/>
        <w:gridCol w:w="2923"/>
        <w:gridCol w:w="3310"/>
      </w:tblGrid>
      <w:tr w:rsidR="00EB6AE8" w:rsidRPr="00E47F58" w14:paraId="73BD9993" w14:textId="77777777" w:rsidTr="0026604E">
        <w:trPr>
          <w:jc w:val="center"/>
        </w:trPr>
        <w:tc>
          <w:tcPr>
            <w:tcW w:w="1667" w:type="pct"/>
          </w:tcPr>
          <w:p w14:paraId="61D6F057"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Fish group</w:t>
            </w:r>
          </w:p>
        </w:tc>
        <w:tc>
          <w:tcPr>
            <w:tcW w:w="1563" w:type="pct"/>
          </w:tcPr>
          <w:p w14:paraId="0DCF2522"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Replicate</w:t>
            </w:r>
          </w:p>
        </w:tc>
        <w:tc>
          <w:tcPr>
            <w:tcW w:w="1770" w:type="pct"/>
          </w:tcPr>
          <w:p w14:paraId="5ED02F90"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Number of dead fish (%)</w:t>
            </w:r>
          </w:p>
        </w:tc>
      </w:tr>
      <w:tr w:rsidR="00EB6AE8" w:rsidRPr="00E47F58" w14:paraId="5BF40768" w14:textId="77777777" w:rsidTr="0026604E">
        <w:trPr>
          <w:jc w:val="center"/>
        </w:trPr>
        <w:tc>
          <w:tcPr>
            <w:tcW w:w="1667" w:type="pct"/>
            <w:vMerge w:val="restart"/>
          </w:tcPr>
          <w:p w14:paraId="4BB99CAE" w14:textId="77777777" w:rsidR="00EB6AE8" w:rsidRPr="00E47F58" w:rsidRDefault="003C2E9F" w:rsidP="003C2E9F">
            <w:pPr>
              <w:spacing w:after="0" w:line="240" w:lineRule="auto"/>
              <w:jc w:val="center"/>
              <w:rPr>
                <w:rFonts w:ascii="Arial" w:hAnsi="Arial" w:cs="Arial"/>
                <w:color w:val="000000" w:themeColor="text1"/>
                <w:lang w:val="en-GB"/>
              </w:rPr>
            </w:pPr>
            <w:bookmarkStart w:id="34" w:name="_Hlk49781982"/>
            <w:r w:rsidRPr="00E47F58">
              <w:rPr>
                <w:rFonts w:ascii="Arial" w:hAnsi="Arial" w:cs="Arial"/>
                <w:color w:val="000000" w:themeColor="text1"/>
                <w:lang w:val="en-GB"/>
              </w:rPr>
              <w:t xml:space="preserve">Control </w:t>
            </w:r>
            <w:r w:rsidR="00EB6AE8" w:rsidRPr="00E47F58">
              <w:rPr>
                <w:rFonts w:ascii="Arial" w:hAnsi="Arial" w:cs="Arial"/>
                <w:color w:val="000000" w:themeColor="text1"/>
                <w:lang w:val="en-GB"/>
              </w:rPr>
              <w:t>Fish</w:t>
            </w:r>
          </w:p>
          <w:p w14:paraId="2ABC97DA"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Challenged</w:t>
            </w:r>
          </w:p>
          <w:p w14:paraId="201A5B77"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(CFC)</w:t>
            </w:r>
          </w:p>
        </w:tc>
        <w:tc>
          <w:tcPr>
            <w:tcW w:w="1563" w:type="pct"/>
          </w:tcPr>
          <w:p w14:paraId="2E33B2D5"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R1 = 10</w:t>
            </w:r>
          </w:p>
        </w:tc>
        <w:tc>
          <w:tcPr>
            <w:tcW w:w="1770" w:type="pct"/>
          </w:tcPr>
          <w:p w14:paraId="10605D9D"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10</w:t>
            </w:r>
          </w:p>
        </w:tc>
      </w:tr>
      <w:tr w:rsidR="00EB6AE8" w:rsidRPr="00E47F58" w14:paraId="3280A0D6" w14:textId="77777777" w:rsidTr="0026604E">
        <w:trPr>
          <w:jc w:val="center"/>
        </w:trPr>
        <w:tc>
          <w:tcPr>
            <w:tcW w:w="1667" w:type="pct"/>
            <w:vMerge/>
          </w:tcPr>
          <w:p w14:paraId="3BCD038A" w14:textId="77777777" w:rsidR="00EB6AE8" w:rsidRPr="00E47F58" w:rsidRDefault="00EB6AE8" w:rsidP="00EB6AE8">
            <w:pPr>
              <w:spacing w:after="0" w:line="240" w:lineRule="auto"/>
              <w:jc w:val="center"/>
              <w:rPr>
                <w:rFonts w:ascii="Arial" w:hAnsi="Arial" w:cs="Arial"/>
                <w:color w:val="000000" w:themeColor="text1"/>
                <w:lang w:val="en-GB"/>
              </w:rPr>
            </w:pPr>
          </w:p>
        </w:tc>
        <w:tc>
          <w:tcPr>
            <w:tcW w:w="1563" w:type="pct"/>
          </w:tcPr>
          <w:p w14:paraId="430D880B"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R2 = 10</w:t>
            </w:r>
          </w:p>
        </w:tc>
        <w:tc>
          <w:tcPr>
            <w:tcW w:w="1770" w:type="pct"/>
          </w:tcPr>
          <w:p w14:paraId="7928EFB3"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10</w:t>
            </w:r>
          </w:p>
        </w:tc>
      </w:tr>
      <w:tr w:rsidR="00EB6AE8" w:rsidRPr="00E47F58" w14:paraId="312D7F81" w14:textId="77777777" w:rsidTr="0026604E">
        <w:trPr>
          <w:jc w:val="center"/>
        </w:trPr>
        <w:tc>
          <w:tcPr>
            <w:tcW w:w="1667" w:type="pct"/>
            <w:vMerge/>
          </w:tcPr>
          <w:p w14:paraId="0BA7007F" w14:textId="77777777" w:rsidR="00EB6AE8" w:rsidRPr="00E47F58" w:rsidRDefault="00EB6AE8" w:rsidP="00EB6AE8">
            <w:pPr>
              <w:spacing w:after="0" w:line="240" w:lineRule="auto"/>
              <w:jc w:val="center"/>
              <w:rPr>
                <w:rFonts w:ascii="Arial" w:hAnsi="Arial" w:cs="Arial"/>
                <w:color w:val="000000" w:themeColor="text1"/>
                <w:lang w:val="en-GB"/>
              </w:rPr>
            </w:pPr>
          </w:p>
        </w:tc>
        <w:tc>
          <w:tcPr>
            <w:tcW w:w="1563" w:type="pct"/>
          </w:tcPr>
          <w:p w14:paraId="20CAB7F1"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R3 = 10</w:t>
            </w:r>
          </w:p>
        </w:tc>
        <w:tc>
          <w:tcPr>
            <w:tcW w:w="1770" w:type="pct"/>
          </w:tcPr>
          <w:p w14:paraId="1BFF6E0C"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6</w:t>
            </w:r>
          </w:p>
        </w:tc>
      </w:tr>
      <w:tr w:rsidR="00EB6AE8" w:rsidRPr="00E47F58" w14:paraId="1DA72303" w14:textId="77777777" w:rsidTr="0026604E">
        <w:trPr>
          <w:jc w:val="center"/>
        </w:trPr>
        <w:tc>
          <w:tcPr>
            <w:tcW w:w="1667" w:type="pct"/>
          </w:tcPr>
          <w:p w14:paraId="398133BB"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i/>
                <w:iCs/>
                <w:color w:val="000000" w:themeColor="text1"/>
                <w:lang w:val="en-GB"/>
              </w:rPr>
              <w:t xml:space="preserve">% </w:t>
            </w:r>
            <w:r w:rsidRPr="00E47F58">
              <w:rPr>
                <w:rFonts w:ascii="Arial" w:hAnsi="Arial" w:cs="Arial"/>
                <w:b/>
                <w:color w:val="000000" w:themeColor="text1"/>
                <w:lang w:val="en-GB"/>
              </w:rPr>
              <w:t>Mortality</w:t>
            </w:r>
          </w:p>
        </w:tc>
        <w:tc>
          <w:tcPr>
            <w:tcW w:w="1563" w:type="pct"/>
          </w:tcPr>
          <w:p w14:paraId="2CAA6BCB"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30</w:t>
            </w:r>
          </w:p>
        </w:tc>
        <w:tc>
          <w:tcPr>
            <w:tcW w:w="1770" w:type="pct"/>
          </w:tcPr>
          <w:p w14:paraId="20F622F0"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86.7%</w:t>
            </w:r>
          </w:p>
        </w:tc>
      </w:tr>
      <w:bookmarkEnd w:id="34"/>
      <w:tr w:rsidR="00EB6AE8" w:rsidRPr="00E47F58" w14:paraId="61129B67" w14:textId="77777777" w:rsidTr="0026604E">
        <w:trPr>
          <w:jc w:val="center"/>
        </w:trPr>
        <w:tc>
          <w:tcPr>
            <w:tcW w:w="1667" w:type="pct"/>
            <w:vMerge w:val="restart"/>
          </w:tcPr>
          <w:p w14:paraId="2FF6EB0E" w14:textId="77777777" w:rsidR="00EB6AE8" w:rsidRPr="00E47F58" w:rsidRDefault="00EB6AE8" w:rsidP="00EB6AE8">
            <w:pPr>
              <w:spacing w:after="0" w:line="240" w:lineRule="auto"/>
              <w:jc w:val="center"/>
              <w:rPr>
                <w:rFonts w:ascii="Arial" w:hAnsi="Arial" w:cs="Arial"/>
                <w:i/>
                <w:iCs/>
                <w:color w:val="000000" w:themeColor="text1"/>
                <w:lang w:val="en-GB"/>
              </w:rPr>
            </w:pPr>
            <w:r w:rsidRPr="00E47F58">
              <w:rPr>
                <w:rFonts w:ascii="Arial" w:hAnsi="Arial" w:cs="Arial"/>
                <w:i/>
                <w:iCs/>
                <w:color w:val="000000" w:themeColor="text1"/>
                <w:lang w:val="en-GB"/>
              </w:rPr>
              <w:t>C. vulgaris</w:t>
            </w:r>
          </w:p>
          <w:p w14:paraId="2EA43E12"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Challenged</w:t>
            </w:r>
          </w:p>
          <w:p w14:paraId="6DEE050A" w14:textId="77777777" w:rsidR="00EB6AE8" w:rsidRPr="00E47F58" w:rsidRDefault="00EB6AE8" w:rsidP="00EB6AE8">
            <w:pPr>
              <w:spacing w:after="0" w:line="240" w:lineRule="auto"/>
              <w:jc w:val="center"/>
              <w:rPr>
                <w:rFonts w:ascii="Arial" w:hAnsi="Arial" w:cs="Arial"/>
                <w:b/>
                <w:i/>
                <w:iCs/>
                <w:color w:val="000000" w:themeColor="text1"/>
                <w:lang w:val="en-GB"/>
              </w:rPr>
            </w:pPr>
            <w:r w:rsidRPr="00E47F58">
              <w:rPr>
                <w:rFonts w:ascii="Arial" w:hAnsi="Arial" w:cs="Arial"/>
                <w:b/>
                <w:color w:val="000000" w:themeColor="text1"/>
                <w:lang w:val="en-GB"/>
              </w:rPr>
              <w:t>(CVC)</w:t>
            </w:r>
          </w:p>
        </w:tc>
        <w:tc>
          <w:tcPr>
            <w:tcW w:w="1563" w:type="pct"/>
          </w:tcPr>
          <w:p w14:paraId="5F443BEE"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R1 = 10</w:t>
            </w:r>
          </w:p>
        </w:tc>
        <w:tc>
          <w:tcPr>
            <w:tcW w:w="1770" w:type="pct"/>
          </w:tcPr>
          <w:p w14:paraId="57BBF77F"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3</w:t>
            </w:r>
          </w:p>
        </w:tc>
      </w:tr>
      <w:tr w:rsidR="00EB6AE8" w:rsidRPr="00E47F58" w14:paraId="5EBD620D" w14:textId="77777777" w:rsidTr="0026604E">
        <w:trPr>
          <w:jc w:val="center"/>
        </w:trPr>
        <w:tc>
          <w:tcPr>
            <w:tcW w:w="1667" w:type="pct"/>
            <w:vMerge/>
          </w:tcPr>
          <w:p w14:paraId="21E09736" w14:textId="77777777" w:rsidR="00EB6AE8" w:rsidRPr="00E47F58" w:rsidRDefault="00EB6AE8" w:rsidP="00EB6AE8">
            <w:pPr>
              <w:spacing w:after="0" w:line="240" w:lineRule="auto"/>
              <w:jc w:val="center"/>
              <w:rPr>
                <w:rFonts w:ascii="Arial" w:hAnsi="Arial" w:cs="Arial"/>
                <w:color w:val="000000" w:themeColor="text1"/>
                <w:lang w:val="en-GB"/>
              </w:rPr>
            </w:pPr>
          </w:p>
        </w:tc>
        <w:tc>
          <w:tcPr>
            <w:tcW w:w="1563" w:type="pct"/>
          </w:tcPr>
          <w:p w14:paraId="4015AF76"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R2 = 10</w:t>
            </w:r>
          </w:p>
        </w:tc>
        <w:tc>
          <w:tcPr>
            <w:tcW w:w="1770" w:type="pct"/>
          </w:tcPr>
          <w:p w14:paraId="1AF9083A"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0</w:t>
            </w:r>
          </w:p>
        </w:tc>
      </w:tr>
      <w:tr w:rsidR="00EB6AE8" w:rsidRPr="00E47F58" w14:paraId="087D93FA" w14:textId="77777777" w:rsidTr="0026604E">
        <w:trPr>
          <w:jc w:val="center"/>
        </w:trPr>
        <w:tc>
          <w:tcPr>
            <w:tcW w:w="1667" w:type="pct"/>
            <w:vMerge/>
          </w:tcPr>
          <w:p w14:paraId="2267636B" w14:textId="77777777" w:rsidR="00EB6AE8" w:rsidRPr="00E47F58" w:rsidRDefault="00EB6AE8" w:rsidP="00EB6AE8">
            <w:pPr>
              <w:spacing w:after="0" w:line="240" w:lineRule="auto"/>
              <w:jc w:val="center"/>
              <w:rPr>
                <w:rFonts w:ascii="Arial" w:hAnsi="Arial" w:cs="Arial"/>
                <w:color w:val="000000" w:themeColor="text1"/>
                <w:lang w:val="en-GB"/>
              </w:rPr>
            </w:pPr>
          </w:p>
        </w:tc>
        <w:tc>
          <w:tcPr>
            <w:tcW w:w="1563" w:type="pct"/>
          </w:tcPr>
          <w:p w14:paraId="735DB96A"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R3 = 10</w:t>
            </w:r>
          </w:p>
        </w:tc>
        <w:tc>
          <w:tcPr>
            <w:tcW w:w="1770" w:type="pct"/>
          </w:tcPr>
          <w:p w14:paraId="6D9F0487"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0</w:t>
            </w:r>
          </w:p>
        </w:tc>
      </w:tr>
      <w:tr w:rsidR="00EB6AE8" w:rsidRPr="00E47F58" w14:paraId="266CD019" w14:textId="77777777" w:rsidTr="0026604E">
        <w:trPr>
          <w:jc w:val="center"/>
        </w:trPr>
        <w:tc>
          <w:tcPr>
            <w:tcW w:w="1667" w:type="pct"/>
          </w:tcPr>
          <w:p w14:paraId="54A284B5"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i/>
                <w:iCs/>
                <w:color w:val="000000" w:themeColor="text1"/>
                <w:lang w:val="en-GB"/>
              </w:rPr>
              <w:t xml:space="preserve">% </w:t>
            </w:r>
            <w:r w:rsidRPr="00E47F58">
              <w:rPr>
                <w:rFonts w:ascii="Arial" w:hAnsi="Arial" w:cs="Arial"/>
                <w:b/>
                <w:color w:val="000000" w:themeColor="text1"/>
                <w:lang w:val="en-GB"/>
              </w:rPr>
              <w:t>Mortality</w:t>
            </w:r>
          </w:p>
        </w:tc>
        <w:tc>
          <w:tcPr>
            <w:tcW w:w="1563" w:type="pct"/>
          </w:tcPr>
          <w:p w14:paraId="79C9F801"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30</w:t>
            </w:r>
          </w:p>
        </w:tc>
        <w:tc>
          <w:tcPr>
            <w:tcW w:w="1770" w:type="pct"/>
          </w:tcPr>
          <w:p w14:paraId="543C3FEA"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10%</w:t>
            </w:r>
          </w:p>
        </w:tc>
      </w:tr>
      <w:tr w:rsidR="00EB6AE8" w:rsidRPr="00E47F58" w14:paraId="56852206" w14:textId="77777777" w:rsidTr="0026604E">
        <w:trPr>
          <w:jc w:val="center"/>
        </w:trPr>
        <w:tc>
          <w:tcPr>
            <w:tcW w:w="1667" w:type="pct"/>
          </w:tcPr>
          <w:p w14:paraId="37780BA0"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Control</w:t>
            </w:r>
          </w:p>
          <w:p w14:paraId="1362C9FA"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Fish</w:t>
            </w:r>
          </w:p>
          <w:p w14:paraId="4FEB2EEC"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(CF)</w:t>
            </w:r>
          </w:p>
        </w:tc>
        <w:tc>
          <w:tcPr>
            <w:tcW w:w="1563" w:type="pct"/>
          </w:tcPr>
          <w:p w14:paraId="0C73E8EE"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R1 = 10</w:t>
            </w:r>
          </w:p>
          <w:p w14:paraId="55BBBA17"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R2 = 10</w:t>
            </w:r>
          </w:p>
          <w:p w14:paraId="1DDEF713"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R3 = 10</w:t>
            </w:r>
          </w:p>
        </w:tc>
        <w:tc>
          <w:tcPr>
            <w:tcW w:w="1770" w:type="pct"/>
          </w:tcPr>
          <w:p w14:paraId="0DB94AE7"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0</w:t>
            </w:r>
          </w:p>
          <w:p w14:paraId="187B3FD6"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0</w:t>
            </w:r>
          </w:p>
          <w:p w14:paraId="4B4CA5E5"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0</w:t>
            </w:r>
          </w:p>
        </w:tc>
      </w:tr>
      <w:tr w:rsidR="00EB6AE8" w:rsidRPr="00E47F58" w14:paraId="288AB6C0" w14:textId="77777777" w:rsidTr="0026604E">
        <w:trPr>
          <w:jc w:val="center"/>
        </w:trPr>
        <w:tc>
          <w:tcPr>
            <w:tcW w:w="1667" w:type="pct"/>
          </w:tcPr>
          <w:p w14:paraId="4C77263B"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i/>
                <w:iCs/>
                <w:color w:val="000000" w:themeColor="text1"/>
                <w:lang w:val="en-GB"/>
              </w:rPr>
              <w:t xml:space="preserve">% </w:t>
            </w:r>
            <w:r w:rsidRPr="00E47F58">
              <w:rPr>
                <w:rFonts w:ascii="Arial" w:hAnsi="Arial" w:cs="Arial"/>
                <w:b/>
                <w:color w:val="000000" w:themeColor="text1"/>
                <w:lang w:val="en-GB"/>
              </w:rPr>
              <w:t>Mortality</w:t>
            </w:r>
          </w:p>
        </w:tc>
        <w:tc>
          <w:tcPr>
            <w:tcW w:w="1563" w:type="pct"/>
          </w:tcPr>
          <w:p w14:paraId="12028E69"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30</w:t>
            </w:r>
          </w:p>
        </w:tc>
        <w:tc>
          <w:tcPr>
            <w:tcW w:w="1770" w:type="pct"/>
          </w:tcPr>
          <w:p w14:paraId="071E17FB"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0%</w:t>
            </w:r>
          </w:p>
        </w:tc>
      </w:tr>
    </w:tbl>
    <w:p w14:paraId="6C91B0EC" w14:textId="77777777" w:rsidR="00851556" w:rsidRPr="00E47F58" w:rsidRDefault="00851556" w:rsidP="00EB6AE8">
      <w:pPr>
        <w:jc w:val="center"/>
        <w:rPr>
          <w:rFonts w:ascii="Arial" w:hAnsi="Arial" w:cs="Arial"/>
          <w:color w:val="000000" w:themeColor="text1"/>
          <w:sz w:val="20"/>
          <w:szCs w:val="20"/>
        </w:rPr>
      </w:pPr>
    </w:p>
    <w:p w14:paraId="2C3D5163" w14:textId="77777777" w:rsidR="00EB6AE8" w:rsidRPr="00E47F58" w:rsidRDefault="00EB6AE8" w:rsidP="00851556">
      <w:pPr>
        <w:spacing w:after="0"/>
        <w:jc w:val="center"/>
        <w:rPr>
          <w:rFonts w:ascii="Arial" w:hAnsi="Arial" w:cs="Arial"/>
          <w:color w:val="000000" w:themeColor="text1"/>
          <w:sz w:val="20"/>
          <w:szCs w:val="20"/>
        </w:rPr>
      </w:pPr>
      <w:r w:rsidRPr="00E47F58">
        <w:rPr>
          <w:rFonts w:ascii="Arial" w:hAnsi="Arial" w:cs="Arial"/>
          <w:noProof/>
          <w:color w:val="000000" w:themeColor="text1"/>
          <w:sz w:val="20"/>
          <w:szCs w:val="20"/>
        </w:rPr>
        <w:lastRenderedPageBreak/>
        <w:drawing>
          <wp:inline distT="0" distB="0" distL="0" distR="0" wp14:anchorId="39777AD9" wp14:editId="37B0AB6D">
            <wp:extent cx="4730750" cy="26730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9348" cy="2683606"/>
                    </a:xfrm>
                    <a:prstGeom prst="rect">
                      <a:avLst/>
                    </a:prstGeom>
                    <a:noFill/>
                  </pic:spPr>
                </pic:pic>
              </a:graphicData>
            </a:graphic>
          </wp:inline>
        </w:drawing>
      </w:r>
    </w:p>
    <w:p w14:paraId="4767FBFC" w14:textId="77777777" w:rsidR="00EB6AE8" w:rsidRPr="00E47F58" w:rsidRDefault="00EB6AE8" w:rsidP="00EB6AE8">
      <w:pPr>
        <w:pStyle w:val="Caption"/>
        <w:rPr>
          <w:rFonts w:ascii="Arial" w:hAnsi="Arial" w:cs="Arial"/>
          <w:sz w:val="20"/>
          <w:szCs w:val="20"/>
        </w:rPr>
      </w:pPr>
      <w:bookmarkStart w:id="35" w:name="_Toc50653940"/>
      <w:r w:rsidRPr="00E47F58">
        <w:rPr>
          <w:rFonts w:ascii="Arial" w:hAnsi="Arial" w:cs="Arial"/>
          <w:sz w:val="20"/>
          <w:szCs w:val="20"/>
        </w:rPr>
        <w:t>Figure</w:t>
      </w:r>
      <w:r w:rsidR="003C2E9F"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Figure \* ARABIC \s 1 </w:instrText>
      </w:r>
      <w:r w:rsidR="0022766E" w:rsidRPr="00E47F58">
        <w:rPr>
          <w:rFonts w:ascii="Arial" w:hAnsi="Arial" w:cs="Arial"/>
          <w:sz w:val="20"/>
          <w:szCs w:val="20"/>
        </w:rPr>
        <w:fldChar w:fldCharType="separate"/>
      </w:r>
      <w:r w:rsidRPr="00E47F58">
        <w:rPr>
          <w:rFonts w:ascii="Arial" w:hAnsi="Arial" w:cs="Arial"/>
          <w:noProof/>
          <w:sz w:val="20"/>
          <w:szCs w:val="20"/>
        </w:rPr>
        <w:t>4</w:t>
      </w:r>
      <w:r w:rsidR="0022766E" w:rsidRPr="00E47F58">
        <w:rPr>
          <w:rFonts w:ascii="Arial" w:hAnsi="Arial" w:cs="Arial"/>
          <w:noProof/>
          <w:sz w:val="20"/>
          <w:szCs w:val="20"/>
        </w:rPr>
        <w:fldChar w:fldCharType="end"/>
      </w:r>
      <w:r w:rsidRPr="00E47F58">
        <w:rPr>
          <w:rFonts w:ascii="Arial" w:hAnsi="Arial" w:cs="Arial"/>
          <w:sz w:val="20"/>
          <w:szCs w:val="20"/>
        </w:rPr>
        <w:t xml:space="preserve"> : Survival percentage rate of challenged experimental fish with </w:t>
      </w:r>
      <w:r w:rsidRPr="00E47F58">
        <w:rPr>
          <w:rFonts w:ascii="Arial" w:hAnsi="Arial" w:cs="Arial"/>
          <w:i/>
          <w:iCs/>
          <w:sz w:val="20"/>
          <w:szCs w:val="20"/>
        </w:rPr>
        <w:t xml:space="preserve">S. agalactiae </w:t>
      </w:r>
      <w:r w:rsidRPr="00E47F58">
        <w:rPr>
          <w:rFonts w:ascii="Arial" w:hAnsi="Arial" w:cs="Arial"/>
          <w:sz w:val="20"/>
          <w:szCs w:val="20"/>
        </w:rPr>
        <w:t>concentration of 10</w:t>
      </w:r>
      <w:r w:rsidRPr="00E47F58">
        <w:rPr>
          <w:rFonts w:ascii="Arial" w:hAnsi="Arial" w:cs="Arial"/>
          <w:sz w:val="20"/>
          <w:szCs w:val="20"/>
          <w:vertAlign w:val="superscript"/>
        </w:rPr>
        <w:t>8</w:t>
      </w:r>
      <w:bookmarkEnd w:id="35"/>
      <w:r w:rsidR="003C2E9F" w:rsidRPr="00E47F58">
        <w:rPr>
          <w:rFonts w:ascii="Arial" w:hAnsi="Arial" w:cs="Arial"/>
          <w:sz w:val="20"/>
          <w:szCs w:val="20"/>
          <w:vertAlign w:val="superscript"/>
        </w:rPr>
        <w:t xml:space="preserve"> </w:t>
      </w:r>
      <w:r w:rsidR="003C2E9F" w:rsidRPr="00E47F58">
        <w:rPr>
          <w:rFonts w:ascii="Arial" w:hAnsi="Arial" w:cs="Arial"/>
          <w:sz w:val="20"/>
          <w:szCs w:val="20"/>
          <w:lang w:val="en-GB"/>
        </w:rPr>
        <w:t>CFU/mL.</w:t>
      </w:r>
    </w:p>
    <w:p w14:paraId="7B3AD526" w14:textId="77777777" w:rsidR="00EB6AE8" w:rsidRPr="00E47F58" w:rsidRDefault="00EB6AE8" w:rsidP="00EB6AE8">
      <w:pPr>
        <w:pStyle w:val="j"/>
        <w:rPr>
          <w:rFonts w:ascii="Arial" w:hAnsi="Arial" w:cs="Arial"/>
          <w:sz w:val="20"/>
          <w:szCs w:val="20"/>
        </w:rPr>
      </w:pPr>
    </w:p>
    <w:p w14:paraId="1B101482" w14:textId="77777777" w:rsidR="00EB6AE8" w:rsidRPr="00E47F58" w:rsidRDefault="00EB6AE8" w:rsidP="00EB6AE8">
      <w:pPr>
        <w:pStyle w:val="j"/>
        <w:rPr>
          <w:rFonts w:ascii="Arial" w:hAnsi="Arial" w:cs="Arial"/>
          <w:sz w:val="20"/>
          <w:szCs w:val="20"/>
        </w:rPr>
      </w:pPr>
    </w:p>
    <w:p w14:paraId="52EF82E3" w14:textId="77777777" w:rsidR="00EB6AE8" w:rsidRPr="00E47F58" w:rsidRDefault="00EB6AE8" w:rsidP="00EB6AE8">
      <w:pPr>
        <w:pStyle w:val="single"/>
        <w:rPr>
          <w:rFonts w:ascii="Arial" w:hAnsi="Arial" w:cs="Arial"/>
          <w:sz w:val="20"/>
          <w:szCs w:val="20"/>
        </w:rPr>
      </w:pPr>
      <w:r w:rsidRPr="00E47F58">
        <w:rPr>
          <w:rFonts w:ascii="Arial" w:hAnsi="Arial" w:cs="Arial"/>
          <w:sz w:val="20"/>
          <w:szCs w:val="20"/>
          <w:lang w:val="en-GB"/>
        </w:rPr>
        <w:t xml:space="preserve">The bacterial challenge test results show 90% survival rate of </w:t>
      </w:r>
      <w:r w:rsidR="006E116E" w:rsidRPr="00E47F58">
        <w:rPr>
          <w:rFonts w:ascii="Arial" w:hAnsi="Arial" w:cs="Arial"/>
          <w:sz w:val="20"/>
          <w:szCs w:val="20"/>
          <w:lang w:val="en-GB"/>
        </w:rPr>
        <w:t xml:space="preserve">challenged </w:t>
      </w:r>
      <w:r w:rsidRPr="00E47F58">
        <w:rPr>
          <w:rFonts w:ascii="Arial" w:hAnsi="Arial" w:cs="Arial"/>
          <w:sz w:val="20"/>
          <w:szCs w:val="20"/>
          <w:lang w:val="en-GB"/>
        </w:rPr>
        <w:t xml:space="preserve">fish fed with </w:t>
      </w:r>
      <w:r w:rsidRPr="00E47F58">
        <w:rPr>
          <w:rFonts w:ascii="Arial" w:hAnsi="Arial" w:cs="Arial"/>
          <w:i/>
          <w:iCs/>
          <w:sz w:val="20"/>
          <w:szCs w:val="20"/>
          <w:lang w:val="en-GB"/>
        </w:rPr>
        <w:t xml:space="preserve">C. vulgaris </w:t>
      </w:r>
      <w:r w:rsidRPr="00E47F58">
        <w:rPr>
          <w:rFonts w:ascii="Arial" w:hAnsi="Arial" w:cs="Arial"/>
          <w:sz w:val="20"/>
          <w:szCs w:val="20"/>
          <w:lang w:val="en-GB"/>
        </w:rPr>
        <w:t>(CVC)</w:t>
      </w:r>
      <w:r w:rsidR="006E116E" w:rsidRPr="00E47F58">
        <w:rPr>
          <w:rFonts w:ascii="Arial" w:hAnsi="Arial" w:cs="Arial"/>
          <w:sz w:val="20"/>
          <w:szCs w:val="20"/>
          <w:lang w:val="en-GB"/>
        </w:rPr>
        <w:t>,</w:t>
      </w:r>
      <w:r w:rsidRPr="00E47F58">
        <w:rPr>
          <w:rFonts w:ascii="Arial" w:hAnsi="Arial" w:cs="Arial"/>
          <w:sz w:val="20"/>
          <w:szCs w:val="20"/>
          <w:lang w:val="en-GB"/>
        </w:rPr>
        <w:t xml:space="preserve"> showing no significant difference with control fish without challenge (CF) and only 13.3% survival rate of control </w:t>
      </w:r>
      <w:r w:rsidR="00851556" w:rsidRPr="00E47F58">
        <w:rPr>
          <w:rFonts w:ascii="Arial" w:hAnsi="Arial" w:cs="Arial"/>
          <w:sz w:val="20"/>
          <w:szCs w:val="20"/>
          <w:lang w:val="en-GB"/>
        </w:rPr>
        <w:t xml:space="preserve">fish challenged (CFC) (Figure </w:t>
      </w:r>
      <w:r w:rsidRPr="00E47F58">
        <w:rPr>
          <w:rFonts w:ascii="Arial" w:hAnsi="Arial" w:cs="Arial"/>
          <w:sz w:val="20"/>
          <w:szCs w:val="20"/>
          <w:lang w:val="en-GB"/>
        </w:rPr>
        <w:t xml:space="preserve">4). This indicate high immune improvements in treated fish because of feeding with </w:t>
      </w:r>
      <w:r w:rsidRPr="00E47F58">
        <w:rPr>
          <w:rFonts w:ascii="Arial" w:hAnsi="Arial" w:cs="Arial"/>
          <w:i/>
          <w:iCs/>
          <w:sz w:val="20"/>
          <w:szCs w:val="20"/>
          <w:lang w:val="en-GB"/>
        </w:rPr>
        <w:t xml:space="preserve">C. vulgaris </w:t>
      </w:r>
      <w:r w:rsidRPr="00E47F58">
        <w:rPr>
          <w:rFonts w:ascii="Arial" w:hAnsi="Arial" w:cs="Arial"/>
          <w:sz w:val="20"/>
          <w:szCs w:val="20"/>
          <w:lang w:val="en-GB"/>
        </w:rPr>
        <w:t>incorporated diet. The control fish without been challenged (CF) showed 100% survival rate.</w:t>
      </w:r>
    </w:p>
    <w:p w14:paraId="497D1921" w14:textId="77777777" w:rsidR="00EB6AE8" w:rsidRPr="00E47F58" w:rsidRDefault="004B090C" w:rsidP="00E47F58">
      <w:pPr>
        <w:pStyle w:val="Heading3"/>
        <w:rPr>
          <w:sz w:val="20"/>
          <w:szCs w:val="20"/>
          <w:lang w:val="en-GB"/>
        </w:rPr>
      </w:pPr>
      <w:bookmarkStart w:id="36" w:name="_Toc49955758"/>
      <w:bookmarkStart w:id="37" w:name="_Toc50652449"/>
      <w:r w:rsidRPr="00E47F58">
        <w:rPr>
          <w:sz w:val="20"/>
          <w:szCs w:val="20"/>
          <w:lang w:val="en-GB"/>
        </w:rPr>
        <w:t>3.0.3</w:t>
      </w:r>
      <w:r w:rsidRPr="00E47F58">
        <w:rPr>
          <w:sz w:val="20"/>
          <w:szCs w:val="20"/>
          <w:lang w:val="en-GB"/>
        </w:rPr>
        <w:tab/>
      </w:r>
      <w:r w:rsidR="006E116E" w:rsidRPr="00E47F58">
        <w:rPr>
          <w:sz w:val="20"/>
          <w:szCs w:val="20"/>
          <w:lang w:val="en-GB"/>
        </w:rPr>
        <w:t>Identification of metabolites</w:t>
      </w:r>
      <w:r w:rsidR="00EB6AE8" w:rsidRPr="00E47F58">
        <w:rPr>
          <w:sz w:val="20"/>
          <w:szCs w:val="20"/>
          <w:lang w:val="en-GB"/>
        </w:rPr>
        <w:t xml:space="preserve"> from spleen samples</w:t>
      </w:r>
      <w:bookmarkEnd w:id="36"/>
      <w:bookmarkEnd w:id="37"/>
    </w:p>
    <w:p w14:paraId="5F39D895" w14:textId="77777777" w:rsidR="00EB6AE8" w:rsidRPr="00E47F58" w:rsidRDefault="00EB6AE8" w:rsidP="00851556">
      <w:pPr>
        <w:pStyle w:val="single"/>
        <w:rPr>
          <w:rFonts w:ascii="Arial" w:hAnsi="Arial" w:cs="Arial"/>
          <w:sz w:val="20"/>
          <w:szCs w:val="20"/>
        </w:rPr>
      </w:pPr>
      <w:r w:rsidRPr="00E47F58">
        <w:rPr>
          <w:rFonts w:ascii="Arial" w:hAnsi="Arial" w:cs="Arial"/>
          <w:sz w:val="20"/>
          <w:szCs w:val="20"/>
        </w:rPr>
        <w:t xml:space="preserve">Analysis of spleen samples using </w:t>
      </w:r>
      <w:r w:rsidRPr="00E47F58">
        <w:rPr>
          <w:rFonts w:ascii="Arial" w:hAnsi="Arial" w:cs="Arial"/>
          <w:sz w:val="20"/>
          <w:szCs w:val="20"/>
          <w:vertAlign w:val="superscript"/>
        </w:rPr>
        <w:t>1</w:t>
      </w:r>
      <w:r w:rsidRPr="00E47F58">
        <w:rPr>
          <w:rFonts w:ascii="Arial" w:hAnsi="Arial" w:cs="Arial"/>
          <w:sz w:val="20"/>
          <w:szCs w:val="20"/>
        </w:rPr>
        <w:t xml:space="preserve">H NMR spectroscopy was carried out to study the possible metabolic variation related to immune improvement signals. The metabolites detected in spleen samples were identified based on the </w:t>
      </w:r>
      <w:r w:rsidRPr="00E47F58">
        <w:rPr>
          <w:rFonts w:ascii="Arial" w:hAnsi="Arial" w:cs="Arial"/>
          <w:sz w:val="20"/>
          <w:szCs w:val="20"/>
          <w:vertAlign w:val="superscript"/>
        </w:rPr>
        <w:t>1</w:t>
      </w:r>
      <w:r w:rsidRPr="00E47F58">
        <w:rPr>
          <w:rFonts w:ascii="Arial" w:hAnsi="Arial" w:cs="Arial"/>
          <w:sz w:val="20"/>
          <w:szCs w:val="20"/>
        </w:rPr>
        <w:t xml:space="preserve">H NMR spectra of both control and microalgae fed fish spleen, collected through the experimental period. In total, 21 metabolites were successfully identified. The metabolites were assigned by referring to Chenomx software database (Version 8.3, Alberta, Canada), the human metabolome database (HMDB) (http://www.hmdb.ca/) </w:t>
      </w:r>
      <w:r w:rsidRPr="00E47F58">
        <w:rPr>
          <w:rFonts w:ascii="Arial" w:hAnsi="Arial" w:cs="Arial"/>
          <w:sz w:val="20"/>
          <w:szCs w:val="20"/>
        </w:rPr>
        <w:fldChar w:fldCharType="begin" w:fldLock="1"/>
      </w:r>
      <w:r w:rsidR="00F345E2" w:rsidRPr="00E47F58">
        <w:rPr>
          <w:rFonts w:ascii="Arial" w:hAnsi="Arial" w:cs="Arial"/>
          <w:sz w:val="20"/>
          <w:szCs w:val="20"/>
        </w:rPr>
        <w:instrText>ADDIN CSL_CITATION {"citationItems":[{"id":"ITEM-1","itemData":{"DOI":"10.1093/nar/gkl923","ISSN":"03051048","abstract":"The Human Metabolome Database (HMDB) is currently the most complete and comprehensive curated collection of human metabolite and human metabolism data in the world. It contains records for more than 2180 endogenous metabolites with information gathered from thousands of books, journal articles and electronic databases. In addition to its comprehensive literature-derived data, the HMDB also contains an extensive collection of experimental metabolite concentration data compiled from hundreds of mass spectra (MS) and Nuclear Magnetic resonance (NMR) metabolomic analyses performed on urine, blood and cerebrospinal fluid samples. This is further supplemented with thousands of NMR and MS spectra collected on purified, reference metabolites. Each metabolite entry in the HMDB contains an average of 90 separate data fields including a comprehensive compound description, names and synonyms, structural information, physico-chemical data, reference NMR and MS spectra, biofluid concentrations, disease associations, pathway information, enzyme data, gene sequence data, SNP and mutation data as well as extensive links to images, references and other public databases. Extensive searching, relational querying and data browsing tools are also provided. The HMDB is designed to address the broad needs of biochemists, clinical chemists, physicians, medical geneticists, nutritionists and members of the metabolomics community. The HMDB is available at: www.hmdb.ca © 2007 Oxford University Press.","author":[{"dropping-particle":"","family":"Wishart","given":"David S.","non-dropping-particle":"","parse-names":false,"suffix":""},{"dropping-particle":"","family":"Tzur","given":"Dan","non-dropping-particle":"","parse-names":false,"suffix":""},{"dropping-particle":"","family":"Knox","given":"Craig","non-dropping-particle":"","parse-names":false,"suffix":""},{"dropping-particle":"","family":"Eisner","given":"Roman","non-dropping-particle":"","parse-names":false,"suffix":""},{"dropping-particle":"","family":"Guo","given":"An Chi","non-dropping-particle":"","parse-names":false,"suffix":""},{"dropping-particle":"","family":"Young","given":"Nelson","non-dropping-particle":"","parse-names":false,"suffix":""},{"dropping-particle":"","family":"Cheng","given":"Dean","non-dropping-particle":"","parse-names":false,"suffix":""},{"dropping-particle":"","family":"Jewell","given":"Kevin","non-dropping-particle":"","parse-names":false,"suffix":""},{"dropping-particle":"","family":"Arndt","given":"David","non-dropping-particle":"","parse-names":false,"suffix":""},{"dropping-particle":"","family":"Sawhney","given":"Summit","non-dropping-particle":"","parse-names":false,"suffix":""},{"dropping-particle":"","family":"Fung","given":"Chris","non-dropping-particle":"","parse-names":false,"suffix":""},{"dropping-particle":"","family":"Nikolai","given":"Lisa","non-dropping-particle":"","parse-names":false,"suffix":""},{"dropping-particle":"","family":"Lewis","given":"Mike","non-dropping-particle":"","parse-names":false,"suffix":""},{"dropping-particle":"","family":"Coutouly","given":"Marie Aude","non-dropping-particle":"","parse-names":false,"suffix":""},{"dropping-particle":"","family":"Forsythe","given":"Ian","non-dropping-particle":"","parse-names":false,"suffix":""},{"dropping-particle":"","family":"Tang","given":"Peter","non-dropping-particle":"","parse-names":false,"suffix":""},{"dropping-particle":"","family":"Shrivastava","given":"Savita","non-dropping-particle":"","parse-names":false,"suffix":""},{"dropping-particle":"","family":"Jeroncic","given":"Kevin","non-dropping-particle":"","parse-names":false,"suffix":""},{"dropping-particle":"","family":"Stothard","given":"Paul","non-dropping-particle":"","parse-names":false,"suffix":""},{"dropping-particle":"","family":"Amegbey","given":"Godwin","non-dropping-particle":"","parse-names":false,"suffix":""},{"dropping-particle":"","family":"Block","given":"David","non-dropping-particle":"","parse-names":false,"suffix":""},{"dropping-particle":"","family":"Hau","given":"David D.","non-dropping-particle":"","parse-names":false,"suffix":""},{"dropping-particle":"","family":"Wagner","given":"James","non-dropping-particle":"","parse-names":false,"suffix":""},{"dropping-particle":"","family":"Miniaci","given":"Jessica","non-dropping-particle":"","parse-names":false,"suffix":""},{"dropping-particle":"","family":"Clements","given":"Melisa","non-dropping-particle":"","parse-names":false,"suffix":""},{"dropping-particle":"","family":"Gebremedhin","given":"Mulu","non-dropping-particle":"","parse-names":false,"suffix":""},{"dropping-particle":"","family":"Guo","given":"Natalie","non-dropping-particle":"","parse-names":false,"suffix":""},{"dropping-particle":"","family":"Zhang","given":"Ying","non-dropping-particle":"","parse-names":false,"suffix":""},{"dropping-particle":"","family":"Duggan","given":"Gavin E.","non-dropping-particle":"","parse-names":false,"suffix":""},{"dropping-particle":"","family":"MacInnis","given":"Glen D.","non-dropping-particle":"","parse-names":false,"suffix":""},{"dropping-particle":"","family":"Weljie","given":"Alim M.","non-dropping-particle":"","parse-names":false,"suffix":""},{"dropping-particle":"","family":"Dowlatabadi","given":"Reza","non-dropping-particle":"","parse-names":false,"suffix":""},{"dropping-particle":"","family":"Bamforth","given":"Fiona","non-dropping-particle":"","parse-names":false,"suffix":""},{"dropping-particle":"","family":"Clive","given":"Derrick","non-dropping-particle":"","parse-names":false,"suffix":""},{"dropping-particle":"","family":"Greiner","given":"Russ","non-dropping-particle":"","parse-names":false,"suffix":""},{"dropping-particle":"","family":"Li","given":"Liang","non-dropping-particle":"","parse-names":false,"suffix":""},{"dropping-particle":"","family":"Marrie","given":"Tom","non-dropping-particle":"","parse-names":false,"suffix":""},{"dropping-particle":"","family":"Sykes","given":"Brian D.","non-dropping-particle":"","parse-names":false,"suffix":""},{"dropping-particle":"","family":"Vogel","given":"Hans J.","non-dropping-particle":"","parse-names":false,"suffix":""},{"dropping-particle":"","family":"Querengesser","given":"Lori","non-dropping-particle":"","parse-names":false,"suffix":""}],"container-title":"Nucleic Acids Research","id":"ITEM-1","issue":"SUPPL. 1","issued":{"date-parts":[["2007"]]},"page":"521-526","title":"HMDB: The human metabolome database","type":"article-journal","volume":"35"},"uris":["http://www.mendeley.com/documents/?uuid=ba9eb3c2-1e7d-4ecb-8c61-3fc5dbbd0559","http://www.mendeley.com/documents/?uuid=e433f56b-ba12-42ee-bc27-df7bc95fe506"]}],"mendeley":{"formattedCitation":"(Wishart et al. 2007)","plainTextFormattedCitation":"(Wishart et al. 2007)","previouslyFormattedCitation":"(Wishart et al. 2007)"},"properties":{"noteIndex":0},"schema":"https://github.com/citation-style-language/schema/raw/master/csl-citation.json"}</w:instrText>
      </w:r>
      <w:r w:rsidRPr="00E47F58">
        <w:rPr>
          <w:rFonts w:ascii="Arial" w:hAnsi="Arial" w:cs="Arial"/>
          <w:sz w:val="20"/>
          <w:szCs w:val="20"/>
        </w:rPr>
        <w:fldChar w:fldCharType="separate"/>
      </w:r>
      <w:r w:rsidR="00F345E2" w:rsidRPr="00E47F58">
        <w:rPr>
          <w:rFonts w:ascii="Arial" w:hAnsi="Arial" w:cs="Arial"/>
          <w:noProof/>
          <w:sz w:val="20"/>
          <w:szCs w:val="20"/>
        </w:rPr>
        <w:t>(Wishart et al. 2007)</w:t>
      </w:r>
      <w:r w:rsidRPr="00E47F58">
        <w:rPr>
          <w:rFonts w:ascii="Arial" w:hAnsi="Arial" w:cs="Arial"/>
          <w:sz w:val="20"/>
          <w:szCs w:val="20"/>
        </w:rPr>
        <w:fldChar w:fldCharType="end"/>
      </w:r>
      <w:r w:rsidRPr="00E47F58">
        <w:rPr>
          <w:rFonts w:ascii="Arial" w:hAnsi="Arial" w:cs="Arial"/>
          <w:sz w:val="20"/>
          <w:szCs w:val="20"/>
        </w:rPr>
        <w:t>,</w:t>
      </w:r>
      <w:r w:rsidRPr="00E47F58">
        <w:rPr>
          <w:rFonts w:ascii="Arial" w:hAnsi="Arial" w:cs="Arial"/>
          <w:sz w:val="20"/>
          <w:szCs w:val="20"/>
          <w:lang w:val="en-GB"/>
        </w:rPr>
        <w:t xml:space="preserve"> Nuclear Magnetic Resonance database (NMRDB) (</w:t>
      </w:r>
      <w:hyperlink r:id="rId18" w:history="1">
        <w:r w:rsidRPr="00E47F58">
          <w:rPr>
            <w:rStyle w:val="Hyperlink"/>
            <w:rFonts w:ascii="Arial" w:hAnsi="Arial" w:cs="Arial"/>
            <w:sz w:val="20"/>
            <w:szCs w:val="20"/>
            <w:lang w:val="en-GB"/>
          </w:rPr>
          <w:t>http://www.nmrdb.org/</w:t>
        </w:r>
      </w:hyperlink>
      <w:r w:rsidRPr="00E47F58">
        <w:rPr>
          <w:rFonts w:ascii="Arial" w:hAnsi="Arial" w:cs="Arial"/>
          <w:sz w:val="20"/>
          <w:szCs w:val="20"/>
          <w:lang w:val="en-GB"/>
        </w:rPr>
        <w:t>), PubChem (</w:t>
      </w:r>
      <w:hyperlink r:id="rId19" w:history="1">
        <w:r w:rsidRPr="00E47F58">
          <w:rPr>
            <w:rStyle w:val="Hyperlink"/>
            <w:rFonts w:ascii="Arial" w:hAnsi="Arial" w:cs="Arial"/>
            <w:sz w:val="20"/>
            <w:szCs w:val="20"/>
            <w:lang w:val="en-GB"/>
          </w:rPr>
          <w:t>https://pubchem.ncbi.nlm.nih.gov/</w:t>
        </w:r>
      </w:hyperlink>
      <w:r w:rsidRPr="00E47F58">
        <w:rPr>
          <w:rFonts w:ascii="Arial" w:hAnsi="Arial" w:cs="Arial"/>
          <w:sz w:val="20"/>
          <w:szCs w:val="20"/>
          <w:lang w:val="en-GB"/>
        </w:rPr>
        <w:t>)</w:t>
      </w:r>
      <w:r w:rsidR="00355A2E" w:rsidRPr="00E47F58">
        <w:rPr>
          <w:rFonts w:ascii="Arial" w:hAnsi="Arial" w:cs="Arial"/>
          <w:sz w:val="20"/>
          <w:szCs w:val="20"/>
        </w:rPr>
        <w:t xml:space="preserve"> and literature data. Table </w:t>
      </w:r>
      <w:r w:rsidRPr="00E47F58">
        <w:rPr>
          <w:rFonts w:ascii="Arial" w:hAnsi="Arial" w:cs="Arial"/>
          <w:sz w:val="20"/>
          <w:szCs w:val="20"/>
        </w:rPr>
        <w:t>2 shows the identified metabolites and their corresponding chemical shifts.</w:t>
      </w:r>
    </w:p>
    <w:p w14:paraId="4936C4EA" w14:textId="77777777" w:rsidR="00EB6AE8" w:rsidRPr="00E47F58" w:rsidRDefault="00EB6AE8" w:rsidP="00EB6AE8">
      <w:pPr>
        <w:pStyle w:val="Caption"/>
        <w:keepNext/>
        <w:rPr>
          <w:rFonts w:ascii="Arial" w:hAnsi="Arial" w:cs="Arial"/>
          <w:sz w:val="20"/>
          <w:szCs w:val="20"/>
        </w:rPr>
      </w:pPr>
      <w:bookmarkStart w:id="38" w:name="_Toc50652951"/>
      <w:r w:rsidRPr="00E47F58">
        <w:rPr>
          <w:rFonts w:ascii="Arial" w:hAnsi="Arial" w:cs="Arial"/>
          <w:sz w:val="20"/>
          <w:szCs w:val="20"/>
        </w:rPr>
        <w:t>Table</w:t>
      </w:r>
      <w:r w:rsidR="00355A2E"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Table \* ARABIC \s 1 </w:instrText>
      </w:r>
      <w:r w:rsidR="0022766E" w:rsidRPr="00E47F58">
        <w:rPr>
          <w:rFonts w:ascii="Arial" w:hAnsi="Arial" w:cs="Arial"/>
          <w:sz w:val="20"/>
          <w:szCs w:val="20"/>
        </w:rPr>
        <w:fldChar w:fldCharType="separate"/>
      </w:r>
      <w:r w:rsidRPr="00E47F58">
        <w:rPr>
          <w:rFonts w:ascii="Arial" w:hAnsi="Arial" w:cs="Arial"/>
          <w:noProof/>
          <w:sz w:val="20"/>
          <w:szCs w:val="20"/>
        </w:rPr>
        <w:t>2</w:t>
      </w:r>
      <w:r w:rsidR="0022766E" w:rsidRPr="00E47F58">
        <w:rPr>
          <w:rFonts w:ascii="Arial" w:hAnsi="Arial" w:cs="Arial"/>
          <w:noProof/>
          <w:sz w:val="20"/>
          <w:szCs w:val="20"/>
        </w:rPr>
        <w:fldChar w:fldCharType="end"/>
      </w:r>
      <w:r w:rsidRPr="00E47F58">
        <w:rPr>
          <w:rFonts w:ascii="Arial" w:hAnsi="Arial" w:cs="Arial"/>
          <w:sz w:val="20"/>
          <w:szCs w:val="20"/>
        </w:rPr>
        <w:t xml:space="preserve"> : Identified metabolites from spleen samples of experimental fish and their corresponding 700 MHz </w:t>
      </w:r>
      <w:r w:rsidRPr="00E47F58">
        <w:rPr>
          <w:rFonts w:ascii="Arial" w:hAnsi="Arial" w:cs="Arial"/>
          <w:sz w:val="20"/>
          <w:szCs w:val="20"/>
          <w:vertAlign w:val="superscript"/>
        </w:rPr>
        <w:t>1</w:t>
      </w:r>
      <w:r w:rsidRPr="00E47F58">
        <w:rPr>
          <w:rFonts w:ascii="Arial" w:hAnsi="Arial" w:cs="Arial"/>
          <w:sz w:val="20"/>
          <w:szCs w:val="20"/>
        </w:rPr>
        <w:t>H NMR chemical shifts</w:t>
      </w:r>
      <w:bookmarkEnd w:id="38"/>
    </w:p>
    <w:p w14:paraId="552D175A" w14:textId="77777777" w:rsidR="00EB6AE8" w:rsidRPr="00E47F58" w:rsidRDefault="00EB6AE8" w:rsidP="00EB6AE8">
      <w:pPr>
        <w:pStyle w:val="j"/>
        <w:rPr>
          <w:rFonts w:ascii="Arial" w:hAnsi="Arial" w:cs="Arial"/>
          <w:sz w:val="20"/>
          <w:szCs w:val="20"/>
        </w:rPr>
      </w:pPr>
    </w:p>
    <w:tbl>
      <w:tblPr>
        <w:tblStyle w:val="TableGrid"/>
        <w:tblW w:w="5000" w:type="pct"/>
        <w:jc w:val="center"/>
        <w:tblLook w:val="04A0" w:firstRow="1" w:lastRow="0" w:firstColumn="1" w:lastColumn="0" w:noHBand="0" w:noVBand="1"/>
      </w:tblPr>
      <w:tblGrid>
        <w:gridCol w:w="1759"/>
        <w:gridCol w:w="4477"/>
        <w:gridCol w:w="3114"/>
      </w:tblGrid>
      <w:tr w:rsidR="00EB6AE8" w:rsidRPr="00E47F58" w14:paraId="5A5FABF5" w14:textId="77777777" w:rsidTr="003C2E9F">
        <w:trPr>
          <w:jc w:val="center"/>
        </w:trPr>
        <w:tc>
          <w:tcPr>
            <w:tcW w:w="941" w:type="pct"/>
          </w:tcPr>
          <w:p w14:paraId="3DE5C97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S/No.</w:t>
            </w:r>
          </w:p>
        </w:tc>
        <w:tc>
          <w:tcPr>
            <w:tcW w:w="2394" w:type="pct"/>
          </w:tcPr>
          <w:p w14:paraId="336D9D3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Metabolites</w:t>
            </w:r>
          </w:p>
        </w:tc>
        <w:tc>
          <w:tcPr>
            <w:tcW w:w="1665" w:type="pct"/>
          </w:tcPr>
          <w:p w14:paraId="0F340991"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Chemical shifts (ppm)</w:t>
            </w:r>
          </w:p>
        </w:tc>
      </w:tr>
      <w:tr w:rsidR="00EB6AE8" w:rsidRPr="00E47F58" w14:paraId="78B20FFC" w14:textId="77777777" w:rsidTr="003C2E9F">
        <w:trPr>
          <w:jc w:val="center"/>
        </w:trPr>
        <w:tc>
          <w:tcPr>
            <w:tcW w:w="941" w:type="pct"/>
          </w:tcPr>
          <w:p w14:paraId="2354BD42"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w:t>
            </w:r>
          </w:p>
        </w:tc>
        <w:tc>
          <w:tcPr>
            <w:tcW w:w="2394" w:type="pct"/>
          </w:tcPr>
          <w:p w14:paraId="04ED4BFF"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Linoleic acid</w:t>
            </w:r>
          </w:p>
        </w:tc>
        <w:tc>
          <w:tcPr>
            <w:tcW w:w="1665" w:type="pct"/>
          </w:tcPr>
          <w:p w14:paraId="1E891FE6"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0.86(t)</w:t>
            </w:r>
          </w:p>
          <w:p w14:paraId="0D997F1E"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1.26(m)</w:t>
            </w:r>
          </w:p>
          <w:p w14:paraId="54AE5D17"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2.30(t)</w:t>
            </w:r>
          </w:p>
          <w:p w14:paraId="4036283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5.35(m)</w:t>
            </w:r>
          </w:p>
        </w:tc>
      </w:tr>
      <w:tr w:rsidR="00EB6AE8" w:rsidRPr="00E47F58" w14:paraId="44AC0E45" w14:textId="77777777" w:rsidTr="003C2E9F">
        <w:trPr>
          <w:jc w:val="center"/>
        </w:trPr>
        <w:tc>
          <w:tcPr>
            <w:tcW w:w="941" w:type="pct"/>
          </w:tcPr>
          <w:p w14:paraId="621C2B5C"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2</w:t>
            </w:r>
          </w:p>
        </w:tc>
        <w:tc>
          <w:tcPr>
            <w:tcW w:w="2394" w:type="pct"/>
          </w:tcPr>
          <w:p w14:paraId="6DB84927"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Riboflavin</w:t>
            </w:r>
          </w:p>
        </w:tc>
        <w:tc>
          <w:tcPr>
            <w:tcW w:w="1665" w:type="pct"/>
          </w:tcPr>
          <w:p w14:paraId="51DB4A1D"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0.91(t)</w:t>
            </w:r>
          </w:p>
          <w:p w14:paraId="64B71891"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1.65(m)</w:t>
            </w:r>
          </w:p>
          <w:p w14:paraId="5F36714E"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1.68(m)</w:t>
            </w:r>
          </w:p>
          <w:p w14:paraId="46A5962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2.30(t)</w:t>
            </w:r>
          </w:p>
          <w:p w14:paraId="597D2CD4"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2.34(s)</w:t>
            </w:r>
          </w:p>
          <w:p w14:paraId="322DADBD"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lastRenderedPageBreak/>
              <w:t>δ 4.33(d)</w:t>
            </w:r>
          </w:p>
          <w:p w14:paraId="1D6EF4A5"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4.47(d)</w:t>
            </w:r>
          </w:p>
        </w:tc>
      </w:tr>
      <w:tr w:rsidR="00EB6AE8" w:rsidRPr="00E47F58" w14:paraId="6E65AF11" w14:textId="77777777" w:rsidTr="003C2E9F">
        <w:trPr>
          <w:jc w:val="center"/>
        </w:trPr>
        <w:tc>
          <w:tcPr>
            <w:tcW w:w="941" w:type="pct"/>
          </w:tcPr>
          <w:p w14:paraId="17AC4CF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lastRenderedPageBreak/>
              <w:t>3</w:t>
            </w:r>
          </w:p>
        </w:tc>
        <w:tc>
          <w:tcPr>
            <w:tcW w:w="2394" w:type="pct"/>
          </w:tcPr>
          <w:p w14:paraId="4811D97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Proline</w:t>
            </w:r>
          </w:p>
        </w:tc>
        <w:tc>
          <w:tcPr>
            <w:tcW w:w="1665" w:type="pct"/>
          </w:tcPr>
          <w:p w14:paraId="6FD1022C"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4.14(m)</w:t>
            </w:r>
          </w:p>
          <w:p w14:paraId="404D3E8E"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4.22(s)</w:t>
            </w:r>
          </w:p>
        </w:tc>
      </w:tr>
      <w:tr w:rsidR="00EB6AE8" w:rsidRPr="00E47F58" w14:paraId="3E259781" w14:textId="77777777" w:rsidTr="003C2E9F">
        <w:trPr>
          <w:jc w:val="center"/>
        </w:trPr>
        <w:tc>
          <w:tcPr>
            <w:tcW w:w="941" w:type="pct"/>
          </w:tcPr>
          <w:p w14:paraId="4DFA0514"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4</w:t>
            </w:r>
          </w:p>
        </w:tc>
        <w:tc>
          <w:tcPr>
            <w:tcW w:w="2394" w:type="pct"/>
          </w:tcPr>
          <w:p w14:paraId="0BA1AB4F"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Glucose</w:t>
            </w:r>
          </w:p>
        </w:tc>
        <w:tc>
          <w:tcPr>
            <w:tcW w:w="1665" w:type="pct"/>
          </w:tcPr>
          <w:p w14:paraId="54359D69"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5.22(s)</w:t>
            </w:r>
          </w:p>
          <w:p w14:paraId="27E4A953"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4.62(s)</w:t>
            </w:r>
          </w:p>
          <w:p w14:paraId="0A40A96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3.82(m)</w:t>
            </w:r>
          </w:p>
          <w:p w14:paraId="6DAE81A4"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3.46(m)</w:t>
            </w:r>
          </w:p>
          <w:p w14:paraId="5AB07281"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3.23(d)</w:t>
            </w:r>
          </w:p>
        </w:tc>
      </w:tr>
      <w:tr w:rsidR="00EB6AE8" w:rsidRPr="00E47F58" w14:paraId="63E8EFBF" w14:textId="77777777" w:rsidTr="003C2E9F">
        <w:trPr>
          <w:jc w:val="center"/>
        </w:trPr>
        <w:tc>
          <w:tcPr>
            <w:tcW w:w="941" w:type="pct"/>
          </w:tcPr>
          <w:p w14:paraId="43320522"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5</w:t>
            </w:r>
          </w:p>
        </w:tc>
        <w:tc>
          <w:tcPr>
            <w:tcW w:w="2394" w:type="pct"/>
          </w:tcPr>
          <w:p w14:paraId="70FBB7F3"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Glycolate</w:t>
            </w:r>
          </w:p>
        </w:tc>
        <w:tc>
          <w:tcPr>
            <w:tcW w:w="1665" w:type="pct"/>
          </w:tcPr>
          <w:p w14:paraId="03CCD3E0" w14:textId="77777777" w:rsidR="00EB6AE8" w:rsidRPr="00E47F58" w:rsidRDefault="00EB6AE8" w:rsidP="00EB6AE8">
            <w:pPr>
              <w:pStyle w:val="NoSpacing"/>
              <w:rPr>
                <w:rFonts w:ascii="Arial" w:hAnsi="Arial" w:cs="Arial"/>
                <w:color w:val="000000" w:themeColor="text1"/>
              </w:rPr>
            </w:pPr>
            <w:r w:rsidRPr="00E47F58">
              <w:rPr>
                <w:rFonts w:ascii="Arial" w:hAnsi="Arial" w:cs="Arial"/>
                <w:i/>
                <w:color w:val="000000" w:themeColor="text1"/>
              </w:rPr>
              <w:t>δ</w:t>
            </w:r>
            <w:r w:rsidRPr="00E47F58">
              <w:rPr>
                <w:rFonts w:ascii="Arial" w:hAnsi="Arial" w:cs="Arial"/>
                <w:color w:val="000000" w:themeColor="text1"/>
              </w:rPr>
              <w:t xml:space="preserve"> 3.92(s)</w:t>
            </w:r>
          </w:p>
        </w:tc>
      </w:tr>
      <w:tr w:rsidR="00EB6AE8" w:rsidRPr="00E47F58" w14:paraId="346A66DA" w14:textId="77777777" w:rsidTr="003C2E9F">
        <w:trPr>
          <w:jc w:val="center"/>
        </w:trPr>
        <w:tc>
          <w:tcPr>
            <w:tcW w:w="941" w:type="pct"/>
          </w:tcPr>
          <w:p w14:paraId="7A425524"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6</w:t>
            </w:r>
          </w:p>
        </w:tc>
        <w:tc>
          <w:tcPr>
            <w:tcW w:w="2394" w:type="pct"/>
          </w:tcPr>
          <w:p w14:paraId="5DC92F5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Isoleucine</w:t>
            </w:r>
          </w:p>
        </w:tc>
        <w:tc>
          <w:tcPr>
            <w:tcW w:w="1665" w:type="pct"/>
          </w:tcPr>
          <w:p w14:paraId="0A2A717B"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0.84(t)</w:t>
            </w:r>
          </w:p>
          <w:p w14:paraId="195030BC"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3.43(d)</w:t>
            </w:r>
          </w:p>
        </w:tc>
      </w:tr>
      <w:tr w:rsidR="00EB6AE8" w:rsidRPr="00E47F58" w14:paraId="7D27325B" w14:textId="77777777" w:rsidTr="003C2E9F">
        <w:trPr>
          <w:jc w:val="center"/>
        </w:trPr>
        <w:tc>
          <w:tcPr>
            <w:tcW w:w="941" w:type="pct"/>
          </w:tcPr>
          <w:p w14:paraId="70F888C4"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7</w:t>
            </w:r>
          </w:p>
        </w:tc>
        <w:tc>
          <w:tcPr>
            <w:tcW w:w="2394" w:type="pct"/>
          </w:tcPr>
          <w:p w14:paraId="09A3C3A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Choline</w:t>
            </w:r>
          </w:p>
        </w:tc>
        <w:tc>
          <w:tcPr>
            <w:tcW w:w="1665" w:type="pct"/>
          </w:tcPr>
          <w:p w14:paraId="6A95F8FE"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4.00(m)</w:t>
            </w:r>
          </w:p>
          <w:p w14:paraId="167E16DF"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3.50(dd)</w:t>
            </w:r>
          </w:p>
          <w:p w14:paraId="7E402061"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3.20(s)</w:t>
            </w:r>
          </w:p>
        </w:tc>
      </w:tr>
      <w:tr w:rsidR="00EB6AE8" w:rsidRPr="00E47F58" w14:paraId="173CC229" w14:textId="77777777" w:rsidTr="003C2E9F">
        <w:trPr>
          <w:jc w:val="center"/>
        </w:trPr>
        <w:tc>
          <w:tcPr>
            <w:tcW w:w="941" w:type="pct"/>
          </w:tcPr>
          <w:p w14:paraId="63C3B67B"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8</w:t>
            </w:r>
          </w:p>
        </w:tc>
        <w:tc>
          <w:tcPr>
            <w:tcW w:w="2394" w:type="pct"/>
          </w:tcPr>
          <w:p w14:paraId="663C7C66"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Glycine</w:t>
            </w:r>
          </w:p>
        </w:tc>
        <w:tc>
          <w:tcPr>
            <w:tcW w:w="1665" w:type="pct"/>
          </w:tcPr>
          <w:p w14:paraId="397D4E97" w14:textId="77777777" w:rsidR="00EB6AE8" w:rsidRPr="00E47F58" w:rsidRDefault="00EB6AE8" w:rsidP="00EB6AE8">
            <w:pPr>
              <w:pStyle w:val="NoSpacing"/>
              <w:rPr>
                <w:rFonts w:ascii="Arial" w:hAnsi="Arial" w:cs="Arial"/>
                <w:color w:val="000000" w:themeColor="text1"/>
              </w:rPr>
            </w:pPr>
            <w:r w:rsidRPr="00E47F58">
              <w:rPr>
                <w:rFonts w:ascii="Arial" w:hAnsi="Arial" w:cs="Arial"/>
                <w:i/>
                <w:color w:val="000000" w:themeColor="text1"/>
              </w:rPr>
              <w:t>δ</w:t>
            </w:r>
            <w:r w:rsidRPr="00E47F58">
              <w:rPr>
                <w:rFonts w:ascii="Arial" w:hAnsi="Arial" w:cs="Arial"/>
                <w:color w:val="000000" w:themeColor="text1"/>
              </w:rPr>
              <w:t xml:space="preserve"> 3.60(s)</w:t>
            </w:r>
          </w:p>
        </w:tc>
      </w:tr>
      <w:tr w:rsidR="00EB6AE8" w:rsidRPr="00E47F58" w14:paraId="37692DF2" w14:textId="77777777" w:rsidTr="003C2E9F">
        <w:trPr>
          <w:jc w:val="center"/>
        </w:trPr>
        <w:tc>
          <w:tcPr>
            <w:tcW w:w="941" w:type="pct"/>
          </w:tcPr>
          <w:p w14:paraId="10F1676E"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9</w:t>
            </w:r>
          </w:p>
        </w:tc>
        <w:tc>
          <w:tcPr>
            <w:tcW w:w="2394" w:type="pct"/>
          </w:tcPr>
          <w:p w14:paraId="181993D9"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Leucine</w:t>
            </w:r>
          </w:p>
        </w:tc>
        <w:tc>
          <w:tcPr>
            <w:tcW w:w="1665" w:type="pct"/>
          </w:tcPr>
          <w:p w14:paraId="284997BE"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1.51(m)</w:t>
            </w:r>
          </w:p>
          <w:p w14:paraId="2A4F186F"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3.44(t)</w:t>
            </w:r>
          </w:p>
        </w:tc>
      </w:tr>
      <w:tr w:rsidR="00EB6AE8" w:rsidRPr="00E47F58" w14:paraId="11774687" w14:textId="77777777" w:rsidTr="003C2E9F">
        <w:trPr>
          <w:jc w:val="center"/>
        </w:trPr>
        <w:tc>
          <w:tcPr>
            <w:tcW w:w="941" w:type="pct"/>
          </w:tcPr>
          <w:p w14:paraId="59146BA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10</w:t>
            </w:r>
          </w:p>
        </w:tc>
        <w:tc>
          <w:tcPr>
            <w:tcW w:w="2394" w:type="pct"/>
          </w:tcPr>
          <w:p w14:paraId="7F732EEC"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Taurine</w:t>
            </w:r>
          </w:p>
        </w:tc>
        <w:tc>
          <w:tcPr>
            <w:tcW w:w="1665" w:type="pct"/>
          </w:tcPr>
          <w:p w14:paraId="00DC0F98"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3.42(t)</w:t>
            </w:r>
          </w:p>
          <w:p w14:paraId="154EF77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3.25(t)</w:t>
            </w:r>
          </w:p>
        </w:tc>
      </w:tr>
      <w:tr w:rsidR="00EB6AE8" w:rsidRPr="00E47F58" w14:paraId="0BC485C7" w14:textId="77777777" w:rsidTr="003C2E9F">
        <w:trPr>
          <w:jc w:val="center"/>
        </w:trPr>
        <w:tc>
          <w:tcPr>
            <w:tcW w:w="941" w:type="pct"/>
          </w:tcPr>
          <w:p w14:paraId="27D968EC"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11</w:t>
            </w:r>
          </w:p>
        </w:tc>
        <w:tc>
          <w:tcPr>
            <w:tcW w:w="2394" w:type="pct"/>
          </w:tcPr>
          <w:p w14:paraId="5A9AE695"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Histamine</w:t>
            </w:r>
          </w:p>
        </w:tc>
        <w:tc>
          <w:tcPr>
            <w:tcW w:w="1665" w:type="pct"/>
          </w:tcPr>
          <w:p w14:paraId="038CD735"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8.0(s)</w:t>
            </w:r>
          </w:p>
          <w:p w14:paraId="4D28CBCB"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7.9(s)</w:t>
            </w:r>
          </w:p>
          <w:p w14:paraId="311F05C9"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7.1(s)</w:t>
            </w:r>
          </w:p>
          <w:p w14:paraId="0E2DBE19"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3.3(t)</w:t>
            </w:r>
          </w:p>
          <w:p w14:paraId="0BE282E7"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3.0(m)</w:t>
            </w:r>
          </w:p>
        </w:tc>
      </w:tr>
      <w:tr w:rsidR="00EB6AE8" w:rsidRPr="00E47F58" w14:paraId="5BAB6999" w14:textId="77777777" w:rsidTr="003C2E9F">
        <w:trPr>
          <w:jc w:val="center"/>
        </w:trPr>
        <w:tc>
          <w:tcPr>
            <w:tcW w:w="941" w:type="pct"/>
          </w:tcPr>
          <w:p w14:paraId="0D4CDD11"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12</w:t>
            </w:r>
          </w:p>
        </w:tc>
        <w:tc>
          <w:tcPr>
            <w:tcW w:w="2394" w:type="pct"/>
          </w:tcPr>
          <w:p w14:paraId="58C98A6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Methionine</w:t>
            </w:r>
          </w:p>
        </w:tc>
        <w:tc>
          <w:tcPr>
            <w:tcW w:w="1665" w:type="pct"/>
          </w:tcPr>
          <w:p w14:paraId="46CE5D5D"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3.85(dd)</w:t>
            </w:r>
          </w:p>
          <w:p w14:paraId="75E0A67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2.63(t)</w:t>
            </w:r>
          </w:p>
          <w:p w14:paraId="465F9387"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2.15(m)</w:t>
            </w:r>
          </w:p>
        </w:tc>
      </w:tr>
      <w:tr w:rsidR="00EB6AE8" w:rsidRPr="00E47F58" w14:paraId="3E3BD80F" w14:textId="77777777" w:rsidTr="003C2E9F">
        <w:trPr>
          <w:jc w:val="center"/>
        </w:trPr>
        <w:tc>
          <w:tcPr>
            <w:tcW w:w="941" w:type="pct"/>
          </w:tcPr>
          <w:p w14:paraId="59FEFE54"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13</w:t>
            </w:r>
          </w:p>
        </w:tc>
        <w:tc>
          <w:tcPr>
            <w:tcW w:w="2394" w:type="pct"/>
          </w:tcPr>
          <w:p w14:paraId="266FBE0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Creatine</w:t>
            </w:r>
          </w:p>
        </w:tc>
        <w:tc>
          <w:tcPr>
            <w:tcW w:w="1665" w:type="pct"/>
          </w:tcPr>
          <w:p w14:paraId="27D8C58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3.9(s)</w:t>
            </w:r>
          </w:p>
          <w:p w14:paraId="421F1A2C"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3.0(s)</w:t>
            </w:r>
          </w:p>
        </w:tc>
      </w:tr>
      <w:tr w:rsidR="00EB6AE8" w:rsidRPr="00E47F58" w14:paraId="6DB29F57" w14:textId="77777777" w:rsidTr="003C2E9F">
        <w:trPr>
          <w:jc w:val="center"/>
        </w:trPr>
        <w:tc>
          <w:tcPr>
            <w:tcW w:w="941" w:type="pct"/>
          </w:tcPr>
          <w:p w14:paraId="18DC9BA2"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14</w:t>
            </w:r>
          </w:p>
        </w:tc>
        <w:tc>
          <w:tcPr>
            <w:tcW w:w="2394" w:type="pct"/>
          </w:tcPr>
          <w:p w14:paraId="624B43B5"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Glutamic acid</w:t>
            </w:r>
            <w:r w:rsidRPr="00E47F58">
              <w:rPr>
                <w:rFonts w:ascii="Arial" w:hAnsi="Arial" w:cs="Arial"/>
                <w:color w:val="000000" w:themeColor="text1"/>
              </w:rPr>
              <w:tab/>
            </w:r>
          </w:p>
        </w:tc>
        <w:tc>
          <w:tcPr>
            <w:tcW w:w="1665" w:type="pct"/>
          </w:tcPr>
          <w:p w14:paraId="7C7156E2"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3.74(t)</w:t>
            </w:r>
          </w:p>
          <w:p w14:paraId="231F1E08"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2.22(dd)</w:t>
            </w:r>
          </w:p>
          <w:p w14:paraId="7BCFCB2E"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2.04(m)</w:t>
            </w:r>
          </w:p>
        </w:tc>
      </w:tr>
      <w:tr w:rsidR="00EB6AE8" w:rsidRPr="00E47F58" w14:paraId="4EED8C14" w14:textId="77777777" w:rsidTr="003C2E9F">
        <w:trPr>
          <w:jc w:val="center"/>
        </w:trPr>
        <w:tc>
          <w:tcPr>
            <w:tcW w:w="941" w:type="pct"/>
          </w:tcPr>
          <w:p w14:paraId="7897C1B7"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15</w:t>
            </w:r>
          </w:p>
        </w:tc>
        <w:tc>
          <w:tcPr>
            <w:tcW w:w="2394" w:type="pct"/>
          </w:tcPr>
          <w:p w14:paraId="70EF8615"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Arginine</w:t>
            </w:r>
          </w:p>
        </w:tc>
        <w:tc>
          <w:tcPr>
            <w:tcW w:w="1665" w:type="pct"/>
          </w:tcPr>
          <w:p w14:paraId="2FF7D688"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3.76(d)</w:t>
            </w:r>
          </w:p>
          <w:p w14:paraId="51EDDF78"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3.23(t)</w:t>
            </w:r>
          </w:p>
          <w:p w14:paraId="2DA2E40C"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1.93(t)</w:t>
            </w:r>
          </w:p>
          <w:p w14:paraId="5D1377F3"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1.76(m)</w:t>
            </w:r>
          </w:p>
        </w:tc>
      </w:tr>
      <w:tr w:rsidR="00EB6AE8" w:rsidRPr="00E47F58" w14:paraId="4A13E298" w14:textId="77777777" w:rsidTr="003C2E9F">
        <w:trPr>
          <w:jc w:val="center"/>
        </w:trPr>
        <w:tc>
          <w:tcPr>
            <w:tcW w:w="941" w:type="pct"/>
          </w:tcPr>
          <w:p w14:paraId="0A23BD33"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16</w:t>
            </w:r>
          </w:p>
        </w:tc>
        <w:tc>
          <w:tcPr>
            <w:tcW w:w="2394" w:type="pct"/>
          </w:tcPr>
          <w:p w14:paraId="181E1084"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Alanine</w:t>
            </w:r>
          </w:p>
        </w:tc>
        <w:tc>
          <w:tcPr>
            <w:tcW w:w="1665" w:type="pct"/>
          </w:tcPr>
          <w:p w14:paraId="546C5A44"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1.5(d)</w:t>
            </w:r>
          </w:p>
          <w:p w14:paraId="5BCFB306"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3.8(m)</w:t>
            </w:r>
          </w:p>
        </w:tc>
      </w:tr>
      <w:tr w:rsidR="00EB6AE8" w:rsidRPr="00E47F58" w14:paraId="4C2F10DA" w14:textId="77777777" w:rsidTr="003C2E9F">
        <w:trPr>
          <w:jc w:val="center"/>
        </w:trPr>
        <w:tc>
          <w:tcPr>
            <w:tcW w:w="941" w:type="pct"/>
          </w:tcPr>
          <w:p w14:paraId="77E8ACE5"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17</w:t>
            </w:r>
          </w:p>
        </w:tc>
        <w:tc>
          <w:tcPr>
            <w:tcW w:w="2394" w:type="pct"/>
          </w:tcPr>
          <w:p w14:paraId="343DB891"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Valine</w:t>
            </w:r>
          </w:p>
        </w:tc>
        <w:tc>
          <w:tcPr>
            <w:tcW w:w="1665" w:type="pct"/>
          </w:tcPr>
          <w:p w14:paraId="3EDE5164"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3.6(d)</w:t>
            </w:r>
          </w:p>
          <w:p w14:paraId="71E5447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12.3(m)</w:t>
            </w:r>
          </w:p>
          <w:p w14:paraId="037F7819"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1.0(d)</w:t>
            </w:r>
          </w:p>
        </w:tc>
      </w:tr>
      <w:tr w:rsidR="00EB6AE8" w:rsidRPr="00E47F58" w14:paraId="60484B28" w14:textId="77777777" w:rsidTr="003C2E9F">
        <w:trPr>
          <w:jc w:val="center"/>
        </w:trPr>
        <w:tc>
          <w:tcPr>
            <w:tcW w:w="941" w:type="pct"/>
          </w:tcPr>
          <w:p w14:paraId="44A656C2"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18</w:t>
            </w:r>
          </w:p>
        </w:tc>
        <w:tc>
          <w:tcPr>
            <w:tcW w:w="2394" w:type="pct"/>
          </w:tcPr>
          <w:p w14:paraId="3C5B28F8"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Stearic acid</w:t>
            </w:r>
          </w:p>
        </w:tc>
        <w:tc>
          <w:tcPr>
            <w:tcW w:w="1665" w:type="pct"/>
          </w:tcPr>
          <w:p w14:paraId="103F796E"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0.86(t)</w:t>
            </w:r>
          </w:p>
          <w:p w14:paraId="6E22217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1.24(m)</w:t>
            </w:r>
          </w:p>
          <w:p w14:paraId="2E69B389"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1.25(m)</w:t>
            </w:r>
          </w:p>
          <w:p w14:paraId="28194D56"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1.55(m)</w:t>
            </w:r>
          </w:p>
          <w:p w14:paraId="6DB8A96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2.30(t)</w:t>
            </w:r>
          </w:p>
        </w:tc>
      </w:tr>
      <w:tr w:rsidR="00EB6AE8" w:rsidRPr="00E47F58" w14:paraId="1C086596" w14:textId="77777777" w:rsidTr="003C2E9F">
        <w:trPr>
          <w:jc w:val="center"/>
        </w:trPr>
        <w:tc>
          <w:tcPr>
            <w:tcW w:w="941" w:type="pct"/>
          </w:tcPr>
          <w:p w14:paraId="50781CE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19</w:t>
            </w:r>
          </w:p>
        </w:tc>
        <w:tc>
          <w:tcPr>
            <w:tcW w:w="2394" w:type="pct"/>
          </w:tcPr>
          <w:p w14:paraId="2AFA1F9D"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Linolenic acid</w:t>
            </w:r>
          </w:p>
        </w:tc>
        <w:tc>
          <w:tcPr>
            <w:tcW w:w="1665" w:type="pct"/>
          </w:tcPr>
          <w:p w14:paraId="589BA55F"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1.25(m)</w:t>
            </w:r>
          </w:p>
          <w:p w14:paraId="66241775"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1.26(m)</w:t>
            </w:r>
          </w:p>
          <w:p w14:paraId="11A4DD91"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2.30(t)</w:t>
            </w:r>
          </w:p>
          <w:p w14:paraId="7CD4B307"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5.30(m)</w:t>
            </w:r>
          </w:p>
          <w:p w14:paraId="06E50BF5"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5.34(m)</w:t>
            </w:r>
          </w:p>
        </w:tc>
      </w:tr>
      <w:tr w:rsidR="00EB6AE8" w:rsidRPr="00E47F58" w14:paraId="60D028D0" w14:textId="77777777" w:rsidTr="003C2E9F">
        <w:trPr>
          <w:jc w:val="center"/>
        </w:trPr>
        <w:tc>
          <w:tcPr>
            <w:tcW w:w="941" w:type="pct"/>
          </w:tcPr>
          <w:p w14:paraId="092DEC16"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20</w:t>
            </w:r>
          </w:p>
        </w:tc>
        <w:tc>
          <w:tcPr>
            <w:tcW w:w="2394" w:type="pct"/>
          </w:tcPr>
          <w:p w14:paraId="41C6AB22"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Oleic acid</w:t>
            </w:r>
          </w:p>
        </w:tc>
        <w:tc>
          <w:tcPr>
            <w:tcW w:w="1665" w:type="pct"/>
          </w:tcPr>
          <w:p w14:paraId="7DA01875"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0.86(t)</w:t>
            </w:r>
          </w:p>
          <w:p w14:paraId="01D729EF"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1.24(m)</w:t>
            </w:r>
          </w:p>
          <w:p w14:paraId="367058D1"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1.25(m)</w:t>
            </w:r>
          </w:p>
          <w:p w14:paraId="0F0C1D1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lastRenderedPageBreak/>
              <w:t>δ 1.26(m)</w:t>
            </w:r>
          </w:p>
          <w:p w14:paraId="5EC52A63"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2.30(t)</w:t>
            </w:r>
          </w:p>
          <w:p w14:paraId="4CF7FDCB"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5.33(m)</w:t>
            </w:r>
          </w:p>
        </w:tc>
      </w:tr>
      <w:tr w:rsidR="00EB6AE8" w:rsidRPr="00E47F58" w14:paraId="007B8268" w14:textId="77777777" w:rsidTr="003C2E9F">
        <w:trPr>
          <w:jc w:val="center"/>
        </w:trPr>
        <w:tc>
          <w:tcPr>
            <w:tcW w:w="941" w:type="pct"/>
          </w:tcPr>
          <w:p w14:paraId="2CBAAC2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lastRenderedPageBreak/>
              <w:t>21</w:t>
            </w:r>
          </w:p>
        </w:tc>
        <w:tc>
          <w:tcPr>
            <w:tcW w:w="2394" w:type="pct"/>
          </w:tcPr>
          <w:p w14:paraId="106A0512"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Palmitic acid</w:t>
            </w:r>
            <w:r w:rsidRPr="00E47F58">
              <w:rPr>
                <w:rFonts w:ascii="Arial" w:hAnsi="Arial" w:cs="Arial"/>
                <w:color w:val="000000" w:themeColor="text1"/>
              </w:rPr>
              <w:tab/>
            </w:r>
          </w:p>
        </w:tc>
        <w:tc>
          <w:tcPr>
            <w:tcW w:w="1665" w:type="pct"/>
          </w:tcPr>
          <w:p w14:paraId="4E5134EB"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0.86(t)</w:t>
            </w:r>
          </w:p>
          <w:p w14:paraId="1C67E9C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1.24(m)</w:t>
            </w:r>
          </w:p>
          <w:p w14:paraId="597F1E13"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1.25(m)</w:t>
            </w:r>
          </w:p>
          <w:p w14:paraId="7CB1A8FF"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1.55(m)</w:t>
            </w:r>
          </w:p>
          <w:p w14:paraId="46AD46A2"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2.30(t)</w:t>
            </w:r>
          </w:p>
        </w:tc>
      </w:tr>
    </w:tbl>
    <w:p w14:paraId="1D46832F" w14:textId="77777777" w:rsidR="00EB6AE8" w:rsidRPr="00E47F58" w:rsidRDefault="00EB6AE8" w:rsidP="00EB6AE8">
      <w:pPr>
        <w:pStyle w:val="j"/>
        <w:rPr>
          <w:rFonts w:ascii="Arial" w:hAnsi="Arial" w:cs="Arial"/>
          <w:sz w:val="20"/>
          <w:szCs w:val="20"/>
        </w:rPr>
      </w:pPr>
    </w:p>
    <w:p w14:paraId="35236CC8" w14:textId="77777777" w:rsidR="00EB6AE8" w:rsidRPr="00E47F58" w:rsidRDefault="00EB6AE8" w:rsidP="00EB6AE8">
      <w:pPr>
        <w:pStyle w:val="j"/>
        <w:rPr>
          <w:rFonts w:ascii="Arial" w:hAnsi="Arial" w:cs="Arial"/>
          <w:sz w:val="20"/>
          <w:szCs w:val="20"/>
        </w:rPr>
      </w:pPr>
    </w:p>
    <w:p w14:paraId="2B10F74E" w14:textId="77777777" w:rsidR="00EB6AE8" w:rsidRPr="00E47F58" w:rsidRDefault="004B090C" w:rsidP="00E47F58">
      <w:pPr>
        <w:pStyle w:val="Heading3"/>
        <w:rPr>
          <w:sz w:val="20"/>
          <w:szCs w:val="20"/>
          <w:lang w:val="en-GB"/>
        </w:rPr>
      </w:pPr>
      <w:bookmarkStart w:id="39" w:name="_Toc49955759"/>
      <w:bookmarkStart w:id="40" w:name="_Toc50652450"/>
      <w:r w:rsidRPr="00E47F58">
        <w:rPr>
          <w:sz w:val="20"/>
          <w:szCs w:val="20"/>
          <w:lang w:val="en-GB"/>
        </w:rPr>
        <w:t>3.0.4</w:t>
      </w:r>
      <w:r w:rsidRPr="00E47F58">
        <w:rPr>
          <w:sz w:val="20"/>
          <w:szCs w:val="20"/>
          <w:lang w:val="en-GB"/>
        </w:rPr>
        <w:tab/>
      </w:r>
      <w:r w:rsidR="00EB6AE8" w:rsidRPr="00E47F58">
        <w:rPr>
          <w:sz w:val="20"/>
          <w:szCs w:val="20"/>
          <w:lang w:val="en-GB"/>
        </w:rPr>
        <w:t>Effect of environment on the experimental fish</w:t>
      </w:r>
      <w:bookmarkEnd w:id="39"/>
      <w:bookmarkEnd w:id="40"/>
    </w:p>
    <w:p w14:paraId="44EC47D6" w14:textId="77777777" w:rsidR="00EB6AE8" w:rsidRPr="00E47F58" w:rsidRDefault="00EB6AE8" w:rsidP="00851556">
      <w:pPr>
        <w:pStyle w:val="single"/>
        <w:rPr>
          <w:rFonts w:ascii="Arial" w:hAnsi="Arial" w:cs="Arial"/>
          <w:sz w:val="20"/>
          <w:szCs w:val="20"/>
          <w:lang w:val="en-GB"/>
        </w:rPr>
      </w:pPr>
      <w:r w:rsidRPr="00E47F58">
        <w:rPr>
          <w:rFonts w:ascii="Arial" w:hAnsi="Arial" w:cs="Arial"/>
          <w:sz w:val="20"/>
          <w:szCs w:val="20"/>
          <w:lang w:val="en-GB"/>
        </w:rPr>
        <w:t>In order to rule out the possibility of environmental factors that might have affected observations during the experiment with fish, a set of randomly selected 6 fish were sacrificed at zero-day (0D) point and was sampled for NMR analysis before the beginning of the experiment. The results of NMR analysis from these fish spleen (0D) were then compared with that of control fish (CF) at the e</w:t>
      </w:r>
      <w:r w:rsidR="00355A2E" w:rsidRPr="00E47F58">
        <w:rPr>
          <w:rFonts w:ascii="Arial" w:hAnsi="Arial" w:cs="Arial"/>
          <w:sz w:val="20"/>
          <w:szCs w:val="20"/>
          <w:lang w:val="en-GB"/>
        </w:rPr>
        <w:t>nd of the experiment. Figure 5</w:t>
      </w:r>
      <w:r w:rsidRPr="00E47F58">
        <w:rPr>
          <w:rFonts w:ascii="Arial" w:hAnsi="Arial" w:cs="Arial"/>
          <w:sz w:val="20"/>
          <w:szCs w:val="20"/>
          <w:lang w:val="en-GB"/>
        </w:rPr>
        <w:t xml:space="preserve"> shows the PCA score plot of the zero-day fish (0D) and the control fish (CF). The model gives a total fitness, R2X of 0.92 and predictability, Q2 of 0.501.</w:t>
      </w:r>
    </w:p>
    <w:p w14:paraId="378CAC6E" w14:textId="77777777" w:rsidR="00EB6AE8" w:rsidRPr="00E47F58" w:rsidRDefault="00EB6AE8" w:rsidP="00851556">
      <w:pPr>
        <w:spacing w:after="0"/>
        <w:jc w:val="center"/>
        <w:rPr>
          <w:rFonts w:ascii="Arial" w:hAnsi="Arial" w:cs="Arial"/>
          <w:color w:val="000000" w:themeColor="text1"/>
          <w:sz w:val="20"/>
          <w:szCs w:val="20"/>
        </w:rPr>
      </w:pPr>
      <w:r w:rsidRPr="00E47F58">
        <w:rPr>
          <w:rFonts w:ascii="Arial" w:hAnsi="Arial" w:cs="Arial"/>
          <w:noProof/>
          <w:color w:val="000000" w:themeColor="text1"/>
          <w:sz w:val="20"/>
          <w:szCs w:val="20"/>
        </w:rPr>
        <w:drawing>
          <wp:inline distT="0" distB="0" distL="0" distR="0" wp14:anchorId="0FAD5136" wp14:editId="07114B94">
            <wp:extent cx="4682405" cy="2581719"/>
            <wp:effectExtent l="0" t="0" r="444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23642" cy="2604456"/>
                    </a:xfrm>
                    <a:prstGeom prst="rect">
                      <a:avLst/>
                    </a:prstGeom>
                    <a:noFill/>
                  </pic:spPr>
                </pic:pic>
              </a:graphicData>
            </a:graphic>
          </wp:inline>
        </w:drawing>
      </w:r>
    </w:p>
    <w:p w14:paraId="2ABFC54A" w14:textId="77777777" w:rsidR="00EB6AE8" w:rsidRPr="00E47F58" w:rsidRDefault="00EB6AE8" w:rsidP="00851556">
      <w:pPr>
        <w:pStyle w:val="Caption"/>
        <w:rPr>
          <w:rFonts w:ascii="Arial" w:hAnsi="Arial" w:cs="Arial"/>
          <w:sz w:val="20"/>
          <w:szCs w:val="20"/>
          <w:lang w:val="en-GB"/>
        </w:rPr>
      </w:pPr>
      <w:bookmarkStart w:id="41" w:name="_Toc50653941"/>
      <w:r w:rsidRPr="00E47F58">
        <w:rPr>
          <w:rFonts w:ascii="Arial" w:hAnsi="Arial" w:cs="Arial"/>
          <w:sz w:val="20"/>
          <w:szCs w:val="20"/>
        </w:rPr>
        <w:t>Figure</w:t>
      </w:r>
      <w:r w:rsidR="00355A2E"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Figure \* ARABIC \s 1 </w:instrText>
      </w:r>
      <w:r w:rsidR="0022766E" w:rsidRPr="00E47F58">
        <w:rPr>
          <w:rFonts w:ascii="Arial" w:hAnsi="Arial" w:cs="Arial"/>
          <w:sz w:val="20"/>
          <w:szCs w:val="20"/>
        </w:rPr>
        <w:fldChar w:fldCharType="separate"/>
      </w:r>
      <w:r w:rsidRPr="00E47F58">
        <w:rPr>
          <w:rFonts w:ascii="Arial" w:hAnsi="Arial" w:cs="Arial"/>
          <w:noProof/>
          <w:sz w:val="20"/>
          <w:szCs w:val="20"/>
        </w:rPr>
        <w:t>5</w:t>
      </w:r>
      <w:r w:rsidR="0022766E" w:rsidRPr="00E47F58">
        <w:rPr>
          <w:rFonts w:ascii="Arial" w:hAnsi="Arial" w:cs="Arial"/>
          <w:noProof/>
          <w:sz w:val="20"/>
          <w:szCs w:val="20"/>
        </w:rPr>
        <w:fldChar w:fldCharType="end"/>
      </w:r>
      <w:r w:rsidRPr="00E47F58">
        <w:rPr>
          <w:rFonts w:ascii="Arial" w:hAnsi="Arial" w:cs="Arial"/>
          <w:sz w:val="20"/>
          <w:szCs w:val="20"/>
        </w:rPr>
        <w:t xml:space="preserve"> : </w:t>
      </w:r>
      <w:r w:rsidRPr="00E47F58">
        <w:rPr>
          <w:rFonts w:ascii="Arial" w:hAnsi="Arial" w:cs="Arial"/>
          <w:sz w:val="20"/>
          <w:szCs w:val="20"/>
          <w:lang w:val="en-GB"/>
        </w:rPr>
        <w:t>PCA score plot of the zero-day fish (0-D) and the c</w:t>
      </w:r>
      <w:r w:rsidR="004737B8" w:rsidRPr="00E47F58">
        <w:rPr>
          <w:rFonts w:ascii="Arial" w:hAnsi="Arial" w:cs="Arial"/>
          <w:sz w:val="20"/>
          <w:szCs w:val="20"/>
          <w:lang w:val="en-GB"/>
        </w:rPr>
        <w:t>ontrol fish (CF) showing no</w:t>
      </w:r>
      <w:r w:rsidRPr="00E47F58">
        <w:rPr>
          <w:rFonts w:ascii="Arial" w:hAnsi="Arial" w:cs="Arial"/>
          <w:sz w:val="20"/>
          <w:szCs w:val="20"/>
          <w:lang w:val="en-GB"/>
        </w:rPr>
        <w:t xml:space="preserve"> effect of environment on the experimental fish</w:t>
      </w:r>
      <w:bookmarkEnd w:id="41"/>
      <w:r w:rsidR="00851556" w:rsidRPr="00E47F58">
        <w:rPr>
          <w:rFonts w:ascii="Arial" w:hAnsi="Arial" w:cs="Arial"/>
          <w:sz w:val="20"/>
          <w:szCs w:val="20"/>
          <w:lang w:val="en-GB"/>
        </w:rPr>
        <w:t>.</w:t>
      </w:r>
    </w:p>
    <w:p w14:paraId="1A006CBF" w14:textId="77777777" w:rsidR="00EB6AE8" w:rsidRPr="00E47F58" w:rsidRDefault="00EB6AE8" w:rsidP="00EB6AE8">
      <w:pPr>
        <w:pStyle w:val="j"/>
        <w:rPr>
          <w:rFonts w:ascii="Arial" w:hAnsi="Arial" w:cs="Arial"/>
          <w:sz w:val="20"/>
          <w:szCs w:val="20"/>
          <w:lang w:val="en-GB"/>
        </w:rPr>
      </w:pPr>
    </w:p>
    <w:p w14:paraId="1D588C18"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rPr>
        <w:t>From the PCA score plot, it can be observed that the fish from 0D and CF groups are clustering</w:t>
      </w:r>
      <w:r w:rsidR="00355A2E" w:rsidRPr="00E47F58">
        <w:rPr>
          <w:rFonts w:ascii="Arial" w:hAnsi="Arial" w:cs="Arial"/>
          <w:sz w:val="20"/>
          <w:szCs w:val="20"/>
        </w:rPr>
        <w:t xml:space="preserve"> together near the origin without</w:t>
      </w:r>
      <w:r w:rsidRPr="00E47F58">
        <w:rPr>
          <w:rFonts w:ascii="Arial" w:hAnsi="Arial" w:cs="Arial"/>
          <w:sz w:val="20"/>
          <w:szCs w:val="20"/>
        </w:rPr>
        <w:t xml:space="preserve"> obvious separation between them. This indicate</w:t>
      </w:r>
      <w:r w:rsidR="00355A2E" w:rsidRPr="00E47F58">
        <w:rPr>
          <w:rFonts w:ascii="Arial" w:hAnsi="Arial" w:cs="Arial"/>
          <w:sz w:val="20"/>
          <w:szCs w:val="20"/>
        </w:rPr>
        <w:t>s</w:t>
      </w:r>
      <w:r w:rsidRPr="00E47F58">
        <w:rPr>
          <w:rFonts w:ascii="Arial" w:hAnsi="Arial" w:cs="Arial"/>
          <w:sz w:val="20"/>
          <w:szCs w:val="20"/>
        </w:rPr>
        <w:t xml:space="preserve"> that there was no difference in the metabolome of fish </w:t>
      </w:r>
      <w:r w:rsidRPr="00E47F58">
        <w:rPr>
          <w:rFonts w:ascii="Arial" w:hAnsi="Arial" w:cs="Arial"/>
          <w:sz w:val="20"/>
          <w:szCs w:val="20"/>
          <w:lang w:val="en-GB"/>
        </w:rPr>
        <w:t xml:space="preserve">at the beginning and </w:t>
      </w:r>
      <w:r w:rsidR="00355A2E" w:rsidRPr="00E47F58">
        <w:rPr>
          <w:rFonts w:ascii="Arial" w:hAnsi="Arial" w:cs="Arial"/>
          <w:sz w:val="20"/>
          <w:szCs w:val="20"/>
          <w:lang w:val="en-GB"/>
        </w:rPr>
        <w:t xml:space="preserve">at the </w:t>
      </w:r>
      <w:r w:rsidRPr="00E47F58">
        <w:rPr>
          <w:rFonts w:ascii="Arial" w:hAnsi="Arial" w:cs="Arial"/>
          <w:sz w:val="20"/>
          <w:szCs w:val="20"/>
          <w:lang w:val="en-GB"/>
        </w:rPr>
        <w:t>end</w:t>
      </w:r>
      <w:r w:rsidRPr="00E47F58">
        <w:rPr>
          <w:rFonts w:ascii="Arial" w:hAnsi="Arial" w:cs="Arial"/>
          <w:sz w:val="20"/>
          <w:szCs w:val="20"/>
        </w:rPr>
        <w:t xml:space="preserve"> </w:t>
      </w:r>
      <w:r w:rsidRPr="00E47F58">
        <w:rPr>
          <w:rFonts w:ascii="Arial" w:hAnsi="Arial" w:cs="Arial"/>
          <w:sz w:val="20"/>
          <w:szCs w:val="20"/>
          <w:lang w:val="en-GB"/>
        </w:rPr>
        <w:t>of the experiment</w:t>
      </w:r>
      <w:r w:rsidRPr="00E47F58" w:rsidDel="004017E5">
        <w:rPr>
          <w:rFonts w:ascii="Arial" w:hAnsi="Arial" w:cs="Arial"/>
          <w:sz w:val="20"/>
          <w:szCs w:val="20"/>
          <w:lang w:val="en-GB"/>
        </w:rPr>
        <w:t xml:space="preserve"> </w:t>
      </w:r>
      <w:r w:rsidR="00355A2E" w:rsidRPr="00E47F58">
        <w:rPr>
          <w:rFonts w:ascii="Arial" w:hAnsi="Arial" w:cs="Arial"/>
          <w:sz w:val="20"/>
          <w:szCs w:val="20"/>
          <w:lang w:val="en-GB"/>
        </w:rPr>
        <w:t xml:space="preserve">regardless of group (Figure </w:t>
      </w:r>
      <w:r w:rsidRPr="00E47F58">
        <w:rPr>
          <w:rFonts w:ascii="Arial" w:hAnsi="Arial" w:cs="Arial"/>
          <w:sz w:val="20"/>
          <w:szCs w:val="20"/>
          <w:lang w:val="en-GB"/>
        </w:rPr>
        <w:t>5). Hence, there was no effect of environment on the overall experimental fish and none affected the results generated at the end of the experiment</w:t>
      </w:r>
      <w:r w:rsidR="00211438" w:rsidRPr="00E47F58">
        <w:rPr>
          <w:rFonts w:ascii="Arial" w:hAnsi="Arial" w:cs="Arial"/>
          <w:sz w:val="20"/>
          <w:szCs w:val="20"/>
          <w:lang w:val="en-GB"/>
        </w:rPr>
        <w:t xml:space="preserve"> (all experimental fish were not affected by the environment all through the experiment)</w:t>
      </w:r>
      <w:r w:rsidRPr="00E47F58">
        <w:rPr>
          <w:rFonts w:ascii="Arial" w:hAnsi="Arial" w:cs="Arial"/>
          <w:sz w:val="20"/>
          <w:szCs w:val="20"/>
          <w:lang w:val="en-GB"/>
        </w:rPr>
        <w:t>.</w:t>
      </w:r>
    </w:p>
    <w:p w14:paraId="69032ABD" w14:textId="77777777" w:rsidR="00EB6AE8" w:rsidRPr="00E47F58" w:rsidRDefault="004B090C" w:rsidP="00E47F58">
      <w:pPr>
        <w:pStyle w:val="Heading3"/>
        <w:rPr>
          <w:sz w:val="20"/>
          <w:szCs w:val="20"/>
          <w:lang w:val="en-GB"/>
        </w:rPr>
      </w:pPr>
      <w:bookmarkStart w:id="42" w:name="_Toc49955760"/>
      <w:bookmarkStart w:id="43" w:name="_Toc50652451"/>
      <w:r w:rsidRPr="00E47F58">
        <w:rPr>
          <w:sz w:val="20"/>
          <w:szCs w:val="20"/>
          <w:lang w:val="en-GB"/>
        </w:rPr>
        <w:t>3.0.5</w:t>
      </w:r>
      <w:r w:rsidRPr="00E47F58">
        <w:rPr>
          <w:sz w:val="20"/>
          <w:szCs w:val="20"/>
          <w:lang w:val="en-GB"/>
        </w:rPr>
        <w:tab/>
      </w:r>
      <w:r w:rsidR="00EB6AE8" w:rsidRPr="00E47F58">
        <w:rPr>
          <w:sz w:val="20"/>
          <w:szCs w:val="20"/>
          <w:lang w:val="en-GB"/>
        </w:rPr>
        <w:t xml:space="preserve">Effect of </w:t>
      </w:r>
      <w:r w:rsidR="00EB6AE8" w:rsidRPr="00E47F58">
        <w:rPr>
          <w:i/>
          <w:iCs/>
          <w:sz w:val="20"/>
          <w:szCs w:val="20"/>
          <w:lang w:val="en-GB"/>
        </w:rPr>
        <w:t>Chlorella vulgaris</w:t>
      </w:r>
      <w:r w:rsidR="00EB6AE8" w:rsidRPr="00E47F58">
        <w:rPr>
          <w:sz w:val="20"/>
          <w:szCs w:val="20"/>
          <w:lang w:val="en-GB"/>
        </w:rPr>
        <w:t xml:space="preserve"> on experimental fish</w:t>
      </w:r>
      <w:bookmarkEnd w:id="42"/>
      <w:bookmarkEnd w:id="43"/>
    </w:p>
    <w:p w14:paraId="398B9371" w14:textId="77777777" w:rsidR="00EB6AE8" w:rsidRPr="00E47F58" w:rsidRDefault="00211438" w:rsidP="00EB6AE8">
      <w:pPr>
        <w:pStyle w:val="single"/>
        <w:rPr>
          <w:rFonts w:ascii="Arial" w:hAnsi="Arial" w:cs="Arial"/>
          <w:sz w:val="20"/>
          <w:szCs w:val="20"/>
          <w:lang w:val="en-GB"/>
        </w:rPr>
      </w:pPr>
      <w:r w:rsidRPr="00E47F58">
        <w:rPr>
          <w:rFonts w:ascii="Arial" w:hAnsi="Arial" w:cs="Arial"/>
          <w:sz w:val="20"/>
          <w:szCs w:val="20"/>
          <w:lang w:val="en-GB"/>
        </w:rPr>
        <w:t>It was previously established</w:t>
      </w:r>
      <w:r w:rsidR="00EB6AE8" w:rsidRPr="00E47F58">
        <w:rPr>
          <w:rFonts w:ascii="Arial" w:hAnsi="Arial" w:cs="Arial"/>
          <w:sz w:val="20"/>
          <w:szCs w:val="20"/>
          <w:lang w:val="en-GB"/>
        </w:rPr>
        <w:t xml:space="preserve"> that modulation of some biochemical pathways as a result of </w:t>
      </w:r>
      <w:r w:rsidR="00EB6AE8" w:rsidRPr="00E47F58">
        <w:rPr>
          <w:rFonts w:ascii="Arial" w:hAnsi="Arial" w:cs="Arial"/>
          <w:i/>
          <w:iCs/>
          <w:sz w:val="20"/>
          <w:szCs w:val="20"/>
          <w:lang w:val="en-GB"/>
        </w:rPr>
        <w:t xml:space="preserve">C. vulgaris </w:t>
      </w:r>
      <w:r w:rsidR="00EB6AE8" w:rsidRPr="00E47F58">
        <w:rPr>
          <w:rFonts w:ascii="Arial" w:hAnsi="Arial" w:cs="Arial"/>
          <w:sz w:val="20"/>
          <w:szCs w:val="20"/>
          <w:lang w:val="en-GB"/>
        </w:rPr>
        <w:t>feeding</w:t>
      </w:r>
      <w:r w:rsidR="00EB6AE8" w:rsidRPr="00E47F58">
        <w:rPr>
          <w:rFonts w:ascii="Arial" w:hAnsi="Arial" w:cs="Arial"/>
          <w:i/>
          <w:iCs/>
          <w:sz w:val="20"/>
          <w:szCs w:val="20"/>
          <w:lang w:val="en-GB"/>
        </w:rPr>
        <w:t xml:space="preserve"> </w:t>
      </w:r>
      <w:r w:rsidR="00EB6AE8" w:rsidRPr="00E47F58">
        <w:rPr>
          <w:rFonts w:ascii="Arial" w:hAnsi="Arial" w:cs="Arial"/>
          <w:sz w:val="20"/>
          <w:szCs w:val="20"/>
          <w:lang w:val="en-GB"/>
        </w:rPr>
        <w:t>led to immune improvements in tilapia</w:t>
      </w:r>
      <w:r w:rsidRPr="00E47F58">
        <w:rPr>
          <w:rFonts w:ascii="Arial" w:hAnsi="Arial" w:cs="Arial"/>
          <w:sz w:val="20"/>
          <w:szCs w:val="20"/>
          <w:lang w:val="en-GB"/>
        </w:rPr>
        <w:t xml:space="preserve"> </w:t>
      </w:r>
      <w:r w:rsidR="00B17C01" w:rsidRPr="00E47F58">
        <w:rPr>
          <w:rFonts w:ascii="Arial" w:hAnsi="Arial" w:cs="Arial"/>
          <w:sz w:val="20"/>
          <w:szCs w:val="20"/>
          <w:lang w:val="en-GB"/>
        </w:rPr>
        <w:fldChar w:fldCharType="begin" w:fldLock="1"/>
      </w:r>
      <w:r w:rsidR="00A71624" w:rsidRPr="00E47F58">
        <w:rPr>
          <w:rFonts w:ascii="Arial" w:hAnsi="Arial" w:cs="Arial"/>
          <w:sz w:val="20"/>
          <w:szCs w:val="20"/>
          <w:lang w:val="en-GB"/>
        </w:rPr>
        <w:instrText>ADDIN CSL_CITATION {"citationItems":[{"id":"ITEM-1","itemData":{"DOI":"10.56892/bima.v7i01.396","author":[{"dropping-particle":"","family":"Pantami","given":"Hamza Ahmed","non-dropping-particle":"","parse-names":false,"suffix":""},{"dropping-particle":"","family":"Safwan","given":"Muhammad","non-dropping-particle":"","parse-names":false,"suffix":""},{"dropping-particle":"","family":"Bustamam","given":"Ahamad","non-dropping-particle":"","parse-names":false,"suffix":""},{"dropping-particle":"","family":"Min","given":"Chong Chou","non-dropping-particle":"","parse-names":false,"suffix":""},{"dropping-particle":"","family":"Ismail","given":"Intan Safinar","non-dropping-particle":"","parse-names":false,"suffix":""},{"dropping-particle":"","family":"Lee","given":"Soo Yee","non-dropping-particle":"","parse-names":false,"suffix":""},{"dropping-particle":"","family":"Abubakar","given":"Samaila","non-dropping-particle":"","parse-names":false,"suffix":""},{"dropping-particle":"","family":"Mohammed","given":"Usman Yakubu","non-dropping-particle":"","parse-names":false,"suffix":""}],"container-title":"Bima Journal of Science and Technology","id":"ITEM-1","issue":"1","issued":{"date-parts":[["2023"]]},"page":"165-189","title":"Integration of Spleen 1H NMR-Based Metabolomics Revealed the Immunomodulatory Effect of Chlorella vulgaris on Nile Tilapia (Oreochromis niloticus)","type":"article-journal","volume":"7"},"uris":["http://www.mendeley.com/documents/?uuid=1bbcbe67-81d3-4c86-972d-12b5b9b8bb5e"]}],"mendeley":{"formattedCitation":"(Pantami et al. 2023)","plainTextFormattedCitation":"(Pantami et al. 2023)","previouslyFormattedCitation":"(Pantami et al. 2023)"},"properties":{"noteIndex":0},"schema":"https://github.com/citation-style-language/schema/raw/master/csl-citation.json"}</w:instrText>
      </w:r>
      <w:r w:rsidR="00B17C01" w:rsidRPr="00E47F58">
        <w:rPr>
          <w:rFonts w:ascii="Arial" w:hAnsi="Arial" w:cs="Arial"/>
          <w:sz w:val="20"/>
          <w:szCs w:val="20"/>
          <w:lang w:val="en-GB"/>
        </w:rPr>
        <w:fldChar w:fldCharType="separate"/>
      </w:r>
      <w:r w:rsidR="00F345E2" w:rsidRPr="00E47F58">
        <w:rPr>
          <w:rFonts w:ascii="Arial" w:hAnsi="Arial" w:cs="Arial"/>
          <w:noProof/>
          <w:sz w:val="20"/>
          <w:szCs w:val="20"/>
          <w:lang w:val="en-GB"/>
        </w:rPr>
        <w:t>(Pantami et al. 2023)</w:t>
      </w:r>
      <w:r w:rsidR="00B17C01" w:rsidRPr="00E47F58">
        <w:rPr>
          <w:rFonts w:ascii="Arial" w:hAnsi="Arial" w:cs="Arial"/>
          <w:sz w:val="20"/>
          <w:szCs w:val="20"/>
          <w:lang w:val="en-GB"/>
        </w:rPr>
        <w:fldChar w:fldCharType="end"/>
      </w:r>
      <w:r w:rsidR="00B17C01" w:rsidRPr="00E47F58">
        <w:rPr>
          <w:rFonts w:ascii="Arial" w:hAnsi="Arial" w:cs="Arial"/>
          <w:sz w:val="20"/>
          <w:szCs w:val="20"/>
          <w:lang w:val="en-GB"/>
        </w:rPr>
        <w:t>. In the present experiment</w:t>
      </w:r>
      <w:r w:rsidR="00EB6AE8" w:rsidRPr="00E47F58">
        <w:rPr>
          <w:rFonts w:ascii="Arial" w:hAnsi="Arial" w:cs="Arial"/>
          <w:sz w:val="20"/>
          <w:szCs w:val="20"/>
          <w:lang w:val="en-GB"/>
        </w:rPr>
        <w:t xml:space="preserve">, it was designed to show the </w:t>
      </w:r>
      <w:r w:rsidR="00B17C01" w:rsidRPr="00E47F58">
        <w:rPr>
          <w:rFonts w:ascii="Arial" w:hAnsi="Arial" w:cs="Arial"/>
          <w:sz w:val="20"/>
          <w:szCs w:val="20"/>
          <w:lang w:val="en-GB"/>
        </w:rPr>
        <w:t xml:space="preserve">detected </w:t>
      </w:r>
      <w:r w:rsidR="00EB6AE8" w:rsidRPr="00E47F58">
        <w:rPr>
          <w:rFonts w:ascii="Arial" w:hAnsi="Arial" w:cs="Arial"/>
          <w:sz w:val="20"/>
          <w:szCs w:val="20"/>
          <w:lang w:val="en-GB"/>
        </w:rPr>
        <w:t xml:space="preserve">metabolite fold changes as a result of incorporating a single concentration </w:t>
      </w:r>
      <w:r w:rsidR="00EB6AE8" w:rsidRPr="00E47F58">
        <w:rPr>
          <w:rFonts w:ascii="Arial" w:hAnsi="Arial" w:cs="Arial"/>
          <w:sz w:val="20"/>
          <w:szCs w:val="20"/>
          <w:lang w:val="en-GB"/>
        </w:rPr>
        <w:lastRenderedPageBreak/>
        <w:t>of</w:t>
      </w:r>
      <w:r w:rsidR="00B17C01" w:rsidRPr="00E47F58">
        <w:rPr>
          <w:rFonts w:ascii="Arial" w:hAnsi="Arial" w:cs="Arial"/>
          <w:sz w:val="20"/>
          <w:szCs w:val="20"/>
          <w:lang w:val="en-GB"/>
        </w:rPr>
        <w:t xml:space="preserve"> 125 mg/kg bw into fish feed</w:t>
      </w:r>
      <w:r w:rsidR="00EB6AE8" w:rsidRPr="00E47F58">
        <w:rPr>
          <w:rFonts w:ascii="Arial" w:hAnsi="Arial" w:cs="Arial"/>
          <w:sz w:val="20"/>
          <w:szCs w:val="20"/>
          <w:lang w:val="en-GB"/>
        </w:rPr>
        <w:t xml:space="preserve"> fed for 3 weeks in a prophylactic experiment. The MV</w:t>
      </w:r>
      <w:r w:rsidR="00B17C01" w:rsidRPr="00E47F58">
        <w:rPr>
          <w:rFonts w:ascii="Arial" w:hAnsi="Arial" w:cs="Arial"/>
          <w:sz w:val="20"/>
          <w:szCs w:val="20"/>
          <w:lang w:val="en-GB"/>
        </w:rPr>
        <w:t>D</w:t>
      </w:r>
      <w:r w:rsidR="00EB6AE8" w:rsidRPr="00E47F58">
        <w:rPr>
          <w:rFonts w:ascii="Arial" w:hAnsi="Arial" w:cs="Arial"/>
          <w:sz w:val="20"/>
          <w:szCs w:val="20"/>
          <w:lang w:val="en-GB"/>
        </w:rPr>
        <w:t>A was conducted with reference to the identified VIP metabolites because they have high hits and impact factors in the relevant analysed pathways</w:t>
      </w:r>
      <w:r w:rsidR="00B17C01" w:rsidRPr="00E47F58">
        <w:rPr>
          <w:rFonts w:ascii="Arial" w:hAnsi="Arial" w:cs="Arial"/>
          <w:sz w:val="20"/>
          <w:szCs w:val="20"/>
          <w:lang w:val="en-GB"/>
        </w:rPr>
        <w:t xml:space="preserve"> </w:t>
      </w:r>
      <w:r w:rsidR="00B17C01" w:rsidRPr="00E47F58">
        <w:rPr>
          <w:rFonts w:ascii="Arial" w:hAnsi="Arial" w:cs="Arial"/>
          <w:sz w:val="20"/>
          <w:szCs w:val="20"/>
          <w:lang w:val="en-GB"/>
        </w:rPr>
        <w:fldChar w:fldCharType="begin" w:fldLock="1"/>
      </w:r>
      <w:r w:rsidR="00A71624" w:rsidRPr="00E47F58">
        <w:rPr>
          <w:rFonts w:ascii="Arial" w:hAnsi="Arial" w:cs="Arial"/>
          <w:sz w:val="20"/>
          <w:szCs w:val="20"/>
          <w:lang w:val="en-GB"/>
        </w:rPr>
        <w:instrText>ADDIN CSL_CITATION {"citationItems":[{"id":"ITEM-1","itemData":{"DOI":"10.56892/bima.v7i01.396","author":[{"dropping-particle":"","family":"Pantami","given":"Hamza Ahmed","non-dropping-particle":"","parse-names":false,"suffix":""},{"dropping-particle":"","family":"Safwan","given":"Muhammad","non-dropping-particle":"","parse-names":false,"suffix":""},{"dropping-particle":"","family":"Bustamam","given":"Ahamad","non-dropping-particle":"","parse-names":false,"suffix":""},{"dropping-particle":"","family":"Min","given":"Chong Chou","non-dropping-particle":"","parse-names":false,"suffix":""},{"dropping-particle":"","family":"Ismail","given":"Intan Safinar","non-dropping-particle":"","parse-names":false,"suffix":""},{"dropping-particle":"","family":"Lee","given":"Soo Yee","non-dropping-particle":"","parse-names":false,"suffix":""},{"dropping-particle":"","family":"Abubakar","given":"Samaila","non-dropping-particle":"","parse-names":false,"suffix":""},{"dropping-particle":"","family":"Mohammed","given":"Usman Yakubu","non-dropping-particle":"","parse-names":false,"suffix":""}],"container-title":"Bima Journal of Science and Technology","id":"ITEM-1","issue":"1","issued":{"date-parts":[["2023"]]},"page":"165-189","title":"Integration of Spleen 1H NMR-Based Metabolomics Revealed the Immunomodulatory Effect of Chlorella vulgaris on Nile Tilapia (Oreochromis niloticus)","type":"article-journal","volume":"7"},"uris":["http://www.mendeley.com/documents/?uuid=1bbcbe67-81d3-4c86-972d-12b5b9b8bb5e"]}],"mendeley":{"formattedCitation":"(Pantami et al. 2023)","plainTextFormattedCitation":"(Pantami et al. 2023)","previouslyFormattedCitation":"(Pantami et al. 2023)"},"properties":{"noteIndex":0},"schema":"https://github.com/citation-style-language/schema/raw/master/csl-citation.json"}</w:instrText>
      </w:r>
      <w:r w:rsidR="00B17C01" w:rsidRPr="00E47F58">
        <w:rPr>
          <w:rFonts w:ascii="Arial" w:hAnsi="Arial" w:cs="Arial"/>
          <w:sz w:val="20"/>
          <w:szCs w:val="20"/>
          <w:lang w:val="en-GB"/>
        </w:rPr>
        <w:fldChar w:fldCharType="separate"/>
      </w:r>
      <w:r w:rsidR="00F345E2" w:rsidRPr="00E47F58">
        <w:rPr>
          <w:rFonts w:ascii="Arial" w:hAnsi="Arial" w:cs="Arial"/>
          <w:noProof/>
          <w:sz w:val="20"/>
          <w:szCs w:val="20"/>
          <w:lang w:val="en-GB"/>
        </w:rPr>
        <w:t>(Pantami et al. 2023)</w:t>
      </w:r>
      <w:r w:rsidR="00B17C01" w:rsidRPr="00E47F58">
        <w:rPr>
          <w:rFonts w:ascii="Arial" w:hAnsi="Arial" w:cs="Arial"/>
          <w:sz w:val="20"/>
          <w:szCs w:val="20"/>
          <w:lang w:val="en-GB"/>
        </w:rPr>
        <w:fldChar w:fldCharType="end"/>
      </w:r>
      <w:r w:rsidR="00EB6AE8" w:rsidRPr="00E47F58">
        <w:rPr>
          <w:rFonts w:ascii="Arial" w:hAnsi="Arial" w:cs="Arial"/>
          <w:sz w:val="20"/>
          <w:szCs w:val="20"/>
          <w:lang w:val="en-GB"/>
        </w:rPr>
        <w:t>.</w:t>
      </w:r>
    </w:p>
    <w:p w14:paraId="3AA4166A" w14:textId="77777777" w:rsidR="00EB6AE8" w:rsidRPr="00E47F58" w:rsidRDefault="00EB6AE8" w:rsidP="00EB6AE8">
      <w:pPr>
        <w:rPr>
          <w:rFonts w:ascii="Arial" w:hAnsi="Arial" w:cs="Arial"/>
          <w:color w:val="000000" w:themeColor="text1"/>
          <w:sz w:val="20"/>
          <w:szCs w:val="20"/>
          <w:lang w:val="en-GB"/>
        </w:rPr>
      </w:pPr>
    </w:p>
    <w:p w14:paraId="43FCBB79" w14:textId="77777777" w:rsidR="00EB6AE8" w:rsidRPr="00E47F58" w:rsidRDefault="00EB6AE8" w:rsidP="00EB6AE8">
      <w:pPr>
        <w:rPr>
          <w:rFonts w:ascii="Arial" w:hAnsi="Arial" w:cs="Arial"/>
          <w:color w:val="000000" w:themeColor="text1"/>
          <w:sz w:val="20"/>
          <w:szCs w:val="20"/>
          <w:lang w:val="en-GB"/>
        </w:rPr>
      </w:pPr>
    </w:p>
    <w:p w14:paraId="51B0D810" w14:textId="77777777" w:rsidR="00EB6AE8" w:rsidRPr="00E47F58" w:rsidRDefault="00EB6AE8" w:rsidP="00EB6AE8">
      <w:pPr>
        <w:rPr>
          <w:rFonts w:ascii="Arial" w:hAnsi="Arial" w:cs="Arial"/>
          <w:color w:val="000000" w:themeColor="text1"/>
          <w:sz w:val="20"/>
          <w:szCs w:val="20"/>
          <w:lang w:val="en-GB"/>
        </w:rPr>
      </w:pPr>
    </w:p>
    <w:p w14:paraId="085DC61E" w14:textId="77777777" w:rsidR="00EB6AE8" w:rsidRPr="00E47F58" w:rsidRDefault="00EB6AE8" w:rsidP="00EB6AE8">
      <w:pPr>
        <w:rPr>
          <w:rFonts w:ascii="Arial" w:hAnsi="Arial" w:cs="Arial"/>
          <w:color w:val="000000" w:themeColor="text1"/>
          <w:sz w:val="20"/>
          <w:szCs w:val="20"/>
          <w:lang w:val="en-GB"/>
        </w:rPr>
      </w:pPr>
    </w:p>
    <w:p w14:paraId="10861A62" w14:textId="77777777" w:rsidR="00EB6AE8" w:rsidRPr="00E47F58" w:rsidRDefault="00EB6AE8" w:rsidP="00EB6AE8">
      <w:pPr>
        <w:rPr>
          <w:rFonts w:ascii="Arial" w:hAnsi="Arial" w:cs="Arial"/>
          <w:color w:val="000000" w:themeColor="text1"/>
          <w:sz w:val="20"/>
          <w:szCs w:val="20"/>
          <w:lang w:val="en-GB"/>
        </w:rPr>
      </w:pPr>
    </w:p>
    <w:p w14:paraId="03AEDEE6" w14:textId="77777777" w:rsidR="00EB6AE8" w:rsidRPr="00E47F58" w:rsidRDefault="004737B8" w:rsidP="00151BFC">
      <w:pPr>
        <w:spacing w:after="0" w:line="240" w:lineRule="auto"/>
        <w:ind w:firstLine="720"/>
        <w:rPr>
          <w:rFonts w:ascii="Arial" w:hAnsi="Arial" w:cs="Arial"/>
          <w:color w:val="000000" w:themeColor="text1"/>
          <w:sz w:val="20"/>
          <w:szCs w:val="20"/>
          <w:lang w:val="en-GB"/>
        </w:rPr>
      </w:pPr>
      <w:r w:rsidRPr="00E47F58">
        <w:rPr>
          <w:rFonts w:ascii="Arial" w:hAnsi="Arial" w:cs="Arial"/>
          <w:b/>
          <w:bCs/>
          <w:noProof/>
          <w:color w:val="000000" w:themeColor="text1"/>
          <w:sz w:val="20"/>
          <w:szCs w:val="20"/>
        </w:rPr>
        <w:drawing>
          <wp:inline distT="0" distB="0" distL="0" distR="0" wp14:anchorId="3D8D20C4" wp14:editId="6A2EDB4A">
            <wp:extent cx="4921250" cy="5852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7217" r="10054" b="2124"/>
                    <a:stretch/>
                  </pic:blipFill>
                  <pic:spPr bwMode="auto">
                    <a:xfrm>
                      <a:off x="0" y="0"/>
                      <a:ext cx="4922325" cy="5853438"/>
                    </a:xfrm>
                    <a:prstGeom prst="rect">
                      <a:avLst/>
                    </a:prstGeom>
                    <a:noFill/>
                    <a:ln>
                      <a:noFill/>
                    </a:ln>
                    <a:extLst>
                      <a:ext uri="{53640926-AAD7-44D8-BBD7-CCE9431645EC}">
                        <a14:shadowObscured xmlns:a14="http://schemas.microsoft.com/office/drawing/2010/main"/>
                      </a:ext>
                    </a:extLst>
                  </pic:spPr>
                </pic:pic>
              </a:graphicData>
            </a:graphic>
          </wp:inline>
        </w:drawing>
      </w:r>
    </w:p>
    <w:p w14:paraId="66A9C0FE" w14:textId="77777777" w:rsidR="00EB6AE8" w:rsidRPr="00E47F58" w:rsidRDefault="00EB6AE8" w:rsidP="00EB6AE8">
      <w:pPr>
        <w:pStyle w:val="Caption"/>
        <w:rPr>
          <w:rFonts w:ascii="Arial" w:hAnsi="Arial" w:cs="Arial"/>
          <w:sz w:val="20"/>
          <w:szCs w:val="20"/>
          <w:lang w:val="en-GB"/>
        </w:rPr>
      </w:pPr>
      <w:bookmarkStart w:id="44" w:name="_Toc50653942"/>
      <w:r w:rsidRPr="00E47F58">
        <w:rPr>
          <w:rFonts w:ascii="Arial" w:hAnsi="Arial" w:cs="Arial"/>
          <w:sz w:val="20"/>
          <w:szCs w:val="20"/>
        </w:rPr>
        <w:lastRenderedPageBreak/>
        <w:t>Figure</w:t>
      </w:r>
      <w:r w:rsidR="00B17C01"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Figure \* ARABIC \s 1 </w:instrText>
      </w:r>
      <w:r w:rsidR="0022766E" w:rsidRPr="00E47F58">
        <w:rPr>
          <w:rFonts w:ascii="Arial" w:hAnsi="Arial" w:cs="Arial"/>
          <w:sz w:val="20"/>
          <w:szCs w:val="20"/>
        </w:rPr>
        <w:fldChar w:fldCharType="separate"/>
      </w:r>
      <w:r w:rsidRPr="00E47F58">
        <w:rPr>
          <w:rFonts w:ascii="Arial" w:hAnsi="Arial" w:cs="Arial"/>
          <w:noProof/>
          <w:sz w:val="20"/>
          <w:szCs w:val="20"/>
        </w:rPr>
        <w:t>6</w:t>
      </w:r>
      <w:r w:rsidR="0022766E" w:rsidRPr="00E47F58">
        <w:rPr>
          <w:rFonts w:ascii="Arial" w:hAnsi="Arial" w:cs="Arial"/>
          <w:noProof/>
          <w:sz w:val="20"/>
          <w:szCs w:val="20"/>
        </w:rPr>
        <w:fldChar w:fldCharType="end"/>
      </w:r>
      <w:r w:rsidRPr="00E47F58">
        <w:rPr>
          <w:rFonts w:ascii="Arial" w:hAnsi="Arial" w:cs="Arial"/>
          <w:sz w:val="20"/>
          <w:szCs w:val="20"/>
        </w:rPr>
        <w:t xml:space="preserve"> : </w:t>
      </w:r>
      <w:r w:rsidR="00B17C01" w:rsidRPr="00E47F58">
        <w:rPr>
          <w:rFonts w:ascii="Arial" w:hAnsi="Arial" w:cs="Arial"/>
          <w:sz w:val="20"/>
          <w:szCs w:val="20"/>
          <w:lang w:val="en-GB"/>
        </w:rPr>
        <w:t>OPLS-D</w:t>
      </w:r>
      <w:r w:rsidR="00BF1D2E" w:rsidRPr="00E47F58">
        <w:rPr>
          <w:rFonts w:ascii="Arial" w:hAnsi="Arial" w:cs="Arial"/>
          <w:sz w:val="20"/>
          <w:szCs w:val="20"/>
          <w:lang w:val="en-GB"/>
        </w:rPr>
        <w:t>A score plot (A) and S-plot (B)</w:t>
      </w:r>
      <w:r w:rsidRPr="00E47F58">
        <w:rPr>
          <w:rFonts w:ascii="Arial" w:hAnsi="Arial" w:cs="Arial"/>
          <w:sz w:val="20"/>
          <w:szCs w:val="20"/>
          <w:lang w:val="en-GB"/>
        </w:rPr>
        <w:t xml:space="preserve"> of </w:t>
      </w:r>
      <w:r w:rsidRPr="00E47F58">
        <w:rPr>
          <w:rFonts w:ascii="Arial" w:hAnsi="Arial" w:cs="Arial"/>
          <w:i/>
          <w:iCs/>
          <w:sz w:val="20"/>
          <w:szCs w:val="20"/>
          <w:lang w:val="en-GB"/>
        </w:rPr>
        <w:t xml:space="preserve">C. vulgaris </w:t>
      </w:r>
      <w:r w:rsidRPr="00E47F58">
        <w:rPr>
          <w:rFonts w:ascii="Arial" w:hAnsi="Arial" w:cs="Arial"/>
          <w:sz w:val="20"/>
          <w:szCs w:val="20"/>
          <w:lang w:val="en-GB"/>
        </w:rPr>
        <w:t>(CV) fish and the control fish (CF) showing their variability by PC1</w:t>
      </w:r>
      <w:bookmarkEnd w:id="44"/>
    </w:p>
    <w:p w14:paraId="195DCD42" w14:textId="77777777" w:rsidR="00EB6AE8" w:rsidRPr="00E47F58" w:rsidRDefault="00EB6AE8" w:rsidP="00EB6AE8">
      <w:pPr>
        <w:pStyle w:val="j"/>
        <w:rPr>
          <w:rFonts w:ascii="Arial" w:hAnsi="Arial" w:cs="Arial"/>
          <w:sz w:val="20"/>
          <w:szCs w:val="20"/>
          <w:lang w:val="en-GB"/>
        </w:rPr>
      </w:pPr>
    </w:p>
    <w:p w14:paraId="3E980F8E" w14:textId="77777777" w:rsidR="00EB6AE8" w:rsidRPr="00E47F58" w:rsidRDefault="00EB6AE8" w:rsidP="00EB6AE8">
      <w:pPr>
        <w:pStyle w:val="j"/>
        <w:rPr>
          <w:rFonts w:ascii="Arial" w:hAnsi="Arial" w:cs="Arial"/>
          <w:sz w:val="20"/>
          <w:szCs w:val="20"/>
          <w:lang w:val="en-GB"/>
        </w:rPr>
      </w:pPr>
    </w:p>
    <w:p w14:paraId="6A99855D" w14:textId="77777777" w:rsidR="00EB6AE8" w:rsidRPr="00E47F58" w:rsidRDefault="00BF1D2E" w:rsidP="00EB6AE8">
      <w:pPr>
        <w:pStyle w:val="single"/>
        <w:rPr>
          <w:rFonts w:ascii="Arial" w:hAnsi="Arial" w:cs="Arial"/>
          <w:sz w:val="20"/>
          <w:szCs w:val="20"/>
          <w:lang w:val="en-GB"/>
        </w:rPr>
      </w:pPr>
      <w:r w:rsidRPr="00E47F58">
        <w:rPr>
          <w:rFonts w:ascii="Arial" w:hAnsi="Arial" w:cs="Arial"/>
          <w:sz w:val="20"/>
          <w:szCs w:val="20"/>
          <w:lang w:val="en-GB"/>
        </w:rPr>
        <w:t xml:space="preserve">Figure </w:t>
      </w:r>
      <w:r w:rsidR="00EB6AE8" w:rsidRPr="00E47F58">
        <w:rPr>
          <w:rFonts w:ascii="Arial" w:hAnsi="Arial" w:cs="Arial"/>
          <w:sz w:val="20"/>
          <w:szCs w:val="20"/>
          <w:lang w:val="en-GB"/>
        </w:rPr>
        <w:t xml:space="preserve">6 shows the OPLS-DA score plot (A) and S-plot (B) of </w:t>
      </w:r>
      <w:r w:rsidR="00EB6AE8" w:rsidRPr="00E47F58">
        <w:rPr>
          <w:rFonts w:ascii="Arial" w:hAnsi="Arial" w:cs="Arial"/>
          <w:i/>
          <w:iCs/>
          <w:sz w:val="20"/>
          <w:szCs w:val="20"/>
          <w:lang w:val="en-GB"/>
        </w:rPr>
        <w:t xml:space="preserve">C. vulgaris </w:t>
      </w:r>
      <w:r w:rsidR="00EB6AE8" w:rsidRPr="00E47F58">
        <w:rPr>
          <w:rFonts w:ascii="Arial" w:hAnsi="Arial" w:cs="Arial"/>
          <w:sz w:val="20"/>
          <w:szCs w:val="20"/>
          <w:lang w:val="en-GB"/>
        </w:rPr>
        <w:t xml:space="preserve">(CV) fed fish and the control fish (CF). The model exhibited a high fitness, R2X of 0.839 and predictability, Q2 of 0.784 in which the PC1 explained a total variance of 40.1% and PC2 16.7%. The biomarkers for immune improvements in tilapia fish as a result of </w:t>
      </w:r>
      <w:r w:rsidR="00EB6AE8" w:rsidRPr="00E47F58">
        <w:rPr>
          <w:rFonts w:ascii="Arial" w:hAnsi="Arial" w:cs="Arial"/>
          <w:i/>
          <w:iCs/>
          <w:sz w:val="20"/>
          <w:szCs w:val="20"/>
          <w:lang w:val="en-GB"/>
        </w:rPr>
        <w:t xml:space="preserve">C. vulgaris </w:t>
      </w:r>
      <w:r w:rsidR="00EB6AE8" w:rsidRPr="00E47F58">
        <w:rPr>
          <w:rFonts w:ascii="Arial" w:hAnsi="Arial" w:cs="Arial"/>
          <w:sz w:val="20"/>
          <w:szCs w:val="20"/>
          <w:lang w:val="en-GB"/>
        </w:rPr>
        <w:t>feeding was identified based on the chemical shift data of the standard compounds available in the Chenomx library. The supervised orthogonal projection to latent structure discriminant analysis (OPLS-DA) was applied to reveal the clear separation about the significant metabolites assoc</w:t>
      </w:r>
      <w:r w:rsidR="00AC7CB1" w:rsidRPr="00E47F58">
        <w:rPr>
          <w:rFonts w:ascii="Arial" w:hAnsi="Arial" w:cs="Arial"/>
          <w:sz w:val="20"/>
          <w:szCs w:val="20"/>
          <w:lang w:val="en-GB"/>
        </w:rPr>
        <w:t>iated with CV and CF (Figure 6</w:t>
      </w:r>
      <w:r w:rsidR="00EB6AE8" w:rsidRPr="00E47F58">
        <w:rPr>
          <w:rFonts w:ascii="Arial" w:hAnsi="Arial" w:cs="Arial"/>
          <w:sz w:val="20"/>
          <w:szCs w:val="20"/>
          <w:lang w:val="en-GB"/>
        </w:rPr>
        <w:t xml:space="preserve">A, </w:t>
      </w:r>
      <w:r w:rsidR="00AC7CB1" w:rsidRPr="00E47F58">
        <w:rPr>
          <w:rFonts w:ascii="Arial" w:hAnsi="Arial" w:cs="Arial"/>
          <w:sz w:val="20"/>
          <w:szCs w:val="20"/>
          <w:lang w:val="en-GB"/>
        </w:rPr>
        <w:t>6</w:t>
      </w:r>
      <w:r w:rsidR="00EB6AE8" w:rsidRPr="00E47F58">
        <w:rPr>
          <w:rFonts w:ascii="Arial" w:hAnsi="Arial" w:cs="Arial"/>
          <w:sz w:val="20"/>
          <w:szCs w:val="20"/>
          <w:lang w:val="en-GB"/>
        </w:rPr>
        <w:t xml:space="preserve">B). There was an obvious separation between CV and CF by PC1. This result provides the suggested metabolites that were significantly affected by the treatment. The S-plot is the covariance and correlation loading diagnostics of the OPLS-DA model, which provides an overview of the affecting variables on the model by filtering the important metabolites in the projection. The significantly increased metabolites by the treatment are found in the upper-right quadrant of the S-plot which have the positive correlation and </w:t>
      </w:r>
      <w:r w:rsidR="00AC7CB1" w:rsidRPr="00E47F58">
        <w:rPr>
          <w:rFonts w:ascii="Arial" w:hAnsi="Arial" w:cs="Arial"/>
          <w:sz w:val="20"/>
          <w:szCs w:val="20"/>
          <w:lang w:val="en-GB"/>
        </w:rPr>
        <w:t xml:space="preserve">covariance as shown in Figure </w:t>
      </w:r>
      <w:r w:rsidR="00EB6AE8" w:rsidRPr="00E47F58">
        <w:rPr>
          <w:rFonts w:ascii="Arial" w:hAnsi="Arial" w:cs="Arial"/>
          <w:sz w:val="20"/>
          <w:szCs w:val="20"/>
          <w:lang w:val="en-GB"/>
        </w:rPr>
        <w:t xml:space="preserve">6B. These are the suggested biomarkers of immune improvements in tilapia as a result of </w:t>
      </w:r>
      <w:r w:rsidR="00EB6AE8" w:rsidRPr="00E47F58">
        <w:rPr>
          <w:rFonts w:ascii="Arial" w:hAnsi="Arial" w:cs="Arial"/>
          <w:i/>
          <w:iCs/>
          <w:sz w:val="20"/>
          <w:szCs w:val="20"/>
          <w:lang w:val="en-GB"/>
        </w:rPr>
        <w:t xml:space="preserve">C. vulgaris </w:t>
      </w:r>
      <w:r w:rsidR="00EB6AE8" w:rsidRPr="00E47F58">
        <w:rPr>
          <w:rFonts w:ascii="Arial" w:hAnsi="Arial" w:cs="Arial"/>
          <w:sz w:val="20"/>
          <w:szCs w:val="20"/>
          <w:lang w:val="en-GB"/>
        </w:rPr>
        <w:t>feeding and they include alanine, riboflavin, methionine, choline, proline, valine, leucine, glutamic acid palmitic acid, arginine, creatine, taurine, isoleucine, linolenic acid and oleic acid. However, the very few decreased metabolites as a result of the same treatment are found in the lower-left quadrant of the same S-plot.</w:t>
      </w:r>
    </w:p>
    <w:p w14:paraId="1E9E2544"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rPr>
        <w:t>The CV and CF fish are well separated into 2 clusters by PC 1</w:t>
      </w:r>
      <w:r w:rsidR="00AC7CB1" w:rsidRPr="00E47F58">
        <w:rPr>
          <w:rFonts w:ascii="Arial" w:hAnsi="Arial" w:cs="Arial"/>
          <w:sz w:val="20"/>
          <w:szCs w:val="20"/>
        </w:rPr>
        <w:t>, which explained maximum</w:t>
      </w:r>
      <w:r w:rsidRPr="00E47F58">
        <w:rPr>
          <w:rFonts w:ascii="Arial" w:hAnsi="Arial" w:cs="Arial"/>
          <w:sz w:val="20"/>
          <w:szCs w:val="20"/>
        </w:rPr>
        <w:t xml:space="preserve"> </w:t>
      </w:r>
      <w:r w:rsidR="00AC7CB1" w:rsidRPr="00E47F58">
        <w:rPr>
          <w:rFonts w:ascii="Arial" w:hAnsi="Arial" w:cs="Arial"/>
          <w:sz w:val="20"/>
          <w:szCs w:val="20"/>
        </w:rPr>
        <w:t xml:space="preserve">metabolite </w:t>
      </w:r>
      <w:r w:rsidRPr="00E47F58">
        <w:rPr>
          <w:rFonts w:ascii="Arial" w:hAnsi="Arial" w:cs="Arial"/>
          <w:sz w:val="20"/>
          <w:szCs w:val="20"/>
        </w:rPr>
        <w:t xml:space="preserve">variability. </w:t>
      </w:r>
      <w:r w:rsidRPr="00E47F58">
        <w:rPr>
          <w:rFonts w:ascii="Arial" w:hAnsi="Arial" w:cs="Arial"/>
          <w:sz w:val="20"/>
          <w:szCs w:val="20"/>
          <w:lang w:val="en-GB"/>
        </w:rPr>
        <w:t>The importance of the metabolites resulting from the separation of these two groups are suggested by the variable importance of projection (VIP) analysis of the OPLS-DA model (Table 6.3). Metabolites with VIP ≥ 1 were considered the most contributors for separation of the groups by PC1. The detected VIP metabolites were also used in the determination of metabolite’s fold changes.</w:t>
      </w:r>
    </w:p>
    <w:p w14:paraId="34086B6F" w14:textId="77777777" w:rsidR="00EB6AE8" w:rsidRPr="00E47F58" w:rsidRDefault="00EB6AE8" w:rsidP="00EB6AE8">
      <w:pPr>
        <w:pStyle w:val="Caption"/>
        <w:keepNext/>
        <w:rPr>
          <w:rFonts w:ascii="Arial" w:hAnsi="Arial" w:cs="Arial"/>
          <w:sz w:val="20"/>
          <w:szCs w:val="20"/>
        </w:rPr>
      </w:pPr>
      <w:bookmarkStart w:id="45" w:name="_Toc50652952"/>
      <w:r w:rsidRPr="00E47F58">
        <w:rPr>
          <w:rFonts w:ascii="Arial" w:hAnsi="Arial" w:cs="Arial"/>
          <w:sz w:val="20"/>
          <w:szCs w:val="20"/>
        </w:rPr>
        <w:t>Table</w:t>
      </w:r>
      <w:r w:rsidR="00AC7CB1"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Table \* ARABIC \s 1 </w:instrText>
      </w:r>
      <w:r w:rsidR="0022766E" w:rsidRPr="00E47F58">
        <w:rPr>
          <w:rFonts w:ascii="Arial" w:hAnsi="Arial" w:cs="Arial"/>
          <w:sz w:val="20"/>
          <w:szCs w:val="20"/>
        </w:rPr>
        <w:fldChar w:fldCharType="separate"/>
      </w:r>
      <w:r w:rsidRPr="00E47F58">
        <w:rPr>
          <w:rFonts w:ascii="Arial" w:hAnsi="Arial" w:cs="Arial"/>
          <w:noProof/>
          <w:sz w:val="20"/>
          <w:szCs w:val="20"/>
        </w:rPr>
        <w:t>3</w:t>
      </w:r>
      <w:r w:rsidR="0022766E" w:rsidRPr="00E47F58">
        <w:rPr>
          <w:rFonts w:ascii="Arial" w:hAnsi="Arial" w:cs="Arial"/>
          <w:noProof/>
          <w:sz w:val="20"/>
          <w:szCs w:val="20"/>
        </w:rPr>
        <w:fldChar w:fldCharType="end"/>
      </w:r>
      <w:r w:rsidRPr="00E47F58">
        <w:rPr>
          <w:rFonts w:ascii="Arial" w:hAnsi="Arial" w:cs="Arial"/>
          <w:sz w:val="20"/>
          <w:szCs w:val="20"/>
        </w:rPr>
        <w:t xml:space="preserve"> : OPLS-DA VIP analysis showing metabolites with VIP ≥ </w:t>
      </w:r>
      <w:r w:rsidR="00ED4590" w:rsidRPr="00E47F58">
        <w:rPr>
          <w:rFonts w:ascii="Arial" w:hAnsi="Arial" w:cs="Arial"/>
          <w:sz w:val="20"/>
          <w:szCs w:val="20"/>
        </w:rPr>
        <w:t xml:space="preserve">1 </w:t>
      </w:r>
      <w:r w:rsidRPr="00E47F58">
        <w:rPr>
          <w:rFonts w:ascii="Arial" w:hAnsi="Arial" w:cs="Arial"/>
          <w:sz w:val="20"/>
          <w:szCs w:val="20"/>
        </w:rPr>
        <w:t>resulting from the separation of CV and CF by PC1</w:t>
      </w:r>
      <w:bookmarkEnd w:id="45"/>
    </w:p>
    <w:p w14:paraId="420E50F9" w14:textId="77777777" w:rsidR="00EB6AE8" w:rsidRPr="00E47F58" w:rsidRDefault="00EB6AE8" w:rsidP="00EB6AE8">
      <w:pPr>
        <w:pStyle w:val="j"/>
        <w:rPr>
          <w:rFonts w:ascii="Arial" w:hAnsi="Arial" w:cs="Arial"/>
          <w:sz w:val="20"/>
          <w:szCs w:val="20"/>
        </w:rPr>
      </w:pPr>
    </w:p>
    <w:tbl>
      <w:tblPr>
        <w:tblStyle w:val="TableGrid"/>
        <w:tblW w:w="5000" w:type="pct"/>
        <w:jc w:val="center"/>
        <w:tblLook w:val="04A0" w:firstRow="1" w:lastRow="0" w:firstColumn="1" w:lastColumn="0" w:noHBand="0" w:noVBand="1"/>
      </w:tblPr>
      <w:tblGrid>
        <w:gridCol w:w="1175"/>
        <w:gridCol w:w="2790"/>
        <w:gridCol w:w="3076"/>
        <w:gridCol w:w="2309"/>
      </w:tblGrid>
      <w:tr w:rsidR="00EB6AE8" w:rsidRPr="00E47F58" w14:paraId="39D1A79D" w14:textId="77777777" w:rsidTr="00FB023F">
        <w:trPr>
          <w:jc w:val="center"/>
        </w:trPr>
        <w:tc>
          <w:tcPr>
            <w:tcW w:w="628" w:type="pct"/>
          </w:tcPr>
          <w:p w14:paraId="3A453D85"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S.No.</w:t>
            </w:r>
          </w:p>
        </w:tc>
        <w:tc>
          <w:tcPr>
            <w:tcW w:w="1492" w:type="pct"/>
          </w:tcPr>
          <w:p w14:paraId="0D55E1B9"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Metabolites</w:t>
            </w:r>
          </w:p>
        </w:tc>
        <w:tc>
          <w:tcPr>
            <w:tcW w:w="1645" w:type="pct"/>
          </w:tcPr>
          <w:p w14:paraId="32C137D8"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Chemical shifts (ppm)</w:t>
            </w:r>
          </w:p>
        </w:tc>
        <w:tc>
          <w:tcPr>
            <w:tcW w:w="1235" w:type="pct"/>
          </w:tcPr>
          <w:p w14:paraId="398837CE"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VIP values</w:t>
            </w:r>
          </w:p>
        </w:tc>
      </w:tr>
      <w:tr w:rsidR="00EB6AE8" w:rsidRPr="00E47F58" w14:paraId="68B84460" w14:textId="77777777" w:rsidTr="00FB023F">
        <w:trPr>
          <w:jc w:val="center"/>
        </w:trPr>
        <w:tc>
          <w:tcPr>
            <w:tcW w:w="628" w:type="pct"/>
          </w:tcPr>
          <w:p w14:paraId="3B17FA57"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1</w:t>
            </w:r>
          </w:p>
        </w:tc>
        <w:tc>
          <w:tcPr>
            <w:tcW w:w="1492" w:type="pct"/>
          </w:tcPr>
          <w:p w14:paraId="21EBC050"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Histamine</w:t>
            </w:r>
          </w:p>
        </w:tc>
        <w:tc>
          <w:tcPr>
            <w:tcW w:w="1645" w:type="pct"/>
          </w:tcPr>
          <w:p w14:paraId="6C3D7555"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7.90(s)</w:t>
            </w:r>
          </w:p>
        </w:tc>
        <w:tc>
          <w:tcPr>
            <w:tcW w:w="1235" w:type="pct"/>
          </w:tcPr>
          <w:p w14:paraId="0CCB2788"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4.7</w:t>
            </w:r>
          </w:p>
        </w:tc>
      </w:tr>
      <w:tr w:rsidR="00EB6AE8" w:rsidRPr="00E47F58" w14:paraId="669433C5" w14:textId="77777777" w:rsidTr="00FB023F">
        <w:trPr>
          <w:jc w:val="center"/>
        </w:trPr>
        <w:tc>
          <w:tcPr>
            <w:tcW w:w="628" w:type="pct"/>
          </w:tcPr>
          <w:p w14:paraId="00240B05"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2</w:t>
            </w:r>
          </w:p>
        </w:tc>
        <w:tc>
          <w:tcPr>
            <w:tcW w:w="1492" w:type="pct"/>
          </w:tcPr>
          <w:p w14:paraId="01C760C3"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Alanine</w:t>
            </w:r>
          </w:p>
        </w:tc>
        <w:tc>
          <w:tcPr>
            <w:tcW w:w="1645" w:type="pct"/>
          </w:tcPr>
          <w:p w14:paraId="58D7D72E"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3.89(m)</w:t>
            </w:r>
          </w:p>
        </w:tc>
        <w:tc>
          <w:tcPr>
            <w:tcW w:w="1235" w:type="pct"/>
          </w:tcPr>
          <w:p w14:paraId="6B66ECB8"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4.3</w:t>
            </w:r>
          </w:p>
        </w:tc>
      </w:tr>
      <w:tr w:rsidR="00EB6AE8" w:rsidRPr="00E47F58" w14:paraId="1A17A88B" w14:textId="77777777" w:rsidTr="00FB023F">
        <w:trPr>
          <w:jc w:val="center"/>
        </w:trPr>
        <w:tc>
          <w:tcPr>
            <w:tcW w:w="628" w:type="pct"/>
          </w:tcPr>
          <w:p w14:paraId="5E93002E"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3</w:t>
            </w:r>
          </w:p>
        </w:tc>
        <w:tc>
          <w:tcPr>
            <w:tcW w:w="1492" w:type="pct"/>
          </w:tcPr>
          <w:p w14:paraId="487AC8F7"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Valine </w:t>
            </w:r>
          </w:p>
        </w:tc>
        <w:tc>
          <w:tcPr>
            <w:tcW w:w="1645" w:type="pct"/>
          </w:tcPr>
          <w:p w14:paraId="297C86EB"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3.60(d)</w:t>
            </w:r>
          </w:p>
        </w:tc>
        <w:tc>
          <w:tcPr>
            <w:tcW w:w="1235" w:type="pct"/>
          </w:tcPr>
          <w:p w14:paraId="2950C162"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2.6</w:t>
            </w:r>
          </w:p>
        </w:tc>
      </w:tr>
      <w:tr w:rsidR="00EB6AE8" w:rsidRPr="00E47F58" w14:paraId="20795900" w14:textId="77777777" w:rsidTr="00FB023F">
        <w:trPr>
          <w:jc w:val="center"/>
        </w:trPr>
        <w:tc>
          <w:tcPr>
            <w:tcW w:w="628" w:type="pct"/>
          </w:tcPr>
          <w:p w14:paraId="18A98B1B"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4</w:t>
            </w:r>
          </w:p>
        </w:tc>
        <w:tc>
          <w:tcPr>
            <w:tcW w:w="1492" w:type="pct"/>
          </w:tcPr>
          <w:p w14:paraId="3B4A3D89"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Oleic acid </w:t>
            </w:r>
          </w:p>
        </w:tc>
        <w:tc>
          <w:tcPr>
            <w:tcW w:w="1645" w:type="pct"/>
          </w:tcPr>
          <w:p w14:paraId="2A27897C"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2.30(t)</w:t>
            </w:r>
          </w:p>
        </w:tc>
        <w:tc>
          <w:tcPr>
            <w:tcW w:w="1235" w:type="pct"/>
          </w:tcPr>
          <w:p w14:paraId="49D23649"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2.1</w:t>
            </w:r>
          </w:p>
        </w:tc>
      </w:tr>
      <w:tr w:rsidR="00EB6AE8" w:rsidRPr="00E47F58" w14:paraId="67098E5B" w14:textId="77777777" w:rsidTr="00FB023F">
        <w:trPr>
          <w:jc w:val="center"/>
        </w:trPr>
        <w:tc>
          <w:tcPr>
            <w:tcW w:w="628" w:type="pct"/>
          </w:tcPr>
          <w:p w14:paraId="6A581D9A"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5</w:t>
            </w:r>
          </w:p>
        </w:tc>
        <w:tc>
          <w:tcPr>
            <w:tcW w:w="1492" w:type="pct"/>
          </w:tcPr>
          <w:p w14:paraId="51749D86"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Choline </w:t>
            </w:r>
          </w:p>
        </w:tc>
        <w:tc>
          <w:tcPr>
            <w:tcW w:w="1645" w:type="pct"/>
          </w:tcPr>
          <w:p w14:paraId="01CBEBD6"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3.5(dd)</w:t>
            </w:r>
          </w:p>
        </w:tc>
        <w:tc>
          <w:tcPr>
            <w:tcW w:w="1235" w:type="pct"/>
          </w:tcPr>
          <w:p w14:paraId="07230F2B"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2.0</w:t>
            </w:r>
          </w:p>
        </w:tc>
      </w:tr>
      <w:tr w:rsidR="00EB6AE8" w:rsidRPr="00E47F58" w14:paraId="405E8761" w14:textId="77777777" w:rsidTr="00FB023F">
        <w:trPr>
          <w:jc w:val="center"/>
        </w:trPr>
        <w:tc>
          <w:tcPr>
            <w:tcW w:w="628" w:type="pct"/>
          </w:tcPr>
          <w:p w14:paraId="74A7308F"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6</w:t>
            </w:r>
          </w:p>
        </w:tc>
        <w:tc>
          <w:tcPr>
            <w:tcW w:w="1492" w:type="pct"/>
          </w:tcPr>
          <w:p w14:paraId="4CFEC400"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Palmitic acid</w:t>
            </w:r>
          </w:p>
        </w:tc>
        <w:tc>
          <w:tcPr>
            <w:tcW w:w="1645" w:type="pct"/>
          </w:tcPr>
          <w:p w14:paraId="64B21D1F"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0.86(t)</w:t>
            </w:r>
          </w:p>
        </w:tc>
        <w:tc>
          <w:tcPr>
            <w:tcW w:w="1235" w:type="pct"/>
          </w:tcPr>
          <w:p w14:paraId="20142866"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1.9</w:t>
            </w:r>
          </w:p>
        </w:tc>
      </w:tr>
      <w:tr w:rsidR="00EB6AE8" w:rsidRPr="00E47F58" w14:paraId="39CE755B" w14:textId="77777777" w:rsidTr="00FB023F">
        <w:trPr>
          <w:jc w:val="center"/>
        </w:trPr>
        <w:tc>
          <w:tcPr>
            <w:tcW w:w="628" w:type="pct"/>
          </w:tcPr>
          <w:p w14:paraId="057C622B"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7</w:t>
            </w:r>
          </w:p>
        </w:tc>
        <w:tc>
          <w:tcPr>
            <w:tcW w:w="1492" w:type="pct"/>
          </w:tcPr>
          <w:p w14:paraId="0FCEBB81"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Riboflavin </w:t>
            </w:r>
          </w:p>
        </w:tc>
        <w:tc>
          <w:tcPr>
            <w:tcW w:w="1645" w:type="pct"/>
          </w:tcPr>
          <w:p w14:paraId="08FBF9F7"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1.65(m)</w:t>
            </w:r>
          </w:p>
        </w:tc>
        <w:tc>
          <w:tcPr>
            <w:tcW w:w="1235" w:type="pct"/>
          </w:tcPr>
          <w:p w14:paraId="45B131C0"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1.8</w:t>
            </w:r>
          </w:p>
        </w:tc>
      </w:tr>
      <w:tr w:rsidR="00EB6AE8" w:rsidRPr="00E47F58" w14:paraId="3596D4B9" w14:textId="77777777" w:rsidTr="00FB023F">
        <w:trPr>
          <w:jc w:val="center"/>
        </w:trPr>
        <w:tc>
          <w:tcPr>
            <w:tcW w:w="628" w:type="pct"/>
          </w:tcPr>
          <w:p w14:paraId="4078FF65"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8</w:t>
            </w:r>
          </w:p>
        </w:tc>
        <w:tc>
          <w:tcPr>
            <w:tcW w:w="1492" w:type="pct"/>
          </w:tcPr>
          <w:p w14:paraId="7CEAAFA3"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Glycine </w:t>
            </w:r>
          </w:p>
        </w:tc>
        <w:tc>
          <w:tcPr>
            <w:tcW w:w="1645" w:type="pct"/>
          </w:tcPr>
          <w:p w14:paraId="5260FA46"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3.60(s)</w:t>
            </w:r>
          </w:p>
        </w:tc>
        <w:tc>
          <w:tcPr>
            <w:tcW w:w="1235" w:type="pct"/>
          </w:tcPr>
          <w:p w14:paraId="6D6E2538"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1.8</w:t>
            </w:r>
          </w:p>
        </w:tc>
      </w:tr>
      <w:tr w:rsidR="00EB6AE8" w:rsidRPr="00E47F58" w14:paraId="30226B6D" w14:textId="77777777" w:rsidTr="00FB023F">
        <w:trPr>
          <w:jc w:val="center"/>
        </w:trPr>
        <w:tc>
          <w:tcPr>
            <w:tcW w:w="628" w:type="pct"/>
          </w:tcPr>
          <w:p w14:paraId="766B8EF3"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9</w:t>
            </w:r>
          </w:p>
        </w:tc>
        <w:tc>
          <w:tcPr>
            <w:tcW w:w="1492" w:type="pct"/>
          </w:tcPr>
          <w:p w14:paraId="17580700"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Proline </w:t>
            </w:r>
          </w:p>
        </w:tc>
        <w:tc>
          <w:tcPr>
            <w:tcW w:w="1645" w:type="pct"/>
          </w:tcPr>
          <w:p w14:paraId="27115541"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4.14(m)</w:t>
            </w:r>
          </w:p>
        </w:tc>
        <w:tc>
          <w:tcPr>
            <w:tcW w:w="1235" w:type="pct"/>
          </w:tcPr>
          <w:p w14:paraId="5F0078AD"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1.7</w:t>
            </w:r>
          </w:p>
        </w:tc>
      </w:tr>
      <w:tr w:rsidR="00EB6AE8" w:rsidRPr="00E47F58" w14:paraId="4A3F4C09" w14:textId="77777777" w:rsidTr="00FB023F">
        <w:trPr>
          <w:jc w:val="center"/>
        </w:trPr>
        <w:tc>
          <w:tcPr>
            <w:tcW w:w="628" w:type="pct"/>
          </w:tcPr>
          <w:p w14:paraId="338001A0"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10</w:t>
            </w:r>
          </w:p>
        </w:tc>
        <w:tc>
          <w:tcPr>
            <w:tcW w:w="1492" w:type="pct"/>
          </w:tcPr>
          <w:p w14:paraId="50CB2679"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Glucose </w:t>
            </w:r>
          </w:p>
        </w:tc>
        <w:tc>
          <w:tcPr>
            <w:tcW w:w="1645" w:type="pct"/>
          </w:tcPr>
          <w:p w14:paraId="1C8FD783"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5.22(s)</w:t>
            </w:r>
          </w:p>
        </w:tc>
        <w:tc>
          <w:tcPr>
            <w:tcW w:w="1235" w:type="pct"/>
          </w:tcPr>
          <w:p w14:paraId="554B711D"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1.4</w:t>
            </w:r>
          </w:p>
        </w:tc>
      </w:tr>
      <w:tr w:rsidR="00EB6AE8" w:rsidRPr="00E47F58" w14:paraId="27C31FDA" w14:textId="77777777" w:rsidTr="00FB023F">
        <w:trPr>
          <w:jc w:val="center"/>
        </w:trPr>
        <w:tc>
          <w:tcPr>
            <w:tcW w:w="628" w:type="pct"/>
          </w:tcPr>
          <w:p w14:paraId="7954E1B0"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11</w:t>
            </w:r>
          </w:p>
        </w:tc>
        <w:tc>
          <w:tcPr>
            <w:tcW w:w="1492" w:type="pct"/>
          </w:tcPr>
          <w:p w14:paraId="486316C5"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Taurine </w:t>
            </w:r>
          </w:p>
        </w:tc>
        <w:tc>
          <w:tcPr>
            <w:tcW w:w="1645" w:type="pct"/>
          </w:tcPr>
          <w:p w14:paraId="1C6D6AE5"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3.42(t)</w:t>
            </w:r>
          </w:p>
        </w:tc>
        <w:tc>
          <w:tcPr>
            <w:tcW w:w="1235" w:type="pct"/>
          </w:tcPr>
          <w:p w14:paraId="2CAA992D"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1.3</w:t>
            </w:r>
          </w:p>
        </w:tc>
      </w:tr>
      <w:tr w:rsidR="00EB6AE8" w:rsidRPr="00E47F58" w14:paraId="11C18519" w14:textId="77777777" w:rsidTr="00FB023F">
        <w:trPr>
          <w:jc w:val="center"/>
        </w:trPr>
        <w:tc>
          <w:tcPr>
            <w:tcW w:w="628" w:type="pct"/>
          </w:tcPr>
          <w:p w14:paraId="03A9B322"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12</w:t>
            </w:r>
          </w:p>
        </w:tc>
        <w:tc>
          <w:tcPr>
            <w:tcW w:w="1492" w:type="pct"/>
          </w:tcPr>
          <w:p w14:paraId="2049D707"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Isoleucine </w:t>
            </w:r>
          </w:p>
        </w:tc>
        <w:tc>
          <w:tcPr>
            <w:tcW w:w="1645" w:type="pct"/>
          </w:tcPr>
          <w:p w14:paraId="4BCAD972"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3.43(d)</w:t>
            </w:r>
          </w:p>
        </w:tc>
        <w:tc>
          <w:tcPr>
            <w:tcW w:w="1235" w:type="pct"/>
          </w:tcPr>
          <w:p w14:paraId="4004C334"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1.2</w:t>
            </w:r>
          </w:p>
        </w:tc>
      </w:tr>
      <w:tr w:rsidR="00EB6AE8" w:rsidRPr="00E47F58" w14:paraId="5264604D" w14:textId="77777777" w:rsidTr="00FB023F">
        <w:trPr>
          <w:jc w:val="center"/>
        </w:trPr>
        <w:tc>
          <w:tcPr>
            <w:tcW w:w="628" w:type="pct"/>
          </w:tcPr>
          <w:p w14:paraId="481BD671"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13</w:t>
            </w:r>
          </w:p>
        </w:tc>
        <w:tc>
          <w:tcPr>
            <w:tcW w:w="1492" w:type="pct"/>
          </w:tcPr>
          <w:p w14:paraId="6EFE7607"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Arginine </w:t>
            </w:r>
          </w:p>
        </w:tc>
        <w:tc>
          <w:tcPr>
            <w:tcW w:w="1645" w:type="pct"/>
          </w:tcPr>
          <w:p w14:paraId="3302E799"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3.76(d)</w:t>
            </w:r>
          </w:p>
        </w:tc>
        <w:tc>
          <w:tcPr>
            <w:tcW w:w="1235" w:type="pct"/>
          </w:tcPr>
          <w:p w14:paraId="117BB891"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1.2</w:t>
            </w:r>
          </w:p>
        </w:tc>
      </w:tr>
      <w:tr w:rsidR="00EB6AE8" w:rsidRPr="00E47F58" w14:paraId="6D30752F" w14:textId="77777777" w:rsidTr="00FB023F">
        <w:trPr>
          <w:jc w:val="center"/>
        </w:trPr>
        <w:tc>
          <w:tcPr>
            <w:tcW w:w="628" w:type="pct"/>
          </w:tcPr>
          <w:p w14:paraId="6FCF4AB4"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14</w:t>
            </w:r>
          </w:p>
        </w:tc>
        <w:tc>
          <w:tcPr>
            <w:tcW w:w="1492" w:type="pct"/>
          </w:tcPr>
          <w:p w14:paraId="7E71C855"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Leucine </w:t>
            </w:r>
          </w:p>
        </w:tc>
        <w:tc>
          <w:tcPr>
            <w:tcW w:w="1645" w:type="pct"/>
          </w:tcPr>
          <w:p w14:paraId="6E1F6946"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3.44(t)</w:t>
            </w:r>
          </w:p>
        </w:tc>
        <w:tc>
          <w:tcPr>
            <w:tcW w:w="1235" w:type="pct"/>
          </w:tcPr>
          <w:p w14:paraId="4616A122"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1.2</w:t>
            </w:r>
          </w:p>
        </w:tc>
      </w:tr>
      <w:tr w:rsidR="00EB6AE8" w:rsidRPr="00E47F58" w14:paraId="1DFCD42F" w14:textId="77777777" w:rsidTr="00FB023F">
        <w:trPr>
          <w:jc w:val="center"/>
        </w:trPr>
        <w:tc>
          <w:tcPr>
            <w:tcW w:w="628" w:type="pct"/>
          </w:tcPr>
          <w:p w14:paraId="770C7220"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15</w:t>
            </w:r>
          </w:p>
        </w:tc>
        <w:tc>
          <w:tcPr>
            <w:tcW w:w="1492" w:type="pct"/>
          </w:tcPr>
          <w:p w14:paraId="33831EC0"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Creatine </w:t>
            </w:r>
          </w:p>
        </w:tc>
        <w:tc>
          <w:tcPr>
            <w:tcW w:w="1645" w:type="pct"/>
          </w:tcPr>
          <w:p w14:paraId="483F7F98"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3.90(s)</w:t>
            </w:r>
          </w:p>
        </w:tc>
        <w:tc>
          <w:tcPr>
            <w:tcW w:w="1235" w:type="pct"/>
          </w:tcPr>
          <w:p w14:paraId="470ECDE0"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1.1</w:t>
            </w:r>
          </w:p>
        </w:tc>
      </w:tr>
      <w:tr w:rsidR="00EB6AE8" w:rsidRPr="00E47F58" w14:paraId="66F9B1F1" w14:textId="77777777" w:rsidTr="00FB023F">
        <w:trPr>
          <w:jc w:val="center"/>
        </w:trPr>
        <w:tc>
          <w:tcPr>
            <w:tcW w:w="628" w:type="pct"/>
          </w:tcPr>
          <w:p w14:paraId="0764BF55"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16</w:t>
            </w:r>
          </w:p>
        </w:tc>
        <w:tc>
          <w:tcPr>
            <w:tcW w:w="1492" w:type="pct"/>
          </w:tcPr>
          <w:p w14:paraId="3F0CD275"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Methionine </w:t>
            </w:r>
          </w:p>
        </w:tc>
        <w:tc>
          <w:tcPr>
            <w:tcW w:w="1645" w:type="pct"/>
          </w:tcPr>
          <w:p w14:paraId="69F29D48"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2.63(t)</w:t>
            </w:r>
          </w:p>
        </w:tc>
        <w:tc>
          <w:tcPr>
            <w:tcW w:w="1235" w:type="pct"/>
          </w:tcPr>
          <w:p w14:paraId="1B88B7A3"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1.1</w:t>
            </w:r>
          </w:p>
        </w:tc>
      </w:tr>
      <w:tr w:rsidR="00EB6AE8" w:rsidRPr="00E47F58" w14:paraId="42B8B315" w14:textId="77777777" w:rsidTr="00FB023F">
        <w:trPr>
          <w:jc w:val="center"/>
        </w:trPr>
        <w:tc>
          <w:tcPr>
            <w:tcW w:w="628" w:type="pct"/>
          </w:tcPr>
          <w:p w14:paraId="142C6091"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17</w:t>
            </w:r>
          </w:p>
        </w:tc>
        <w:tc>
          <w:tcPr>
            <w:tcW w:w="1492" w:type="pct"/>
          </w:tcPr>
          <w:p w14:paraId="05815161"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Glutamic acid</w:t>
            </w:r>
          </w:p>
        </w:tc>
        <w:tc>
          <w:tcPr>
            <w:tcW w:w="1645" w:type="pct"/>
          </w:tcPr>
          <w:p w14:paraId="4D1B9A47"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2.04(m)</w:t>
            </w:r>
          </w:p>
        </w:tc>
        <w:tc>
          <w:tcPr>
            <w:tcW w:w="1235" w:type="pct"/>
          </w:tcPr>
          <w:p w14:paraId="36FA7DCB"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1.0</w:t>
            </w:r>
          </w:p>
        </w:tc>
      </w:tr>
      <w:tr w:rsidR="00EB6AE8" w:rsidRPr="00E47F58" w14:paraId="7A776C41" w14:textId="77777777" w:rsidTr="00FB023F">
        <w:trPr>
          <w:jc w:val="center"/>
        </w:trPr>
        <w:tc>
          <w:tcPr>
            <w:tcW w:w="628" w:type="pct"/>
          </w:tcPr>
          <w:p w14:paraId="42BAFA68"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18</w:t>
            </w:r>
          </w:p>
        </w:tc>
        <w:tc>
          <w:tcPr>
            <w:tcW w:w="1492" w:type="pct"/>
          </w:tcPr>
          <w:p w14:paraId="1A253017"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Linoleic acid</w:t>
            </w:r>
          </w:p>
        </w:tc>
        <w:tc>
          <w:tcPr>
            <w:tcW w:w="1645" w:type="pct"/>
          </w:tcPr>
          <w:p w14:paraId="1FB2A0B3"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2.30(t)</w:t>
            </w:r>
          </w:p>
        </w:tc>
        <w:tc>
          <w:tcPr>
            <w:tcW w:w="1235" w:type="pct"/>
          </w:tcPr>
          <w:p w14:paraId="22CBAB4D"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1.0</w:t>
            </w:r>
          </w:p>
        </w:tc>
      </w:tr>
    </w:tbl>
    <w:p w14:paraId="5280FE29" w14:textId="77777777" w:rsidR="00EB6AE8" w:rsidRPr="00E47F58" w:rsidRDefault="00EB6AE8" w:rsidP="00EB6AE8">
      <w:pPr>
        <w:pStyle w:val="Caption"/>
        <w:rPr>
          <w:rFonts w:ascii="Arial" w:hAnsi="Arial" w:cs="Arial"/>
          <w:b w:val="0"/>
          <w:bCs w:val="0"/>
          <w:sz w:val="20"/>
          <w:szCs w:val="20"/>
          <w:lang w:val="en-GB"/>
        </w:rPr>
      </w:pPr>
    </w:p>
    <w:p w14:paraId="39A3512C" w14:textId="77777777" w:rsidR="00EB6AE8" w:rsidRPr="00E47F58" w:rsidRDefault="00EB6AE8" w:rsidP="00EB6AE8">
      <w:pPr>
        <w:spacing w:after="0" w:line="240" w:lineRule="auto"/>
        <w:rPr>
          <w:rFonts w:ascii="Arial" w:hAnsi="Arial" w:cs="Arial"/>
          <w:color w:val="000000" w:themeColor="text1"/>
          <w:sz w:val="20"/>
          <w:szCs w:val="20"/>
          <w:lang w:val="en-GB"/>
        </w:rPr>
      </w:pPr>
    </w:p>
    <w:p w14:paraId="496DDC80"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lastRenderedPageBreak/>
        <w:t>Metabolite fold change is a measure describing how many times the quantity of a metabolite is changed between an original and a subsequent measurement with respect to the associated treatment. It is defined as a ratio between the two quantities; for example, the fold change of CV with respect to CF is CV/CF.</w:t>
      </w:r>
    </w:p>
    <w:p w14:paraId="16B0FA56" w14:textId="77777777" w:rsidR="00EB6AE8" w:rsidRPr="00E47F58" w:rsidRDefault="00EB6AE8" w:rsidP="00EB6AE8">
      <w:pPr>
        <w:rPr>
          <w:rFonts w:ascii="Arial" w:hAnsi="Arial" w:cs="Arial"/>
          <w:color w:val="000000" w:themeColor="text1"/>
          <w:sz w:val="20"/>
          <w:szCs w:val="20"/>
          <w:lang w:val="en-GB"/>
        </w:rPr>
      </w:pPr>
    </w:p>
    <w:p w14:paraId="1E8074EF"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t>Metabolite fold change (FC) of the VIP metabolites in the present research, was assessed using MetaboAnalyst 4.0 online tools for metabolomics data. The fold change (CV/CF) was found to be significantly high in four of the</w:t>
      </w:r>
      <w:r w:rsidR="00AC7CB1" w:rsidRPr="00E47F58">
        <w:rPr>
          <w:rFonts w:ascii="Arial" w:hAnsi="Arial" w:cs="Arial"/>
          <w:sz w:val="20"/>
          <w:szCs w:val="20"/>
          <w:lang w:val="en-GB"/>
        </w:rPr>
        <w:t xml:space="preserve"> subjected metabolites. Table </w:t>
      </w:r>
      <w:r w:rsidRPr="00E47F58">
        <w:rPr>
          <w:rFonts w:ascii="Arial" w:hAnsi="Arial" w:cs="Arial"/>
          <w:sz w:val="20"/>
          <w:szCs w:val="20"/>
          <w:lang w:val="en-GB"/>
        </w:rPr>
        <w:t xml:space="preserve">4 show the NMR signal assignment for major biomarkers of immune improvement by </w:t>
      </w:r>
      <w:r w:rsidRPr="00E47F58">
        <w:rPr>
          <w:rFonts w:ascii="Arial" w:hAnsi="Arial" w:cs="Arial"/>
          <w:i/>
          <w:iCs/>
          <w:sz w:val="20"/>
          <w:szCs w:val="20"/>
          <w:lang w:val="en-GB"/>
        </w:rPr>
        <w:t>C. vulgaris</w:t>
      </w:r>
      <w:r w:rsidRPr="00E47F58">
        <w:rPr>
          <w:rFonts w:ascii="Arial" w:hAnsi="Arial" w:cs="Arial"/>
          <w:sz w:val="20"/>
          <w:szCs w:val="20"/>
          <w:lang w:val="en-GB"/>
        </w:rPr>
        <w:t xml:space="preserve"> with the highest FC, their fold change values and the associated metabolic pathways on day 28 after 21 days of 120 mg/kg</w:t>
      </w:r>
      <w:r w:rsidR="00AC7CB1" w:rsidRPr="00E47F58">
        <w:rPr>
          <w:rFonts w:ascii="Arial" w:hAnsi="Arial" w:cs="Arial"/>
          <w:sz w:val="20"/>
          <w:szCs w:val="20"/>
          <w:lang w:val="en-GB"/>
        </w:rPr>
        <w:t xml:space="preserve"> bw treatment. These compounds we</w:t>
      </w:r>
      <w:r w:rsidRPr="00E47F58">
        <w:rPr>
          <w:rFonts w:ascii="Arial" w:hAnsi="Arial" w:cs="Arial"/>
          <w:sz w:val="20"/>
          <w:szCs w:val="20"/>
          <w:lang w:val="en-GB"/>
        </w:rPr>
        <w:t>re palmitic acid, riboflavin, arginine and alanine with palmitic acid having the highest FC of more than 11 times in CV fish population as compared to CF.</w:t>
      </w:r>
    </w:p>
    <w:p w14:paraId="4112B770" w14:textId="77777777" w:rsidR="00EB6AE8" w:rsidRPr="00E47F58" w:rsidRDefault="00EB6AE8" w:rsidP="00EB6AE8">
      <w:pPr>
        <w:pStyle w:val="Caption"/>
        <w:keepNext/>
        <w:rPr>
          <w:rFonts w:ascii="Arial" w:hAnsi="Arial" w:cs="Arial"/>
          <w:sz w:val="20"/>
          <w:szCs w:val="20"/>
        </w:rPr>
      </w:pPr>
      <w:bookmarkStart w:id="46" w:name="_Toc50652953"/>
      <w:r w:rsidRPr="00E47F58">
        <w:rPr>
          <w:rFonts w:ascii="Arial" w:hAnsi="Arial" w:cs="Arial"/>
          <w:sz w:val="20"/>
          <w:szCs w:val="20"/>
        </w:rPr>
        <w:t>Table</w:t>
      </w:r>
      <w:r w:rsidR="00FB023F"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Table \* ARABIC \s 1 </w:instrText>
      </w:r>
      <w:r w:rsidR="0022766E" w:rsidRPr="00E47F58">
        <w:rPr>
          <w:rFonts w:ascii="Arial" w:hAnsi="Arial" w:cs="Arial"/>
          <w:sz w:val="20"/>
          <w:szCs w:val="20"/>
        </w:rPr>
        <w:fldChar w:fldCharType="separate"/>
      </w:r>
      <w:r w:rsidRPr="00E47F58">
        <w:rPr>
          <w:rFonts w:ascii="Arial" w:hAnsi="Arial" w:cs="Arial"/>
          <w:noProof/>
          <w:sz w:val="20"/>
          <w:szCs w:val="20"/>
        </w:rPr>
        <w:t>4</w:t>
      </w:r>
      <w:r w:rsidR="0022766E" w:rsidRPr="00E47F58">
        <w:rPr>
          <w:rFonts w:ascii="Arial" w:hAnsi="Arial" w:cs="Arial"/>
          <w:noProof/>
          <w:sz w:val="20"/>
          <w:szCs w:val="20"/>
        </w:rPr>
        <w:fldChar w:fldCharType="end"/>
      </w:r>
      <w:r w:rsidRPr="00E47F58">
        <w:rPr>
          <w:rFonts w:ascii="Arial" w:hAnsi="Arial" w:cs="Arial"/>
          <w:sz w:val="20"/>
          <w:szCs w:val="20"/>
        </w:rPr>
        <w:t xml:space="preserve"> : Metabolite fold changes as a result of </w:t>
      </w:r>
      <w:r w:rsidRPr="00E47F58">
        <w:rPr>
          <w:rFonts w:ascii="Arial" w:hAnsi="Arial" w:cs="Arial"/>
          <w:i/>
          <w:iCs/>
          <w:sz w:val="20"/>
          <w:szCs w:val="20"/>
        </w:rPr>
        <w:t xml:space="preserve">C. vulgaris </w:t>
      </w:r>
      <w:r w:rsidRPr="00E47F58">
        <w:rPr>
          <w:rFonts w:ascii="Arial" w:hAnsi="Arial" w:cs="Arial"/>
          <w:sz w:val="20"/>
          <w:szCs w:val="20"/>
        </w:rPr>
        <w:t>feeding (CV/CF)</w:t>
      </w:r>
      <w:bookmarkEnd w:id="46"/>
    </w:p>
    <w:p w14:paraId="06140986" w14:textId="77777777" w:rsidR="00EB6AE8" w:rsidRPr="00E47F58" w:rsidRDefault="00EB6AE8" w:rsidP="00EB6AE8">
      <w:pPr>
        <w:pStyle w:val="j"/>
        <w:rPr>
          <w:rFonts w:ascii="Arial" w:hAnsi="Arial" w:cs="Arial"/>
          <w:sz w:val="20"/>
          <w:szCs w:val="20"/>
        </w:rPr>
      </w:pPr>
    </w:p>
    <w:tbl>
      <w:tblPr>
        <w:tblStyle w:val="TableGrid"/>
        <w:tblW w:w="5000" w:type="pct"/>
        <w:jc w:val="center"/>
        <w:tblLook w:val="04A0" w:firstRow="1" w:lastRow="0" w:firstColumn="1" w:lastColumn="0" w:noHBand="0" w:noVBand="1"/>
      </w:tblPr>
      <w:tblGrid>
        <w:gridCol w:w="2336"/>
        <w:gridCol w:w="2338"/>
        <w:gridCol w:w="2338"/>
        <w:gridCol w:w="2338"/>
      </w:tblGrid>
      <w:tr w:rsidR="00EB6AE8" w:rsidRPr="00E47F58" w14:paraId="28463131" w14:textId="77777777" w:rsidTr="00E239F2">
        <w:trPr>
          <w:jc w:val="center"/>
        </w:trPr>
        <w:tc>
          <w:tcPr>
            <w:tcW w:w="1249" w:type="pct"/>
          </w:tcPr>
          <w:p w14:paraId="49BE183F"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Metabolite</w:t>
            </w:r>
          </w:p>
        </w:tc>
        <w:tc>
          <w:tcPr>
            <w:tcW w:w="1250" w:type="pct"/>
          </w:tcPr>
          <w:p w14:paraId="1CB4F611"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Chemical shift (ppm)</w:t>
            </w:r>
          </w:p>
        </w:tc>
        <w:tc>
          <w:tcPr>
            <w:tcW w:w="1250" w:type="pct"/>
          </w:tcPr>
          <w:p w14:paraId="6550A119"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Fold change</w:t>
            </w:r>
          </w:p>
          <w:p w14:paraId="61411B64"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(CV/CF)</w:t>
            </w:r>
          </w:p>
        </w:tc>
        <w:tc>
          <w:tcPr>
            <w:tcW w:w="1250" w:type="pct"/>
          </w:tcPr>
          <w:p w14:paraId="19C4A6F8"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Metabolic pathway</w:t>
            </w:r>
          </w:p>
        </w:tc>
      </w:tr>
      <w:tr w:rsidR="00EB6AE8" w:rsidRPr="00E47F58" w14:paraId="1385FD07" w14:textId="77777777" w:rsidTr="00E239F2">
        <w:trPr>
          <w:jc w:val="center"/>
        </w:trPr>
        <w:tc>
          <w:tcPr>
            <w:tcW w:w="1249" w:type="pct"/>
          </w:tcPr>
          <w:p w14:paraId="27D9E803"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Palmitic acid</w:t>
            </w:r>
          </w:p>
        </w:tc>
        <w:tc>
          <w:tcPr>
            <w:tcW w:w="1250" w:type="pct"/>
          </w:tcPr>
          <w:p w14:paraId="6DA6924E"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δ</w:t>
            </w:r>
            <w:r w:rsidRPr="00E47F58">
              <w:rPr>
                <w:rFonts w:ascii="Arial" w:hAnsi="Arial" w:cs="Arial"/>
                <w:color w:val="000000" w:themeColor="text1"/>
                <w:lang w:val="en-GB"/>
              </w:rPr>
              <w:t xml:space="preserve"> 0.74</w:t>
            </w:r>
          </w:p>
        </w:tc>
        <w:tc>
          <w:tcPr>
            <w:tcW w:w="1250" w:type="pct"/>
          </w:tcPr>
          <w:p w14:paraId="2A47A4A9"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11.554</w:t>
            </w:r>
          </w:p>
        </w:tc>
        <w:tc>
          <w:tcPr>
            <w:tcW w:w="1250" w:type="pct"/>
          </w:tcPr>
          <w:p w14:paraId="1984B7A5"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Linoleic acid metabolism</w:t>
            </w:r>
          </w:p>
        </w:tc>
      </w:tr>
      <w:tr w:rsidR="00EB6AE8" w:rsidRPr="00E47F58" w14:paraId="30997348" w14:textId="77777777" w:rsidTr="00E239F2">
        <w:trPr>
          <w:jc w:val="center"/>
        </w:trPr>
        <w:tc>
          <w:tcPr>
            <w:tcW w:w="1249" w:type="pct"/>
          </w:tcPr>
          <w:p w14:paraId="16489EFB"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Riboflavin</w:t>
            </w:r>
          </w:p>
        </w:tc>
        <w:tc>
          <w:tcPr>
            <w:tcW w:w="1250" w:type="pct"/>
          </w:tcPr>
          <w:p w14:paraId="7B07C7D1"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δ</w:t>
            </w:r>
            <w:r w:rsidRPr="00E47F58">
              <w:rPr>
                <w:rFonts w:ascii="Arial" w:hAnsi="Arial" w:cs="Arial"/>
                <w:color w:val="000000" w:themeColor="text1"/>
                <w:lang w:val="en-GB"/>
              </w:rPr>
              <w:t xml:space="preserve"> 4.58</w:t>
            </w:r>
          </w:p>
        </w:tc>
        <w:tc>
          <w:tcPr>
            <w:tcW w:w="1250" w:type="pct"/>
          </w:tcPr>
          <w:p w14:paraId="74898573"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6.5142</w:t>
            </w:r>
          </w:p>
        </w:tc>
        <w:tc>
          <w:tcPr>
            <w:tcW w:w="1250" w:type="pct"/>
          </w:tcPr>
          <w:p w14:paraId="5AD1759A"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Riboflavin metabolism</w:t>
            </w:r>
          </w:p>
        </w:tc>
      </w:tr>
      <w:tr w:rsidR="00EB6AE8" w:rsidRPr="00E47F58" w14:paraId="5658CF79" w14:textId="77777777" w:rsidTr="00E239F2">
        <w:trPr>
          <w:jc w:val="center"/>
        </w:trPr>
        <w:tc>
          <w:tcPr>
            <w:tcW w:w="1249" w:type="pct"/>
          </w:tcPr>
          <w:p w14:paraId="09E85EEF"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Arginine</w:t>
            </w:r>
          </w:p>
        </w:tc>
        <w:tc>
          <w:tcPr>
            <w:tcW w:w="1250" w:type="pct"/>
          </w:tcPr>
          <w:p w14:paraId="328EBF22"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δ</w:t>
            </w:r>
            <w:r w:rsidRPr="00E47F58">
              <w:rPr>
                <w:rFonts w:ascii="Arial" w:hAnsi="Arial" w:cs="Arial"/>
                <w:color w:val="000000" w:themeColor="text1"/>
                <w:lang w:val="en-GB"/>
              </w:rPr>
              <w:t xml:space="preserve"> 1.58</w:t>
            </w:r>
          </w:p>
        </w:tc>
        <w:tc>
          <w:tcPr>
            <w:tcW w:w="1250" w:type="pct"/>
          </w:tcPr>
          <w:p w14:paraId="294739B2"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2.6196</w:t>
            </w:r>
          </w:p>
        </w:tc>
        <w:tc>
          <w:tcPr>
            <w:tcW w:w="1250" w:type="pct"/>
          </w:tcPr>
          <w:p w14:paraId="2C7D19F0"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Arginine and proline metabolism</w:t>
            </w:r>
          </w:p>
        </w:tc>
      </w:tr>
      <w:tr w:rsidR="00EB6AE8" w:rsidRPr="00E47F58" w14:paraId="161B62A6" w14:textId="77777777" w:rsidTr="00E239F2">
        <w:trPr>
          <w:jc w:val="center"/>
        </w:trPr>
        <w:tc>
          <w:tcPr>
            <w:tcW w:w="1249" w:type="pct"/>
          </w:tcPr>
          <w:p w14:paraId="281C3325"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Alanine</w:t>
            </w:r>
          </w:p>
        </w:tc>
        <w:tc>
          <w:tcPr>
            <w:tcW w:w="1250" w:type="pct"/>
          </w:tcPr>
          <w:p w14:paraId="5CE2D247"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δ</w:t>
            </w:r>
            <w:r w:rsidRPr="00E47F58">
              <w:rPr>
                <w:rFonts w:ascii="Arial" w:hAnsi="Arial" w:cs="Arial"/>
                <w:color w:val="000000" w:themeColor="text1"/>
                <w:lang w:val="en-GB"/>
              </w:rPr>
              <w:t xml:space="preserve"> 1.34</w:t>
            </w:r>
          </w:p>
        </w:tc>
        <w:tc>
          <w:tcPr>
            <w:tcW w:w="1250" w:type="pct"/>
          </w:tcPr>
          <w:p w14:paraId="04A9E4B5"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2.1184</w:t>
            </w:r>
          </w:p>
        </w:tc>
        <w:tc>
          <w:tcPr>
            <w:tcW w:w="1250" w:type="pct"/>
          </w:tcPr>
          <w:p w14:paraId="04B7B159"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Alanine, aspartate and glutamate metabolism</w:t>
            </w:r>
          </w:p>
        </w:tc>
      </w:tr>
    </w:tbl>
    <w:p w14:paraId="33A44070" w14:textId="77777777" w:rsidR="00EB6AE8" w:rsidRPr="00E47F58" w:rsidRDefault="00EB6AE8" w:rsidP="00EB6AE8">
      <w:pPr>
        <w:pStyle w:val="j"/>
        <w:rPr>
          <w:rFonts w:ascii="Arial" w:hAnsi="Arial" w:cs="Arial"/>
          <w:sz w:val="20"/>
          <w:szCs w:val="20"/>
          <w:lang w:val="en-GB"/>
        </w:rPr>
      </w:pPr>
    </w:p>
    <w:p w14:paraId="3F48E320" w14:textId="77777777" w:rsidR="00EB6AE8" w:rsidRPr="00E47F58" w:rsidRDefault="00EB6AE8" w:rsidP="00EB6AE8">
      <w:pPr>
        <w:pStyle w:val="j"/>
        <w:rPr>
          <w:rFonts w:ascii="Arial" w:hAnsi="Arial" w:cs="Arial"/>
          <w:sz w:val="20"/>
          <w:szCs w:val="20"/>
          <w:lang w:val="en-GB"/>
        </w:rPr>
      </w:pPr>
    </w:p>
    <w:p w14:paraId="6A3E25AE" w14:textId="77777777" w:rsidR="00EB6AE8" w:rsidRPr="00E47F58" w:rsidRDefault="00EB6AE8" w:rsidP="00EB6AE8">
      <w:pPr>
        <w:pStyle w:val="single"/>
        <w:rPr>
          <w:rFonts w:ascii="Arial" w:hAnsi="Arial" w:cs="Arial"/>
          <w:bCs/>
          <w:sz w:val="20"/>
          <w:szCs w:val="20"/>
          <w:lang w:val="en-GB"/>
        </w:rPr>
      </w:pPr>
      <w:r w:rsidRPr="00E47F58">
        <w:rPr>
          <w:rFonts w:ascii="Arial" w:hAnsi="Arial" w:cs="Arial"/>
          <w:sz w:val="20"/>
          <w:szCs w:val="20"/>
          <w:lang w:val="en-GB"/>
        </w:rPr>
        <w:t>The high values of the FCs (CV/CF) in the m</w:t>
      </w:r>
      <w:r w:rsidR="00E239F2" w:rsidRPr="00E47F58">
        <w:rPr>
          <w:rFonts w:ascii="Arial" w:hAnsi="Arial" w:cs="Arial"/>
          <w:sz w:val="20"/>
          <w:szCs w:val="20"/>
          <w:lang w:val="en-GB"/>
        </w:rPr>
        <w:t xml:space="preserve">etabolites in Table </w:t>
      </w:r>
      <w:r w:rsidRPr="00E47F58">
        <w:rPr>
          <w:rFonts w:ascii="Arial" w:hAnsi="Arial" w:cs="Arial"/>
          <w:sz w:val="20"/>
          <w:szCs w:val="20"/>
          <w:lang w:val="en-GB"/>
        </w:rPr>
        <w:t xml:space="preserve">4 suggests that the 3 weeks treatment with </w:t>
      </w:r>
      <w:r w:rsidRPr="00E47F58">
        <w:rPr>
          <w:rFonts w:ascii="Arial" w:hAnsi="Arial" w:cs="Arial"/>
          <w:i/>
          <w:iCs/>
          <w:sz w:val="20"/>
          <w:szCs w:val="20"/>
          <w:lang w:val="en-GB"/>
        </w:rPr>
        <w:t xml:space="preserve">C. vulgaris </w:t>
      </w:r>
      <w:r w:rsidR="00E239F2" w:rsidRPr="00E47F58">
        <w:rPr>
          <w:rFonts w:ascii="Arial" w:hAnsi="Arial" w:cs="Arial"/>
          <w:sz w:val="20"/>
          <w:szCs w:val="20"/>
          <w:lang w:val="en-GB"/>
        </w:rPr>
        <w:t>indicated high</w:t>
      </w:r>
      <w:r w:rsidRPr="00E47F58">
        <w:rPr>
          <w:rFonts w:ascii="Arial" w:hAnsi="Arial" w:cs="Arial"/>
          <w:sz w:val="20"/>
          <w:szCs w:val="20"/>
          <w:lang w:val="en-GB"/>
        </w:rPr>
        <w:t xml:space="preserve"> significant improvement in the </w:t>
      </w:r>
      <w:r w:rsidR="00E239F2" w:rsidRPr="00E47F58">
        <w:rPr>
          <w:rFonts w:ascii="Arial" w:hAnsi="Arial" w:cs="Arial"/>
          <w:sz w:val="20"/>
          <w:szCs w:val="20"/>
          <w:lang w:val="en-GB"/>
        </w:rPr>
        <w:t>up regulation</w:t>
      </w:r>
      <w:r w:rsidRPr="00E47F58">
        <w:rPr>
          <w:rFonts w:ascii="Arial" w:hAnsi="Arial" w:cs="Arial"/>
          <w:sz w:val="20"/>
          <w:szCs w:val="20"/>
          <w:lang w:val="en-GB"/>
        </w:rPr>
        <w:t xml:space="preserve"> of important metabolites which were known to improve innate immunity in fish; </w:t>
      </w:r>
      <w:r w:rsidRPr="00E47F58">
        <w:rPr>
          <w:rFonts w:ascii="Arial" w:hAnsi="Arial" w:cs="Arial"/>
          <w:bCs/>
          <w:sz w:val="20"/>
          <w:szCs w:val="20"/>
          <w:lang w:val="en-GB"/>
        </w:rPr>
        <w:t xml:space="preserve">Intra cellular levels of many amino acids were reported to significantly enhanced, indicative of increased biosynthesis required for T-cells growth and proliferation </w:t>
      </w:r>
      <w:r w:rsidRPr="00E47F58">
        <w:rPr>
          <w:rFonts w:ascii="Arial" w:hAnsi="Arial" w:cs="Arial"/>
          <w:bCs/>
          <w:sz w:val="20"/>
          <w:szCs w:val="20"/>
          <w:lang w:val="en-GB"/>
        </w:rPr>
        <w:fldChar w:fldCharType="begin" w:fldLock="1"/>
      </w:r>
      <w:r w:rsidR="00F345E2" w:rsidRPr="00E47F58">
        <w:rPr>
          <w:rFonts w:ascii="Arial" w:hAnsi="Arial" w:cs="Arial"/>
          <w:bCs/>
          <w:sz w:val="20"/>
          <w:szCs w:val="20"/>
          <w:lang w:val="en-GB"/>
        </w:rPr>
        <w:instrText>ADDIN CSL_CITATION {"citationItems":[{"id":"ITEM-1","itemData":{"ISBN":"9781493975921","author":[{"dropping-particle":"","family":"Everts","given":"Bart","non-dropping-particle":"","parse-names":false,"suffix":""}],"container-title":"Clinical Metabolomics: Methods and Protocols, Methods in Molecular Biology","id":"ITEM-1","issue":"Lc","issued":{"date-parts":[["2018"]]},"page":"29-42","title":"Chapter 2 Metabolomics in Immunology Research","type":"chapter","volume":"1730"},"uris":["http://www.mendeley.com/documents/?uuid=d7999bc2-9948-4708-bb64-1cb1a170ad69","http://www.mendeley.com/documents/?uuid=9df41288-59b4-47c8-889c-42157646d987"]}],"mendeley":{"formattedCitation":"(Everts 2018)","plainTextFormattedCitation":"(Everts 2018)","previouslyFormattedCitation":"(Everts 2018)"},"properties":{"noteIndex":0},"schema":"https://github.com/citation-style-language/schema/raw/master/csl-citation.json"}</w:instrText>
      </w:r>
      <w:r w:rsidRPr="00E47F58">
        <w:rPr>
          <w:rFonts w:ascii="Arial" w:hAnsi="Arial" w:cs="Arial"/>
          <w:bCs/>
          <w:sz w:val="20"/>
          <w:szCs w:val="20"/>
          <w:lang w:val="en-GB"/>
        </w:rPr>
        <w:fldChar w:fldCharType="separate"/>
      </w:r>
      <w:r w:rsidR="00F345E2" w:rsidRPr="00E47F58">
        <w:rPr>
          <w:rFonts w:ascii="Arial" w:hAnsi="Arial" w:cs="Arial"/>
          <w:bCs/>
          <w:noProof/>
          <w:sz w:val="20"/>
          <w:szCs w:val="20"/>
          <w:lang w:val="en-GB"/>
        </w:rPr>
        <w:t>(Everts 2018)</w:t>
      </w:r>
      <w:r w:rsidRPr="00E47F58">
        <w:rPr>
          <w:rFonts w:ascii="Arial" w:hAnsi="Arial" w:cs="Arial"/>
          <w:bCs/>
          <w:sz w:val="20"/>
          <w:szCs w:val="20"/>
          <w:lang w:val="en-GB"/>
        </w:rPr>
        <w:fldChar w:fldCharType="end"/>
      </w:r>
      <w:r w:rsidRPr="00E47F58">
        <w:rPr>
          <w:rFonts w:ascii="Arial" w:hAnsi="Arial" w:cs="Arial"/>
          <w:bCs/>
          <w:sz w:val="20"/>
          <w:szCs w:val="20"/>
          <w:lang w:val="en-GB"/>
        </w:rPr>
        <w:t xml:space="preserve">. In addition, intracellular pools of fatty acids like palmitic acid, are also elevated, presumably acting as a pool to generate cell membranes suitable for immune cells proliferation </w:t>
      </w:r>
      <w:r w:rsidRPr="00E47F58">
        <w:rPr>
          <w:rFonts w:ascii="Arial" w:hAnsi="Arial" w:cs="Arial"/>
          <w:bCs/>
          <w:sz w:val="20"/>
          <w:szCs w:val="20"/>
          <w:lang w:val="en-GB"/>
        </w:rPr>
        <w:fldChar w:fldCharType="begin" w:fldLock="1"/>
      </w:r>
      <w:r w:rsidR="00F345E2" w:rsidRPr="00E47F58">
        <w:rPr>
          <w:rFonts w:ascii="Arial" w:hAnsi="Arial" w:cs="Arial"/>
          <w:bCs/>
          <w:sz w:val="20"/>
          <w:szCs w:val="20"/>
          <w:lang w:val="en-GB"/>
        </w:rPr>
        <w:instrText>ADDIN CSL_CITATION {"citationItems":[{"id":"ITEM-1","itemData":{"ISBN":"9781493975921","author":[{"dropping-particle":"","family":"Everts","given":"Bart","non-dropping-particle":"","parse-names":false,"suffix":""}],"container-title":"Clinical Metabolomics: Methods and Protocols, Methods in Molecular Biology","id":"ITEM-1","issue":"Lc","issued":{"date-parts":[["2018"]]},"page":"29-42","title":"Chapter 2 Metabolomics in Immunology Research","type":"chapter","volume":"1730"},"uris":["http://www.mendeley.com/documents/?uuid=d7999bc2-9948-4708-bb64-1cb1a170ad69","http://www.mendeley.com/documents/?uuid=9df41288-59b4-47c8-889c-42157646d987"]}],"mendeley":{"formattedCitation":"(Everts 2018)","plainTextFormattedCitation":"(Everts 2018)","previouslyFormattedCitation":"(Everts 2018)"},"properties":{"noteIndex":0},"schema":"https://github.com/citation-style-language/schema/raw/master/csl-citation.json"}</w:instrText>
      </w:r>
      <w:r w:rsidRPr="00E47F58">
        <w:rPr>
          <w:rFonts w:ascii="Arial" w:hAnsi="Arial" w:cs="Arial"/>
          <w:bCs/>
          <w:sz w:val="20"/>
          <w:szCs w:val="20"/>
          <w:lang w:val="en-GB"/>
        </w:rPr>
        <w:fldChar w:fldCharType="separate"/>
      </w:r>
      <w:r w:rsidR="00F345E2" w:rsidRPr="00E47F58">
        <w:rPr>
          <w:rFonts w:ascii="Arial" w:hAnsi="Arial" w:cs="Arial"/>
          <w:bCs/>
          <w:noProof/>
          <w:sz w:val="20"/>
          <w:szCs w:val="20"/>
          <w:lang w:val="en-GB"/>
        </w:rPr>
        <w:t>(Everts 2018)</w:t>
      </w:r>
      <w:r w:rsidRPr="00E47F58">
        <w:rPr>
          <w:rFonts w:ascii="Arial" w:hAnsi="Arial" w:cs="Arial"/>
          <w:bCs/>
          <w:sz w:val="20"/>
          <w:szCs w:val="20"/>
          <w:lang w:val="en-GB"/>
        </w:rPr>
        <w:fldChar w:fldCharType="end"/>
      </w:r>
      <w:r w:rsidRPr="00E47F58">
        <w:rPr>
          <w:rFonts w:ascii="Arial" w:hAnsi="Arial" w:cs="Arial"/>
          <w:bCs/>
          <w:sz w:val="20"/>
          <w:szCs w:val="20"/>
          <w:lang w:val="en-GB"/>
        </w:rPr>
        <w:t xml:space="preserve">. Thus, the levels of alanine, arginine and palmitic acid in this research, were noticed to greatly increase in the treated groups as compared to the control fish population. In addition, most member compounds from Krebs cycle (TCA cycle) especially the amino acids, their abundance is critically involved in inflammatory processes and immune responses of the cells </w:t>
      </w:r>
      <w:r w:rsidRPr="00E47F58">
        <w:rPr>
          <w:rFonts w:ascii="Arial" w:hAnsi="Arial" w:cs="Arial"/>
          <w:bCs/>
          <w:sz w:val="20"/>
          <w:szCs w:val="20"/>
          <w:lang w:val="en-GB"/>
        </w:rPr>
        <w:fldChar w:fldCharType="begin" w:fldLock="1"/>
      </w:r>
      <w:r w:rsidR="00F345E2" w:rsidRPr="00E47F58">
        <w:rPr>
          <w:rFonts w:ascii="Arial" w:hAnsi="Arial" w:cs="Arial"/>
          <w:bCs/>
          <w:sz w:val="20"/>
          <w:szCs w:val="20"/>
          <w:lang w:val="en-GB"/>
        </w:rPr>
        <w:instrText>ADDIN CSL_CITATION {"citationItems":[{"id":"ITEM-1","itemData":{"DOI":"10.3390/vaccines7040142","ISSN":"2076393X","abstract":"Honey bee venom has been established to have significant effect in immunotherapy. In the present study, (Z)-11-eicosenol-a major constituent of bee venom, along with its derivations methyl cis-11-eicosenoate and cis-11-eicosenoic acid, were synthesised to investigate their immune stimulatory effect and possible use as vaccine adjuvants. Stimuli that prime and activate the immune system have exerted profound effects on immune cells, particularly macrophages; however, the effectiveness of bee venom constituents as immune stimulants has not yet been established. Here, the abilities of these compounds to act as pro-inflammatory stimuli were assessed, either alone or in combination with lipopolysaccharide (LPS), by examining the secretion of tumour necrosis factor-α (TNF-α) and the cytokines interleukin-1β (IL-1β), IL-6 and IL-10 by THP-1 macrophages. The compounds clearly increased the levels of IL-1β and decreased IL-10, whereas a decrease in IL-6 levels suggested a complex mechanism of action. A more in-depth profile of macrophage behaviour was therefore obtained by comprehensive untargeted metabolic profiling of the cells using liquid chromatography mass spectrometry (LC-MS) to confirm the ability of the eicosanoids to trigger the immune system. The level of 358 polar and 315 non-polar metabolites were changed significantly (p &lt; 0.05) by all treatments. The LPS-stimulated production of most of the inflammatory metabolite biomarkers in glycolysis, the tricarboxylic acid (TCA) cycle, the pentose phosphate pathway, purine, pyrimidine and fatty acids metabolism were significantly enhanced by all three compounds, and particularly by methyl cis-11-eicosenoate and cis-11-eicosenoic acid. These findings support the proposed actions of (Z)-11-eicosenol, methyl cis-11-eicosenoate and cis-11-eicosenoic acid as immune system stimulators.","author":[{"dropping-particle":"","family":"Alqarni","given":"Abdulmalik M.","non-dropping-particle":"","parse-names":false,"suffix":""},{"dropping-particle":"","family":"Dissanayake","given":"Tharushi","non-dropping-particle":"","parse-names":false,"suffix":""},{"dropping-particle":"","family":"Nelson","given":"David J.","non-dropping-particle":"","parse-names":false,"suffix":""},{"dropping-particle":"","family":"Parkinson","given":"John A.","non-dropping-particle":"","parse-names":false,"suffix":""},{"dropping-particle":"","family":"Dufton","given":"Mark J.","non-dropping-particle":"","parse-names":false,"suffix":""},{"dropping-particle":"","family":"Ferro","given":"Valerie A.","non-dropping-particle":"","parse-names":false,"suffix":""},{"dropping-particle":"","family":"Watson","given":"David G.","non-dropping-particle":"","parse-names":false,"suffix":""}],"container-title":"Vaccines","id":"ITEM-1","issue":"4","issued":{"date-parts":[["2019"]]},"title":"Metabolomic profiling of the immune stimulatory effect of eicosenoids on PMA-differentiated THP-1 cells","type":"article-journal","volume":"7"},"uris":["http://www.mendeley.com/documents/?uuid=e5bd9657-c6cb-47d5-a82d-d3e1be3d1ff4","http://www.mendeley.com/documents/?uuid=eb005b79-f50a-4f1f-8a87-ef2a16b2ce6b"]}],"mendeley":{"formattedCitation":"(Alqarni et al. 2019)","plainTextFormattedCitation":"(Alqarni et al. 2019)","previouslyFormattedCitation":"(Alqarni et al. 2019)"},"properties":{"noteIndex":0},"schema":"https://github.com/citation-style-language/schema/raw/master/csl-citation.json"}</w:instrText>
      </w:r>
      <w:r w:rsidRPr="00E47F58">
        <w:rPr>
          <w:rFonts w:ascii="Arial" w:hAnsi="Arial" w:cs="Arial"/>
          <w:bCs/>
          <w:sz w:val="20"/>
          <w:szCs w:val="20"/>
          <w:lang w:val="en-GB"/>
        </w:rPr>
        <w:fldChar w:fldCharType="separate"/>
      </w:r>
      <w:r w:rsidR="00F345E2" w:rsidRPr="00E47F58">
        <w:rPr>
          <w:rFonts w:ascii="Arial" w:hAnsi="Arial" w:cs="Arial"/>
          <w:bCs/>
          <w:noProof/>
          <w:sz w:val="20"/>
          <w:szCs w:val="20"/>
          <w:lang w:val="en-GB"/>
        </w:rPr>
        <w:t>(Alqarni et al. 2019)</w:t>
      </w:r>
      <w:r w:rsidRPr="00E47F58">
        <w:rPr>
          <w:rFonts w:ascii="Arial" w:hAnsi="Arial" w:cs="Arial"/>
          <w:bCs/>
          <w:sz w:val="20"/>
          <w:szCs w:val="20"/>
          <w:lang w:val="en-GB"/>
        </w:rPr>
        <w:fldChar w:fldCharType="end"/>
      </w:r>
      <w:r w:rsidRPr="00E47F58">
        <w:rPr>
          <w:rFonts w:ascii="Arial" w:hAnsi="Arial" w:cs="Arial"/>
          <w:bCs/>
          <w:sz w:val="20"/>
          <w:szCs w:val="20"/>
          <w:lang w:val="en-GB"/>
        </w:rPr>
        <w:t xml:space="preserve">. </w:t>
      </w:r>
    </w:p>
    <w:p w14:paraId="6D3862FE" w14:textId="77777777" w:rsidR="00EB6AE8" w:rsidRPr="00E47F58" w:rsidRDefault="004B090C" w:rsidP="00E47F58">
      <w:pPr>
        <w:pStyle w:val="Heading3"/>
        <w:rPr>
          <w:sz w:val="20"/>
          <w:szCs w:val="20"/>
          <w:lang w:val="en-GB"/>
        </w:rPr>
      </w:pPr>
      <w:bookmarkStart w:id="47" w:name="_Toc49955761"/>
      <w:bookmarkStart w:id="48" w:name="_Toc50652452"/>
      <w:r w:rsidRPr="00E47F58">
        <w:rPr>
          <w:sz w:val="20"/>
          <w:szCs w:val="20"/>
          <w:lang w:val="en-GB"/>
        </w:rPr>
        <w:t>3.0.6</w:t>
      </w:r>
      <w:r w:rsidRPr="00E47F58">
        <w:rPr>
          <w:sz w:val="20"/>
          <w:szCs w:val="20"/>
          <w:lang w:val="en-GB"/>
        </w:rPr>
        <w:tab/>
      </w:r>
      <w:r w:rsidR="00EB6AE8" w:rsidRPr="00E47F58">
        <w:rPr>
          <w:sz w:val="20"/>
          <w:szCs w:val="20"/>
          <w:lang w:val="en-GB"/>
        </w:rPr>
        <w:t xml:space="preserve">Effect of </w:t>
      </w:r>
      <w:r w:rsidR="00EB6AE8" w:rsidRPr="00E47F58">
        <w:rPr>
          <w:i/>
          <w:iCs/>
          <w:sz w:val="20"/>
          <w:szCs w:val="20"/>
          <w:lang w:val="en-GB"/>
        </w:rPr>
        <w:t xml:space="preserve">Streptococcus agalactiae </w:t>
      </w:r>
      <w:r w:rsidR="00EB6AE8" w:rsidRPr="00E47F58">
        <w:rPr>
          <w:sz w:val="20"/>
          <w:szCs w:val="20"/>
          <w:lang w:val="en-GB"/>
        </w:rPr>
        <w:t>bacteria on the experimental fish</w:t>
      </w:r>
      <w:bookmarkEnd w:id="47"/>
      <w:bookmarkEnd w:id="48"/>
    </w:p>
    <w:p w14:paraId="273AA1DC"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t>To evaluate the effect of the bacterial challenge on the experimental fish using MVA, spleen samples from control fish (CF) was plotted against spleen samples from control fish challenged (CFC) in an OPLS-DA score plot model</w:t>
      </w:r>
      <w:r w:rsidR="00DF376A" w:rsidRPr="00E47F58">
        <w:rPr>
          <w:rFonts w:ascii="Arial" w:hAnsi="Arial" w:cs="Arial"/>
          <w:sz w:val="20"/>
          <w:szCs w:val="20"/>
          <w:lang w:val="en-GB"/>
        </w:rPr>
        <w:t xml:space="preserve">. Figure </w:t>
      </w:r>
      <w:r w:rsidRPr="00E47F58">
        <w:rPr>
          <w:rFonts w:ascii="Arial" w:hAnsi="Arial" w:cs="Arial"/>
          <w:sz w:val="20"/>
          <w:szCs w:val="20"/>
          <w:lang w:val="en-GB"/>
        </w:rPr>
        <w:t>7A shows that there was clear obvious separation between CF and CFC as suggested by PC1, with great class discriminant statistical values of R2X and Q2 of 0.819 and  0.734 respectively, in which the PC1 explained a total variance of 27.4% and PC2 25.8%.</w:t>
      </w:r>
    </w:p>
    <w:p w14:paraId="0F604ADE"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t>The most significant metabolites responsible for the variation of these two groups are shown in the S-plot</w:t>
      </w:r>
      <w:r w:rsidR="00DF376A" w:rsidRPr="00E47F58">
        <w:rPr>
          <w:rFonts w:ascii="Arial" w:hAnsi="Arial" w:cs="Arial"/>
          <w:sz w:val="20"/>
          <w:szCs w:val="20"/>
          <w:lang w:val="en-GB"/>
        </w:rPr>
        <w:t xml:space="preserve"> of the OPLS-DA model (Figure </w:t>
      </w:r>
      <w:r w:rsidRPr="00E47F58">
        <w:rPr>
          <w:rFonts w:ascii="Arial" w:hAnsi="Arial" w:cs="Arial"/>
          <w:sz w:val="20"/>
          <w:szCs w:val="20"/>
          <w:lang w:val="en-GB"/>
        </w:rPr>
        <w:t>7B).</w:t>
      </w:r>
    </w:p>
    <w:p w14:paraId="7C24E73C" w14:textId="77777777" w:rsidR="00151BFC" w:rsidRPr="00E47F58" w:rsidRDefault="004737B8" w:rsidP="00151BFC">
      <w:pPr>
        <w:pStyle w:val="Caption"/>
        <w:jc w:val="center"/>
        <w:rPr>
          <w:rFonts w:ascii="Arial" w:hAnsi="Arial" w:cs="Arial"/>
          <w:sz w:val="20"/>
          <w:szCs w:val="20"/>
        </w:rPr>
      </w:pPr>
      <w:bookmarkStart w:id="49" w:name="_Toc50653943"/>
      <w:r w:rsidRPr="00E47F58">
        <w:rPr>
          <w:rFonts w:ascii="Arial" w:hAnsi="Arial" w:cs="Arial"/>
          <w:noProof/>
          <w:sz w:val="20"/>
          <w:szCs w:val="20"/>
        </w:rPr>
        <w:lastRenderedPageBreak/>
        <w:drawing>
          <wp:inline distT="0" distB="0" distL="0" distR="0" wp14:anchorId="229F88CA" wp14:editId="5D4F7E3B">
            <wp:extent cx="4929277" cy="5844209"/>
            <wp:effectExtent l="0" t="0" r="508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7350" r="9796" b="2475"/>
                    <a:stretch/>
                  </pic:blipFill>
                  <pic:spPr bwMode="auto">
                    <a:xfrm>
                      <a:off x="0" y="0"/>
                      <a:ext cx="4929799" cy="5844828"/>
                    </a:xfrm>
                    <a:prstGeom prst="rect">
                      <a:avLst/>
                    </a:prstGeom>
                    <a:noFill/>
                    <a:ln>
                      <a:noFill/>
                    </a:ln>
                    <a:extLst>
                      <a:ext uri="{53640926-AAD7-44D8-BBD7-CCE9431645EC}">
                        <a14:shadowObscured xmlns:a14="http://schemas.microsoft.com/office/drawing/2010/main"/>
                      </a:ext>
                    </a:extLst>
                  </pic:spPr>
                </pic:pic>
              </a:graphicData>
            </a:graphic>
          </wp:inline>
        </w:drawing>
      </w:r>
    </w:p>
    <w:p w14:paraId="2EC7D8AB" w14:textId="77777777" w:rsidR="00EB6AE8" w:rsidRPr="00E47F58" w:rsidRDefault="00EB6AE8" w:rsidP="00EB6AE8">
      <w:pPr>
        <w:pStyle w:val="Caption"/>
        <w:rPr>
          <w:rFonts w:ascii="Arial" w:hAnsi="Arial" w:cs="Arial"/>
          <w:sz w:val="20"/>
          <w:szCs w:val="20"/>
        </w:rPr>
      </w:pPr>
      <w:r w:rsidRPr="00E47F58">
        <w:rPr>
          <w:rFonts w:ascii="Arial" w:hAnsi="Arial" w:cs="Arial"/>
          <w:sz w:val="20"/>
          <w:szCs w:val="20"/>
        </w:rPr>
        <w:t>Figure</w:t>
      </w:r>
      <w:r w:rsidR="00DF376A"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Figure \* ARABIC \s 1 </w:instrText>
      </w:r>
      <w:r w:rsidR="0022766E" w:rsidRPr="00E47F58">
        <w:rPr>
          <w:rFonts w:ascii="Arial" w:hAnsi="Arial" w:cs="Arial"/>
          <w:sz w:val="20"/>
          <w:szCs w:val="20"/>
        </w:rPr>
        <w:fldChar w:fldCharType="separate"/>
      </w:r>
      <w:r w:rsidRPr="00E47F58">
        <w:rPr>
          <w:rFonts w:ascii="Arial" w:hAnsi="Arial" w:cs="Arial"/>
          <w:noProof/>
          <w:sz w:val="20"/>
          <w:szCs w:val="20"/>
        </w:rPr>
        <w:t>7</w:t>
      </w:r>
      <w:r w:rsidR="0022766E" w:rsidRPr="00E47F58">
        <w:rPr>
          <w:rFonts w:ascii="Arial" w:hAnsi="Arial" w:cs="Arial"/>
          <w:noProof/>
          <w:sz w:val="20"/>
          <w:szCs w:val="20"/>
        </w:rPr>
        <w:fldChar w:fldCharType="end"/>
      </w:r>
      <w:r w:rsidRPr="00E47F58">
        <w:rPr>
          <w:rFonts w:ascii="Arial" w:hAnsi="Arial" w:cs="Arial"/>
          <w:sz w:val="20"/>
          <w:szCs w:val="20"/>
        </w:rPr>
        <w:t xml:space="preserve"> : A; O</w:t>
      </w:r>
      <w:r w:rsidRPr="00E47F58">
        <w:rPr>
          <w:rFonts w:ascii="Arial" w:hAnsi="Arial" w:cs="Arial"/>
          <w:sz w:val="20"/>
          <w:szCs w:val="20"/>
          <w:lang w:val="en-GB"/>
        </w:rPr>
        <w:t xml:space="preserve">PLS-DA score plot of control fish challenged (CFC) and the control fish (CF) showing their variability by PC1, </w:t>
      </w:r>
      <w:r w:rsidRPr="00E47F58">
        <w:rPr>
          <w:rFonts w:ascii="Arial" w:hAnsi="Arial" w:cs="Arial"/>
          <w:sz w:val="20"/>
          <w:szCs w:val="20"/>
        </w:rPr>
        <w:t>B; O</w:t>
      </w:r>
      <w:r w:rsidRPr="00E47F58">
        <w:rPr>
          <w:rFonts w:ascii="Arial" w:hAnsi="Arial" w:cs="Arial"/>
          <w:sz w:val="20"/>
          <w:szCs w:val="20"/>
          <w:lang w:val="en-GB"/>
        </w:rPr>
        <w:t>PLS-DA S-plot showing metabolites which are greatly affected by the bacterial challenge and which contributed for the separation of CFC and CF by PC1</w:t>
      </w:r>
      <w:bookmarkEnd w:id="49"/>
      <w:r w:rsidR="00151BFC" w:rsidRPr="00E47F58">
        <w:rPr>
          <w:rFonts w:ascii="Arial" w:hAnsi="Arial" w:cs="Arial"/>
          <w:sz w:val="20"/>
          <w:szCs w:val="20"/>
          <w:lang w:val="en-GB"/>
        </w:rPr>
        <w:t>.</w:t>
      </w:r>
    </w:p>
    <w:p w14:paraId="43CFD2F1" w14:textId="77777777" w:rsidR="00EB6AE8" w:rsidRPr="00E47F58" w:rsidRDefault="00EB6AE8" w:rsidP="00EB6AE8">
      <w:pPr>
        <w:pStyle w:val="j"/>
        <w:rPr>
          <w:rFonts w:ascii="Arial" w:hAnsi="Arial" w:cs="Arial"/>
          <w:sz w:val="20"/>
          <w:szCs w:val="20"/>
          <w:lang w:val="en-GB"/>
        </w:rPr>
      </w:pPr>
    </w:p>
    <w:p w14:paraId="16DC3195"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t>It can be deduced fr</w:t>
      </w:r>
      <w:r w:rsidR="00DF376A" w:rsidRPr="00E47F58">
        <w:rPr>
          <w:rFonts w:ascii="Arial" w:hAnsi="Arial" w:cs="Arial"/>
          <w:sz w:val="20"/>
          <w:szCs w:val="20"/>
          <w:lang w:val="en-GB"/>
        </w:rPr>
        <w:t xml:space="preserve">om figure </w:t>
      </w:r>
      <w:r w:rsidRPr="00E47F58">
        <w:rPr>
          <w:rFonts w:ascii="Arial" w:hAnsi="Arial" w:cs="Arial"/>
          <w:sz w:val="20"/>
          <w:szCs w:val="20"/>
          <w:lang w:val="en-GB"/>
        </w:rPr>
        <w:t xml:space="preserve">7B that most distinguishing metabolites between CF and CFC are found in the lower left quadrant of the S-plot. This indicate that most of the important distinguishing metabolites were significantly decreased as a result of bacterial challenge on the experimental fish. This can be viewed as a negative effect of bacterial challenge on </w:t>
      </w:r>
      <w:r w:rsidR="00DF376A" w:rsidRPr="00E47F58">
        <w:rPr>
          <w:rFonts w:ascii="Arial" w:hAnsi="Arial" w:cs="Arial"/>
          <w:sz w:val="20"/>
          <w:szCs w:val="20"/>
          <w:lang w:val="en-GB"/>
        </w:rPr>
        <w:t xml:space="preserve">experimental </w:t>
      </w:r>
      <w:r w:rsidRPr="00E47F58">
        <w:rPr>
          <w:rFonts w:ascii="Arial" w:hAnsi="Arial" w:cs="Arial"/>
          <w:sz w:val="20"/>
          <w:szCs w:val="20"/>
          <w:lang w:val="en-GB"/>
        </w:rPr>
        <w:t>tilapia fish.</w:t>
      </w:r>
    </w:p>
    <w:p w14:paraId="1866E64A"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t>The metabolites which made the criteria for VIP due to bacterial challenge on the experimental fish in decreasing order of VIP values include oleic acid, histamine, valine, glucose, choline, alanine, palmitic acid, isoleucine, taurine, glycine, glycolate, proline, arginine, methionine, linoleic acid, glutamic acid, leucine, stearic acid, linolenic acid, creatine and riboflavin. These VIP metabolites which play the most important role in discriminating CFC from CF were also subjected to metabolite fold change assessment to investigate their regulation as a</w:t>
      </w:r>
      <w:r w:rsidR="00DF376A" w:rsidRPr="00E47F58">
        <w:rPr>
          <w:rFonts w:ascii="Arial" w:hAnsi="Arial" w:cs="Arial"/>
          <w:sz w:val="20"/>
          <w:szCs w:val="20"/>
          <w:lang w:val="en-GB"/>
        </w:rPr>
        <w:t xml:space="preserve"> result of bacterial challenge. </w:t>
      </w:r>
      <w:r w:rsidRPr="00E47F58">
        <w:rPr>
          <w:rFonts w:ascii="Arial" w:hAnsi="Arial" w:cs="Arial"/>
          <w:sz w:val="20"/>
          <w:szCs w:val="20"/>
          <w:lang w:val="en-GB"/>
        </w:rPr>
        <w:t xml:space="preserve">The metabolite fold change as a result of bacterial </w:t>
      </w:r>
      <w:r w:rsidRPr="00E47F58">
        <w:rPr>
          <w:rFonts w:ascii="Arial" w:hAnsi="Arial" w:cs="Arial"/>
          <w:sz w:val="20"/>
          <w:szCs w:val="20"/>
          <w:lang w:val="en-GB"/>
        </w:rPr>
        <w:lastRenderedPageBreak/>
        <w:t xml:space="preserve">challenge in control fish (CF/CFC) was found to be significantly high with five of the VIP metabolites. Table 5 shows the NMR signal assignment for major biomarkers of bacterial challenge by </w:t>
      </w:r>
      <w:r w:rsidRPr="00E47F58">
        <w:rPr>
          <w:rFonts w:ascii="Arial" w:hAnsi="Arial" w:cs="Arial"/>
          <w:i/>
          <w:iCs/>
          <w:sz w:val="20"/>
          <w:szCs w:val="20"/>
          <w:lang w:val="en-GB"/>
        </w:rPr>
        <w:t>S. agalactiae</w:t>
      </w:r>
      <w:r w:rsidRPr="00E47F58">
        <w:rPr>
          <w:rFonts w:ascii="Arial" w:hAnsi="Arial" w:cs="Arial"/>
          <w:sz w:val="20"/>
          <w:szCs w:val="20"/>
          <w:lang w:val="en-GB"/>
        </w:rPr>
        <w:t xml:space="preserve"> with the highest FC, their fold change values and the associated metabolic pathways on day 28 after 7 days of bacterial challenge with concentration of 1x10</w:t>
      </w:r>
      <w:r w:rsidRPr="00E47F58">
        <w:rPr>
          <w:rFonts w:ascii="Arial" w:hAnsi="Arial" w:cs="Arial"/>
          <w:sz w:val="20"/>
          <w:szCs w:val="20"/>
          <w:vertAlign w:val="superscript"/>
          <w:lang w:val="en-GB"/>
        </w:rPr>
        <w:t xml:space="preserve">8 </w:t>
      </w:r>
      <w:r w:rsidRPr="00E47F58">
        <w:rPr>
          <w:rFonts w:ascii="Arial" w:hAnsi="Arial" w:cs="Arial"/>
          <w:sz w:val="20"/>
          <w:szCs w:val="20"/>
          <w:lang w:val="en-GB"/>
        </w:rPr>
        <w:t xml:space="preserve">CFU/mL </w:t>
      </w:r>
      <w:r w:rsidRPr="00E47F58">
        <w:rPr>
          <w:rFonts w:ascii="Arial" w:hAnsi="Arial" w:cs="Arial"/>
          <w:i/>
          <w:iCs/>
          <w:sz w:val="20"/>
          <w:szCs w:val="20"/>
          <w:lang w:val="en-GB"/>
        </w:rPr>
        <w:t>S. agalactiae</w:t>
      </w:r>
      <w:r w:rsidRPr="00E47F58">
        <w:rPr>
          <w:rFonts w:ascii="Arial" w:hAnsi="Arial" w:cs="Arial"/>
          <w:sz w:val="20"/>
          <w:szCs w:val="20"/>
          <w:lang w:val="en-GB"/>
        </w:rPr>
        <w:t>. These compounds are linoleic acid, stearic acid, arginine, palmitic acid and linolenic acid with a high</w:t>
      </w:r>
      <w:r w:rsidR="00E40B22" w:rsidRPr="00E47F58">
        <w:rPr>
          <w:rFonts w:ascii="Arial" w:hAnsi="Arial" w:cs="Arial"/>
          <w:sz w:val="20"/>
          <w:szCs w:val="20"/>
          <w:lang w:val="en-GB"/>
        </w:rPr>
        <w:t>est</w:t>
      </w:r>
      <w:r w:rsidRPr="00E47F58">
        <w:rPr>
          <w:rFonts w:ascii="Arial" w:hAnsi="Arial" w:cs="Arial"/>
          <w:sz w:val="20"/>
          <w:szCs w:val="20"/>
          <w:lang w:val="en-GB"/>
        </w:rPr>
        <w:t xml:space="preserve"> down</w:t>
      </w:r>
      <w:r w:rsidR="00E40B22" w:rsidRPr="00E47F58">
        <w:rPr>
          <w:rFonts w:ascii="Arial" w:hAnsi="Arial" w:cs="Arial"/>
          <w:sz w:val="20"/>
          <w:szCs w:val="20"/>
          <w:lang w:val="en-GB"/>
        </w:rPr>
        <w:t xml:space="preserve"> </w:t>
      </w:r>
      <w:r w:rsidRPr="00E47F58">
        <w:rPr>
          <w:rFonts w:ascii="Arial" w:hAnsi="Arial" w:cs="Arial"/>
          <w:sz w:val="20"/>
          <w:szCs w:val="20"/>
          <w:lang w:val="en-GB"/>
        </w:rPr>
        <w:t>regulation in linoleic acid level of more than 33 times in CFC due to the bacterial chall</w:t>
      </w:r>
      <w:r w:rsidR="00E40B22" w:rsidRPr="00E47F58">
        <w:rPr>
          <w:rFonts w:ascii="Arial" w:hAnsi="Arial" w:cs="Arial"/>
          <w:sz w:val="20"/>
          <w:szCs w:val="20"/>
          <w:lang w:val="en-GB"/>
        </w:rPr>
        <w:t xml:space="preserve">enge as compared to CF (Table </w:t>
      </w:r>
      <w:r w:rsidRPr="00E47F58">
        <w:rPr>
          <w:rFonts w:ascii="Arial" w:hAnsi="Arial" w:cs="Arial"/>
          <w:sz w:val="20"/>
          <w:szCs w:val="20"/>
          <w:lang w:val="en-GB"/>
        </w:rPr>
        <w:t>5).</w:t>
      </w:r>
    </w:p>
    <w:p w14:paraId="3E9D7176" w14:textId="77777777" w:rsidR="00EB6AE8" w:rsidRPr="00E47F58" w:rsidRDefault="00EB6AE8" w:rsidP="00EB6AE8">
      <w:pPr>
        <w:pStyle w:val="Caption"/>
        <w:keepNext/>
        <w:rPr>
          <w:rFonts w:ascii="Arial" w:hAnsi="Arial" w:cs="Arial"/>
          <w:sz w:val="20"/>
          <w:szCs w:val="20"/>
        </w:rPr>
      </w:pPr>
      <w:bookmarkStart w:id="50" w:name="_Toc50652954"/>
      <w:r w:rsidRPr="00E47F58">
        <w:rPr>
          <w:rFonts w:ascii="Arial" w:hAnsi="Arial" w:cs="Arial"/>
          <w:sz w:val="20"/>
          <w:szCs w:val="20"/>
        </w:rPr>
        <w:t>Table</w:t>
      </w:r>
      <w:r w:rsidR="00E40B22"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Table \* ARABIC \s 1 </w:instrText>
      </w:r>
      <w:r w:rsidR="0022766E" w:rsidRPr="00E47F58">
        <w:rPr>
          <w:rFonts w:ascii="Arial" w:hAnsi="Arial" w:cs="Arial"/>
          <w:sz w:val="20"/>
          <w:szCs w:val="20"/>
        </w:rPr>
        <w:fldChar w:fldCharType="separate"/>
      </w:r>
      <w:r w:rsidRPr="00E47F58">
        <w:rPr>
          <w:rFonts w:ascii="Arial" w:hAnsi="Arial" w:cs="Arial"/>
          <w:noProof/>
          <w:sz w:val="20"/>
          <w:szCs w:val="20"/>
        </w:rPr>
        <w:t>5</w:t>
      </w:r>
      <w:r w:rsidR="0022766E" w:rsidRPr="00E47F58">
        <w:rPr>
          <w:rFonts w:ascii="Arial" w:hAnsi="Arial" w:cs="Arial"/>
          <w:noProof/>
          <w:sz w:val="20"/>
          <w:szCs w:val="20"/>
        </w:rPr>
        <w:fldChar w:fldCharType="end"/>
      </w:r>
      <w:r w:rsidRPr="00E47F58">
        <w:rPr>
          <w:rFonts w:ascii="Arial" w:hAnsi="Arial" w:cs="Arial"/>
          <w:sz w:val="20"/>
          <w:szCs w:val="20"/>
        </w:rPr>
        <w:t xml:space="preserve"> : Metabolite fold changes as a result of </w:t>
      </w:r>
      <w:r w:rsidRPr="00E47F58">
        <w:rPr>
          <w:rFonts w:ascii="Arial" w:hAnsi="Arial" w:cs="Arial"/>
          <w:i/>
          <w:iCs/>
          <w:sz w:val="20"/>
          <w:szCs w:val="20"/>
        </w:rPr>
        <w:t xml:space="preserve">S. agalactiae </w:t>
      </w:r>
      <w:r w:rsidRPr="00E47F58">
        <w:rPr>
          <w:rFonts w:ascii="Arial" w:hAnsi="Arial" w:cs="Arial"/>
          <w:sz w:val="20"/>
          <w:szCs w:val="20"/>
        </w:rPr>
        <w:t>challenge on control fish</w:t>
      </w:r>
      <w:bookmarkEnd w:id="50"/>
    </w:p>
    <w:p w14:paraId="391687C5" w14:textId="77777777" w:rsidR="00EB6AE8" w:rsidRPr="00E47F58" w:rsidRDefault="00EB6AE8" w:rsidP="00EB6AE8">
      <w:pPr>
        <w:pStyle w:val="j"/>
        <w:rPr>
          <w:rFonts w:ascii="Arial" w:hAnsi="Arial" w:cs="Arial"/>
          <w:sz w:val="20"/>
          <w:szCs w:val="20"/>
        </w:rPr>
      </w:pPr>
    </w:p>
    <w:tbl>
      <w:tblPr>
        <w:tblStyle w:val="TableGrid"/>
        <w:tblW w:w="5000" w:type="pct"/>
        <w:jc w:val="center"/>
        <w:tblLook w:val="04A0" w:firstRow="1" w:lastRow="0" w:firstColumn="1" w:lastColumn="0" w:noHBand="0" w:noVBand="1"/>
      </w:tblPr>
      <w:tblGrid>
        <w:gridCol w:w="2336"/>
        <w:gridCol w:w="2338"/>
        <w:gridCol w:w="2338"/>
        <w:gridCol w:w="2338"/>
      </w:tblGrid>
      <w:tr w:rsidR="00EB6AE8" w:rsidRPr="00E47F58" w14:paraId="0B2CEDFA" w14:textId="77777777" w:rsidTr="00E40B22">
        <w:trPr>
          <w:jc w:val="center"/>
        </w:trPr>
        <w:tc>
          <w:tcPr>
            <w:tcW w:w="1249" w:type="pct"/>
          </w:tcPr>
          <w:p w14:paraId="30636A7B"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Metabolite</w:t>
            </w:r>
          </w:p>
        </w:tc>
        <w:tc>
          <w:tcPr>
            <w:tcW w:w="1250" w:type="pct"/>
          </w:tcPr>
          <w:p w14:paraId="70F8C952"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Chemical shift (ppm)</w:t>
            </w:r>
          </w:p>
        </w:tc>
        <w:tc>
          <w:tcPr>
            <w:tcW w:w="1250" w:type="pct"/>
          </w:tcPr>
          <w:p w14:paraId="13504A6C"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Fold change</w:t>
            </w:r>
          </w:p>
          <w:p w14:paraId="0A43DFFD"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(CF/CFC)</w:t>
            </w:r>
          </w:p>
        </w:tc>
        <w:tc>
          <w:tcPr>
            <w:tcW w:w="1250" w:type="pct"/>
          </w:tcPr>
          <w:p w14:paraId="68F49CB6"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Metabolic pathway</w:t>
            </w:r>
          </w:p>
        </w:tc>
      </w:tr>
      <w:tr w:rsidR="00EB6AE8" w:rsidRPr="00E47F58" w14:paraId="5B23785A" w14:textId="77777777" w:rsidTr="00E40B22">
        <w:trPr>
          <w:jc w:val="center"/>
        </w:trPr>
        <w:tc>
          <w:tcPr>
            <w:tcW w:w="1249" w:type="pct"/>
          </w:tcPr>
          <w:p w14:paraId="55B24CF6"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Linoleic acid</w:t>
            </w:r>
          </w:p>
          <w:p w14:paraId="343F5B99"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250" w:type="pct"/>
          </w:tcPr>
          <w:p w14:paraId="7DA9DB70"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δ</w:t>
            </w:r>
            <w:r w:rsidRPr="00E47F58">
              <w:rPr>
                <w:rFonts w:ascii="Arial" w:hAnsi="Arial" w:cs="Arial"/>
                <w:color w:val="000000" w:themeColor="text1"/>
                <w:lang w:val="en-GB"/>
              </w:rPr>
              <w:t xml:space="preserve"> 0.78</w:t>
            </w:r>
          </w:p>
        </w:tc>
        <w:tc>
          <w:tcPr>
            <w:tcW w:w="1250" w:type="pct"/>
          </w:tcPr>
          <w:p w14:paraId="7854563D"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33.275</w:t>
            </w:r>
          </w:p>
          <w:p w14:paraId="567D5A6B"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250" w:type="pct"/>
          </w:tcPr>
          <w:p w14:paraId="2202A93E"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Linoleic acid metabolism</w:t>
            </w:r>
          </w:p>
        </w:tc>
      </w:tr>
      <w:tr w:rsidR="00EB6AE8" w:rsidRPr="00E47F58" w14:paraId="5D197E3A" w14:textId="77777777" w:rsidTr="00E40B22">
        <w:trPr>
          <w:jc w:val="center"/>
        </w:trPr>
        <w:tc>
          <w:tcPr>
            <w:tcW w:w="1249" w:type="pct"/>
          </w:tcPr>
          <w:p w14:paraId="7ACD03D0"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Stearic acid</w:t>
            </w:r>
          </w:p>
          <w:p w14:paraId="26182AB7"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250" w:type="pct"/>
          </w:tcPr>
          <w:p w14:paraId="082B748B"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δ</w:t>
            </w:r>
            <w:r w:rsidRPr="00E47F58">
              <w:rPr>
                <w:rFonts w:ascii="Arial" w:hAnsi="Arial" w:cs="Arial"/>
                <w:color w:val="000000" w:themeColor="text1"/>
                <w:lang w:val="en-GB"/>
              </w:rPr>
              <w:t xml:space="preserve"> 1.14</w:t>
            </w:r>
          </w:p>
        </w:tc>
        <w:tc>
          <w:tcPr>
            <w:tcW w:w="1250" w:type="pct"/>
          </w:tcPr>
          <w:p w14:paraId="0622A59B"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18.457</w:t>
            </w:r>
          </w:p>
          <w:p w14:paraId="7A37EC1E"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250" w:type="pct"/>
          </w:tcPr>
          <w:p w14:paraId="4E6A3FAC"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Linoleic acid metabolism</w:t>
            </w:r>
          </w:p>
        </w:tc>
      </w:tr>
      <w:tr w:rsidR="00EB6AE8" w:rsidRPr="00E47F58" w14:paraId="60EA612F" w14:textId="77777777" w:rsidTr="00E40B22">
        <w:trPr>
          <w:jc w:val="center"/>
        </w:trPr>
        <w:tc>
          <w:tcPr>
            <w:tcW w:w="1249" w:type="pct"/>
          </w:tcPr>
          <w:p w14:paraId="360C619F"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Arginine</w:t>
            </w:r>
          </w:p>
          <w:p w14:paraId="1409CF7B"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250" w:type="pct"/>
          </w:tcPr>
          <w:p w14:paraId="5769566F"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δ</w:t>
            </w:r>
            <w:r w:rsidRPr="00E47F58">
              <w:rPr>
                <w:rFonts w:ascii="Arial" w:hAnsi="Arial" w:cs="Arial"/>
                <w:color w:val="000000" w:themeColor="text1"/>
                <w:lang w:val="en-GB"/>
              </w:rPr>
              <w:t xml:space="preserve"> 1.58</w:t>
            </w:r>
          </w:p>
        </w:tc>
        <w:tc>
          <w:tcPr>
            <w:tcW w:w="1250" w:type="pct"/>
          </w:tcPr>
          <w:p w14:paraId="7F25B55D"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3.2914</w:t>
            </w:r>
          </w:p>
          <w:p w14:paraId="64ABB734"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250" w:type="pct"/>
          </w:tcPr>
          <w:p w14:paraId="2AA04100"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Arginine and proline metabolism</w:t>
            </w:r>
          </w:p>
        </w:tc>
      </w:tr>
      <w:tr w:rsidR="00EB6AE8" w:rsidRPr="00E47F58" w14:paraId="45A60F44" w14:textId="77777777" w:rsidTr="00E40B22">
        <w:trPr>
          <w:jc w:val="center"/>
        </w:trPr>
        <w:tc>
          <w:tcPr>
            <w:tcW w:w="1249" w:type="pct"/>
          </w:tcPr>
          <w:p w14:paraId="1A9F2D28"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Palmitic acid</w:t>
            </w:r>
          </w:p>
          <w:p w14:paraId="67940C47"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250" w:type="pct"/>
          </w:tcPr>
          <w:p w14:paraId="35A7FB33"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δ</w:t>
            </w:r>
            <w:r w:rsidRPr="00E47F58">
              <w:rPr>
                <w:rFonts w:ascii="Arial" w:hAnsi="Arial" w:cs="Arial"/>
                <w:color w:val="000000" w:themeColor="text1"/>
                <w:lang w:val="en-GB"/>
              </w:rPr>
              <w:t xml:space="preserve"> 0.90</w:t>
            </w:r>
          </w:p>
        </w:tc>
        <w:tc>
          <w:tcPr>
            <w:tcW w:w="1250" w:type="pct"/>
          </w:tcPr>
          <w:p w14:paraId="085CB397"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2.7551</w:t>
            </w:r>
          </w:p>
          <w:p w14:paraId="67625616"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250" w:type="pct"/>
          </w:tcPr>
          <w:p w14:paraId="428D669B"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Amino acid metabolism</w:t>
            </w:r>
          </w:p>
        </w:tc>
      </w:tr>
      <w:tr w:rsidR="00EB6AE8" w:rsidRPr="00E47F58" w14:paraId="661CF923" w14:textId="77777777" w:rsidTr="00E40B22">
        <w:trPr>
          <w:jc w:val="center"/>
        </w:trPr>
        <w:tc>
          <w:tcPr>
            <w:tcW w:w="1249" w:type="pct"/>
          </w:tcPr>
          <w:p w14:paraId="0EA47E12"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Linolenic acid</w:t>
            </w:r>
          </w:p>
          <w:p w14:paraId="57852E43" w14:textId="77777777" w:rsidR="00EB6AE8" w:rsidRPr="00E47F58" w:rsidRDefault="00EB6AE8" w:rsidP="00EB6AE8">
            <w:pPr>
              <w:spacing w:after="0" w:line="240" w:lineRule="auto"/>
              <w:jc w:val="both"/>
              <w:rPr>
                <w:rFonts w:ascii="Arial" w:hAnsi="Arial" w:cs="Arial"/>
                <w:color w:val="000000" w:themeColor="text1"/>
              </w:rPr>
            </w:pPr>
          </w:p>
        </w:tc>
        <w:tc>
          <w:tcPr>
            <w:tcW w:w="1250" w:type="pct"/>
          </w:tcPr>
          <w:p w14:paraId="2B4CA33F"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δ</w:t>
            </w:r>
            <w:r w:rsidRPr="00E47F58">
              <w:rPr>
                <w:rFonts w:ascii="Arial" w:hAnsi="Arial" w:cs="Arial"/>
                <w:color w:val="000000" w:themeColor="text1"/>
                <w:lang w:val="en-GB"/>
              </w:rPr>
              <w:t xml:space="preserve"> 1.10</w:t>
            </w:r>
          </w:p>
        </w:tc>
        <w:tc>
          <w:tcPr>
            <w:tcW w:w="1250" w:type="pct"/>
          </w:tcPr>
          <w:p w14:paraId="361F78BC" w14:textId="77777777" w:rsidR="00EB6AE8" w:rsidRPr="00E47F58" w:rsidRDefault="00EB6AE8" w:rsidP="00EB6AE8">
            <w:pPr>
              <w:spacing w:after="0" w:line="240" w:lineRule="auto"/>
              <w:jc w:val="both"/>
              <w:rPr>
                <w:rFonts w:ascii="Arial" w:hAnsi="Arial" w:cs="Arial"/>
                <w:color w:val="000000" w:themeColor="text1"/>
                <w:lang w:val="en-SG"/>
              </w:rPr>
            </w:pPr>
            <w:r w:rsidRPr="00E47F58">
              <w:rPr>
                <w:rFonts w:ascii="Arial" w:hAnsi="Arial" w:cs="Arial"/>
                <w:color w:val="000000" w:themeColor="text1"/>
              </w:rPr>
              <w:t>2.0481</w:t>
            </w:r>
          </w:p>
          <w:p w14:paraId="70679DC2" w14:textId="77777777" w:rsidR="00EB6AE8" w:rsidRPr="00E47F58" w:rsidRDefault="00EB6AE8" w:rsidP="00EB6AE8">
            <w:pPr>
              <w:spacing w:after="0" w:line="240" w:lineRule="auto"/>
              <w:jc w:val="both"/>
              <w:rPr>
                <w:rFonts w:ascii="Arial" w:hAnsi="Arial" w:cs="Arial"/>
                <w:color w:val="000000" w:themeColor="text1"/>
              </w:rPr>
            </w:pPr>
          </w:p>
        </w:tc>
        <w:tc>
          <w:tcPr>
            <w:tcW w:w="1250" w:type="pct"/>
          </w:tcPr>
          <w:p w14:paraId="521C1708" w14:textId="77777777" w:rsidR="00EB6AE8" w:rsidRPr="00E47F58" w:rsidRDefault="00EB6AE8" w:rsidP="00EB6AE8">
            <w:pPr>
              <w:spacing w:after="0" w:line="240" w:lineRule="auto"/>
              <w:jc w:val="both"/>
              <w:rPr>
                <w:rFonts w:ascii="Arial" w:hAnsi="Arial" w:cs="Arial"/>
                <w:color w:val="000000" w:themeColor="text1"/>
                <w:lang w:val="en-SG"/>
              </w:rPr>
            </w:pPr>
            <w:r w:rsidRPr="00E47F58">
              <w:rPr>
                <w:rFonts w:ascii="Arial" w:hAnsi="Arial" w:cs="Arial"/>
                <w:color w:val="000000" w:themeColor="text1"/>
                <w:lang w:val="el-GR"/>
              </w:rPr>
              <w:t>α</w:t>
            </w:r>
            <w:r w:rsidRPr="00E47F58">
              <w:rPr>
                <w:rFonts w:ascii="Arial" w:hAnsi="Arial" w:cs="Arial"/>
                <w:color w:val="000000" w:themeColor="text1"/>
                <w:lang w:val="en-SG"/>
              </w:rPr>
              <w:t>-Linolenic acid</w:t>
            </w:r>
          </w:p>
          <w:p w14:paraId="1AAC7BFA" w14:textId="77777777" w:rsidR="00EB6AE8" w:rsidRPr="00E47F58" w:rsidRDefault="00EB6AE8" w:rsidP="00EB6AE8">
            <w:pPr>
              <w:spacing w:after="0" w:line="240" w:lineRule="auto"/>
              <w:jc w:val="both"/>
              <w:rPr>
                <w:rFonts w:ascii="Arial" w:hAnsi="Arial" w:cs="Arial"/>
                <w:color w:val="000000" w:themeColor="text1"/>
                <w:lang w:val="en-SG"/>
              </w:rPr>
            </w:pPr>
            <w:r w:rsidRPr="00E47F58">
              <w:rPr>
                <w:rFonts w:ascii="Arial" w:hAnsi="Arial" w:cs="Arial"/>
                <w:color w:val="000000" w:themeColor="text1"/>
                <w:lang w:val="en-SG"/>
              </w:rPr>
              <w:t>metabolism</w:t>
            </w:r>
          </w:p>
        </w:tc>
      </w:tr>
    </w:tbl>
    <w:p w14:paraId="008EB352" w14:textId="77777777" w:rsidR="00EB6AE8" w:rsidRPr="00E47F58" w:rsidRDefault="00EB6AE8" w:rsidP="00EB6AE8">
      <w:pPr>
        <w:pStyle w:val="j"/>
        <w:rPr>
          <w:rFonts w:ascii="Arial" w:hAnsi="Arial" w:cs="Arial"/>
          <w:sz w:val="20"/>
          <w:szCs w:val="20"/>
          <w:lang w:val="en-GB"/>
        </w:rPr>
      </w:pPr>
    </w:p>
    <w:p w14:paraId="7D821113" w14:textId="77777777" w:rsidR="00EB6AE8" w:rsidRPr="00E47F58" w:rsidRDefault="00EB6AE8" w:rsidP="00EB6AE8">
      <w:pPr>
        <w:pStyle w:val="j"/>
        <w:rPr>
          <w:rFonts w:ascii="Arial" w:hAnsi="Arial" w:cs="Arial"/>
          <w:sz w:val="20"/>
          <w:szCs w:val="20"/>
          <w:lang w:val="en-GB"/>
        </w:rPr>
      </w:pPr>
    </w:p>
    <w:p w14:paraId="01D60044"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t>The high fold ch</w:t>
      </w:r>
      <w:r w:rsidR="00E40B22" w:rsidRPr="00E47F58">
        <w:rPr>
          <w:rFonts w:ascii="Arial" w:hAnsi="Arial" w:cs="Arial"/>
          <w:sz w:val="20"/>
          <w:szCs w:val="20"/>
          <w:lang w:val="en-GB"/>
        </w:rPr>
        <w:t xml:space="preserve">ange values (CF/CFC) in Table </w:t>
      </w:r>
      <w:r w:rsidRPr="00E47F58">
        <w:rPr>
          <w:rFonts w:ascii="Arial" w:hAnsi="Arial" w:cs="Arial"/>
          <w:sz w:val="20"/>
          <w:szCs w:val="20"/>
          <w:lang w:val="en-GB"/>
        </w:rPr>
        <w:t xml:space="preserve">5 which represent extreme </w:t>
      </w:r>
      <w:r w:rsidR="00E40B22" w:rsidRPr="00E47F58">
        <w:rPr>
          <w:rFonts w:ascii="Arial" w:hAnsi="Arial" w:cs="Arial"/>
          <w:sz w:val="20"/>
          <w:szCs w:val="20"/>
          <w:lang w:val="en-GB"/>
        </w:rPr>
        <w:t>down regulation</w:t>
      </w:r>
      <w:r w:rsidRPr="00E47F58">
        <w:rPr>
          <w:rFonts w:ascii="Arial" w:hAnsi="Arial" w:cs="Arial"/>
          <w:sz w:val="20"/>
          <w:szCs w:val="20"/>
          <w:lang w:val="en-GB"/>
        </w:rPr>
        <w:t xml:space="preserve"> of the corresponding metabolites in control fish as a result of bacterial challenge is an indication of severe negative effects of </w:t>
      </w:r>
      <w:r w:rsidRPr="00E47F58">
        <w:rPr>
          <w:rFonts w:ascii="Arial" w:hAnsi="Arial" w:cs="Arial"/>
          <w:i/>
          <w:iCs/>
          <w:sz w:val="20"/>
          <w:szCs w:val="20"/>
          <w:lang w:val="en-GB"/>
        </w:rPr>
        <w:t xml:space="preserve">S. agalactiae </w:t>
      </w:r>
      <w:r w:rsidRPr="00E47F58">
        <w:rPr>
          <w:rFonts w:ascii="Arial" w:hAnsi="Arial" w:cs="Arial"/>
          <w:sz w:val="20"/>
          <w:szCs w:val="20"/>
          <w:lang w:val="en-GB"/>
        </w:rPr>
        <w:t xml:space="preserve">bacteria on the control fish. This effect was seen to be negligible on fish previously fed with </w:t>
      </w:r>
      <w:r w:rsidRPr="00E47F58">
        <w:rPr>
          <w:rFonts w:ascii="Arial" w:hAnsi="Arial" w:cs="Arial"/>
          <w:i/>
          <w:iCs/>
          <w:sz w:val="20"/>
          <w:szCs w:val="20"/>
          <w:lang w:val="en-GB"/>
        </w:rPr>
        <w:t xml:space="preserve">C. vulgaris </w:t>
      </w:r>
      <w:r w:rsidRPr="00E47F58">
        <w:rPr>
          <w:rFonts w:ascii="Arial" w:hAnsi="Arial" w:cs="Arial"/>
          <w:sz w:val="20"/>
          <w:szCs w:val="20"/>
          <w:lang w:val="en-GB"/>
        </w:rPr>
        <w:t>prior to bacterial challenge as discussed below.</w:t>
      </w:r>
    </w:p>
    <w:p w14:paraId="09D4E12F" w14:textId="77777777" w:rsidR="00EB6AE8" w:rsidRPr="00E47F58" w:rsidRDefault="004B090C" w:rsidP="00E47F58">
      <w:pPr>
        <w:pStyle w:val="Heading3"/>
        <w:rPr>
          <w:sz w:val="20"/>
          <w:szCs w:val="20"/>
          <w:lang w:val="en-GB"/>
        </w:rPr>
      </w:pPr>
      <w:bookmarkStart w:id="51" w:name="_Toc49955762"/>
      <w:bookmarkStart w:id="52" w:name="_Toc50652453"/>
      <w:r w:rsidRPr="00E47F58">
        <w:rPr>
          <w:sz w:val="20"/>
          <w:szCs w:val="20"/>
          <w:lang w:val="en-GB"/>
        </w:rPr>
        <w:t>3.0.7</w:t>
      </w:r>
      <w:r w:rsidRPr="00E47F58">
        <w:rPr>
          <w:sz w:val="20"/>
          <w:szCs w:val="20"/>
          <w:lang w:val="en-GB"/>
        </w:rPr>
        <w:tab/>
      </w:r>
      <w:r w:rsidR="00EB6AE8" w:rsidRPr="00E47F58">
        <w:rPr>
          <w:sz w:val="20"/>
          <w:szCs w:val="20"/>
          <w:lang w:val="en-GB"/>
        </w:rPr>
        <w:t>Effect of Streptococcus agalactiae bacteria on Chlorella vulgaris fed fish</w:t>
      </w:r>
      <w:bookmarkEnd w:id="51"/>
      <w:bookmarkEnd w:id="52"/>
    </w:p>
    <w:p w14:paraId="46CF8F8F"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t xml:space="preserve">Challenging the immunity of </w:t>
      </w:r>
      <w:r w:rsidRPr="00E47F58">
        <w:rPr>
          <w:rFonts w:ascii="Arial" w:hAnsi="Arial" w:cs="Arial"/>
          <w:i/>
          <w:iCs/>
          <w:sz w:val="20"/>
          <w:szCs w:val="20"/>
          <w:lang w:val="en-GB"/>
        </w:rPr>
        <w:t xml:space="preserve">C. vulgaris </w:t>
      </w:r>
      <w:r w:rsidRPr="00E47F58">
        <w:rPr>
          <w:rFonts w:ascii="Arial" w:hAnsi="Arial" w:cs="Arial"/>
          <w:sz w:val="20"/>
          <w:szCs w:val="20"/>
          <w:lang w:val="en-GB"/>
        </w:rPr>
        <w:t xml:space="preserve">fed fish with the bacteria </w:t>
      </w:r>
      <w:r w:rsidRPr="00E47F58">
        <w:rPr>
          <w:rFonts w:ascii="Arial" w:hAnsi="Arial" w:cs="Arial"/>
          <w:i/>
          <w:iCs/>
          <w:sz w:val="20"/>
          <w:szCs w:val="20"/>
          <w:lang w:val="en-GB"/>
        </w:rPr>
        <w:t xml:space="preserve">S. agalactiae </w:t>
      </w:r>
      <w:r w:rsidRPr="00E47F58">
        <w:rPr>
          <w:rFonts w:ascii="Arial" w:hAnsi="Arial" w:cs="Arial"/>
          <w:sz w:val="20"/>
          <w:szCs w:val="20"/>
          <w:lang w:val="en-GB"/>
        </w:rPr>
        <w:t xml:space="preserve">gives an insight to whether the improved innate immunity was sustained and prevent the occurrence of bacterial infection. This was achieved via the assessment of metabolites fold changes in the bacterial challenged </w:t>
      </w:r>
      <w:r w:rsidRPr="00E47F58">
        <w:rPr>
          <w:rFonts w:ascii="Arial" w:hAnsi="Arial" w:cs="Arial"/>
          <w:i/>
          <w:iCs/>
          <w:sz w:val="20"/>
          <w:szCs w:val="20"/>
          <w:lang w:val="en-GB"/>
        </w:rPr>
        <w:t>C. vulgaris</w:t>
      </w:r>
      <w:r w:rsidRPr="00E47F58">
        <w:rPr>
          <w:rFonts w:ascii="Arial" w:hAnsi="Arial" w:cs="Arial"/>
          <w:sz w:val="20"/>
          <w:szCs w:val="20"/>
          <w:lang w:val="en-GB"/>
        </w:rPr>
        <w:t xml:space="preserve"> fed fish (CVC) as compared to </w:t>
      </w:r>
      <w:r w:rsidRPr="00E47F58">
        <w:rPr>
          <w:rFonts w:ascii="Arial" w:hAnsi="Arial" w:cs="Arial"/>
          <w:i/>
          <w:iCs/>
          <w:sz w:val="20"/>
          <w:szCs w:val="20"/>
          <w:lang w:val="en-GB"/>
        </w:rPr>
        <w:t xml:space="preserve">C. vulgaris </w:t>
      </w:r>
      <w:r w:rsidRPr="00E47F58">
        <w:rPr>
          <w:rFonts w:ascii="Arial" w:hAnsi="Arial" w:cs="Arial"/>
          <w:sz w:val="20"/>
          <w:szCs w:val="20"/>
          <w:lang w:val="en-GB"/>
        </w:rPr>
        <w:t>(CV)</w:t>
      </w:r>
      <w:r w:rsidRPr="00E47F58">
        <w:rPr>
          <w:rFonts w:ascii="Arial" w:hAnsi="Arial" w:cs="Arial"/>
          <w:i/>
          <w:iCs/>
          <w:sz w:val="20"/>
          <w:szCs w:val="20"/>
          <w:lang w:val="en-GB"/>
        </w:rPr>
        <w:t xml:space="preserve"> </w:t>
      </w:r>
      <w:r w:rsidRPr="00E47F58">
        <w:rPr>
          <w:rFonts w:ascii="Arial" w:hAnsi="Arial" w:cs="Arial"/>
          <w:sz w:val="20"/>
          <w:szCs w:val="20"/>
          <w:lang w:val="en-GB"/>
        </w:rPr>
        <w:t>fed fish without bacterial challenge. An OPLS-DA score plot of CV and CVC shows that there are maximum variations between the two groups suggested by th</w:t>
      </w:r>
      <w:r w:rsidR="00E40B22" w:rsidRPr="00E47F58">
        <w:rPr>
          <w:rFonts w:ascii="Arial" w:hAnsi="Arial" w:cs="Arial"/>
          <w:sz w:val="20"/>
          <w:szCs w:val="20"/>
          <w:lang w:val="en-GB"/>
        </w:rPr>
        <w:t>eir separation by PC1 (Figure 8A). Figure 8</w:t>
      </w:r>
      <w:r w:rsidRPr="00E47F58">
        <w:rPr>
          <w:rFonts w:ascii="Arial" w:hAnsi="Arial" w:cs="Arial"/>
          <w:sz w:val="20"/>
          <w:szCs w:val="20"/>
          <w:lang w:val="en-GB"/>
        </w:rPr>
        <w:t xml:space="preserve">A shows the variation between CV and CVC in an </w:t>
      </w:r>
      <w:r w:rsidR="00E40B22" w:rsidRPr="00E47F58">
        <w:rPr>
          <w:rFonts w:ascii="Arial" w:hAnsi="Arial" w:cs="Arial"/>
          <w:sz w:val="20"/>
          <w:szCs w:val="20"/>
          <w:lang w:val="en-GB"/>
        </w:rPr>
        <w:t xml:space="preserve">OPLS-DA score plot and Figure </w:t>
      </w:r>
      <w:r w:rsidRPr="00E47F58">
        <w:rPr>
          <w:rFonts w:ascii="Arial" w:hAnsi="Arial" w:cs="Arial"/>
          <w:sz w:val="20"/>
          <w:szCs w:val="20"/>
          <w:lang w:val="en-GB"/>
        </w:rPr>
        <w:t>8B shows the regulated metabolites responsible for their separation by PC1 in an S-plot. The model exhibited a high fitness, R2X of 0.709 and predictability, Q2 of 0.835 in which the PC1 explained a total variance of 35.7% and PC2 35.1%.</w:t>
      </w:r>
    </w:p>
    <w:p w14:paraId="23C3365C" w14:textId="77777777" w:rsidR="00EB6AE8" w:rsidRPr="00E47F58" w:rsidRDefault="00151BFC" w:rsidP="00151BFC">
      <w:pPr>
        <w:spacing w:after="0" w:line="240" w:lineRule="auto"/>
        <w:jc w:val="center"/>
        <w:rPr>
          <w:rFonts w:ascii="Arial" w:hAnsi="Arial" w:cs="Arial"/>
          <w:color w:val="000000" w:themeColor="text1"/>
          <w:sz w:val="20"/>
          <w:szCs w:val="20"/>
          <w:lang w:val="en-GB"/>
        </w:rPr>
      </w:pPr>
      <w:r w:rsidRPr="00E47F58">
        <w:rPr>
          <w:rFonts w:ascii="Arial" w:hAnsi="Arial" w:cs="Arial"/>
          <w:noProof/>
          <w:color w:val="000000" w:themeColor="text1"/>
          <w:sz w:val="20"/>
          <w:szCs w:val="20"/>
        </w:rPr>
        <w:lastRenderedPageBreak/>
        <w:drawing>
          <wp:inline distT="0" distB="0" distL="0" distR="0" wp14:anchorId="4DAA76E6" wp14:editId="1FA02AC0">
            <wp:extent cx="4818242" cy="5811881"/>
            <wp:effectExtent l="0" t="0" r="190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3"/>
                    <a:srcRect l="7492" r="11434" b="3046"/>
                    <a:stretch/>
                  </pic:blipFill>
                  <pic:spPr bwMode="auto">
                    <a:xfrm>
                      <a:off x="0" y="0"/>
                      <a:ext cx="4818675" cy="5812403"/>
                    </a:xfrm>
                    <a:prstGeom prst="rect">
                      <a:avLst/>
                    </a:prstGeom>
                    <a:ln>
                      <a:noFill/>
                    </a:ln>
                    <a:extLst>
                      <a:ext uri="{53640926-AAD7-44D8-BBD7-CCE9431645EC}">
                        <a14:shadowObscured xmlns:a14="http://schemas.microsoft.com/office/drawing/2010/main"/>
                      </a:ext>
                    </a:extLst>
                  </pic:spPr>
                </pic:pic>
              </a:graphicData>
            </a:graphic>
          </wp:inline>
        </w:drawing>
      </w:r>
    </w:p>
    <w:p w14:paraId="130934AD" w14:textId="77777777" w:rsidR="00EB6AE8" w:rsidRPr="00E47F58" w:rsidRDefault="00EB6AE8" w:rsidP="00EB6AE8">
      <w:pPr>
        <w:pStyle w:val="Caption"/>
        <w:rPr>
          <w:rFonts w:ascii="Arial" w:hAnsi="Arial" w:cs="Arial"/>
          <w:sz w:val="20"/>
          <w:szCs w:val="20"/>
          <w:lang w:val="en-GB"/>
        </w:rPr>
      </w:pPr>
      <w:bookmarkStart w:id="53" w:name="_Toc50653944"/>
      <w:r w:rsidRPr="00E47F58">
        <w:rPr>
          <w:rFonts w:ascii="Arial" w:hAnsi="Arial" w:cs="Arial"/>
          <w:sz w:val="20"/>
          <w:szCs w:val="20"/>
        </w:rPr>
        <w:t>Figure</w:t>
      </w:r>
      <w:r w:rsidR="00E40B22"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Figure \* ARABIC \s 1 </w:instrText>
      </w:r>
      <w:r w:rsidR="0022766E" w:rsidRPr="00E47F58">
        <w:rPr>
          <w:rFonts w:ascii="Arial" w:hAnsi="Arial" w:cs="Arial"/>
          <w:sz w:val="20"/>
          <w:szCs w:val="20"/>
        </w:rPr>
        <w:fldChar w:fldCharType="separate"/>
      </w:r>
      <w:r w:rsidRPr="00E47F58">
        <w:rPr>
          <w:rFonts w:ascii="Arial" w:hAnsi="Arial" w:cs="Arial"/>
          <w:noProof/>
          <w:sz w:val="20"/>
          <w:szCs w:val="20"/>
        </w:rPr>
        <w:t>8</w:t>
      </w:r>
      <w:r w:rsidR="0022766E" w:rsidRPr="00E47F58">
        <w:rPr>
          <w:rFonts w:ascii="Arial" w:hAnsi="Arial" w:cs="Arial"/>
          <w:noProof/>
          <w:sz w:val="20"/>
          <w:szCs w:val="20"/>
        </w:rPr>
        <w:fldChar w:fldCharType="end"/>
      </w:r>
      <w:r w:rsidRPr="00E47F58">
        <w:rPr>
          <w:rFonts w:ascii="Arial" w:hAnsi="Arial" w:cs="Arial"/>
          <w:sz w:val="20"/>
          <w:szCs w:val="20"/>
        </w:rPr>
        <w:t xml:space="preserve"> : A; O</w:t>
      </w:r>
      <w:r w:rsidRPr="00E47F58">
        <w:rPr>
          <w:rFonts w:ascii="Arial" w:hAnsi="Arial" w:cs="Arial"/>
          <w:sz w:val="20"/>
          <w:szCs w:val="20"/>
          <w:lang w:val="en-GB"/>
        </w:rPr>
        <w:t xml:space="preserve">PLS-DA score plot of </w:t>
      </w:r>
      <w:r w:rsidRPr="00E47F58">
        <w:rPr>
          <w:rFonts w:ascii="Arial" w:hAnsi="Arial" w:cs="Arial"/>
          <w:i/>
          <w:iCs/>
          <w:sz w:val="20"/>
          <w:szCs w:val="20"/>
          <w:lang w:val="en-GB"/>
        </w:rPr>
        <w:t>C. vulgaris</w:t>
      </w:r>
      <w:r w:rsidRPr="00E47F58">
        <w:rPr>
          <w:rFonts w:ascii="Arial" w:hAnsi="Arial" w:cs="Arial"/>
          <w:sz w:val="20"/>
          <w:szCs w:val="20"/>
          <w:lang w:val="en-GB"/>
        </w:rPr>
        <w:t xml:space="preserve"> (CV) fed fish and the </w:t>
      </w:r>
      <w:r w:rsidRPr="00E47F58">
        <w:rPr>
          <w:rFonts w:ascii="Arial" w:hAnsi="Arial" w:cs="Arial"/>
          <w:i/>
          <w:iCs/>
          <w:sz w:val="20"/>
          <w:szCs w:val="20"/>
          <w:lang w:val="en-GB"/>
        </w:rPr>
        <w:t>C. vulgaris</w:t>
      </w:r>
      <w:r w:rsidRPr="00E47F58">
        <w:rPr>
          <w:rFonts w:ascii="Arial" w:hAnsi="Arial" w:cs="Arial"/>
          <w:sz w:val="20"/>
          <w:szCs w:val="20"/>
          <w:lang w:val="en-GB"/>
        </w:rPr>
        <w:t xml:space="preserve"> challenged fish (CVC) showing their variability by PC1, </w:t>
      </w:r>
      <w:r w:rsidRPr="00E47F58">
        <w:rPr>
          <w:rFonts w:ascii="Arial" w:hAnsi="Arial" w:cs="Arial"/>
          <w:sz w:val="20"/>
          <w:szCs w:val="20"/>
        </w:rPr>
        <w:t>B; O</w:t>
      </w:r>
      <w:r w:rsidRPr="00E47F58">
        <w:rPr>
          <w:rFonts w:ascii="Arial" w:hAnsi="Arial" w:cs="Arial"/>
          <w:sz w:val="20"/>
          <w:szCs w:val="20"/>
          <w:lang w:val="en-GB"/>
        </w:rPr>
        <w:t>PLS-DA S-plot showing regulated metabolites which contributed for the separation of CV and CVC by PC1</w:t>
      </w:r>
      <w:bookmarkEnd w:id="53"/>
      <w:r w:rsidR="00FA3541" w:rsidRPr="00E47F58">
        <w:rPr>
          <w:rFonts w:ascii="Arial" w:hAnsi="Arial" w:cs="Arial"/>
          <w:sz w:val="20"/>
          <w:szCs w:val="20"/>
          <w:lang w:val="en-GB"/>
        </w:rPr>
        <w:t>.</w:t>
      </w:r>
    </w:p>
    <w:p w14:paraId="63368EBD" w14:textId="77777777" w:rsidR="00FA3541" w:rsidRPr="00E47F58" w:rsidRDefault="00FA3541" w:rsidP="00FA3541">
      <w:pPr>
        <w:rPr>
          <w:rFonts w:ascii="Arial" w:hAnsi="Arial" w:cs="Arial"/>
          <w:sz w:val="20"/>
          <w:szCs w:val="20"/>
          <w:lang w:val="en-GB"/>
        </w:rPr>
      </w:pPr>
    </w:p>
    <w:p w14:paraId="3F0EC3D9" w14:textId="77777777" w:rsidR="00EB6AE8" w:rsidRPr="00E47F58" w:rsidRDefault="00FA3541" w:rsidP="00EB6AE8">
      <w:pPr>
        <w:pStyle w:val="single"/>
        <w:rPr>
          <w:rFonts w:ascii="Arial" w:hAnsi="Arial" w:cs="Arial"/>
          <w:sz w:val="20"/>
          <w:szCs w:val="20"/>
          <w:lang w:val="en-GB"/>
        </w:rPr>
      </w:pPr>
      <w:r w:rsidRPr="00E47F58">
        <w:rPr>
          <w:rFonts w:ascii="Arial" w:hAnsi="Arial" w:cs="Arial"/>
          <w:sz w:val="20"/>
          <w:szCs w:val="20"/>
          <w:lang w:val="en-GB"/>
        </w:rPr>
        <w:t xml:space="preserve">From Figure </w:t>
      </w:r>
      <w:r w:rsidR="00EB6AE8" w:rsidRPr="00E47F58">
        <w:rPr>
          <w:rFonts w:ascii="Arial" w:hAnsi="Arial" w:cs="Arial"/>
          <w:sz w:val="20"/>
          <w:szCs w:val="20"/>
          <w:lang w:val="en-GB"/>
        </w:rPr>
        <w:t xml:space="preserve">8B, it is obvious that most of the metabolites that were altered as a result of bacterial challenge on fish initially fed with </w:t>
      </w:r>
      <w:r w:rsidR="00EB6AE8" w:rsidRPr="00E47F58">
        <w:rPr>
          <w:rFonts w:ascii="Arial" w:hAnsi="Arial" w:cs="Arial"/>
          <w:i/>
          <w:iCs/>
          <w:sz w:val="20"/>
          <w:szCs w:val="20"/>
          <w:lang w:val="en-GB"/>
        </w:rPr>
        <w:t>C. vulgaris</w:t>
      </w:r>
      <w:r w:rsidR="00EB6AE8" w:rsidRPr="00E47F58">
        <w:rPr>
          <w:rFonts w:ascii="Arial" w:hAnsi="Arial" w:cs="Arial"/>
          <w:sz w:val="20"/>
          <w:szCs w:val="20"/>
          <w:lang w:val="en-GB"/>
        </w:rPr>
        <w:t>, are in the upper-right quadrant of the S-plot with few in the lower-left quadrant. The result suggests that most of the discriminating metabolites were up</w:t>
      </w:r>
      <w:r w:rsidRPr="00E47F58">
        <w:rPr>
          <w:rFonts w:ascii="Arial" w:hAnsi="Arial" w:cs="Arial"/>
          <w:sz w:val="20"/>
          <w:szCs w:val="20"/>
          <w:lang w:val="en-GB"/>
        </w:rPr>
        <w:t xml:space="preserve"> </w:t>
      </w:r>
      <w:r w:rsidR="00EB6AE8" w:rsidRPr="00E47F58">
        <w:rPr>
          <w:rFonts w:ascii="Arial" w:hAnsi="Arial" w:cs="Arial"/>
          <w:sz w:val="20"/>
          <w:szCs w:val="20"/>
          <w:lang w:val="en-GB"/>
        </w:rPr>
        <w:t xml:space="preserve">regulated after 7 days of bacterial challenge, indicating the possibility of absent of negative effect of bacterial challenge on the experimental fish </w:t>
      </w:r>
      <w:r w:rsidRPr="00E47F58">
        <w:rPr>
          <w:rFonts w:ascii="Arial" w:hAnsi="Arial" w:cs="Arial"/>
          <w:sz w:val="20"/>
          <w:szCs w:val="20"/>
          <w:lang w:val="en-GB"/>
        </w:rPr>
        <w:t xml:space="preserve">which were </w:t>
      </w:r>
      <w:r w:rsidR="00EB6AE8" w:rsidRPr="00E47F58">
        <w:rPr>
          <w:rFonts w:ascii="Arial" w:hAnsi="Arial" w:cs="Arial"/>
          <w:sz w:val="20"/>
          <w:szCs w:val="20"/>
          <w:lang w:val="en-GB"/>
        </w:rPr>
        <w:t xml:space="preserve">initially fed with </w:t>
      </w:r>
      <w:r w:rsidR="00EB6AE8" w:rsidRPr="00E47F58">
        <w:rPr>
          <w:rFonts w:ascii="Arial" w:hAnsi="Arial" w:cs="Arial"/>
          <w:i/>
          <w:iCs/>
          <w:sz w:val="20"/>
          <w:szCs w:val="20"/>
          <w:lang w:val="en-GB"/>
        </w:rPr>
        <w:t xml:space="preserve">C. vulgaris </w:t>
      </w:r>
      <w:r w:rsidR="00EB6AE8" w:rsidRPr="00E47F58">
        <w:rPr>
          <w:rFonts w:ascii="Arial" w:hAnsi="Arial" w:cs="Arial"/>
          <w:sz w:val="20"/>
          <w:szCs w:val="20"/>
          <w:lang w:val="en-GB"/>
        </w:rPr>
        <w:t>(CVC). This suggestion was further verified via the assessment of metabolite regulation by bacterial challenge via VIP metabolite fold changes. The metabolites that made the VIP criteria in this regard in decreasing VIP values include histamine, alanine, glucose, creatine, linoleic acid, stearic acid, valine, choline, isoleucine, linolenic acid, oleic acid, glycine, methionine, taurine, riboflavin, leucine, palmitic acid, glycolate, proline, arginine and glutamic acid.</w:t>
      </w:r>
    </w:p>
    <w:p w14:paraId="347C37D8"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lastRenderedPageBreak/>
        <w:t xml:space="preserve">The metabolites fold changes as a result of bacterial challenge on fish previously fed with </w:t>
      </w:r>
      <w:r w:rsidRPr="00E47F58">
        <w:rPr>
          <w:rFonts w:ascii="Arial" w:hAnsi="Arial" w:cs="Arial"/>
          <w:i/>
          <w:iCs/>
          <w:sz w:val="20"/>
          <w:szCs w:val="20"/>
          <w:lang w:val="en-GB"/>
        </w:rPr>
        <w:t xml:space="preserve">C. vulgaris </w:t>
      </w:r>
      <w:r w:rsidRPr="00E47F58">
        <w:rPr>
          <w:rFonts w:ascii="Arial" w:hAnsi="Arial" w:cs="Arial"/>
          <w:sz w:val="20"/>
          <w:szCs w:val="20"/>
          <w:lang w:val="en-GB"/>
        </w:rPr>
        <w:t xml:space="preserve">(CV/CVC) was found to be significantly lower in this case as compared to the FC noticed as a result of bacterial challenge on fish which was not initially fed with </w:t>
      </w:r>
      <w:r w:rsidRPr="00E47F58">
        <w:rPr>
          <w:rFonts w:ascii="Arial" w:hAnsi="Arial" w:cs="Arial"/>
          <w:i/>
          <w:iCs/>
          <w:sz w:val="20"/>
          <w:szCs w:val="20"/>
          <w:lang w:val="en-GB"/>
        </w:rPr>
        <w:t xml:space="preserve">C. vulgaris </w:t>
      </w:r>
      <w:r w:rsidR="00FA3541" w:rsidRPr="00E47F58">
        <w:rPr>
          <w:rFonts w:ascii="Arial" w:hAnsi="Arial" w:cs="Arial"/>
          <w:sz w:val="20"/>
          <w:szCs w:val="20"/>
          <w:lang w:val="en-GB"/>
        </w:rPr>
        <w:t xml:space="preserve">(CF/CFC). Table </w:t>
      </w:r>
      <w:r w:rsidRPr="00E47F58">
        <w:rPr>
          <w:rFonts w:ascii="Arial" w:hAnsi="Arial" w:cs="Arial"/>
          <w:sz w:val="20"/>
          <w:szCs w:val="20"/>
          <w:lang w:val="en-GB"/>
        </w:rPr>
        <w:t xml:space="preserve">6 shows the NMR signal assignment for major biomarkers of bacterial challenge by </w:t>
      </w:r>
      <w:r w:rsidRPr="00E47F58">
        <w:rPr>
          <w:rFonts w:ascii="Arial" w:hAnsi="Arial" w:cs="Arial"/>
          <w:i/>
          <w:iCs/>
          <w:sz w:val="20"/>
          <w:szCs w:val="20"/>
          <w:lang w:val="en-GB"/>
        </w:rPr>
        <w:t>S. agalactiae</w:t>
      </w:r>
      <w:r w:rsidRPr="00E47F58">
        <w:rPr>
          <w:rFonts w:ascii="Arial" w:hAnsi="Arial" w:cs="Arial"/>
          <w:sz w:val="20"/>
          <w:szCs w:val="20"/>
          <w:lang w:val="en-GB"/>
        </w:rPr>
        <w:t>, their fold change values and the associated metabolic pathways on day 28 after 7 days of bacterial challenge having concentration of 1x10</w:t>
      </w:r>
      <w:r w:rsidRPr="00E47F58">
        <w:rPr>
          <w:rFonts w:ascii="Arial" w:hAnsi="Arial" w:cs="Arial"/>
          <w:sz w:val="20"/>
          <w:szCs w:val="20"/>
          <w:vertAlign w:val="superscript"/>
          <w:lang w:val="en-GB"/>
        </w:rPr>
        <w:t xml:space="preserve">8 </w:t>
      </w:r>
      <w:r w:rsidRPr="00E47F58">
        <w:rPr>
          <w:rFonts w:ascii="Arial" w:hAnsi="Arial" w:cs="Arial"/>
          <w:sz w:val="20"/>
          <w:szCs w:val="20"/>
          <w:lang w:val="en-GB"/>
        </w:rPr>
        <w:t xml:space="preserve">CFU/mL over </w:t>
      </w:r>
      <w:r w:rsidRPr="00E47F58">
        <w:rPr>
          <w:rFonts w:ascii="Arial" w:hAnsi="Arial" w:cs="Arial"/>
          <w:i/>
          <w:iCs/>
          <w:sz w:val="20"/>
          <w:szCs w:val="20"/>
          <w:lang w:val="en-GB"/>
        </w:rPr>
        <w:t xml:space="preserve">C. vulgaris </w:t>
      </w:r>
      <w:r w:rsidRPr="00E47F58">
        <w:rPr>
          <w:rFonts w:ascii="Arial" w:hAnsi="Arial" w:cs="Arial"/>
          <w:sz w:val="20"/>
          <w:szCs w:val="20"/>
          <w:lang w:val="en-GB"/>
        </w:rPr>
        <w:t xml:space="preserve">fed fish. These compounds are linolenic acid, stearic acid, linoleic acid, palmitic acid, creatine, linoleic acid, riboflavin, taurine and alanine. The FC as a result of bacterial challenge on </w:t>
      </w:r>
      <w:r w:rsidRPr="00E47F58">
        <w:rPr>
          <w:rFonts w:ascii="Arial" w:hAnsi="Arial" w:cs="Arial"/>
          <w:i/>
          <w:iCs/>
          <w:sz w:val="20"/>
          <w:szCs w:val="20"/>
          <w:lang w:val="en-GB"/>
        </w:rPr>
        <w:t xml:space="preserve">C. vulgaris </w:t>
      </w:r>
      <w:r w:rsidR="00FA3541" w:rsidRPr="00E47F58">
        <w:rPr>
          <w:rFonts w:ascii="Arial" w:hAnsi="Arial" w:cs="Arial"/>
          <w:sz w:val="20"/>
          <w:szCs w:val="20"/>
          <w:lang w:val="en-GB"/>
        </w:rPr>
        <w:t>fed fish (CV/CVC) did not amount to a whole unit</w:t>
      </w:r>
      <w:r w:rsidRPr="00E47F58">
        <w:rPr>
          <w:rFonts w:ascii="Arial" w:hAnsi="Arial" w:cs="Arial"/>
          <w:sz w:val="20"/>
          <w:szCs w:val="20"/>
          <w:lang w:val="en-GB"/>
        </w:rPr>
        <w:t xml:space="preserve"> </w:t>
      </w:r>
      <w:r w:rsidR="00FA3541" w:rsidRPr="00E47F58">
        <w:rPr>
          <w:rFonts w:ascii="Arial" w:hAnsi="Arial" w:cs="Arial"/>
          <w:sz w:val="20"/>
          <w:szCs w:val="20"/>
          <w:lang w:val="en-GB"/>
        </w:rPr>
        <w:t>or whole number in</w:t>
      </w:r>
      <w:r w:rsidRPr="00E47F58">
        <w:rPr>
          <w:rFonts w:ascii="Arial" w:hAnsi="Arial" w:cs="Arial"/>
          <w:sz w:val="20"/>
          <w:szCs w:val="20"/>
          <w:lang w:val="en-GB"/>
        </w:rPr>
        <w:t xml:space="preserve"> all the affected metabolites.</w:t>
      </w:r>
    </w:p>
    <w:p w14:paraId="1C773569" w14:textId="77777777" w:rsidR="00EB6AE8" w:rsidRPr="00E47F58" w:rsidRDefault="00EB6AE8" w:rsidP="00EB6AE8">
      <w:pPr>
        <w:pStyle w:val="Caption"/>
        <w:keepNext/>
        <w:rPr>
          <w:rFonts w:ascii="Arial" w:hAnsi="Arial" w:cs="Arial"/>
          <w:sz w:val="20"/>
          <w:szCs w:val="20"/>
        </w:rPr>
      </w:pPr>
      <w:bookmarkStart w:id="54" w:name="_Toc50652955"/>
      <w:r w:rsidRPr="00E47F58">
        <w:rPr>
          <w:rFonts w:ascii="Arial" w:hAnsi="Arial" w:cs="Arial"/>
          <w:sz w:val="20"/>
          <w:szCs w:val="20"/>
        </w:rPr>
        <w:t>Table</w:t>
      </w:r>
      <w:r w:rsidR="00BD3994"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Table \* ARABIC \s 1 </w:instrText>
      </w:r>
      <w:r w:rsidR="0022766E" w:rsidRPr="00E47F58">
        <w:rPr>
          <w:rFonts w:ascii="Arial" w:hAnsi="Arial" w:cs="Arial"/>
          <w:sz w:val="20"/>
          <w:szCs w:val="20"/>
        </w:rPr>
        <w:fldChar w:fldCharType="separate"/>
      </w:r>
      <w:r w:rsidRPr="00E47F58">
        <w:rPr>
          <w:rFonts w:ascii="Arial" w:hAnsi="Arial" w:cs="Arial"/>
          <w:noProof/>
          <w:sz w:val="20"/>
          <w:szCs w:val="20"/>
        </w:rPr>
        <w:t>6</w:t>
      </w:r>
      <w:r w:rsidR="0022766E" w:rsidRPr="00E47F58">
        <w:rPr>
          <w:rFonts w:ascii="Arial" w:hAnsi="Arial" w:cs="Arial"/>
          <w:noProof/>
          <w:sz w:val="20"/>
          <w:szCs w:val="20"/>
        </w:rPr>
        <w:fldChar w:fldCharType="end"/>
      </w:r>
      <w:r w:rsidRPr="00E47F58">
        <w:rPr>
          <w:rFonts w:ascii="Arial" w:hAnsi="Arial" w:cs="Arial"/>
          <w:sz w:val="20"/>
          <w:szCs w:val="20"/>
        </w:rPr>
        <w:t xml:space="preserve"> : Metabolite fold changes as a result of </w:t>
      </w:r>
      <w:r w:rsidRPr="00E47F58">
        <w:rPr>
          <w:rFonts w:ascii="Arial" w:hAnsi="Arial" w:cs="Arial"/>
          <w:i/>
          <w:iCs/>
          <w:sz w:val="20"/>
          <w:szCs w:val="20"/>
        </w:rPr>
        <w:t>S. agalactiae</w:t>
      </w:r>
      <w:r w:rsidRPr="00E47F58">
        <w:rPr>
          <w:rFonts w:ascii="Arial" w:hAnsi="Arial" w:cs="Arial"/>
          <w:sz w:val="20"/>
          <w:szCs w:val="20"/>
        </w:rPr>
        <w:t xml:space="preserve"> challenge on </w:t>
      </w:r>
      <w:r w:rsidRPr="00E47F58">
        <w:rPr>
          <w:rFonts w:ascii="Arial" w:hAnsi="Arial" w:cs="Arial"/>
          <w:i/>
          <w:iCs/>
          <w:sz w:val="20"/>
          <w:szCs w:val="20"/>
        </w:rPr>
        <w:t xml:space="preserve">C. vulgaris </w:t>
      </w:r>
      <w:r w:rsidRPr="00E47F58">
        <w:rPr>
          <w:rFonts w:ascii="Arial" w:hAnsi="Arial" w:cs="Arial"/>
          <w:sz w:val="20"/>
          <w:szCs w:val="20"/>
        </w:rPr>
        <w:t>fed fish</w:t>
      </w:r>
      <w:bookmarkEnd w:id="54"/>
    </w:p>
    <w:p w14:paraId="2448ABC0" w14:textId="77777777" w:rsidR="00EB6AE8" w:rsidRPr="00E47F58" w:rsidRDefault="00EB6AE8" w:rsidP="00EB6AE8">
      <w:pPr>
        <w:pStyle w:val="j"/>
        <w:rPr>
          <w:rFonts w:ascii="Arial" w:hAnsi="Arial" w:cs="Arial"/>
          <w:sz w:val="20"/>
          <w:szCs w:val="20"/>
        </w:rPr>
      </w:pPr>
    </w:p>
    <w:tbl>
      <w:tblPr>
        <w:tblStyle w:val="TableGrid"/>
        <w:tblW w:w="5000" w:type="pct"/>
        <w:jc w:val="center"/>
        <w:tblLook w:val="04A0" w:firstRow="1" w:lastRow="0" w:firstColumn="1" w:lastColumn="0" w:noHBand="0" w:noVBand="1"/>
      </w:tblPr>
      <w:tblGrid>
        <w:gridCol w:w="2157"/>
        <w:gridCol w:w="2397"/>
        <w:gridCol w:w="1926"/>
        <w:gridCol w:w="2870"/>
      </w:tblGrid>
      <w:tr w:rsidR="00EB6AE8" w:rsidRPr="00E47F58" w14:paraId="7CC3ADBB" w14:textId="77777777" w:rsidTr="00BD3994">
        <w:trPr>
          <w:trHeight w:val="290"/>
          <w:jc w:val="center"/>
        </w:trPr>
        <w:tc>
          <w:tcPr>
            <w:tcW w:w="1153" w:type="pct"/>
            <w:noWrap/>
            <w:hideMark/>
          </w:tcPr>
          <w:p w14:paraId="12F1BDD8" w14:textId="77777777" w:rsidR="00EB6AE8" w:rsidRPr="00E47F58" w:rsidRDefault="00EB6AE8" w:rsidP="00EB6AE8">
            <w:pPr>
              <w:spacing w:after="0" w:line="240" w:lineRule="auto"/>
              <w:jc w:val="both"/>
              <w:rPr>
                <w:rFonts w:ascii="Arial" w:hAnsi="Arial" w:cs="Arial"/>
                <w:color w:val="000000" w:themeColor="text1"/>
                <w:lang w:val="en-SG"/>
              </w:rPr>
            </w:pPr>
            <w:r w:rsidRPr="00E47F58">
              <w:rPr>
                <w:rFonts w:ascii="Arial" w:hAnsi="Arial" w:cs="Arial"/>
                <w:color w:val="000000" w:themeColor="text1"/>
                <w:lang w:val="en-SG"/>
              </w:rPr>
              <w:t>Metabolite</w:t>
            </w:r>
          </w:p>
        </w:tc>
        <w:tc>
          <w:tcPr>
            <w:tcW w:w="1282" w:type="pct"/>
          </w:tcPr>
          <w:p w14:paraId="5F0CB9D2"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Chemical shift (ppm)</w:t>
            </w:r>
          </w:p>
        </w:tc>
        <w:tc>
          <w:tcPr>
            <w:tcW w:w="1030" w:type="pct"/>
            <w:noWrap/>
            <w:hideMark/>
          </w:tcPr>
          <w:p w14:paraId="06418988"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Fold Change</w:t>
            </w:r>
          </w:p>
          <w:p w14:paraId="1B45CA86"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(CV/CVC)</w:t>
            </w:r>
          </w:p>
        </w:tc>
        <w:tc>
          <w:tcPr>
            <w:tcW w:w="1535" w:type="pct"/>
          </w:tcPr>
          <w:p w14:paraId="5F773F49"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Metabolic pathway</w:t>
            </w:r>
          </w:p>
        </w:tc>
      </w:tr>
      <w:tr w:rsidR="00EB6AE8" w:rsidRPr="00E47F58" w14:paraId="1DED0BCE" w14:textId="77777777" w:rsidTr="00BD3994">
        <w:trPr>
          <w:trHeight w:val="290"/>
          <w:jc w:val="center"/>
        </w:trPr>
        <w:tc>
          <w:tcPr>
            <w:tcW w:w="1153" w:type="pct"/>
            <w:noWrap/>
            <w:hideMark/>
          </w:tcPr>
          <w:p w14:paraId="79ECD372"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Linolenic acid</w:t>
            </w:r>
          </w:p>
        </w:tc>
        <w:tc>
          <w:tcPr>
            <w:tcW w:w="1282" w:type="pct"/>
          </w:tcPr>
          <w:p w14:paraId="0D78A7A4"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δ 1.1</w:t>
            </w:r>
          </w:p>
        </w:tc>
        <w:tc>
          <w:tcPr>
            <w:tcW w:w="1030" w:type="pct"/>
            <w:noWrap/>
            <w:hideMark/>
          </w:tcPr>
          <w:p w14:paraId="68C3EF5B"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0.045015</w:t>
            </w:r>
          </w:p>
        </w:tc>
        <w:tc>
          <w:tcPr>
            <w:tcW w:w="1535" w:type="pct"/>
          </w:tcPr>
          <w:p w14:paraId="3FC2596A"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lang w:val="el-GR"/>
              </w:rPr>
              <w:t>α</w:t>
            </w:r>
            <w:r w:rsidRPr="00E47F58">
              <w:rPr>
                <w:rFonts w:ascii="Arial" w:hAnsi="Arial" w:cs="Arial"/>
                <w:color w:val="000000" w:themeColor="text1"/>
                <w:lang w:val="en-SG"/>
              </w:rPr>
              <w:t>-Linolenic acid metabolism</w:t>
            </w:r>
          </w:p>
        </w:tc>
      </w:tr>
      <w:tr w:rsidR="00EB6AE8" w:rsidRPr="00E47F58" w14:paraId="20810953" w14:textId="77777777" w:rsidTr="00BD3994">
        <w:trPr>
          <w:trHeight w:val="290"/>
          <w:jc w:val="center"/>
        </w:trPr>
        <w:tc>
          <w:tcPr>
            <w:tcW w:w="1153" w:type="pct"/>
            <w:noWrap/>
            <w:hideMark/>
          </w:tcPr>
          <w:p w14:paraId="29EA9E93"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Stearic acid</w:t>
            </w:r>
          </w:p>
        </w:tc>
        <w:tc>
          <w:tcPr>
            <w:tcW w:w="1282" w:type="pct"/>
          </w:tcPr>
          <w:p w14:paraId="28D244D8"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δ 1.14</w:t>
            </w:r>
          </w:p>
        </w:tc>
        <w:tc>
          <w:tcPr>
            <w:tcW w:w="1030" w:type="pct"/>
            <w:noWrap/>
            <w:hideMark/>
          </w:tcPr>
          <w:p w14:paraId="25A7EB56"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0.046743</w:t>
            </w:r>
          </w:p>
        </w:tc>
        <w:tc>
          <w:tcPr>
            <w:tcW w:w="1535" w:type="pct"/>
          </w:tcPr>
          <w:p w14:paraId="35FC060E"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lang w:val="en-GB"/>
              </w:rPr>
              <w:t>Linoleic acid metabolism</w:t>
            </w:r>
          </w:p>
        </w:tc>
      </w:tr>
      <w:tr w:rsidR="00EB6AE8" w:rsidRPr="00E47F58" w14:paraId="415728E3" w14:textId="77777777" w:rsidTr="00BD3994">
        <w:trPr>
          <w:trHeight w:val="290"/>
          <w:jc w:val="center"/>
        </w:trPr>
        <w:tc>
          <w:tcPr>
            <w:tcW w:w="1153" w:type="pct"/>
            <w:noWrap/>
            <w:hideMark/>
          </w:tcPr>
          <w:p w14:paraId="114F7E83"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Linoleic acid</w:t>
            </w:r>
          </w:p>
        </w:tc>
        <w:tc>
          <w:tcPr>
            <w:tcW w:w="1282" w:type="pct"/>
          </w:tcPr>
          <w:p w14:paraId="31B51466"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δ 0.74</w:t>
            </w:r>
          </w:p>
        </w:tc>
        <w:tc>
          <w:tcPr>
            <w:tcW w:w="1030" w:type="pct"/>
            <w:noWrap/>
            <w:hideMark/>
          </w:tcPr>
          <w:p w14:paraId="0ADC585C"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0.048606</w:t>
            </w:r>
          </w:p>
        </w:tc>
        <w:tc>
          <w:tcPr>
            <w:tcW w:w="1535" w:type="pct"/>
          </w:tcPr>
          <w:p w14:paraId="423689F4"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lang w:val="en-GB"/>
              </w:rPr>
              <w:t>Linoleic acid metabolism</w:t>
            </w:r>
          </w:p>
        </w:tc>
      </w:tr>
      <w:tr w:rsidR="00EB6AE8" w:rsidRPr="00E47F58" w14:paraId="7F643E2E" w14:textId="77777777" w:rsidTr="00BD3994">
        <w:trPr>
          <w:trHeight w:val="290"/>
          <w:jc w:val="center"/>
        </w:trPr>
        <w:tc>
          <w:tcPr>
            <w:tcW w:w="1153" w:type="pct"/>
            <w:noWrap/>
            <w:hideMark/>
          </w:tcPr>
          <w:p w14:paraId="47C85EBC"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Palmitic acid</w:t>
            </w:r>
          </w:p>
        </w:tc>
        <w:tc>
          <w:tcPr>
            <w:tcW w:w="1282" w:type="pct"/>
          </w:tcPr>
          <w:p w14:paraId="6CE73D11"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δ 0.90</w:t>
            </w:r>
          </w:p>
        </w:tc>
        <w:tc>
          <w:tcPr>
            <w:tcW w:w="1030" w:type="pct"/>
            <w:noWrap/>
            <w:hideMark/>
          </w:tcPr>
          <w:p w14:paraId="7E1EAF28"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0.057401</w:t>
            </w:r>
          </w:p>
        </w:tc>
        <w:tc>
          <w:tcPr>
            <w:tcW w:w="1535" w:type="pct"/>
          </w:tcPr>
          <w:p w14:paraId="7A3286A4"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lang w:val="en-GB"/>
              </w:rPr>
              <w:t>Amino acid metabolism</w:t>
            </w:r>
          </w:p>
        </w:tc>
      </w:tr>
      <w:tr w:rsidR="00EB6AE8" w:rsidRPr="00E47F58" w14:paraId="622C5739" w14:textId="77777777" w:rsidTr="00BD3994">
        <w:trPr>
          <w:trHeight w:val="290"/>
          <w:jc w:val="center"/>
        </w:trPr>
        <w:tc>
          <w:tcPr>
            <w:tcW w:w="1153" w:type="pct"/>
            <w:noWrap/>
            <w:hideMark/>
          </w:tcPr>
          <w:p w14:paraId="43B26D9C"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Creatine</w:t>
            </w:r>
          </w:p>
        </w:tc>
        <w:tc>
          <w:tcPr>
            <w:tcW w:w="1282" w:type="pct"/>
          </w:tcPr>
          <w:p w14:paraId="2F23E01A"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δ 3.1</w:t>
            </w:r>
          </w:p>
        </w:tc>
        <w:tc>
          <w:tcPr>
            <w:tcW w:w="1030" w:type="pct"/>
            <w:noWrap/>
            <w:hideMark/>
          </w:tcPr>
          <w:p w14:paraId="0E59048A"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0.093333</w:t>
            </w:r>
          </w:p>
        </w:tc>
        <w:tc>
          <w:tcPr>
            <w:tcW w:w="1535" w:type="pct"/>
          </w:tcPr>
          <w:p w14:paraId="080FD35D"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Glycine, serine &amp; Threonine metabolism</w:t>
            </w:r>
          </w:p>
        </w:tc>
      </w:tr>
      <w:tr w:rsidR="00EB6AE8" w:rsidRPr="00E47F58" w14:paraId="308B1FD9" w14:textId="77777777" w:rsidTr="00BD3994">
        <w:trPr>
          <w:trHeight w:val="290"/>
          <w:jc w:val="center"/>
        </w:trPr>
        <w:tc>
          <w:tcPr>
            <w:tcW w:w="1153" w:type="pct"/>
            <w:noWrap/>
            <w:hideMark/>
          </w:tcPr>
          <w:p w14:paraId="5A1B07A3"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Riboflavin</w:t>
            </w:r>
          </w:p>
        </w:tc>
        <w:tc>
          <w:tcPr>
            <w:tcW w:w="1282" w:type="pct"/>
          </w:tcPr>
          <w:p w14:paraId="5A00E190"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δ 4.58</w:t>
            </w:r>
          </w:p>
        </w:tc>
        <w:tc>
          <w:tcPr>
            <w:tcW w:w="1030" w:type="pct"/>
            <w:noWrap/>
            <w:hideMark/>
          </w:tcPr>
          <w:p w14:paraId="6EDA39FC"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0.28154</w:t>
            </w:r>
          </w:p>
        </w:tc>
        <w:tc>
          <w:tcPr>
            <w:tcW w:w="1535" w:type="pct"/>
          </w:tcPr>
          <w:p w14:paraId="44EF6F3C"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Riboflavin metabolism</w:t>
            </w:r>
          </w:p>
        </w:tc>
      </w:tr>
      <w:tr w:rsidR="00EB6AE8" w:rsidRPr="00E47F58" w14:paraId="25C67F75" w14:textId="77777777" w:rsidTr="00BD3994">
        <w:trPr>
          <w:trHeight w:val="290"/>
          <w:jc w:val="center"/>
        </w:trPr>
        <w:tc>
          <w:tcPr>
            <w:tcW w:w="1153" w:type="pct"/>
            <w:noWrap/>
            <w:hideMark/>
          </w:tcPr>
          <w:p w14:paraId="64519382"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Taurine</w:t>
            </w:r>
          </w:p>
        </w:tc>
        <w:tc>
          <w:tcPr>
            <w:tcW w:w="1282" w:type="pct"/>
          </w:tcPr>
          <w:p w14:paraId="2894CD9A"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δ 3.3</w:t>
            </w:r>
          </w:p>
        </w:tc>
        <w:tc>
          <w:tcPr>
            <w:tcW w:w="1030" w:type="pct"/>
            <w:noWrap/>
            <w:hideMark/>
          </w:tcPr>
          <w:p w14:paraId="6FA04B95"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0.43943</w:t>
            </w:r>
          </w:p>
        </w:tc>
        <w:tc>
          <w:tcPr>
            <w:tcW w:w="1535" w:type="pct"/>
          </w:tcPr>
          <w:p w14:paraId="73808DA2"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Taurine &amp; hypotaurine metabolism</w:t>
            </w:r>
          </w:p>
        </w:tc>
      </w:tr>
      <w:tr w:rsidR="00EB6AE8" w:rsidRPr="00E47F58" w14:paraId="771D8A14" w14:textId="77777777" w:rsidTr="00BD3994">
        <w:trPr>
          <w:trHeight w:val="290"/>
          <w:jc w:val="center"/>
        </w:trPr>
        <w:tc>
          <w:tcPr>
            <w:tcW w:w="1153" w:type="pct"/>
            <w:noWrap/>
            <w:hideMark/>
          </w:tcPr>
          <w:p w14:paraId="4B146BDE"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Alanine</w:t>
            </w:r>
          </w:p>
        </w:tc>
        <w:tc>
          <w:tcPr>
            <w:tcW w:w="1282" w:type="pct"/>
          </w:tcPr>
          <w:p w14:paraId="697AFE9C"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δ 1.34</w:t>
            </w:r>
          </w:p>
        </w:tc>
        <w:tc>
          <w:tcPr>
            <w:tcW w:w="1030" w:type="pct"/>
            <w:noWrap/>
            <w:hideMark/>
          </w:tcPr>
          <w:p w14:paraId="2E869425"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0.46334</w:t>
            </w:r>
          </w:p>
        </w:tc>
        <w:tc>
          <w:tcPr>
            <w:tcW w:w="1535" w:type="pct"/>
          </w:tcPr>
          <w:p w14:paraId="7BEE1160"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Alanine, aspartate and glutamate metabolism</w:t>
            </w:r>
          </w:p>
        </w:tc>
      </w:tr>
    </w:tbl>
    <w:p w14:paraId="43472B5C" w14:textId="77777777" w:rsidR="00EB6AE8" w:rsidRPr="00E47F58" w:rsidRDefault="00EB6AE8" w:rsidP="00EB6AE8">
      <w:pPr>
        <w:pStyle w:val="j"/>
        <w:rPr>
          <w:rFonts w:ascii="Arial" w:hAnsi="Arial" w:cs="Arial"/>
          <w:sz w:val="20"/>
          <w:szCs w:val="20"/>
          <w:lang w:val="en-GB"/>
        </w:rPr>
      </w:pPr>
    </w:p>
    <w:p w14:paraId="1C573946" w14:textId="77777777" w:rsidR="00EB6AE8" w:rsidRPr="00E47F58" w:rsidRDefault="00EB6AE8" w:rsidP="00EB6AE8">
      <w:pPr>
        <w:pStyle w:val="j"/>
        <w:rPr>
          <w:rFonts w:ascii="Arial" w:hAnsi="Arial" w:cs="Arial"/>
          <w:sz w:val="20"/>
          <w:szCs w:val="20"/>
          <w:lang w:val="en-GB"/>
        </w:rPr>
      </w:pPr>
    </w:p>
    <w:p w14:paraId="593CE588" w14:textId="77777777" w:rsidR="00EB6AE8" w:rsidRPr="00E47F58" w:rsidRDefault="00BD3994" w:rsidP="00EB6AE8">
      <w:pPr>
        <w:pStyle w:val="single"/>
        <w:rPr>
          <w:rFonts w:ascii="Arial" w:hAnsi="Arial" w:cs="Arial"/>
          <w:sz w:val="20"/>
          <w:szCs w:val="20"/>
          <w:lang w:val="en-GB"/>
        </w:rPr>
      </w:pPr>
      <w:r w:rsidRPr="00E47F58">
        <w:rPr>
          <w:rFonts w:ascii="Arial" w:hAnsi="Arial" w:cs="Arial"/>
          <w:sz w:val="20"/>
          <w:szCs w:val="20"/>
          <w:lang w:val="en-GB"/>
        </w:rPr>
        <w:t xml:space="preserve">The FCs in Table </w:t>
      </w:r>
      <w:r w:rsidR="00EB6AE8" w:rsidRPr="00E47F58">
        <w:rPr>
          <w:rFonts w:ascii="Arial" w:hAnsi="Arial" w:cs="Arial"/>
          <w:sz w:val="20"/>
          <w:szCs w:val="20"/>
          <w:lang w:val="en-GB"/>
        </w:rPr>
        <w:t xml:space="preserve">6 which represent the effect of bacterial challenge on fish initially fed with </w:t>
      </w:r>
      <w:r w:rsidR="00EB6AE8" w:rsidRPr="00E47F58">
        <w:rPr>
          <w:rFonts w:ascii="Arial" w:hAnsi="Arial" w:cs="Arial"/>
          <w:i/>
          <w:iCs/>
          <w:sz w:val="20"/>
          <w:szCs w:val="20"/>
          <w:lang w:val="en-GB"/>
        </w:rPr>
        <w:t xml:space="preserve">C. vulgaris </w:t>
      </w:r>
      <w:r w:rsidR="00EB6AE8" w:rsidRPr="00E47F58">
        <w:rPr>
          <w:rFonts w:ascii="Arial" w:hAnsi="Arial" w:cs="Arial"/>
          <w:sz w:val="20"/>
          <w:szCs w:val="20"/>
          <w:lang w:val="en-GB"/>
        </w:rPr>
        <w:t xml:space="preserve">didn’t amount to whole numbers. This is a clear indication that there was total absent of negative effect of bacterial challenge on fish initially fed with </w:t>
      </w:r>
      <w:r w:rsidR="00EB6AE8" w:rsidRPr="00E47F58">
        <w:rPr>
          <w:rFonts w:ascii="Arial" w:hAnsi="Arial" w:cs="Arial"/>
          <w:i/>
          <w:iCs/>
          <w:sz w:val="20"/>
          <w:szCs w:val="20"/>
          <w:lang w:val="en-GB"/>
        </w:rPr>
        <w:t>C. vulgaris</w:t>
      </w:r>
      <w:r w:rsidRPr="00E47F58">
        <w:rPr>
          <w:rFonts w:ascii="Arial" w:hAnsi="Arial" w:cs="Arial"/>
          <w:i/>
          <w:iCs/>
          <w:sz w:val="20"/>
          <w:szCs w:val="20"/>
          <w:lang w:val="en-GB"/>
        </w:rPr>
        <w:t xml:space="preserve"> </w:t>
      </w:r>
      <w:r w:rsidRPr="00E47F58">
        <w:rPr>
          <w:rFonts w:ascii="Arial" w:hAnsi="Arial" w:cs="Arial"/>
          <w:iCs/>
          <w:sz w:val="20"/>
          <w:szCs w:val="20"/>
          <w:lang w:val="en-GB"/>
        </w:rPr>
        <w:t xml:space="preserve">before been challenged with </w:t>
      </w:r>
      <w:r w:rsidRPr="00E47F58">
        <w:rPr>
          <w:rFonts w:ascii="Arial" w:hAnsi="Arial" w:cs="Arial"/>
          <w:i/>
          <w:iCs/>
          <w:sz w:val="20"/>
          <w:szCs w:val="20"/>
          <w:lang w:val="en-GB"/>
        </w:rPr>
        <w:t>S. agalactiae</w:t>
      </w:r>
      <w:r w:rsidR="00EB6AE8" w:rsidRPr="00E47F58">
        <w:rPr>
          <w:rFonts w:ascii="Arial" w:hAnsi="Arial" w:cs="Arial"/>
          <w:sz w:val="20"/>
          <w:szCs w:val="20"/>
          <w:lang w:val="en-GB"/>
        </w:rPr>
        <w:t xml:space="preserve">. </w:t>
      </w:r>
      <w:r w:rsidR="00EB6AE8" w:rsidRPr="00E47F58">
        <w:rPr>
          <w:rFonts w:ascii="Arial" w:hAnsi="Arial" w:cs="Arial"/>
          <w:bCs/>
          <w:sz w:val="20"/>
          <w:szCs w:val="20"/>
          <w:lang w:val="en-GB"/>
        </w:rPr>
        <w:t>The deficiency of some selected vitamins like riboflavin (vitamin B</w:t>
      </w:r>
      <w:r w:rsidR="00EB6AE8" w:rsidRPr="00E47F58">
        <w:rPr>
          <w:rFonts w:ascii="Arial" w:hAnsi="Arial" w:cs="Arial"/>
          <w:bCs/>
          <w:sz w:val="20"/>
          <w:szCs w:val="20"/>
          <w:vertAlign w:val="subscript"/>
          <w:lang w:val="en-GB"/>
        </w:rPr>
        <w:t>2</w:t>
      </w:r>
      <w:r w:rsidR="00EB6AE8" w:rsidRPr="00E47F58">
        <w:rPr>
          <w:rFonts w:ascii="Arial" w:hAnsi="Arial" w:cs="Arial"/>
          <w:bCs/>
          <w:sz w:val="20"/>
          <w:szCs w:val="20"/>
          <w:lang w:val="en-GB"/>
        </w:rPr>
        <w:t xml:space="preserve">), could affect the induction of proper innate as well as adaptive immune responses. As a result of riboflavin deficiency, typical symptoms called oro-oculo-genital syndrome are observed. In lymphoproliferation LPS-stimulation model, riboflavin deprived cells were reported to release significantly fewer anti-inflammatory agents. While reduction of the release of proinflammatory factors as well as enhancement of anti-inflammatory mediators were both recorded with riboflavin enriched model </w:t>
      </w:r>
      <w:r w:rsidR="00EB6AE8" w:rsidRPr="00E47F58">
        <w:rPr>
          <w:rFonts w:ascii="Arial" w:hAnsi="Arial" w:cs="Arial"/>
          <w:bCs/>
          <w:sz w:val="20"/>
          <w:szCs w:val="20"/>
          <w:lang w:val="en-GB"/>
        </w:rPr>
        <w:fldChar w:fldCharType="begin" w:fldLock="1"/>
      </w:r>
      <w:r w:rsidR="00F345E2" w:rsidRPr="00E47F58">
        <w:rPr>
          <w:rFonts w:ascii="Arial" w:hAnsi="Arial" w:cs="Arial"/>
          <w:bCs/>
          <w:sz w:val="20"/>
          <w:szCs w:val="20"/>
          <w:lang w:val="en-GB"/>
        </w:rPr>
        <w:instrText>ADDIN CSL_CITATION {"citationItems":[{"id":"ITEM-1","itemData":{"ISSN":"18991505","abstract":"Ariboflavinosis, that is, vitamin B2 deficiency, is a common problem affecting the populations of both developing and affluent countries. Teenagers, elderly people, pregnant women, and alcohol abusers represent groups that are particularly susceptible to this condition. This study was aimed to determine the effect of different riboflavin concentrations (deficiency and supplementation) on macrophages response induced by bacteria or yeast-derived factors i.e. lipopolysaccharide (LPS) and zymosan, respectively. Mouse macrophage RAW 264.7 cells were cultured for 5 days in a medium with a riboflavin concentration corresponding to moderate riboflavin deficiency (3.1 nM), physiological state (10.4 nM), or vitamin pill supplementation (300 nM). On the third or fourth day of deprivation, the medium in some groups was supplemented with riboflavin (300 nM). Macrophages activation were assessed after LPS or zymosan stimulation. Short-term (5 days) riboflavin deprivation resulted in the pathological macrophages activation, manifested especially in a reduction of cell viability and excess release of tumor necrosis factor-α (TNF-α) and high-mobility group box 1 (HMGB1) protein. Moreover, the levels of inducible nitric oxide synthase (iNOS), nitric oxide (NO), heat shock protein (Hsp72), interleukin 1β (IL-1β), monocyte chemoattractant protein-1 (MCP-1), and interleukin 10 (IL-10) decreased after riboflavin deprivation, but medium enrichment with riboflavin (300 nM) on the third or fourth day reversed this effect. In the riboflavin-supplemented group, LPS-stimulated macrophages showed lower mortality accompanied by higher Hsp72 expression, reduction of Toll-like receptor 4 (TLR4) and TNF-α, and elevation of NO, IL-6, and IL-10. Moreover, the TLR6, NO, iNOS, IL-1β, MCP-1, and the keratinocyte chemoattractant (KC) levels significantly decreased in the zymosan-stimulated groups maintained in riboflavin-enriched medium. We conclude that short-term riboflavin deficiency significantly impairs the ability of macrophages to induce proper immune response, while riboflavin enrichment decreases the proinflammatory activation of macrophages.","author":[{"dropping-particle":"","family":"Mazur-Bialy","given":"Agnieszka I.","non-dropping-particle":"","parse-names":false,"suffix":""},{"dropping-particle":"","family":"Pochec","given":"E.","non-dropping-particle":"","parse-names":false,"suffix":""},{"dropping-particle":"","family":"Plytycz","given":"B.","non-dropping-particle":"","parse-names":false,"suffix":""}],"container-title":"Journal of Physiology and Pharmacology","id":"ITEM-1","issue":"6","issued":{"date-parts":[["2015"]]},"page":"793-802","title":"Immunomodulatory effect of riboflavin deficiency and enrichment - Reversible pathological response versus silencing of inflammatory activation","type":"article-journal","volume":"66"},"uris":["http://www.mendeley.com/documents/?uuid=24053baa-a699-4697-97c7-93b9f1bd4e78","http://www.mendeley.com/documents/?uuid=52e693d3-ae73-4303-9004-372a1f9034b3"]}],"mendeley":{"formattedCitation":"(Mazur-Bialy, Pochec, and Plytycz 2015)","manualFormatting":"(Mazur-Bialy et al., 2015)","plainTextFormattedCitation":"(Mazur-Bialy, Pochec, and Plytycz 2015)","previouslyFormattedCitation":"(Mazur-Bialy, Pochec, and Plytycz 2015)"},"properties":{"noteIndex":0},"schema":"https://github.com/citation-style-language/schema/raw/master/csl-citation.json"}</w:instrText>
      </w:r>
      <w:r w:rsidR="00EB6AE8" w:rsidRPr="00E47F58">
        <w:rPr>
          <w:rFonts w:ascii="Arial" w:hAnsi="Arial" w:cs="Arial"/>
          <w:bCs/>
          <w:sz w:val="20"/>
          <w:szCs w:val="20"/>
          <w:lang w:val="en-GB"/>
        </w:rPr>
        <w:fldChar w:fldCharType="separate"/>
      </w:r>
      <w:r w:rsidR="00EB6AE8" w:rsidRPr="00E47F58">
        <w:rPr>
          <w:rFonts w:ascii="Arial" w:hAnsi="Arial" w:cs="Arial"/>
          <w:bCs/>
          <w:noProof/>
          <w:sz w:val="20"/>
          <w:szCs w:val="20"/>
          <w:lang w:val="en-GB"/>
        </w:rPr>
        <w:t>(Mazur-Bialy et al., 2015)</w:t>
      </w:r>
      <w:r w:rsidR="00EB6AE8" w:rsidRPr="00E47F58">
        <w:rPr>
          <w:rFonts w:ascii="Arial" w:hAnsi="Arial" w:cs="Arial"/>
          <w:bCs/>
          <w:sz w:val="20"/>
          <w:szCs w:val="20"/>
          <w:lang w:val="en-GB"/>
        </w:rPr>
        <w:fldChar w:fldCharType="end"/>
      </w:r>
      <w:r w:rsidR="00EB6AE8" w:rsidRPr="00E47F58">
        <w:rPr>
          <w:rFonts w:ascii="Arial" w:hAnsi="Arial" w:cs="Arial"/>
          <w:bCs/>
          <w:sz w:val="20"/>
          <w:szCs w:val="20"/>
          <w:lang w:val="en-GB"/>
        </w:rPr>
        <w:t xml:space="preserve">. It was observed in this study that the level of riboflavin was not </w:t>
      </w:r>
      <w:r w:rsidRPr="00E47F58">
        <w:rPr>
          <w:rFonts w:ascii="Arial" w:hAnsi="Arial" w:cs="Arial"/>
          <w:bCs/>
          <w:sz w:val="20"/>
          <w:szCs w:val="20"/>
          <w:lang w:val="en-GB"/>
        </w:rPr>
        <w:t xml:space="preserve">seriously </w:t>
      </w:r>
      <w:r w:rsidR="00EB6AE8" w:rsidRPr="00E47F58">
        <w:rPr>
          <w:rFonts w:ascii="Arial" w:hAnsi="Arial" w:cs="Arial"/>
          <w:bCs/>
          <w:sz w:val="20"/>
          <w:szCs w:val="20"/>
          <w:lang w:val="en-GB"/>
        </w:rPr>
        <w:t>down</w:t>
      </w:r>
      <w:r w:rsidRPr="00E47F58">
        <w:rPr>
          <w:rFonts w:ascii="Arial" w:hAnsi="Arial" w:cs="Arial"/>
          <w:bCs/>
          <w:sz w:val="20"/>
          <w:szCs w:val="20"/>
          <w:lang w:val="en-GB"/>
        </w:rPr>
        <w:t xml:space="preserve"> </w:t>
      </w:r>
      <w:r w:rsidR="00EB6AE8" w:rsidRPr="00E47F58">
        <w:rPr>
          <w:rFonts w:ascii="Arial" w:hAnsi="Arial" w:cs="Arial"/>
          <w:bCs/>
          <w:sz w:val="20"/>
          <w:szCs w:val="20"/>
          <w:lang w:val="en-GB"/>
        </w:rPr>
        <w:t xml:space="preserve">regulated due to bacterial challenge on fish initially fed with </w:t>
      </w:r>
      <w:r w:rsidR="00EB6AE8" w:rsidRPr="00E47F58">
        <w:rPr>
          <w:rFonts w:ascii="Arial" w:hAnsi="Arial" w:cs="Arial"/>
          <w:bCs/>
          <w:i/>
          <w:iCs/>
          <w:sz w:val="20"/>
          <w:szCs w:val="20"/>
          <w:lang w:val="en-GB"/>
        </w:rPr>
        <w:t>C. vulgaris</w:t>
      </w:r>
      <w:r w:rsidR="00EB6AE8" w:rsidRPr="00E47F58">
        <w:rPr>
          <w:rFonts w:ascii="Arial" w:hAnsi="Arial" w:cs="Arial"/>
          <w:bCs/>
          <w:sz w:val="20"/>
          <w:szCs w:val="20"/>
          <w:lang w:val="en-GB"/>
        </w:rPr>
        <w:t xml:space="preserve">. High level of taurine present in leucocytes, may hypothesise that taurine deficiency will affect the immune cell functions. In fact, prolonged taurine deficiency leads to profound abnormalities in the immune system including significant leukopenia; a decreased respiratory burst in neutrophils and depletion of B cells from lymph nodes and spleen </w:t>
      </w:r>
      <w:r w:rsidR="00EB6AE8" w:rsidRPr="00E47F58">
        <w:rPr>
          <w:rFonts w:ascii="Arial" w:hAnsi="Arial" w:cs="Arial"/>
          <w:bCs/>
          <w:sz w:val="20"/>
          <w:szCs w:val="20"/>
          <w:lang w:val="en-GB"/>
        </w:rPr>
        <w:fldChar w:fldCharType="begin" w:fldLock="1"/>
      </w:r>
      <w:r w:rsidR="00F345E2" w:rsidRPr="00E47F58">
        <w:rPr>
          <w:rFonts w:ascii="Arial" w:hAnsi="Arial" w:cs="Arial"/>
          <w:bCs/>
          <w:sz w:val="20"/>
          <w:szCs w:val="20"/>
          <w:lang w:val="en-GB"/>
        </w:rPr>
        <w:instrText>ADDIN CSL_CITATION {"citationItems":[{"id":"ITEM-1","itemData":{"DOI":"10.1007/s00726-012-1361-4","ISBN":"0072601213","ISSN":"09394451","abstract":"Taurine (2-aminoethanesulfonic acid) is the most abundant free amino acid in humans and plays an important role in several essential biological processes such as bile acid conjugation, maintenance of calcium homeostasis, osmoregulation and membrane stabilization. Moreover, attenuation of apoptosis and its antioxidant activity seem to be crucial for the cytoprotective effects of taurine. Although these properties are not tissue specific, taurine reaches particularly high concentrations in tissues exposed to elevated levels of oxidants (e.g., inflammatory cells). It suggests that taurine may play an important role in inflammation associated with oxidative stress. Indeed, at the site of inflammation, taurine is known to react with and detoxify hypochlorous acid generated by the neutrophil myeloperoxidase (MPO)-halide system. This reaction results in the formation of less toxic taurine chloramine (TauCl). Both haloamines, TauCl and taurine bromamine (TauBr), the product of taurine reaction with hypobromous acid (HOBr), exert antimicrobial and anti-inflammatory properties. In contrast to a well-documented regulatory role of taurine and taurine haloamines (TauCl, TauBr) in acute inflammation, their role in the pathogenesis of inflammatory diseases is not clear. This review summarizes our current knowledge concerning the role of taurine, TauCl and TauBr in the pathogenesis of inflammatory diseases initiated or propagated by MPO-derived oxidants. The aim of this paper is to show links between inflammation, neutrophils, MPO, oxidative stress and taurine. We will discuss the possible contribution of taurine and taurine haloamines to the pathogenesis of inflammatory diseases, especially in the best studied example of rheumatoid arthritis. © 2012 The Author(s).","author":[{"dropping-particle":"","family":"Marcinkiewicz","given":"Janusz","non-dropping-particle":"","parse-names":false,"suffix":""},{"dropping-particle":"","family":"Kontny","given":"Ewa","non-dropping-particle":"","parse-names":false,"suffix":""}],"container-title":"Amino Acids","id":"ITEM-1","issue":"1","issued":{"date-parts":[["2014"]]},"page":"7-20","title":"Taurine and inflammatory diseases","type":"article-journal","volume":"46"},"uris":["http://www.mendeley.com/documents/?uuid=bde01f47-3706-4ea3-aa64-cf9bee57cbca","http://www.mendeley.com/documents/?uuid=11d9da89-7674-40d3-8378-bf6d3d652452"]}],"mendeley":{"formattedCitation":"(Marcinkiewicz and Kontny 2014)","plainTextFormattedCitation":"(Marcinkiewicz and Kontny 2014)","previouslyFormattedCitation":"(Marcinkiewicz and Kontny 2014)"},"properties":{"noteIndex":0},"schema":"https://github.com/citation-style-language/schema/raw/master/csl-citation.json"}</w:instrText>
      </w:r>
      <w:r w:rsidR="00EB6AE8" w:rsidRPr="00E47F58">
        <w:rPr>
          <w:rFonts w:ascii="Arial" w:hAnsi="Arial" w:cs="Arial"/>
          <w:bCs/>
          <w:sz w:val="20"/>
          <w:szCs w:val="20"/>
          <w:lang w:val="en-GB"/>
        </w:rPr>
        <w:fldChar w:fldCharType="separate"/>
      </w:r>
      <w:r w:rsidR="00F345E2" w:rsidRPr="00E47F58">
        <w:rPr>
          <w:rFonts w:ascii="Arial" w:hAnsi="Arial" w:cs="Arial"/>
          <w:bCs/>
          <w:noProof/>
          <w:sz w:val="20"/>
          <w:szCs w:val="20"/>
          <w:lang w:val="en-GB"/>
        </w:rPr>
        <w:t>(Marcinkiewicz and Kontny 2014)</w:t>
      </w:r>
      <w:r w:rsidR="00EB6AE8" w:rsidRPr="00E47F58">
        <w:rPr>
          <w:rFonts w:ascii="Arial" w:hAnsi="Arial" w:cs="Arial"/>
          <w:bCs/>
          <w:sz w:val="20"/>
          <w:szCs w:val="20"/>
          <w:lang w:val="en-GB"/>
        </w:rPr>
        <w:fldChar w:fldCharType="end"/>
      </w:r>
      <w:r w:rsidR="00EB6AE8" w:rsidRPr="00E47F58">
        <w:rPr>
          <w:rFonts w:ascii="Arial" w:hAnsi="Arial" w:cs="Arial"/>
          <w:bCs/>
          <w:sz w:val="20"/>
          <w:szCs w:val="20"/>
          <w:lang w:val="en-GB"/>
        </w:rPr>
        <w:t>. In addition to the above information, it was also reported that taurine upregulation is responsible for the smooth antioxidant activity, osmoregulation, membrane stability and maintenance of Ca</w:t>
      </w:r>
      <w:r w:rsidR="00EB6AE8" w:rsidRPr="00E47F58">
        <w:rPr>
          <w:rFonts w:ascii="Arial" w:hAnsi="Arial" w:cs="Arial"/>
          <w:bCs/>
          <w:sz w:val="20"/>
          <w:szCs w:val="20"/>
          <w:vertAlign w:val="superscript"/>
          <w:lang w:val="en-GB"/>
        </w:rPr>
        <w:t xml:space="preserve">2+ </w:t>
      </w:r>
      <w:r w:rsidR="00EB6AE8" w:rsidRPr="00E47F58">
        <w:rPr>
          <w:rFonts w:ascii="Arial" w:hAnsi="Arial" w:cs="Arial"/>
          <w:bCs/>
          <w:sz w:val="20"/>
          <w:szCs w:val="20"/>
          <w:lang w:val="en-GB"/>
        </w:rPr>
        <w:t>stability. Hence, the non-down</w:t>
      </w:r>
      <w:r w:rsidRPr="00E47F58">
        <w:rPr>
          <w:rFonts w:ascii="Arial" w:hAnsi="Arial" w:cs="Arial"/>
          <w:bCs/>
          <w:sz w:val="20"/>
          <w:szCs w:val="20"/>
          <w:lang w:val="en-GB"/>
        </w:rPr>
        <w:t xml:space="preserve"> </w:t>
      </w:r>
      <w:r w:rsidR="00EB6AE8" w:rsidRPr="00E47F58">
        <w:rPr>
          <w:rFonts w:ascii="Arial" w:hAnsi="Arial" w:cs="Arial"/>
          <w:bCs/>
          <w:sz w:val="20"/>
          <w:szCs w:val="20"/>
          <w:lang w:val="en-GB"/>
        </w:rPr>
        <w:t>regulation of taurine level in CVC treated group is an indication of maintained innate immunity.</w:t>
      </w:r>
    </w:p>
    <w:p w14:paraId="103E679A"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t>The common affected metabolites</w:t>
      </w:r>
      <w:r w:rsidR="00441C2A" w:rsidRPr="00E47F58">
        <w:rPr>
          <w:rFonts w:ascii="Arial" w:hAnsi="Arial" w:cs="Arial"/>
          <w:sz w:val="20"/>
          <w:szCs w:val="20"/>
          <w:lang w:val="en-GB"/>
        </w:rPr>
        <w:t xml:space="preserve"> (in terms of down regulation)</w:t>
      </w:r>
      <w:r w:rsidRPr="00E47F58">
        <w:rPr>
          <w:rFonts w:ascii="Arial" w:hAnsi="Arial" w:cs="Arial"/>
          <w:sz w:val="20"/>
          <w:szCs w:val="20"/>
          <w:lang w:val="en-GB"/>
        </w:rPr>
        <w:t xml:space="preserve"> as a result of bacterial challenge with 1x10</w:t>
      </w:r>
      <w:r w:rsidRPr="00E47F58">
        <w:rPr>
          <w:rFonts w:ascii="Arial" w:hAnsi="Arial" w:cs="Arial"/>
          <w:sz w:val="20"/>
          <w:szCs w:val="20"/>
          <w:vertAlign w:val="superscript"/>
          <w:lang w:val="en-GB"/>
        </w:rPr>
        <w:t>8</w:t>
      </w:r>
      <w:r w:rsidRPr="00E47F58">
        <w:rPr>
          <w:rFonts w:ascii="Arial" w:hAnsi="Arial" w:cs="Arial"/>
          <w:sz w:val="20"/>
          <w:szCs w:val="20"/>
          <w:lang w:val="en-GB"/>
        </w:rPr>
        <w:t xml:space="preserve"> CFU/mL concentration of </w:t>
      </w:r>
      <w:r w:rsidRPr="00E47F58">
        <w:rPr>
          <w:rFonts w:ascii="Arial" w:hAnsi="Arial" w:cs="Arial"/>
          <w:i/>
          <w:iCs/>
          <w:sz w:val="20"/>
          <w:szCs w:val="20"/>
          <w:lang w:val="en-GB"/>
        </w:rPr>
        <w:t>S. agalactiae</w:t>
      </w:r>
      <w:r w:rsidRPr="00E47F58">
        <w:rPr>
          <w:rFonts w:ascii="Arial" w:hAnsi="Arial" w:cs="Arial"/>
          <w:sz w:val="20"/>
          <w:szCs w:val="20"/>
          <w:lang w:val="en-GB"/>
        </w:rPr>
        <w:t xml:space="preserve"> on both control fish challenged (CFC) and </w:t>
      </w:r>
      <w:r w:rsidRPr="00E47F58">
        <w:rPr>
          <w:rFonts w:ascii="Arial" w:hAnsi="Arial" w:cs="Arial"/>
          <w:i/>
          <w:iCs/>
          <w:sz w:val="20"/>
          <w:szCs w:val="20"/>
          <w:lang w:val="en-GB"/>
        </w:rPr>
        <w:t xml:space="preserve">C. vulgaris </w:t>
      </w:r>
      <w:r w:rsidR="00BD3994" w:rsidRPr="00E47F58">
        <w:rPr>
          <w:rFonts w:ascii="Arial" w:hAnsi="Arial" w:cs="Arial"/>
          <w:sz w:val="20"/>
          <w:szCs w:val="20"/>
          <w:lang w:val="en-GB"/>
        </w:rPr>
        <w:t xml:space="preserve">challenged (CVC) fish were summarized in Table </w:t>
      </w:r>
      <w:r w:rsidRPr="00E47F58">
        <w:rPr>
          <w:rFonts w:ascii="Arial" w:hAnsi="Arial" w:cs="Arial"/>
          <w:sz w:val="20"/>
          <w:szCs w:val="20"/>
          <w:lang w:val="en-GB"/>
        </w:rPr>
        <w:t xml:space="preserve">7 to show the absence of negative bacterial effect on fish fed with </w:t>
      </w:r>
      <w:r w:rsidRPr="00E47F58">
        <w:rPr>
          <w:rFonts w:ascii="Arial" w:hAnsi="Arial" w:cs="Arial"/>
          <w:i/>
          <w:iCs/>
          <w:sz w:val="20"/>
          <w:szCs w:val="20"/>
          <w:lang w:val="en-GB"/>
        </w:rPr>
        <w:t xml:space="preserve">C. vulgaris </w:t>
      </w:r>
      <w:r w:rsidRPr="00E47F58">
        <w:rPr>
          <w:rFonts w:ascii="Arial" w:hAnsi="Arial" w:cs="Arial"/>
          <w:sz w:val="20"/>
          <w:szCs w:val="20"/>
          <w:lang w:val="en-GB"/>
        </w:rPr>
        <w:t>as compared to fish without treatment</w:t>
      </w:r>
    </w:p>
    <w:p w14:paraId="45194694" w14:textId="77777777" w:rsidR="00EB6AE8" w:rsidRPr="00E47F58" w:rsidRDefault="00EB6AE8" w:rsidP="00EB6AE8">
      <w:pPr>
        <w:pStyle w:val="Caption"/>
        <w:keepNext/>
        <w:rPr>
          <w:rFonts w:ascii="Arial" w:hAnsi="Arial" w:cs="Arial"/>
          <w:sz w:val="20"/>
          <w:szCs w:val="20"/>
        </w:rPr>
      </w:pPr>
      <w:bookmarkStart w:id="55" w:name="_Toc50652956"/>
      <w:r w:rsidRPr="00E47F58">
        <w:rPr>
          <w:rFonts w:ascii="Arial" w:hAnsi="Arial" w:cs="Arial"/>
          <w:sz w:val="20"/>
          <w:szCs w:val="20"/>
        </w:rPr>
        <w:lastRenderedPageBreak/>
        <w:t>Table</w:t>
      </w:r>
      <w:r w:rsidR="00BD3994"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Table \* ARABIC \s 1 </w:instrText>
      </w:r>
      <w:r w:rsidR="0022766E" w:rsidRPr="00E47F58">
        <w:rPr>
          <w:rFonts w:ascii="Arial" w:hAnsi="Arial" w:cs="Arial"/>
          <w:sz w:val="20"/>
          <w:szCs w:val="20"/>
        </w:rPr>
        <w:fldChar w:fldCharType="separate"/>
      </w:r>
      <w:r w:rsidRPr="00E47F58">
        <w:rPr>
          <w:rFonts w:ascii="Arial" w:hAnsi="Arial" w:cs="Arial"/>
          <w:noProof/>
          <w:sz w:val="20"/>
          <w:szCs w:val="20"/>
        </w:rPr>
        <w:t>7</w:t>
      </w:r>
      <w:r w:rsidR="0022766E" w:rsidRPr="00E47F58">
        <w:rPr>
          <w:rFonts w:ascii="Arial" w:hAnsi="Arial" w:cs="Arial"/>
          <w:noProof/>
          <w:sz w:val="20"/>
          <w:szCs w:val="20"/>
        </w:rPr>
        <w:fldChar w:fldCharType="end"/>
      </w:r>
      <w:r w:rsidRPr="00E47F58">
        <w:rPr>
          <w:rFonts w:ascii="Arial" w:hAnsi="Arial" w:cs="Arial"/>
          <w:sz w:val="20"/>
          <w:szCs w:val="20"/>
        </w:rPr>
        <w:t xml:space="preserve"> : Comparison between metabolite fold changes as a result of bacteria </w:t>
      </w:r>
      <w:r w:rsidRPr="00E47F58">
        <w:rPr>
          <w:rFonts w:ascii="Arial" w:hAnsi="Arial" w:cs="Arial"/>
          <w:i/>
          <w:iCs/>
          <w:sz w:val="20"/>
          <w:szCs w:val="20"/>
        </w:rPr>
        <w:t xml:space="preserve">S. agalactiae </w:t>
      </w:r>
      <w:r w:rsidRPr="00E47F58">
        <w:rPr>
          <w:rFonts w:ascii="Arial" w:hAnsi="Arial" w:cs="Arial"/>
          <w:sz w:val="20"/>
          <w:szCs w:val="20"/>
        </w:rPr>
        <w:t>challenge on control fish (CF</w:t>
      </w:r>
      <w:r w:rsidR="00441C2A" w:rsidRPr="00E47F58">
        <w:rPr>
          <w:rFonts w:ascii="Arial" w:hAnsi="Arial" w:cs="Arial"/>
          <w:sz w:val="20"/>
          <w:szCs w:val="20"/>
        </w:rPr>
        <w:t>C</w:t>
      </w:r>
      <w:r w:rsidRPr="00E47F58">
        <w:rPr>
          <w:rFonts w:ascii="Arial" w:hAnsi="Arial" w:cs="Arial"/>
          <w:sz w:val="20"/>
          <w:szCs w:val="20"/>
        </w:rPr>
        <w:t xml:space="preserve">) and on </w:t>
      </w:r>
      <w:r w:rsidRPr="00E47F58">
        <w:rPr>
          <w:rFonts w:ascii="Arial" w:hAnsi="Arial" w:cs="Arial"/>
          <w:i/>
          <w:iCs/>
          <w:sz w:val="20"/>
          <w:szCs w:val="20"/>
        </w:rPr>
        <w:t xml:space="preserve">C. vulgaris </w:t>
      </w:r>
      <w:r w:rsidR="00441C2A" w:rsidRPr="00E47F58">
        <w:rPr>
          <w:rFonts w:ascii="Arial" w:hAnsi="Arial" w:cs="Arial"/>
          <w:sz w:val="20"/>
          <w:szCs w:val="20"/>
        </w:rPr>
        <w:t>fed fish (CV</w:t>
      </w:r>
      <w:r w:rsidRPr="00E47F58">
        <w:rPr>
          <w:rFonts w:ascii="Arial" w:hAnsi="Arial" w:cs="Arial"/>
          <w:sz w:val="20"/>
          <w:szCs w:val="20"/>
        </w:rPr>
        <w:t>C)</w:t>
      </w:r>
      <w:bookmarkEnd w:id="55"/>
    </w:p>
    <w:p w14:paraId="75B5681D" w14:textId="77777777" w:rsidR="00EB6AE8" w:rsidRPr="00E47F58" w:rsidRDefault="00EB6AE8" w:rsidP="00EB6AE8">
      <w:pPr>
        <w:pStyle w:val="j"/>
        <w:rPr>
          <w:rFonts w:ascii="Arial" w:hAnsi="Arial" w:cs="Arial"/>
          <w:sz w:val="20"/>
          <w:szCs w:val="20"/>
        </w:rPr>
      </w:pPr>
    </w:p>
    <w:tbl>
      <w:tblPr>
        <w:tblStyle w:val="TableGrid"/>
        <w:tblW w:w="5000" w:type="pct"/>
        <w:jc w:val="center"/>
        <w:tblLook w:val="04A0" w:firstRow="1" w:lastRow="0" w:firstColumn="1" w:lastColumn="0" w:noHBand="0" w:noVBand="1"/>
      </w:tblPr>
      <w:tblGrid>
        <w:gridCol w:w="3116"/>
        <w:gridCol w:w="3117"/>
        <w:gridCol w:w="3117"/>
      </w:tblGrid>
      <w:tr w:rsidR="00EB6AE8" w:rsidRPr="00E47F58" w14:paraId="16D7DB41" w14:textId="77777777" w:rsidTr="00441C2A">
        <w:trPr>
          <w:jc w:val="center"/>
        </w:trPr>
        <w:tc>
          <w:tcPr>
            <w:tcW w:w="1666" w:type="pct"/>
          </w:tcPr>
          <w:p w14:paraId="4B682442"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Metabolite</w:t>
            </w:r>
          </w:p>
        </w:tc>
        <w:tc>
          <w:tcPr>
            <w:tcW w:w="1667" w:type="pct"/>
          </w:tcPr>
          <w:p w14:paraId="7543DE67"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Fold change</w:t>
            </w:r>
          </w:p>
          <w:p w14:paraId="47B7FADF"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(CF/CFC)</w:t>
            </w:r>
          </w:p>
        </w:tc>
        <w:tc>
          <w:tcPr>
            <w:tcW w:w="1667" w:type="pct"/>
          </w:tcPr>
          <w:p w14:paraId="782014C0"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Fold change</w:t>
            </w:r>
          </w:p>
          <w:p w14:paraId="01C8FE7E"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(CV/CVC)</w:t>
            </w:r>
          </w:p>
        </w:tc>
      </w:tr>
      <w:tr w:rsidR="00EB6AE8" w:rsidRPr="00E47F58" w14:paraId="127421AC" w14:textId="77777777" w:rsidTr="00441C2A">
        <w:trPr>
          <w:jc w:val="center"/>
        </w:trPr>
        <w:tc>
          <w:tcPr>
            <w:tcW w:w="1666" w:type="pct"/>
          </w:tcPr>
          <w:p w14:paraId="7202F7EC"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Linoleic acid</w:t>
            </w:r>
          </w:p>
          <w:p w14:paraId="76EE0920"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667" w:type="pct"/>
          </w:tcPr>
          <w:p w14:paraId="24E0FC26"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33.275</w:t>
            </w:r>
          </w:p>
          <w:p w14:paraId="66360A74"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667" w:type="pct"/>
          </w:tcPr>
          <w:p w14:paraId="423BFD60"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0.048606</w:t>
            </w:r>
          </w:p>
        </w:tc>
      </w:tr>
      <w:tr w:rsidR="00EB6AE8" w:rsidRPr="00E47F58" w14:paraId="4D81DEC7" w14:textId="77777777" w:rsidTr="00441C2A">
        <w:trPr>
          <w:jc w:val="center"/>
        </w:trPr>
        <w:tc>
          <w:tcPr>
            <w:tcW w:w="1666" w:type="pct"/>
          </w:tcPr>
          <w:p w14:paraId="0C3C7624"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Stearic acid</w:t>
            </w:r>
          </w:p>
          <w:p w14:paraId="068CEE77"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667" w:type="pct"/>
          </w:tcPr>
          <w:p w14:paraId="67A50539"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18.457</w:t>
            </w:r>
          </w:p>
          <w:p w14:paraId="40C64C2D"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667" w:type="pct"/>
          </w:tcPr>
          <w:p w14:paraId="1265267A"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0.046743</w:t>
            </w:r>
          </w:p>
        </w:tc>
      </w:tr>
      <w:tr w:rsidR="00EB6AE8" w:rsidRPr="00E47F58" w14:paraId="3723A86B" w14:textId="77777777" w:rsidTr="00441C2A">
        <w:trPr>
          <w:jc w:val="center"/>
        </w:trPr>
        <w:tc>
          <w:tcPr>
            <w:tcW w:w="1666" w:type="pct"/>
          </w:tcPr>
          <w:p w14:paraId="0A4C4493"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Palmitic acid</w:t>
            </w:r>
          </w:p>
          <w:p w14:paraId="2AEF6B6F"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667" w:type="pct"/>
          </w:tcPr>
          <w:p w14:paraId="3DF9455C"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2.7551</w:t>
            </w:r>
          </w:p>
          <w:p w14:paraId="1EE6B191"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667" w:type="pct"/>
          </w:tcPr>
          <w:p w14:paraId="1336C4AC"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0.057401</w:t>
            </w:r>
          </w:p>
        </w:tc>
      </w:tr>
      <w:tr w:rsidR="00EB6AE8" w:rsidRPr="00E47F58" w14:paraId="63C1AA0A" w14:textId="77777777" w:rsidTr="00441C2A">
        <w:trPr>
          <w:jc w:val="center"/>
        </w:trPr>
        <w:tc>
          <w:tcPr>
            <w:tcW w:w="1666" w:type="pct"/>
          </w:tcPr>
          <w:p w14:paraId="6E00D19B"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Linolenic acid</w:t>
            </w:r>
          </w:p>
          <w:p w14:paraId="3076251D" w14:textId="77777777" w:rsidR="00EB6AE8" w:rsidRPr="00E47F58" w:rsidRDefault="00EB6AE8" w:rsidP="00EB6AE8">
            <w:pPr>
              <w:spacing w:after="0" w:line="240" w:lineRule="auto"/>
              <w:jc w:val="both"/>
              <w:rPr>
                <w:rFonts w:ascii="Arial" w:hAnsi="Arial" w:cs="Arial"/>
                <w:color w:val="000000" w:themeColor="text1"/>
              </w:rPr>
            </w:pPr>
          </w:p>
        </w:tc>
        <w:tc>
          <w:tcPr>
            <w:tcW w:w="1667" w:type="pct"/>
          </w:tcPr>
          <w:p w14:paraId="3F7AA27A" w14:textId="77777777" w:rsidR="00EB6AE8" w:rsidRPr="00E47F58" w:rsidRDefault="00EB6AE8" w:rsidP="00EB6AE8">
            <w:pPr>
              <w:spacing w:after="0" w:line="240" w:lineRule="auto"/>
              <w:jc w:val="both"/>
              <w:rPr>
                <w:rFonts w:ascii="Arial" w:hAnsi="Arial" w:cs="Arial"/>
                <w:color w:val="000000" w:themeColor="text1"/>
                <w:lang w:val="en-SG"/>
              </w:rPr>
            </w:pPr>
            <w:r w:rsidRPr="00E47F58">
              <w:rPr>
                <w:rFonts w:ascii="Arial" w:hAnsi="Arial" w:cs="Arial"/>
                <w:color w:val="000000" w:themeColor="text1"/>
              </w:rPr>
              <w:t>2.0481</w:t>
            </w:r>
          </w:p>
          <w:p w14:paraId="5EB7ED19" w14:textId="77777777" w:rsidR="00EB6AE8" w:rsidRPr="00E47F58" w:rsidRDefault="00EB6AE8" w:rsidP="00EB6AE8">
            <w:pPr>
              <w:spacing w:after="0" w:line="240" w:lineRule="auto"/>
              <w:jc w:val="both"/>
              <w:rPr>
                <w:rFonts w:ascii="Arial" w:hAnsi="Arial" w:cs="Arial"/>
                <w:color w:val="000000" w:themeColor="text1"/>
              </w:rPr>
            </w:pPr>
          </w:p>
        </w:tc>
        <w:tc>
          <w:tcPr>
            <w:tcW w:w="1667" w:type="pct"/>
          </w:tcPr>
          <w:p w14:paraId="510FBC8F" w14:textId="77777777" w:rsidR="00EB6AE8" w:rsidRPr="00E47F58" w:rsidRDefault="00EB6AE8" w:rsidP="00EB6AE8">
            <w:pPr>
              <w:spacing w:after="0" w:line="240" w:lineRule="auto"/>
              <w:jc w:val="both"/>
              <w:rPr>
                <w:rFonts w:ascii="Arial" w:hAnsi="Arial" w:cs="Arial"/>
                <w:color w:val="000000" w:themeColor="text1"/>
                <w:lang w:val="en-SG"/>
              </w:rPr>
            </w:pPr>
            <w:r w:rsidRPr="00E47F58">
              <w:rPr>
                <w:rFonts w:ascii="Arial" w:hAnsi="Arial" w:cs="Arial"/>
                <w:color w:val="000000" w:themeColor="text1"/>
              </w:rPr>
              <w:t>0.045015</w:t>
            </w:r>
          </w:p>
        </w:tc>
      </w:tr>
    </w:tbl>
    <w:p w14:paraId="17A537A6" w14:textId="77777777" w:rsidR="00EB6AE8" w:rsidRPr="00E47F58" w:rsidRDefault="00EB6AE8" w:rsidP="00EB6AE8">
      <w:pPr>
        <w:pStyle w:val="j"/>
        <w:rPr>
          <w:rFonts w:ascii="Arial" w:hAnsi="Arial" w:cs="Arial"/>
          <w:sz w:val="20"/>
          <w:szCs w:val="20"/>
          <w:lang w:val="en-GB"/>
        </w:rPr>
      </w:pPr>
    </w:p>
    <w:p w14:paraId="38549201" w14:textId="77777777" w:rsidR="00EB6AE8" w:rsidRPr="00E47F58" w:rsidRDefault="00EB6AE8" w:rsidP="00EB6AE8">
      <w:pPr>
        <w:pStyle w:val="j"/>
        <w:rPr>
          <w:rFonts w:ascii="Arial" w:hAnsi="Arial" w:cs="Arial"/>
          <w:sz w:val="20"/>
          <w:szCs w:val="20"/>
          <w:lang w:val="en-GB"/>
        </w:rPr>
      </w:pPr>
    </w:p>
    <w:p w14:paraId="1F71FAC5" w14:textId="77777777" w:rsidR="00EB6AE8" w:rsidRPr="00E47F58" w:rsidRDefault="00EB6AE8" w:rsidP="00EB6AE8">
      <w:pPr>
        <w:pStyle w:val="single"/>
        <w:rPr>
          <w:rFonts w:ascii="Arial" w:hAnsi="Arial" w:cs="Arial"/>
          <w:sz w:val="20"/>
          <w:szCs w:val="20"/>
        </w:rPr>
      </w:pPr>
      <w:r w:rsidRPr="00E47F58">
        <w:rPr>
          <w:rFonts w:ascii="Arial" w:hAnsi="Arial" w:cs="Arial"/>
          <w:sz w:val="20"/>
          <w:szCs w:val="20"/>
          <w:lang w:val="en-GB"/>
        </w:rPr>
        <w:t xml:space="preserve">There is a huge difference between the two FCs compared, indicating there was no effect of bacterial challenge on the immune improvements induced by </w:t>
      </w:r>
      <w:r w:rsidRPr="00E47F58">
        <w:rPr>
          <w:rFonts w:ascii="Arial" w:hAnsi="Arial" w:cs="Arial"/>
          <w:i/>
          <w:iCs/>
          <w:sz w:val="20"/>
          <w:szCs w:val="20"/>
          <w:lang w:val="en-GB"/>
        </w:rPr>
        <w:t xml:space="preserve">C. vulgaris </w:t>
      </w:r>
      <w:r w:rsidRPr="00E47F58">
        <w:rPr>
          <w:rFonts w:ascii="Arial" w:hAnsi="Arial" w:cs="Arial"/>
          <w:sz w:val="20"/>
          <w:szCs w:val="20"/>
          <w:lang w:val="en-GB"/>
        </w:rPr>
        <w:t>incorporation into fish diet</w:t>
      </w:r>
      <w:r w:rsidR="00441C2A" w:rsidRPr="00E47F58">
        <w:rPr>
          <w:rFonts w:ascii="Arial" w:hAnsi="Arial" w:cs="Arial"/>
          <w:i/>
          <w:iCs/>
          <w:sz w:val="20"/>
          <w:szCs w:val="20"/>
          <w:lang w:val="en-GB"/>
        </w:rPr>
        <w:t xml:space="preserve"> </w:t>
      </w:r>
      <w:r w:rsidR="00441C2A" w:rsidRPr="00E47F58">
        <w:rPr>
          <w:rFonts w:ascii="Arial" w:hAnsi="Arial" w:cs="Arial"/>
          <w:iCs/>
          <w:sz w:val="20"/>
          <w:szCs w:val="20"/>
          <w:lang w:val="en-GB"/>
        </w:rPr>
        <w:t xml:space="preserve">as compared with fish which did not received the micro algal treatment </w:t>
      </w:r>
      <w:r w:rsidR="00441C2A" w:rsidRPr="00E47F58">
        <w:rPr>
          <w:rFonts w:ascii="Arial" w:hAnsi="Arial" w:cs="Arial"/>
          <w:sz w:val="20"/>
          <w:szCs w:val="20"/>
          <w:lang w:val="en-GB"/>
        </w:rPr>
        <w:t xml:space="preserve">(Table </w:t>
      </w:r>
      <w:r w:rsidRPr="00E47F58">
        <w:rPr>
          <w:rFonts w:ascii="Arial" w:hAnsi="Arial" w:cs="Arial"/>
          <w:sz w:val="20"/>
          <w:szCs w:val="20"/>
          <w:lang w:val="en-GB"/>
        </w:rPr>
        <w:t>7).</w:t>
      </w:r>
    </w:p>
    <w:p w14:paraId="72AE1933" w14:textId="77777777" w:rsidR="00EB6AE8" w:rsidRPr="00E47F58" w:rsidRDefault="004B090C" w:rsidP="00E47F58">
      <w:pPr>
        <w:pStyle w:val="Heading3"/>
        <w:rPr>
          <w:sz w:val="20"/>
          <w:szCs w:val="20"/>
          <w:lang w:val="en-GB"/>
        </w:rPr>
      </w:pPr>
      <w:bookmarkStart w:id="56" w:name="_Toc49955763"/>
      <w:bookmarkStart w:id="57" w:name="_Toc50652454"/>
      <w:r w:rsidRPr="00E47F58">
        <w:rPr>
          <w:sz w:val="20"/>
          <w:szCs w:val="20"/>
          <w:lang w:val="en-GB"/>
        </w:rPr>
        <w:t>3.1</w:t>
      </w:r>
      <w:r w:rsidRPr="00E47F58">
        <w:rPr>
          <w:sz w:val="20"/>
          <w:szCs w:val="20"/>
          <w:lang w:val="en-GB"/>
        </w:rPr>
        <w:tab/>
      </w:r>
      <w:r w:rsidR="00441C2A" w:rsidRPr="00E47F58">
        <w:rPr>
          <w:sz w:val="20"/>
          <w:szCs w:val="20"/>
          <w:lang w:val="en-GB"/>
        </w:rPr>
        <w:t xml:space="preserve">MVDA </w:t>
      </w:r>
      <w:r w:rsidR="00EB6AE8" w:rsidRPr="00E47F58">
        <w:rPr>
          <w:sz w:val="20"/>
          <w:szCs w:val="20"/>
          <w:lang w:val="en-GB"/>
        </w:rPr>
        <w:t>Model</w:t>
      </w:r>
      <w:r w:rsidR="0048025D" w:rsidRPr="00E47F58">
        <w:rPr>
          <w:sz w:val="20"/>
          <w:szCs w:val="20"/>
          <w:lang w:val="en-GB"/>
        </w:rPr>
        <w:t>s</w:t>
      </w:r>
      <w:r w:rsidR="00EB6AE8" w:rsidRPr="00E47F58">
        <w:rPr>
          <w:sz w:val="20"/>
          <w:szCs w:val="20"/>
          <w:lang w:val="en-GB"/>
        </w:rPr>
        <w:t xml:space="preserve"> validation</w:t>
      </w:r>
      <w:bookmarkEnd w:id="56"/>
      <w:bookmarkEnd w:id="57"/>
    </w:p>
    <w:p w14:paraId="1C09BE3A" w14:textId="77777777" w:rsidR="00441C2A" w:rsidRPr="00E47F58" w:rsidRDefault="00441C2A" w:rsidP="00151BFC">
      <w:pPr>
        <w:pStyle w:val="single"/>
        <w:rPr>
          <w:rFonts w:ascii="Arial" w:hAnsi="Arial" w:cs="Arial"/>
          <w:sz w:val="20"/>
          <w:szCs w:val="20"/>
        </w:rPr>
      </w:pPr>
      <w:r w:rsidRPr="00E47F58">
        <w:rPr>
          <w:rFonts w:ascii="Arial" w:hAnsi="Arial" w:cs="Arial"/>
          <w:sz w:val="20"/>
          <w:szCs w:val="20"/>
        </w:rPr>
        <w:t xml:space="preserve">The goodness of fit and predictability of a MVDA model are determined by calculating the R2 and Q2 which stands for fitness and predictability respectively </w:t>
      </w:r>
      <w:r w:rsidRPr="00E47F58">
        <w:rPr>
          <w:rFonts w:ascii="Arial" w:hAnsi="Arial" w:cs="Arial"/>
          <w:sz w:val="20"/>
          <w:szCs w:val="20"/>
        </w:rPr>
        <w:fldChar w:fldCharType="begin" w:fldLock="1"/>
      </w:r>
      <w:r w:rsidR="00F345E2" w:rsidRPr="00E47F58">
        <w:rPr>
          <w:rFonts w:ascii="Arial" w:hAnsi="Arial" w:cs="Arial"/>
          <w:sz w:val="20"/>
          <w:szCs w:val="20"/>
        </w:rPr>
        <w:instrText>ADDIN CSL_CITATION {"citationItems":[{"id":"ITEM-1","itemData":{"DOI":"10.1007/s11101-006-9031-3","ISSN":"15687767","abstract":"Metabolomics is defined as both the qualitative and quantitative analysis of all metabolites in an organism unraveling correlation with other OMICs data. Many of the technologies used in metabolomics have method-specific advantages and drawbacks in terms of diversity of metabolites detected, sensitivity, or resolution. In this paper, the potential of NMR spectrometry applied to metabolomics is reviewed using examples of Nicotiana tabacum and Catharanthus roseus. © 2007 Springer Science+Business Media B.V.","author":[{"dropping-particle":"","family":"Verpoorte","given":"R.","non-dropping-particle":"","parse-names":false,"suffix":""},{"dropping-particle":"","family":"Choi","given":"Y. H.","non-dropping-particle":"","parse-names":false,"suffix":""},{"dropping-particle":"","family":"Kim","given":"H. K.","non-dropping-particle":"","parse-names":false,"suffix":""}],"container-title":"Phytochemistry Reviews","id":"ITEM-1","issue":"1","issued":{"date-parts":[["2007"]]},"page":"3-14","title":"NMR-based metabolomics at work in phytochemistry","type":"article-journal","volume":"6"},"uris":["http://www.mendeley.com/documents/?uuid=c2fcdc91-6e5a-4a21-9668-98b19bffae6d","http://www.mendeley.com/documents/?uuid=08dadb37-fa67-4299-8bbb-eca6ff533e28"]}],"mendeley":{"formattedCitation":"(Verpoorte, Choi, and Kim 2007)","manualFormatting":"(Verpoorte et al., 2007)","plainTextFormattedCitation":"(Verpoorte, Choi, and Kim 2007)","previouslyFormattedCitation":"(Verpoorte, Choi, and Kim 2007)"},"properties":{"noteIndex":0},"schema":"https://github.com/citation-style-language/schema/raw/master/csl-citation.json"}</w:instrText>
      </w:r>
      <w:r w:rsidRPr="00E47F58">
        <w:rPr>
          <w:rFonts w:ascii="Arial" w:hAnsi="Arial" w:cs="Arial"/>
          <w:sz w:val="20"/>
          <w:szCs w:val="20"/>
        </w:rPr>
        <w:fldChar w:fldCharType="separate"/>
      </w:r>
      <w:r w:rsidRPr="00E47F58">
        <w:rPr>
          <w:rFonts w:ascii="Arial" w:hAnsi="Arial" w:cs="Arial"/>
          <w:noProof/>
          <w:sz w:val="20"/>
          <w:szCs w:val="20"/>
        </w:rPr>
        <w:t>(Verpoorte et al., 2007)</w:t>
      </w:r>
      <w:r w:rsidRPr="00E47F58">
        <w:rPr>
          <w:rFonts w:ascii="Arial" w:hAnsi="Arial" w:cs="Arial"/>
          <w:sz w:val="20"/>
          <w:szCs w:val="20"/>
        </w:rPr>
        <w:fldChar w:fldCharType="end"/>
      </w:r>
      <w:r w:rsidRPr="00E47F58">
        <w:rPr>
          <w:rFonts w:ascii="Arial" w:hAnsi="Arial" w:cs="Arial"/>
          <w:sz w:val="20"/>
          <w:szCs w:val="20"/>
        </w:rPr>
        <w:t>. Generally, R2 determines how well the training data set are statistically reproducible and when R2 intercept is less than 0.4 and Q2 intercept is less than -0.05 along Y-axis, the model is said to exhibit good fitness a</w:t>
      </w:r>
      <w:r w:rsidR="0048025D" w:rsidRPr="00E47F58">
        <w:rPr>
          <w:rFonts w:ascii="Arial" w:hAnsi="Arial" w:cs="Arial"/>
          <w:sz w:val="20"/>
          <w:szCs w:val="20"/>
        </w:rPr>
        <w:t>nd predictability. The above MVDA</w:t>
      </w:r>
      <w:r w:rsidRPr="00E47F58">
        <w:rPr>
          <w:rFonts w:ascii="Arial" w:hAnsi="Arial" w:cs="Arial"/>
          <w:sz w:val="20"/>
          <w:szCs w:val="20"/>
        </w:rPr>
        <w:t xml:space="preserve"> models </w:t>
      </w:r>
      <w:r w:rsidR="0048025D" w:rsidRPr="00E47F58">
        <w:rPr>
          <w:rFonts w:ascii="Arial" w:hAnsi="Arial" w:cs="Arial"/>
          <w:sz w:val="20"/>
          <w:szCs w:val="20"/>
        </w:rPr>
        <w:t xml:space="preserve">in this studies </w:t>
      </w:r>
      <w:r w:rsidRPr="00E47F58">
        <w:rPr>
          <w:rFonts w:ascii="Arial" w:hAnsi="Arial" w:cs="Arial"/>
          <w:sz w:val="20"/>
          <w:szCs w:val="20"/>
        </w:rPr>
        <w:t>fulfil the requirements for both R2 and Q2 suggesting that the models meet the criteria for the validation and prediction performance. The permutation tests with 100 permutations and external v</w:t>
      </w:r>
      <w:r w:rsidR="0048025D" w:rsidRPr="00E47F58">
        <w:rPr>
          <w:rFonts w:ascii="Arial" w:hAnsi="Arial" w:cs="Arial"/>
          <w:sz w:val="20"/>
          <w:szCs w:val="20"/>
        </w:rPr>
        <w:t>alidation indicated that the models were valid (Figure 9</w:t>
      </w:r>
      <w:r w:rsidR="00151BFC" w:rsidRPr="00E47F58">
        <w:rPr>
          <w:rFonts w:ascii="Arial" w:hAnsi="Arial" w:cs="Arial"/>
          <w:sz w:val="20"/>
          <w:szCs w:val="20"/>
        </w:rPr>
        <w:t>).</w:t>
      </w:r>
    </w:p>
    <w:p w14:paraId="3CD384EC" w14:textId="77777777" w:rsidR="00EB6AE8" w:rsidRPr="00E47F58" w:rsidRDefault="00EB6AE8" w:rsidP="00151BFC">
      <w:pPr>
        <w:spacing w:after="0" w:line="240" w:lineRule="auto"/>
        <w:jc w:val="both"/>
        <w:rPr>
          <w:rFonts w:ascii="Arial" w:hAnsi="Arial" w:cs="Arial"/>
          <w:color w:val="000000" w:themeColor="text1"/>
          <w:sz w:val="20"/>
          <w:szCs w:val="20"/>
        </w:rPr>
      </w:pPr>
      <w:r w:rsidRPr="00E47F58">
        <w:rPr>
          <w:rFonts w:ascii="Arial" w:hAnsi="Arial" w:cs="Arial"/>
          <w:b/>
          <w:bCs/>
          <w:color w:val="000000" w:themeColor="text1"/>
          <w:sz w:val="20"/>
          <w:szCs w:val="20"/>
        </w:rPr>
        <w:lastRenderedPageBreak/>
        <w:tab/>
      </w:r>
      <w:r w:rsidR="00BD191A" w:rsidRPr="00E47F58">
        <w:rPr>
          <w:rFonts w:ascii="Arial" w:hAnsi="Arial" w:cs="Arial"/>
          <w:b/>
          <w:bCs/>
          <w:noProof/>
          <w:color w:val="000000" w:themeColor="text1"/>
          <w:sz w:val="20"/>
          <w:szCs w:val="20"/>
        </w:rPr>
        <w:drawing>
          <wp:inline distT="0" distB="0" distL="0" distR="0" wp14:anchorId="5E94CF61" wp14:editId="0DE4AEF5">
            <wp:extent cx="4579044" cy="7028953"/>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l="7294" t="796" r="9496" b="1691"/>
                    <a:stretch/>
                  </pic:blipFill>
                  <pic:spPr bwMode="auto">
                    <a:xfrm>
                      <a:off x="0" y="0"/>
                      <a:ext cx="4633767" cy="7112954"/>
                    </a:xfrm>
                    <a:prstGeom prst="rect">
                      <a:avLst/>
                    </a:prstGeom>
                    <a:noFill/>
                    <a:ln>
                      <a:noFill/>
                    </a:ln>
                    <a:extLst>
                      <a:ext uri="{53640926-AAD7-44D8-BBD7-CCE9431645EC}">
                        <a14:shadowObscured xmlns:a14="http://schemas.microsoft.com/office/drawing/2010/main"/>
                      </a:ext>
                    </a:extLst>
                  </pic:spPr>
                </pic:pic>
              </a:graphicData>
            </a:graphic>
          </wp:inline>
        </w:drawing>
      </w:r>
    </w:p>
    <w:p w14:paraId="199F2103" w14:textId="77777777" w:rsidR="00EB6AE8" w:rsidRDefault="00EB6AE8" w:rsidP="00EB6AE8">
      <w:pPr>
        <w:pStyle w:val="Caption"/>
        <w:rPr>
          <w:rFonts w:ascii="Arial" w:hAnsi="Arial" w:cs="Arial"/>
          <w:sz w:val="20"/>
          <w:szCs w:val="20"/>
        </w:rPr>
      </w:pPr>
      <w:bookmarkStart w:id="58" w:name="_Toc50653945"/>
      <w:r w:rsidRPr="00E47F58">
        <w:rPr>
          <w:rFonts w:ascii="Arial" w:hAnsi="Arial" w:cs="Arial"/>
          <w:sz w:val="20"/>
          <w:szCs w:val="20"/>
        </w:rPr>
        <w:t>Figure</w:t>
      </w:r>
      <w:r w:rsidR="0048025D"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Figure \* ARABIC \s 1 </w:instrText>
      </w:r>
      <w:r w:rsidR="0022766E" w:rsidRPr="00E47F58">
        <w:rPr>
          <w:rFonts w:ascii="Arial" w:hAnsi="Arial" w:cs="Arial"/>
          <w:sz w:val="20"/>
          <w:szCs w:val="20"/>
        </w:rPr>
        <w:fldChar w:fldCharType="separate"/>
      </w:r>
      <w:r w:rsidRPr="00E47F58">
        <w:rPr>
          <w:rFonts w:ascii="Arial" w:hAnsi="Arial" w:cs="Arial"/>
          <w:noProof/>
          <w:sz w:val="20"/>
          <w:szCs w:val="20"/>
        </w:rPr>
        <w:t>9</w:t>
      </w:r>
      <w:r w:rsidR="0022766E" w:rsidRPr="00E47F58">
        <w:rPr>
          <w:rFonts w:ascii="Arial" w:hAnsi="Arial" w:cs="Arial"/>
          <w:noProof/>
          <w:sz w:val="20"/>
          <w:szCs w:val="20"/>
        </w:rPr>
        <w:fldChar w:fldCharType="end"/>
      </w:r>
      <w:r w:rsidRPr="00E47F58">
        <w:rPr>
          <w:rFonts w:ascii="Arial" w:hAnsi="Arial" w:cs="Arial"/>
          <w:sz w:val="20"/>
          <w:szCs w:val="20"/>
        </w:rPr>
        <w:t xml:space="preserve"> : The PLS-DA; CV and CF (a) OPLS-DA; CF and CFC (b) OPLS-DA; CV and CVC model</w:t>
      </w:r>
      <w:r w:rsidR="0048025D" w:rsidRPr="00E47F58">
        <w:rPr>
          <w:rFonts w:ascii="Arial" w:hAnsi="Arial" w:cs="Arial"/>
          <w:sz w:val="20"/>
          <w:szCs w:val="20"/>
        </w:rPr>
        <w:t>s</w:t>
      </w:r>
      <w:r w:rsidRPr="00E47F58">
        <w:rPr>
          <w:rFonts w:ascii="Arial" w:hAnsi="Arial" w:cs="Arial"/>
          <w:sz w:val="20"/>
          <w:szCs w:val="20"/>
        </w:rPr>
        <w:t xml:space="preserve"> validation with 100 permutations for prophylaxis study analysis</w:t>
      </w:r>
      <w:bookmarkEnd w:id="58"/>
      <w:r w:rsidR="000A0BA1" w:rsidRPr="00E47F58">
        <w:rPr>
          <w:rFonts w:ascii="Arial" w:hAnsi="Arial" w:cs="Arial"/>
          <w:sz w:val="20"/>
          <w:szCs w:val="20"/>
        </w:rPr>
        <w:t>.</w:t>
      </w:r>
    </w:p>
    <w:p w14:paraId="08C22A50" w14:textId="77777777" w:rsidR="00E47F58" w:rsidRPr="00E47F58" w:rsidRDefault="00E47F58" w:rsidP="00E47F58"/>
    <w:p w14:paraId="1BDDF7B6" w14:textId="77777777" w:rsidR="00EB6AE8" w:rsidRPr="00000A2B" w:rsidRDefault="004B090C" w:rsidP="00101146">
      <w:pPr>
        <w:pStyle w:val="Heading2"/>
      </w:pPr>
      <w:bookmarkStart w:id="59" w:name="_Toc49955764"/>
      <w:bookmarkStart w:id="60" w:name="_Toc50652455"/>
      <w:r>
        <w:lastRenderedPageBreak/>
        <w:t>4.0</w:t>
      </w:r>
      <w:r>
        <w:tab/>
      </w:r>
      <w:r w:rsidR="00123C53" w:rsidRPr="00000A2B">
        <w:t>CONCLUSION</w:t>
      </w:r>
      <w:bookmarkEnd w:id="59"/>
      <w:bookmarkEnd w:id="60"/>
    </w:p>
    <w:p w14:paraId="2D74C0E2" w14:textId="77777777" w:rsidR="00EB6AE8" w:rsidRPr="00101146" w:rsidRDefault="00EB6AE8" w:rsidP="00EB6AE8">
      <w:pPr>
        <w:pStyle w:val="single"/>
        <w:rPr>
          <w:rFonts w:ascii="Arial" w:hAnsi="Arial" w:cs="Arial"/>
          <w:sz w:val="20"/>
          <w:szCs w:val="20"/>
          <w:lang w:val="en-GB"/>
        </w:rPr>
      </w:pPr>
      <w:r w:rsidRPr="00101146">
        <w:rPr>
          <w:rFonts w:ascii="Arial" w:hAnsi="Arial" w:cs="Arial"/>
          <w:sz w:val="20"/>
          <w:szCs w:val="20"/>
          <w:lang w:val="en-GB"/>
        </w:rPr>
        <w:t xml:space="preserve">The research findings show that there was no negative effect of </w:t>
      </w:r>
      <w:r w:rsidRPr="00101146">
        <w:rPr>
          <w:rFonts w:ascii="Arial" w:hAnsi="Arial" w:cs="Arial"/>
          <w:i/>
          <w:iCs/>
          <w:sz w:val="20"/>
          <w:szCs w:val="20"/>
          <w:lang w:val="en-GB"/>
        </w:rPr>
        <w:t xml:space="preserve">S. agalactiae </w:t>
      </w:r>
      <w:r w:rsidRPr="00101146">
        <w:rPr>
          <w:rFonts w:ascii="Arial" w:hAnsi="Arial" w:cs="Arial"/>
          <w:sz w:val="20"/>
          <w:szCs w:val="20"/>
          <w:lang w:val="en-GB"/>
        </w:rPr>
        <w:t xml:space="preserve">bacteria on the fish pre-fed with </w:t>
      </w:r>
      <w:r w:rsidRPr="00101146">
        <w:rPr>
          <w:rFonts w:ascii="Arial" w:hAnsi="Arial" w:cs="Arial"/>
          <w:i/>
          <w:iCs/>
          <w:sz w:val="20"/>
          <w:szCs w:val="20"/>
          <w:lang w:val="en-GB"/>
        </w:rPr>
        <w:t xml:space="preserve">C. vulgaris </w:t>
      </w:r>
      <w:r w:rsidRPr="00101146">
        <w:rPr>
          <w:rFonts w:ascii="Arial" w:hAnsi="Arial" w:cs="Arial"/>
          <w:sz w:val="20"/>
          <w:szCs w:val="20"/>
          <w:lang w:val="en-GB"/>
        </w:rPr>
        <w:t>in terms of metabolite down</w:t>
      </w:r>
      <w:r w:rsidR="0048025D" w:rsidRPr="00101146">
        <w:rPr>
          <w:rFonts w:ascii="Arial" w:hAnsi="Arial" w:cs="Arial"/>
          <w:sz w:val="20"/>
          <w:szCs w:val="20"/>
          <w:lang w:val="en-GB"/>
        </w:rPr>
        <w:t xml:space="preserve"> </w:t>
      </w:r>
      <w:r w:rsidRPr="00101146">
        <w:rPr>
          <w:rFonts w:ascii="Arial" w:hAnsi="Arial" w:cs="Arial"/>
          <w:sz w:val="20"/>
          <w:szCs w:val="20"/>
          <w:lang w:val="en-GB"/>
        </w:rPr>
        <w:t xml:space="preserve">regulation. This substantiate the findings and provide basis that immune improvement provided by </w:t>
      </w:r>
      <w:r w:rsidRPr="00101146">
        <w:rPr>
          <w:rFonts w:ascii="Arial" w:hAnsi="Arial" w:cs="Arial"/>
          <w:i/>
          <w:iCs/>
          <w:sz w:val="20"/>
          <w:szCs w:val="20"/>
          <w:lang w:val="en-GB"/>
        </w:rPr>
        <w:t xml:space="preserve">C. vulgaris </w:t>
      </w:r>
      <w:r w:rsidRPr="00101146">
        <w:rPr>
          <w:rFonts w:ascii="Arial" w:hAnsi="Arial" w:cs="Arial"/>
          <w:sz w:val="20"/>
          <w:szCs w:val="20"/>
          <w:lang w:val="en-GB"/>
        </w:rPr>
        <w:t xml:space="preserve">incorporation into fish feed for tilapia was sustained even when the fish was challenged with a virulent bacterium, </w:t>
      </w:r>
      <w:r w:rsidRPr="00101146">
        <w:rPr>
          <w:rFonts w:ascii="Arial" w:hAnsi="Arial" w:cs="Arial"/>
          <w:i/>
          <w:iCs/>
          <w:sz w:val="20"/>
          <w:szCs w:val="20"/>
          <w:lang w:val="en-GB"/>
        </w:rPr>
        <w:t>S. agalactiae</w:t>
      </w:r>
      <w:r w:rsidRPr="00101146">
        <w:rPr>
          <w:rFonts w:ascii="Arial" w:hAnsi="Arial" w:cs="Arial"/>
          <w:sz w:val="20"/>
          <w:szCs w:val="20"/>
          <w:lang w:val="en-GB"/>
        </w:rPr>
        <w:t xml:space="preserve">. In addition, the MVA findings agree with the results that showed 90% survival rate of fish fed with </w:t>
      </w:r>
      <w:r w:rsidRPr="00101146">
        <w:rPr>
          <w:rFonts w:ascii="Arial" w:hAnsi="Arial" w:cs="Arial"/>
          <w:i/>
          <w:iCs/>
          <w:sz w:val="20"/>
          <w:szCs w:val="20"/>
          <w:lang w:val="en-GB"/>
        </w:rPr>
        <w:t xml:space="preserve">C. vulgaris </w:t>
      </w:r>
      <w:r w:rsidRPr="00101146">
        <w:rPr>
          <w:rFonts w:ascii="Arial" w:hAnsi="Arial" w:cs="Arial"/>
          <w:sz w:val="20"/>
          <w:szCs w:val="20"/>
          <w:lang w:val="en-GB"/>
        </w:rPr>
        <w:t xml:space="preserve">in a bacterial challenge study. This maybe an indication why such high survival rate was obtained with fish population previously fed with </w:t>
      </w:r>
      <w:r w:rsidRPr="00101146">
        <w:rPr>
          <w:rFonts w:ascii="Arial" w:hAnsi="Arial" w:cs="Arial"/>
          <w:i/>
          <w:iCs/>
          <w:sz w:val="20"/>
          <w:szCs w:val="20"/>
          <w:lang w:val="en-GB"/>
        </w:rPr>
        <w:t xml:space="preserve">C. vulgaris </w:t>
      </w:r>
      <w:r w:rsidRPr="00101146">
        <w:rPr>
          <w:rFonts w:ascii="Arial" w:hAnsi="Arial" w:cs="Arial"/>
          <w:sz w:val="20"/>
          <w:szCs w:val="20"/>
          <w:lang w:val="en-GB"/>
        </w:rPr>
        <w:t>prior to bacterial challenge.</w:t>
      </w:r>
    </w:p>
    <w:p w14:paraId="731867AE" w14:textId="77777777" w:rsidR="00EB6AE8" w:rsidRPr="00101146" w:rsidRDefault="00EB6AE8" w:rsidP="00EB6AE8">
      <w:pPr>
        <w:pStyle w:val="single"/>
        <w:rPr>
          <w:rFonts w:ascii="Arial" w:hAnsi="Arial" w:cs="Arial"/>
          <w:sz w:val="20"/>
          <w:szCs w:val="20"/>
          <w:lang w:val="en-GB"/>
        </w:rPr>
      </w:pPr>
      <w:r w:rsidRPr="00101146">
        <w:rPr>
          <w:rFonts w:ascii="Arial" w:hAnsi="Arial" w:cs="Arial"/>
          <w:sz w:val="20"/>
          <w:szCs w:val="20"/>
          <w:lang w:val="en-GB"/>
        </w:rPr>
        <w:t xml:space="preserve">In conclusion, 125 mg/kg bw concentration of </w:t>
      </w:r>
      <w:r w:rsidRPr="00101146">
        <w:rPr>
          <w:rFonts w:ascii="Arial" w:hAnsi="Arial" w:cs="Arial"/>
          <w:i/>
          <w:iCs/>
          <w:sz w:val="20"/>
          <w:szCs w:val="20"/>
          <w:lang w:val="en-GB"/>
        </w:rPr>
        <w:t xml:space="preserve">C. vulgaris </w:t>
      </w:r>
      <w:r w:rsidRPr="00101146">
        <w:rPr>
          <w:rFonts w:ascii="Arial" w:hAnsi="Arial" w:cs="Arial"/>
          <w:sz w:val="20"/>
          <w:szCs w:val="20"/>
          <w:lang w:val="en-GB"/>
        </w:rPr>
        <w:t xml:space="preserve">incorporated into fish feed exerts potential immuno-modulatory effects in tilapia fish in 3 weeks which was sustained </w:t>
      </w:r>
      <w:r w:rsidR="0048025D" w:rsidRPr="00101146">
        <w:rPr>
          <w:rFonts w:ascii="Arial" w:hAnsi="Arial" w:cs="Arial"/>
          <w:sz w:val="20"/>
          <w:szCs w:val="20"/>
          <w:lang w:val="en-GB"/>
        </w:rPr>
        <w:t xml:space="preserve">even </w:t>
      </w:r>
      <w:r w:rsidRPr="00101146">
        <w:rPr>
          <w:rFonts w:ascii="Arial" w:hAnsi="Arial" w:cs="Arial"/>
          <w:sz w:val="20"/>
          <w:szCs w:val="20"/>
          <w:lang w:val="en-GB"/>
        </w:rPr>
        <w:t xml:space="preserve">after the fish was challenged with </w:t>
      </w:r>
      <w:r w:rsidRPr="00101146">
        <w:rPr>
          <w:rFonts w:ascii="Arial" w:hAnsi="Arial" w:cs="Arial"/>
          <w:i/>
          <w:iCs/>
          <w:sz w:val="20"/>
          <w:szCs w:val="20"/>
          <w:lang w:val="en-GB"/>
        </w:rPr>
        <w:t>S. agalactiae</w:t>
      </w:r>
      <w:r w:rsidRPr="00101146">
        <w:rPr>
          <w:rFonts w:ascii="Arial" w:hAnsi="Arial" w:cs="Arial"/>
          <w:sz w:val="20"/>
          <w:szCs w:val="20"/>
          <w:lang w:val="en-GB"/>
        </w:rPr>
        <w:t xml:space="preserve">. To the best of our knowledge, the present study was the first attempt that proposed the application of </w:t>
      </w:r>
      <w:r w:rsidRPr="00101146">
        <w:rPr>
          <w:rFonts w:ascii="Arial" w:hAnsi="Arial" w:cs="Arial"/>
          <w:sz w:val="20"/>
          <w:szCs w:val="20"/>
          <w:vertAlign w:val="superscript"/>
          <w:lang w:val="en-GB"/>
        </w:rPr>
        <w:t>1</w:t>
      </w:r>
      <w:r w:rsidRPr="00101146">
        <w:rPr>
          <w:rFonts w:ascii="Arial" w:hAnsi="Arial" w:cs="Arial"/>
          <w:sz w:val="20"/>
          <w:szCs w:val="20"/>
          <w:lang w:val="en-GB"/>
        </w:rPr>
        <w:t>H NMR-based metabolomics approach to study animal metabolome in order to support bacterial challenge findings that ensured prophylactic experiments.</w:t>
      </w:r>
    </w:p>
    <w:p w14:paraId="0A4E664A" w14:textId="77777777" w:rsidR="00EB6AE8" w:rsidRPr="00101146" w:rsidRDefault="004B090C" w:rsidP="00101146">
      <w:pPr>
        <w:pStyle w:val="Heading2"/>
      </w:pPr>
      <w:r w:rsidRPr="00101146">
        <w:t>REFERENCES</w:t>
      </w:r>
    </w:p>
    <w:p w14:paraId="7CB6E3E5" w14:textId="77777777" w:rsidR="00827A17" w:rsidRPr="00101146" w:rsidRDefault="00ED4590"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sz w:val="20"/>
          <w:szCs w:val="20"/>
          <w:lang w:val="en-GB"/>
        </w:rPr>
        <w:fldChar w:fldCharType="begin" w:fldLock="1"/>
      </w:r>
      <w:r w:rsidRPr="00101146">
        <w:rPr>
          <w:rFonts w:ascii="Arial" w:hAnsi="Arial" w:cs="Arial"/>
          <w:sz w:val="20"/>
          <w:szCs w:val="20"/>
          <w:lang w:val="en-GB"/>
        </w:rPr>
        <w:instrText xml:space="preserve">ADDIN Mendeley Bibliography CSL_BIBLIOGRAPHY </w:instrText>
      </w:r>
      <w:r w:rsidRPr="00101146">
        <w:rPr>
          <w:rFonts w:ascii="Arial" w:hAnsi="Arial" w:cs="Arial"/>
          <w:sz w:val="20"/>
          <w:szCs w:val="20"/>
          <w:lang w:val="en-GB"/>
        </w:rPr>
        <w:fldChar w:fldCharType="separate"/>
      </w:r>
      <w:r w:rsidR="00827A17" w:rsidRPr="00101146">
        <w:rPr>
          <w:rFonts w:ascii="Arial" w:hAnsi="Arial" w:cs="Arial"/>
          <w:noProof/>
          <w:sz w:val="20"/>
          <w:szCs w:val="20"/>
        </w:rPr>
        <w:t xml:space="preserve">Ahmad, Muhammad Talba, Mohamed Shariff, Fatimah Md. Yusoff, Yong Meng Goh, and Sanjoy Banerjee. 2018. “Applications of Microalga Chlorella Vulgaris in Aquaculture.” </w:t>
      </w:r>
      <w:r w:rsidR="00827A17" w:rsidRPr="00101146">
        <w:rPr>
          <w:rFonts w:ascii="Arial" w:hAnsi="Arial" w:cs="Arial"/>
          <w:i/>
          <w:iCs/>
          <w:noProof/>
          <w:sz w:val="20"/>
          <w:szCs w:val="20"/>
        </w:rPr>
        <w:t>Reviews in Aquaculture</w:t>
      </w:r>
      <w:r w:rsidR="00827A17" w:rsidRPr="00101146">
        <w:rPr>
          <w:rFonts w:ascii="Arial" w:hAnsi="Arial" w:cs="Arial"/>
          <w:noProof/>
          <w:sz w:val="20"/>
          <w:szCs w:val="20"/>
        </w:rPr>
        <w:t>: 1–19. doi:10.1111/raq.12320.</w:t>
      </w:r>
    </w:p>
    <w:p w14:paraId="0F51BF2E"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Alqarni, Abdulmalik M., Tharushi Dissanayake, David J. Nelson, John A. Parkinson, Mark J. Dufton, Valerie A. Ferro, and David G. Watson. 2019. “Metabolomic Profiling of the Immune Stimulatory Effect of Eicosenoids on PMA-Differentiated THP-1 Cells.” </w:t>
      </w:r>
      <w:r w:rsidRPr="00101146">
        <w:rPr>
          <w:rFonts w:ascii="Arial" w:hAnsi="Arial" w:cs="Arial"/>
          <w:i/>
          <w:iCs/>
          <w:noProof/>
          <w:sz w:val="20"/>
          <w:szCs w:val="20"/>
        </w:rPr>
        <w:t>Vaccines</w:t>
      </w:r>
      <w:r w:rsidRPr="00101146">
        <w:rPr>
          <w:rFonts w:ascii="Arial" w:hAnsi="Arial" w:cs="Arial"/>
          <w:noProof/>
          <w:sz w:val="20"/>
          <w:szCs w:val="20"/>
        </w:rPr>
        <w:t xml:space="preserve"> 7(4). doi:10.3390/vaccines7040142.</w:t>
      </w:r>
    </w:p>
    <w:p w14:paraId="4E200C45"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Amal, M. N.A., C. B. Koh, M. Nurliyana, M. Suhaiba, Z. Nor-Amalina, S. Santha, K. P. Diyana-Nadhirah, et al. 2018. “A Case of Natural Co-Infection of Tilapia Lake Virus and Aeromonas Veronii in a Malaysian Red Hybrid Tilapia (Oreochromis Niloticus × O. Mossambicus) Farm Experiencing High Mortality.” </w:t>
      </w:r>
      <w:r w:rsidRPr="00101146">
        <w:rPr>
          <w:rFonts w:ascii="Arial" w:hAnsi="Arial" w:cs="Arial"/>
          <w:i/>
          <w:iCs/>
          <w:noProof/>
          <w:sz w:val="20"/>
          <w:szCs w:val="20"/>
        </w:rPr>
        <w:t>Aquaculture</w:t>
      </w:r>
      <w:r w:rsidRPr="00101146">
        <w:rPr>
          <w:rFonts w:ascii="Arial" w:hAnsi="Arial" w:cs="Arial"/>
          <w:noProof/>
          <w:sz w:val="20"/>
          <w:szCs w:val="20"/>
        </w:rPr>
        <w:t xml:space="preserve"> 485(July 2017): 12–16. doi:10.1016/j.aquaculture.2017.11.019.</w:t>
      </w:r>
    </w:p>
    <w:p w14:paraId="3E8394A0"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Batista, Ana Paula, Alberto Niccolai, Patrícia Fradinho, Solange Fragoso, Ivana Bursic, Liliana Rodolfi, Natascia Biondi, et al. 2017. “Microalgae Biomass as an Alternative Ingredient in Cookies: Sensory, Physical and Chemical Properties, Antioxidant Activity and in Vitro Digestibility.” </w:t>
      </w:r>
      <w:r w:rsidRPr="00101146">
        <w:rPr>
          <w:rFonts w:ascii="Arial" w:hAnsi="Arial" w:cs="Arial"/>
          <w:i/>
          <w:iCs/>
          <w:noProof/>
          <w:sz w:val="20"/>
          <w:szCs w:val="20"/>
        </w:rPr>
        <w:t>Algal Research</w:t>
      </w:r>
      <w:r w:rsidRPr="00101146">
        <w:rPr>
          <w:rFonts w:ascii="Arial" w:hAnsi="Arial" w:cs="Arial"/>
          <w:noProof/>
          <w:sz w:val="20"/>
          <w:szCs w:val="20"/>
        </w:rPr>
        <w:t xml:space="preserve"> 26(June): 161–71. doi:10.1016/j.algal.2017.07.017.</w:t>
      </w:r>
    </w:p>
    <w:p w14:paraId="58E984A2"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Batista, Ana Paula, Ma Cristiana Nunes, Patrícia Fradinho, Luísa Gouveia, Isabel Sousa, Anabela Raymundo, and José M. Franco. 2012. “Novel Foods with Microalgal Ingredients - Effect of Gel Setting Conditions on the Linear Viscoelasticity of Spirulina and Haematococcus Gels.” </w:t>
      </w:r>
      <w:r w:rsidRPr="00101146">
        <w:rPr>
          <w:rFonts w:ascii="Arial" w:hAnsi="Arial" w:cs="Arial"/>
          <w:i/>
          <w:iCs/>
          <w:noProof/>
          <w:sz w:val="20"/>
          <w:szCs w:val="20"/>
        </w:rPr>
        <w:t>Journal of Food Engineering</w:t>
      </w:r>
      <w:r w:rsidRPr="00101146">
        <w:rPr>
          <w:rFonts w:ascii="Arial" w:hAnsi="Arial" w:cs="Arial"/>
          <w:noProof/>
          <w:sz w:val="20"/>
          <w:szCs w:val="20"/>
        </w:rPr>
        <w:t xml:space="preserve"> 110(2): 182–89. doi:10.1016/j.jfoodeng.2011.05.044.</w:t>
      </w:r>
    </w:p>
    <w:p w14:paraId="119211C6"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Bettina, Mittendorfer, C. Gore Dennis, David N. Herndon, and Robert R. Wolfe. 1999. “Accelerated Glutamine Synthesis in Critically [I] Patients Cannot Maintain Normal Intramuscular Free Glutamine Concentration.” </w:t>
      </w:r>
      <w:r w:rsidRPr="00101146">
        <w:rPr>
          <w:rFonts w:ascii="Arial" w:hAnsi="Arial" w:cs="Arial"/>
          <w:i/>
          <w:iCs/>
          <w:noProof/>
          <w:sz w:val="20"/>
          <w:szCs w:val="20"/>
        </w:rPr>
        <w:t>Journal of Parenteral and Enteral Nutrition</w:t>
      </w:r>
      <w:r w:rsidRPr="00101146">
        <w:rPr>
          <w:rFonts w:ascii="Arial" w:hAnsi="Arial" w:cs="Arial"/>
          <w:noProof/>
          <w:sz w:val="20"/>
          <w:szCs w:val="20"/>
        </w:rPr>
        <w:t xml:space="preserve"> 23(5): 243–52.</w:t>
      </w:r>
    </w:p>
    <w:p w14:paraId="2BC08105"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Branco, Anna Cláudia Calvielli Castelo, Fábio Seiti Yamada Yoshikawa, Anna Julia Pietrobon, and Maria Notomi Sato. 2018. “Role of Histamine in Modulating the Immune Response and Inflammation.” </w:t>
      </w:r>
      <w:r w:rsidRPr="00101146">
        <w:rPr>
          <w:rFonts w:ascii="Arial" w:hAnsi="Arial" w:cs="Arial"/>
          <w:i/>
          <w:iCs/>
          <w:noProof/>
          <w:sz w:val="20"/>
          <w:szCs w:val="20"/>
        </w:rPr>
        <w:t>Mediators of Inflammation</w:t>
      </w:r>
      <w:r w:rsidRPr="00101146">
        <w:rPr>
          <w:rFonts w:ascii="Arial" w:hAnsi="Arial" w:cs="Arial"/>
          <w:noProof/>
          <w:sz w:val="20"/>
          <w:szCs w:val="20"/>
        </w:rPr>
        <w:t xml:space="preserve"> 2018. doi:10.1155/2018/9524075.</w:t>
      </w:r>
    </w:p>
    <w:p w14:paraId="1322571D"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Everts, Bart. 2018. “Chapter 2 Metabolomics in Immunology Research.” In </w:t>
      </w:r>
      <w:r w:rsidRPr="00101146">
        <w:rPr>
          <w:rFonts w:ascii="Arial" w:hAnsi="Arial" w:cs="Arial"/>
          <w:i/>
          <w:iCs/>
          <w:noProof/>
          <w:sz w:val="20"/>
          <w:szCs w:val="20"/>
        </w:rPr>
        <w:t>Clinical Metabolomics: Methods and Protocols, Methods in Molecular Biology</w:t>
      </w:r>
      <w:r w:rsidRPr="00101146">
        <w:rPr>
          <w:rFonts w:ascii="Arial" w:hAnsi="Arial" w:cs="Arial"/>
          <w:noProof/>
          <w:sz w:val="20"/>
          <w:szCs w:val="20"/>
        </w:rPr>
        <w:t>, , 29–42.</w:t>
      </w:r>
    </w:p>
    <w:p w14:paraId="2774B327"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lastRenderedPageBreak/>
        <w:t xml:space="preserve">Gilcreas, F. W. 1966. “Standard Methods for the Examination of Water and Waste Water.” </w:t>
      </w:r>
      <w:r w:rsidRPr="00101146">
        <w:rPr>
          <w:rFonts w:ascii="Arial" w:hAnsi="Arial" w:cs="Arial"/>
          <w:i/>
          <w:iCs/>
          <w:noProof/>
          <w:sz w:val="20"/>
          <w:szCs w:val="20"/>
        </w:rPr>
        <w:t>American journal of public health and the nation’s health</w:t>
      </w:r>
      <w:r w:rsidRPr="00101146">
        <w:rPr>
          <w:rFonts w:ascii="Arial" w:hAnsi="Arial" w:cs="Arial"/>
          <w:noProof/>
          <w:sz w:val="20"/>
          <w:szCs w:val="20"/>
        </w:rPr>
        <w:t xml:space="preserve"> 56(3): 387–88. doi:10.2105/AJPH.56.3.387.</w:t>
      </w:r>
    </w:p>
    <w:p w14:paraId="43099AD0"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Gray, Darren W, Michael D Welsh, Simon Doherty, Fawad Mansoor, Olivier P Chevallier, Christopher T Elliott, and Mark H Mooney. 2015. “Identification of Systemic Immune Response Markers through Metabolomic Profiling of Plasma from Calves given an Intra-Nasally Delivered Respiratory Vaccine.” </w:t>
      </w:r>
      <w:r w:rsidRPr="00101146">
        <w:rPr>
          <w:rFonts w:ascii="Arial" w:hAnsi="Arial" w:cs="Arial"/>
          <w:i/>
          <w:iCs/>
          <w:noProof/>
          <w:sz w:val="20"/>
          <w:szCs w:val="20"/>
        </w:rPr>
        <w:t>Veterinary Research</w:t>
      </w:r>
      <w:r w:rsidRPr="00101146">
        <w:rPr>
          <w:rFonts w:ascii="Arial" w:hAnsi="Arial" w:cs="Arial"/>
          <w:noProof/>
          <w:sz w:val="20"/>
          <w:szCs w:val="20"/>
        </w:rPr>
        <w:t xml:space="preserve"> 46(7): 1–16. doi:10.1186/s13567-014-0138-z.</w:t>
      </w:r>
    </w:p>
    <w:p w14:paraId="6284E784"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Kahieshesfandiari, M., M. Y. Sabri, M. Y. Ina-salwany, M. D. Hassan, O. Noraini, A. A. Ajadi, and A. I. Isiaku. 2019. “Streptococcosis in Oreochromis Sp.: Is Feed-Based Biofilm Vaccine of Streptococcus Agalactiae Effective?” </w:t>
      </w:r>
      <w:r w:rsidRPr="00101146">
        <w:rPr>
          <w:rFonts w:ascii="Arial" w:hAnsi="Arial" w:cs="Arial"/>
          <w:i/>
          <w:iCs/>
          <w:noProof/>
          <w:sz w:val="20"/>
          <w:szCs w:val="20"/>
        </w:rPr>
        <w:t>Aquaculture International</w:t>
      </w:r>
      <w:r w:rsidRPr="00101146">
        <w:rPr>
          <w:rFonts w:ascii="Arial" w:hAnsi="Arial" w:cs="Arial"/>
          <w:noProof/>
          <w:sz w:val="20"/>
          <w:szCs w:val="20"/>
        </w:rPr>
        <w:t xml:space="preserve"> 27: 817–832. doi:10.1007/s10499-019-00372-8.</w:t>
      </w:r>
    </w:p>
    <w:p w14:paraId="1FB29782"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Lankadurai, Brian P, Edward G Nagato, and Myrna J Simpson. 2013. “Environmental Metabolomics : An Emerging Approach to Study Organism Responses to Environmental Stressors.” </w:t>
      </w:r>
      <w:r w:rsidRPr="00101146">
        <w:rPr>
          <w:rFonts w:ascii="Arial" w:hAnsi="Arial" w:cs="Arial"/>
          <w:i/>
          <w:iCs/>
          <w:noProof/>
          <w:sz w:val="20"/>
          <w:szCs w:val="20"/>
        </w:rPr>
        <w:t>Environmental Review</w:t>
      </w:r>
      <w:r w:rsidRPr="00101146">
        <w:rPr>
          <w:rFonts w:ascii="Arial" w:hAnsi="Arial" w:cs="Arial"/>
          <w:noProof/>
          <w:sz w:val="20"/>
          <w:szCs w:val="20"/>
        </w:rPr>
        <w:t xml:space="preserve"> 205(21): 180–205.</w:t>
      </w:r>
    </w:p>
    <w:p w14:paraId="216B26ED"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Lin, Jiun Jie, Xiu Juan Chung, Chung Yih Yang, and Hui Ling Lau. 2013. “A Meta-Analysis of Trials Using the Intention to Treat Principle for Glutamine Supplementation in Critically Ill Patients with Burn.” </w:t>
      </w:r>
      <w:r w:rsidRPr="00101146">
        <w:rPr>
          <w:rFonts w:ascii="Arial" w:hAnsi="Arial" w:cs="Arial"/>
          <w:i/>
          <w:iCs/>
          <w:noProof/>
          <w:sz w:val="20"/>
          <w:szCs w:val="20"/>
        </w:rPr>
        <w:t>Burns</w:t>
      </w:r>
      <w:r w:rsidRPr="00101146">
        <w:rPr>
          <w:rFonts w:ascii="Arial" w:hAnsi="Arial" w:cs="Arial"/>
          <w:noProof/>
          <w:sz w:val="20"/>
          <w:szCs w:val="20"/>
        </w:rPr>
        <w:t xml:space="preserve"> 39(4): 565–70. doi:10.1016/j.burns.2012.11.008.</w:t>
      </w:r>
    </w:p>
    <w:p w14:paraId="26C11DA1"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Marcinkiewicz, Janusz, and Ewa Kontny. 2014. “Taurine and Inflammatory Diseases.” </w:t>
      </w:r>
      <w:r w:rsidRPr="00101146">
        <w:rPr>
          <w:rFonts w:ascii="Arial" w:hAnsi="Arial" w:cs="Arial"/>
          <w:i/>
          <w:iCs/>
          <w:noProof/>
          <w:sz w:val="20"/>
          <w:szCs w:val="20"/>
        </w:rPr>
        <w:t>Amino Acids</w:t>
      </w:r>
      <w:r w:rsidRPr="00101146">
        <w:rPr>
          <w:rFonts w:ascii="Arial" w:hAnsi="Arial" w:cs="Arial"/>
          <w:noProof/>
          <w:sz w:val="20"/>
          <w:szCs w:val="20"/>
        </w:rPr>
        <w:t xml:space="preserve"> 46(1): 7–20. doi:10.1007/s00726-012-1361-4.</w:t>
      </w:r>
    </w:p>
    <w:p w14:paraId="599A608F"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Mazur-Bialy, Agnieszka I., E. Pochec, and B. Plytycz. 2015. “Immunomodulatory Effect of Riboflavin Deficiency and Enrichment - Reversible Pathological Response versus Silencing of Inflammatory Activation.” </w:t>
      </w:r>
      <w:r w:rsidRPr="00101146">
        <w:rPr>
          <w:rFonts w:ascii="Arial" w:hAnsi="Arial" w:cs="Arial"/>
          <w:i/>
          <w:iCs/>
          <w:noProof/>
          <w:sz w:val="20"/>
          <w:szCs w:val="20"/>
        </w:rPr>
        <w:t>Journal of Physiology and Pharmacology</w:t>
      </w:r>
      <w:r w:rsidRPr="00101146">
        <w:rPr>
          <w:rFonts w:ascii="Arial" w:hAnsi="Arial" w:cs="Arial"/>
          <w:noProof/>
          <w:sz w:val="20"/>
          <w:szCs w:val="20"/>
        </w:rPr>
        <w:t xml:space="preserve"> 66(6): 793–802.</w:t>
      </w:r>
    </w:p>
    <w:p w14:paraId="12773B33"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de Oliveira, Dalila Cunha, Fabiana da Silva Lima, Talita Sartori, Andressa Cristina Antunes Santos, Marcelo Macedo Rogero, and Ricardo Ambrosio Fock. 2016. “Glutamine Metabolism and Its Effects on Immune Response: Molecular Mechanism and Gene Expression.” </w:t>
      </w:r>
      <w:r w:rsidRPr="00101146">
        <w:rPr>
          <w:rFonts w:ascii="Arial" w:hAnsi="Arial" w:cs="Arial"/>
          <w:i/>
          <w:iCs/>
          <w:noProof/>
          <w:sz w:val="20"/>
          <w:szCs w:val="20"/>
        </w:rPr>
        <w:t>Nutrire</w:t>
      </w:r>
      <w:r w:rsidRPr="00101146">
        <w:rPr>
          <w:rFonts w:ascii="Arial" w:hAnsi="Arial" w:cs="Arial"/>
          <w:noProof/>
          <w:sz w:val="20"/>
          <w:szCs w:val="20"/>
        </w:rPr>
        <w:t xml:space="preserve"> 41(1): 1–10. doi:10.1186/s41110-016-0016-8.</w:t>
      </w:r>
    </w:p>
    <w:p w14:paraId="0326C090"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Owens, Gregory, Chitra Rao, and Russell Traister. 2011. “Regulation of the Immune Response and Inflammation by Histamine and Histamine Receptors.” </w:t>
      </w:r>
      <w:r w:rsidRPr="00101146">
        <w:rPr>
          <w:rFonts w:ascii="Arial" w:hAnsi="Arial" w:cs="Arial"/>
          <w:i/>
          <w:iCs/>
          <w:noProof/>
          <w:sz w:val="20"/>
          <w:szCs w:val="20"/>
        </w:rPr>
        <w:t>Journal of Allergy and Clinical Immunology</w:t>
      </w:r>
      <w:r w:rsidRPr="00101146">
        <w:rPr>
          <w:rFonts w:ascii="Arial" w:hAnsi="Arial" w:cs="Arial"/>
          <w:noProof/>
          <w:sz w:val="20"/>
          <w:szCs w:val="20"/>
        </w:rPr>
        <w:t xml:space="preserve"> 128(6): 1163–64. doi:10.1016/j.jaci.2011.07.026.</w:t>
      </w:r>
    </w:p>
    <w:p w14:paraId="00B60E29"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Pantami, Hamza Ahmed, Muhammad Safwan Ahamad Bustamam, Soo Yee Lee, Intan Safinar Ismail, Siti Munirah Mohd Faudzi, Masatoshi Nakakuni, and Khozirah Shaari. 2020. “Comprehensive GCMS and LC-MS/MS Metabolite Profiling of Chlorella Vulgaris.” </w:t>
      </w:r>
      <w:r w:rsidRPr="00101146">
        <w:rPr>
          <w:rFonts w:ascii="Arial" w:hAnsi="Arial" w:cs="Arial"/>
          <w:i/>
          <w:iCs/>
          <w:noProof/>
          <w:sz w:val="20"/>
          <w:szCs w:val="20"/>
        </w:rPr>
        <w:t>Marine Drugs</w:t>
      </w:r>
      <w:r w:rsidRPr="00101146">
        <w:rPr>
          <w:rFonts w:ascii="Arial" w:hAnsi="Arial" w:cs="Arial"/>
          <w:noProof/>
          <w:sz w:val="20"/>
          <w:szCs w:val="20"/>
        </w:rPr>
        <w:t xml:space="preserve"> 18(7). doi:10.3390/MD18070367.</w:t>
      </w:r>
    </w:p>
    <w:p w14:paraId="6349F710"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Pantami, Hamza Ahmed, Muhammad Safwan, Ahamad Bustamam, Chong Chou Min, Intan Safinar Ismail, Soo Yee Lee, Samaila Abubakar, and Usman Yakubu Mohammed. 2023. “Integration of Spleen 1H NMR-Based Metabolomics Revealed the Immunomodulatory Effect of Chlorella Vulgaris on Nile Tilapia (Oreochromis Niloticus).” </w:t>
      </w:r>
      <w:r w:rsidRPr="00101146">
        <w:rPr>
          <w:rFonts w:ascii="Arial" w:hAnsi="Arial" w:cs="Arial"/>
          <w:i/>
          <w:iCs/>
          <w:noProof/>
          <w:sz w:val="20"/>
          <w:szCs w:val="20"/>
        </w:rPr>
        <w:t>Bima Journal of Science and Technology</w:t>
      </w:r>
      <w:r w:rsidRPr="00101146">
        <w:rPr>
          <w:rFonts w:ascii="Arial" w:hAnsi="Arial" w:cs="Arial"/>
          <w:noProof/>
          <w:sz w:val="20"/>
          <w:szCs w:val="20"/>
        </w:rPr>
        <w:t xml:space="preserve"> 7(1): 165–89. doi:10.56892/bima.v7i01.396.</w:t>
      </w:r>
    </w:p>
    <w:p w14:paraId="27980C2E"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Tucey, Timothy M., Jiyoti Verma, Paul F. Harrison, Sarah L. Snelgrove, Tricia L. Lo, Allison K. Scherer, Adele A. Barugahare, et al. 2018. “Glucose Homeostasis Is Important for Immune Cell Viability during Candida Challenge and Host Survival of Systemic Fungal Infection.” </w:t>
      </w:r>
      <w:r w:rsidRPr="00101146">
        <w:rPr>
          <w:rFonts w:ascii="Arial" w:hAnsi="Arial" w:cs="Arial"/>
          <w:i/>
          <w:iCs/>
          <w:noProof/>
          <w:sz w:val="20"/>
          <w:szCs w:val="20"/>
        </w:rPr>
        <w:t>Cell Metabolism</w:t>
      </w:r>
      <w:r w:rsidRPr="00101146">
        <w:rPr>
          <w:rFonts w:ascii="Arial" w:hAnsi="Arial" w:cs="Arial"/>
          <w:noProof/>
          <w:sz w:val="20"/>
          <w:szCs w:val="20"/>
        </w:rPr>
        <w:t xml:space="preserve"> 27(5): 988-1006.e7. doi:10.1016/j.cmet.2018.03.019.</w:t>
      </w:r>
    </w:p>
    <w:p w14:paraId="0F18129C"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Verpoorte, R., Y. H. Choi, and H. K. Kim. 2007. “NMR-Based Metabolomics at Work in Phytochemistry.” </w:t>
      </w:r>
      <w:r w:rsidRPr="00101146">
        <w:rPr>
          <w:rFonts w:ascii="Arial" w:hAnsi="Arial" w:cs="Arial"/>
          <w:i/>
          <w:iCs/>
          <w:noProof/>
          <w:sz w:val="20"/>
          <w:szCs w:val="20"/>
        </w:rPr>
        <w:t>Phytochemistry Reviews</w:t>
      </w:r>
      <w:r w:rsidRPr="00101146">
        <w:rPr>
          <w:rFonts w:ascii="Arial" w:hAnsi="Arial" w:cs="Arial"/>
          <w:noProof/>
          <w:sz w:val="20"/>
          <w:szCs w:val="20"/>
        </w:rPr>
        <w:t xml:space="preserve"> 6(1): 3–14. doi:10.1007/s11101-006-9031-3.</w:t>
      </w:r>
    </w:p>
    <w:p w14:paraId="298EB29B"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Webb-robertson, Bobbie-jo M, David F Lowry, Kristin H Jarman, Sam J Harbo, Q Ryan Meng, Alfred F Fuciarelli, Joel G Pounds, and K Monica Lee. 2005. “A Study of Spectral Integration and Normalization in NMR-Based Metabonomic Analyses.” </w:t>
      </w:r>
      <w:r w:rsidRPr="00101146">
        <w:rPr>
          <w:rFonts w:ascii="Arial" w:hAnsi="Arial" w:cs="Arial"/>
          <w:i/>
          <w:iCs/>
          <w:noProof/>
          <w:sz w:val="20"/>
          <w:szCs w:val="20"/>
        </w:rPr>
        <w:t xml:space="preserve">Journal of Pharmaceutical and Biomedical </w:t>
      </w:r>
      <w:r w:rsidRPr="00101146">
        <w:rPr>
          <w:rFonts w:ascii="Arial" w:hAnsi="Arial" w:cs="Arial"/>
          <w:i/>
          <w:iCs/>
          <w:noProof/>
          <w:sz w:val="20"/>
          <w:szCs w:val="20"/>
        </w:rPr>
        <w:lastRenderedPageBreak/>
        <w:t>Analysis</w:t>
      </w:r>
      <w:r w:rsidRPr="00101146">
        <w:rPr>
          <w:rFonts w:ascii="Arial" w:hAnsi="Arial" w:cs="Arial"/>
          <w:noProof/>
          <w:sz w:val="20"/>
          <w:szCs w:val="20"/>
        </w:rPr>
        <w:t xml:space="preserve"> 39: 830–36. doi:10.1016/j.jpba.2005.05.012.</w:t>
      </w:r>
    </w:p>
    <w:p w14:paraId="6266A62B"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Wishart, David S., Dan Tzur, Craig Knox, Roman Eisner, An Chi Guo, Nelson Young, Dean Cheng, et al. 2007. “HMDB: The Human Metabolome Database.” </w:t>
      </w:r>
      <w:r w:rsidRPr="00101146">
        <w:rPr>
          <w:rFonts w:ascii="Arial" w:hAnsi="Arial" w:cs="Arial"/>
          <w:i/>
          <w:iCs/>
          <w:noProof/>
          <w:sz w:val="20"/>
          <w:szCs w:val="20"/>
        </w:rPr>
        <w:t>Nucleic Acids Research</w:t>
      </w:r>
      <w:r w:rsidRPr="00101146">
        <w:rPr>
          <w:rFonts w:ascii="Arial" w:hAnsi="Arial" w:cs="Arial"/>
          <w:noProof/>
          <w:sz w:val="20"/>
          <w:szCs w:val="20"/>
        </w:rPr>
        <w:t xml:space="preserve"> 35(SUPPL. 1): 521–26. doi:10.1093/nar/gkl923.</w:t>
      </w:r>
    </w:p>
    <w:p w14:paraId="1701B2DD"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Zamri-Saad, M., M. N.A. Amal, and A. Siti-Zahrah. 2010. “Pathological Changes in Red Tilapias (Oreochromis Spp.) Naturally Infected by Streptococcus Agalactiae.” </w:t>
      </w:r>
      <w:r w:rsidRPr="00101146">
        <w:rPr>
          <w:rFonts w:ascii="Arial" w:hAnsi="Arial" w:cs="Arial"/>
          <w:i/>
          <w:iCs/>
          <w:noProof/>
          <w:sz w:val="20"/>
          <w:szCs w:val="20"/>
        </w:rPr>
        <w:t>Journal of Comparative Pathology</w:t>
      </w:r>
      <w:r w:rsidRPr="00101146">
        <w:rPr>
          <w:rFonts w:ascii="Arial" w:hAnsi="Arial" w:cs="Arial"/>
          <w:noProof/>
          <w:sz w:val="20"/>
          <w:szCs w:val="20"/>
        </w:rPr>
        <w:t xml:space="preserve"> 143(2–3): 227–29. doi:10.1016/j.jcpa.2010.01.020.</w:t>
      </w:r>
    </w:p>
    <w:p w14:paraId="373789B3"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van Zanten, Arthur R.H., Rupinder Dhaliwal, Dominique Garrel, and Daren K. Heyland. 2015. “Enteral Glutamine Supplementation in Critically Ill Patients: A Systematic Review and Meta-Analysis.” </w:t>
      </w:r>
      <w:r w:rsidRPr="00101146">
        <w:rPr>
          <w:rFonts w:ascii="Arial" w:hAnsi="Arial" w:cs="Arial"/>
          <w:i/>
          <w:iCs/>
          <w:noProof/>
          <w:sz w:val="20"/>
          <w:szCs w:val="20"/>
        </w:rPr>
        <w:t>Critical Care</w:t>
      </w:r>
      <w:r w:rsidRPr="00101146">
        <w:rPr>
          <w:rFonts w:ascii="Arial" w:hAnsi="Arial" w:cs="Arial"/>
          <w:noProof/>
          <w:sz w:val="20"/>
          <w:szCs w:val="20"/>
        </w:rPr>
        <w:t xml:space="preserve"> 19(1). doi:10.1186/s13054-015-1002-x.</w:t>
      </w:r>
    </w:p>
    <w:p w14:paraId="68AA6174" w14:textId="77777777" w:rsidR="00EB6AE8" w:rsidRPr="00101146" w:rsidRDefault="00ED4590" w:rsidP="00EB6AE8">
      <w:pPr>
        <w:rPr>
          <w:rFonts w:ascii="Arial" w:hAnsi="Arial" w:cs="Arial"/>
          <w:sz w:val="20"/>
          <w:szCs w:val="20"/>
          <w:lang w:val="en-GB"/>
        </w:rPr>
      </w:pPr>
      <w:r w:rsidRPr="00101146">
        <w:rPr>
          <w:rFonts w:ascii="Arial" w:hAnsi="Arial" w:cs="Arial"/>
          <w:sz w:val="20"/>
          <w:szCs w:val="20"/>
          <w:lang w:val="en-GB"/>
        </w:rPr>
        <w:fldChar w:fldCharType="end"/>
      </w:r>
    </w:p>
    <w:sectPr w:rsidR="00EB6AE8" w:rsidRPr="00101146">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Microsoft Office User" w:date="2026-05-13T01:49:00Z" w:initials="MOU">
    <w:p w14:paraId="1D844128" w14:textId="15E958F9" w:rsidR="008C6887" w:rsidRDefault="008C6887">
      <w:pPr>
        <w:pStyle w:val="CommentText"/>
      </w:pPr>
      <w:r>
        <w:rPr>
          <w:rStyle w:val="CommentReference"/>
        </w:rPr>
        <w:annotationRef/>
      </w:r>
      <w:r w:rsidRPr="001515B9">
        <w:rPr>
          <w:rFonts w:eastAsia="MS Mincho"/>
          <w:bCs/>
          <w:lang w:val="en-GB"/>
        </w:rPr>
        <w:t>The title is informative but too long and dense; more than 20 words</w:t>
      </w:r>
    </w:p>
  </w:comment>
  <w:comment w:id="26" w:author="Microsoft Office User" w:date="2026-05-13T01:48:00Z" w:initials="MOU">
    <w:p w14:paraId="412F6955" w14:textId="5A653492" w:rsidR="008C6887" w:rsidRDefault="008C6887">
      <w:pPr>
        <w:pStyle w:val="CommentText"/>
      </w:pPr>
      <w:r>
        <w:rPr>
          <w:rStyle w:val="CommentReference"/>
        </w:rPr>
        <w:annotationRef/>
      </w:r>
      <w:r w:rsidRPr="002F5BFB">
        <w:rPr>
          <w:bCs/>
          <w:lang w:val="en-GB"/>
        </w:rPr>
        <w:t>The discussion needs to be enhanced by comparing and analyzing synthesis.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D844128" w15:done="0"/>
  <w15:commentEx w15:paraId="412F69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915BA9C" w16cex:dateUtc="2026-05-12T17:49:00Z"/>
  <w16cex:commentExtensible w16cex:durableId="12DB3A42" w16cex:dateUtc="2026-05-12T17: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D844128" w16cid:durableId="1915BA9C"/>
  <w16cid:commentId w16cid:paraId="412F6955" w16cid:durableId="12DB3A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A929B" w14:textId="77777777" w:rsidR="00F67F44" w:rsidRDefault="00F67F44">
      <w:pPr>
        <w:spacing w:after="0" w:line="240" w:lineRule="auto"/>
      </w:pPr>
      <w:r>
        <w:separator/>
      </w:r>
    </w:p>
  </w:endnote>
  <w:endnote w:type="continuationSeparator" w:id="0">
    <w:p w14:paraId="401F0908" w14:textId="77777777" w:rsidR="00F67F44" w:rsidRDefault="00F67F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Bold">
    <w:panose1 w:val="020B0604020202020204"/>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41B7C" w14:textId="77777777" w:rsidR="00250BE8" w:rsidRDefault="00250B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3"/>
        <w:szCs w:val="23"/>
      </w:rPr>
      <w:id w:val="-2119666526"/>
      <w:docPartObj>
        <w:docPartGallery w:val="Page Numbers (Bottom of Page)"/>
        <w:docPartUnique/>
      </w:docPartObj>
    </w:sdtPr>
    <w:sdtEndPr>
      <w:rPr>
        <w:noProof/>
      </w:rPr>
    </w:sdtEndPr>
    <w:sdtContent>
      <w:p w14:paraId="0E1F240B" w14:textId="77777777" w:rsidR="00982E49" w:rsidRPr="00E32DC6" w:rsidRDefault="00982E49">
        <w:pPr>
          <w:pStyle w:val="Footer"/>
          <w:jc w:val="center"/>
          <w:rPr>
            <w:rFonts w:ascii="Times New Roman" w:hAnsi="Times New Roman" w:cs="Times New Roman"/>
            <w:sz w:val="23"/>
            <w:szCs w:val="23"/>
          </w:rPr>
        </w:pPr>
      </w:p>
      <w:p w14:paraId="5BB6732A" w14:textId="77777777" w:rsidR="00982E49" w:rsidRPr="00E32DC6" w:rsidRDefault="00982E49">
        <w:pPr>
          <w:pStyle w:val="Footer"/>
          <w:jc w:val="center"/>
          <w:rPr>
            <w:rFonts w:ascii="Times New Roman" w:hAnsi="Times New Roman" w:cs="Times New Roman"/>
            <w:sz w:val="23"/>
            <w:szCs w:val="23"/>
          </w:rPr>
        </w:pPr>
        <w:r w:rsidRPr="00E32DC6">
          <w:rPr>
            <w:rFonts w:ascii="Times New Roman" w:hAnsi="Times New Roman" w:cs="Times New Roman"/>
            <w:sz w:val="23"/>
            <w:szCs w:val="23"/>
          </w:rPr>
          <w:fldChar w:fldCharType="begin"/>
        </w:r>
        <w:r w:rsidRPr="00E32DC6">
          <w:rPr>
            <w:rFonts w:ascii="Times New Roman" w:hAnsi="Times New Roman" w:cs="Times New Roman"/>
            <w:sz w:val="23"/>
            <w:szCs w:val="23"/>
          </w:rPr>
          <w:instrText xml:space="preserve"> PAGE   \* MERGEFORMAT </w:instrText>
        </w:r>
        <w:r w:rsidRPr="00E32DC6">
          <w:rPr>
            <w:rFonts w:ascii="Times New Roman" w:hAnsi="Times New Roman" w:cs="Times New Roman"/>
            <w:sz w:val="23"/>
            <w:szCs w:val="23"/>
          </w:rPr>
          <w:fldChar w:fldCharType="separate"/>
        </w:r>
        <w:r w:rsidR="00264DEF">
          <w:rPr>
            <w:rFonts w:ascii="Times New Roman" w:hAnsi="Times New Roman" w:cs="Times New Roman"/>
            <w:noProof/>
            <w:sz w:val="23"/>
            <w:szCs w:val="23"/>
          </w:rPr>
          <w:t>1</w:t>
        </w:r>
        <w:r w:rsidRPr="00E32DC6">
          <w:rPr>
            <w:rFonts w:ascii="Times New Roman" w:hAnsi="Times New Roman" w:cs="Times New Roman"/>
            <w:noProof/>
            <w:sz w:val="23"/>
            <w:szCs w:val="23"/>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EC278" w14:textId="77777777" w:rsidR="00250BE8" w:rsidRDefault="00250B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3A4B06" w14:textId="77777777" w:rsidR="00F67F44" w:rsidRDefault="00F67F44">
      <w:pPr>
        <w:spacing w:after="0" w:line="240" w:lineRule="auto"/>
      </w:pPr>
      <w:r>
        <w:separator/>
      </w:r>
    </w:p>
  </w:footnote>
  <w:footnote w:type="continuationSeparator" w:id="0">
    <w:p w14:paraId="62D2EB47" w14:textId="77777777" w:rsidR="00F67F44" w:rsidRDefault="00F67F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C9198" w14:textId="5E1B02E3" w:rsidR="00250BE8" w:rsidRDefault="00F67F44">
    <w:pPr>
      <w:pStyle w:val="Header"/>
    </w:pPr>
    <w:r>
      <w:rPr>
        <w:noProof/>
      </w:rPr>
      <w:pict w14:anchorId="2EDEF4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35266" o:spid="_x0000_s1027" type="#_x0000_t136" alt="" style="position:absolute;margin-left:0;margin-top:0;width:555.05pt;height:104.6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14314" w14:textId="692E7C94" w:rsidR="00982E49" w:rsidRPr="00556433" w:rsidRDefault="00F67F44" w:rsidP="00EB6AE8">
    <w:pPr>
      <w:tabs>
        <w:tab w:val="right" w:pos="8844"/>
      </w:tabs>
      <w:adjustRightInd w:val="0"/>
      <w:snapToGrid w:val="0"/>
      <w:spacing w:after="240" w:line="240" w:lineRule="auto"/>
      <w:rPr>
        <w:rFonts w:ascii="Palatino Linotype" w:hAnsi="Palatino Linotype"/>
        <w:sz w:val="16"/>
      </w:rPr>
    </w:pPr>
    <w:r>
      <w:rPr>
        <w:noProof/>
      </w:rPr>
      <w:pict w14:anchorId="7CD823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35267" o:spid="_x0000_s1026" type="#_x0000_t136" alt="" style="position:absolute;margin-left:0;margin-top:0;width:555.05pt;height:104.6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DAC25" w14:textId="55CFA2D9" w:rsidR="00250BE8" w:rsidRDefault="00F67F44">
    <w:pPr>
      <w:pStyle w:val="Header"/>
    </w:pPr>
    <w:r>
      <w:rPr>
        <w:noProof/>
      </w:rPr>
      <w:pict w14:anchorId="35A9E1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35265" o:spid="_x0000_s1025" type="#_x0000_t136" alt="" style="position:absolute;margin-left:0;margin-top:0;width:555.05pt;height:104.6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63787"/>
    <w:multiLevelType w:val="hybridMultilevel"/>
    <w:tmpl w:val="7292AB14"/>
    <w:lvl w:ilvl="0" w:tplc="13285104">
      <w:start w:val="1"/>
      <w:numFmt w:val="lowerRoman"/>
      <w:lvlText w:val="(%1)"/>
      <w:lvlJc w:val="left"/>
      <w:pPr>
        <w:ind w:left="1440" w:hanging="72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 w15:restartNumberingAfterBreak="0">
    <w:nsid w:val="0504255B"/>
    <w:multiLevelType w:val="multilevel"/>
    <w:tmpl w:val="1A20A3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841576F"/>
    <w:multiLevelType w:val="hybridMultilevel"/>
    <w:tmpl w:val="0CD22B9C"/>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0D1D5076"/>
    <w:multiLevelType w:val="multilevel"/>
    <w:tmpl w:val="F4D67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C14012"/>
    <w:multiLevelType w:val="hybridMultilevel"/>
    <w:tmpl w:val="A01E2C10"/>
    <w:lvl w:ilvl="0" w:tplc="76563BA6">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5" w15:restartNumberingAfterBreak="0">
    <w:nsid w:val="1CD37D40"/>
    <w:multiLevelType w:val="hybridMultilevel"/>
    <w:tmpl w:val="14A665D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E4A3FAF"/>
    <w:multiLevelType w:val="hybridMultilevel"/>
    <w:tmpl w:val="CA2EE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3A6C42"/>
    <w:multiLevelType w:val="hybridMultilevel"/>
    <w:tmpl w:val="6396FA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0" w15:restartNumberingAfterBreak="0">
    <w:nsid w:val="337248ED"/>
    <w:multiLevelType w:val="hybridMultilevel"/>
    <w:tmpl w:val="20EC732C"/>
    <w:lvl w:ilvl="0" w:tplc="F8880468">
      <w:start w:val="1"/>
      <w:numFmt w:val="bullet"/>
      <w:lvlText w:val=""/>
      <w:lvlJc w:val="left"/>
      <w:pPr>
        <w:ind w:left="1665" w:hanging="360"/>
      </w:pPr>
      <w:rPr>
        <w:rFonts w:ascii="Wingdings" w:hAnsi="Wingdings" w:hint="default"/>
        <w:b/>
        <w:bCs/>
      </w:rPr>
    </w:lvl>
    <w:lvl w:ilvl="1" w:tplc="48090003" w:tentative="1">
      <w:start w:val="1"/>
      <w:numFmt w:val="bullet"/>
      <w:lvlText w:val="o"/>
      <w:lvlJc w:val="left"/>
      <w:pPr>
        <w:ind w:left="2385" w:hanging="360"/>
      </w:pPr>
      <w:rPr>
        <w:rFonts w:ascii="Courier New" w:hAnsi="Courier New" w:cs="Courier New" w:hint="default"/>
      </w:rPr>
    </w:lvl>
    <w:lvl w:ilvl="2" w:tplc="48090005" w:tentative="1">
      <w:start w:val="1"/>
      <w:numFmt w:val="bullet"/>
      <w:lvlText w:val=""/>
      <w:lvlJc w:val="left"/>
      <w:pPr>
        <w:ind w:left="3105" w:hanging="360"/>
      </w:pPr>
      <w:rPr>
        <w:rFonts w:ascii="Wingdings" w:hAnsi="Wingdings" w:hint="default"/>
      </w:rPr>
    </w:lvl>
    <w:lvl w:ilvl="3" w:tplc="48090001" w:tentative="1">
      <w:start w:val="1"/>
      <w:numFmt w:val="bullet"/>
      <w:lvlText w:val=""/>
      <w:lvlJc w:val="left"/>
      <w:pPr>
        <w:ind w:left="3825" w:hanging="360"/>
      </w:pPr>
      <w:rPr>
        <w:rFonts w:ascii="Symbol" w:hAnsi="Symbol" w:hint="default"/>
      </w:rPr>
    </w:lvl>
    <w:lvl w:ilvl="4" w:tplc="48090003" w:tentative="1">
      <w:start w:val="1"/>
      <w:numFmt w:val="bullet"/>
      <w:lvlText w:val="o"/>
      <w:lvlJc w:val="left"/>
      <w:pPr>
        <w:ind w:left="4545" w:hanging="360"/>
      </w:pPr>
      <w:rPr>
        <w:rFonts w:ascii="Courier New" w:hAnsi="Courier New" w:cs="Courier New" w:hint="default"/>
      </w:rPr>
    </w:lvl>
    <w:lvl w:ilvl="5" w:tplc="48090005" w:tentative="1">
      <w:start w:val="1"/>
      <w:numFmt w:val="bullet"/>
      <w:lvlText w:val=""/>
      <w:lvlJc w:val="left"/>
      <w:pPr>
        <w:ind w:left="5265" w:hanging="360"/>
      </w:pPr>
      <w:rPr>
        <w:rFonts w:ascii="Wingdings" w:hAnsi="Wingdings" w:hint="default"/>
      </w:rPr>
    </w:lvl>
    <w:lvl w:ilvl="6" w:tplc="48090001" w:tentative="1">
      <w:start w:val="1"/>
      <w:numFmt w:val="bullet"/>
      <w:lvlText w:val=""/>
      <w:lvlJc w:val="left"/>
      <w:pPr>
        <w:ind w:left="5985" w:hanging="360"/>
      </w:pPr>
      <w:rPr>
        <w:rFonts w:ascii="Symbol" w:hAnsi="Symbol" w:hint="default"/>
      </w:rPr>
    </w:lvl>
    <w:lvl w:ilvl="7" w:tplc="48090003" w:tentative="1">
      <w:start w:val="1"/>
      <w:numFmt w:val="bullet"/>
      <w:lvlText w:val="o"/>
      <w:lvlJc w:val="left"/>
      <w:pPr>
        <w:ind w:left="6705" w:hanging="360"/>
      </w:pPr>
      <w:rPr>
        <w:rFonts w:ascii="Courier New" w:hAnsi="Courier New" w:cs="Courier New" w:hint="default"/>
      </w:rPr>
    </w:lvl>
    <w:lvl w:ilvl="8" w:tplc="48090005" w:tentative="1">
      <w:start w:val="1"/>
      <w:numFmt w:val="bullet"/>
      <w:lvlText w:val=""/>
      <w:lvlJc w:val="left"/>
      <w:pPr>
        <w:ind w:left="7425" w:hanging="360"/>
      </w:pPr>
      <w:rPr>
        <w:rFonts w:ascii="Wingdings" w:hAnsi="Wingdings" w:hint="default"/>
      </w:rPr>
    </w:lvl>
  </w:abstractNum>
  <w:abstractNum w:abstractNumId="11" w15:restartNumberingAfterBreak="0">
    <w:nsid w:val="346F3602"/>
    <w:multiLevelType w:val="hybridMultilevel"/>
    <w:tmpl w:val="B376451C"/>
    <w:lvl w:ilvl="0" w:tplc="264ECC78">
      <w:start w:val="1"/>
      <w:numFmt w:val="lowerRoman"/>
      <w:lvlText w:val="(%1)"/>
      <w:lvlJc w:val="left"/>
      <w:pPr>
        <w:ind w:left="1980" w:hanging="720"/>
      </w:pPr>
      <w:rPr>
        <w:rFonts w:hint="default"/>
      </w:rPr>
    </w:lvl>
    <w:lvl w:ilvl="1" w:tplc="48090019" w:tentative="1">
      <w:start w:val="1"/>
      <w:numFmt w:val="lowerLetter"/>
      <w:lvlText w:val="%2."/>
      <w:lvlJc w:val="left"/>
      <w:pPr>
        <w:ind w:left="2340" w:hanging="360"/>
      </w:pPr>
    </w:lvl>
    <w:lvl w:ilvl="2" w:tplc="4809001B" w:tentative="1">
      <w:start w:val="1"/>
      <w:numFmt w:val="lowerRoman"/>
      <w:lvlText w:val="%3."/>
      <w:lvlJc w:val="right"/>
      <w:pPr>
        <w:ind w:left="3060" w:hanging="180"/>
      </w:pPr>
    </w:lvl>
    <w:lvl w:ilvl="3" w:tplc="4809000F" w:tentative="1">
      <w:start w:val="1"/>
      <w:numFmt w:val="decimal"/>
      <w:lvlText w:val="%4."/>
      <w:lvlJc w:val="left"/>
      <w:pPr>
        <w:ind w:left="3780" w:hanging="360"/>
      </w:pPr>
    </w:lvl>
    <w:lvl w:ilvl="4" w:tplc="48090019" w:tentative="1">
      <w:start w:val="1"/>
      <w:numFmt w:val="lowerLetter"/>
      <w:lvlText w:val="%5."/>
      <w:lvlJc w:val="left"/>
      <w:pPr>
        <w:ind w:left="4500" w:hanging="360"/>
      </w:pPr>
    </w:lvl>
    <w:lvl w:ilvl="5" w:tplc="4809001B" w:tentative="1">
      <w:start w:val="1"/>
      <w:numFmt w:val="lowerRoman"/>
      <w:lvlText w:val="%6."/>
      <w:lvlJc w:val="right"/>
      <w:pPr>
        <w:ind w:left="5220" w:hanging="180"/>
      </w:pPr>
    </w:lvl>
    <w:lvl w:ilvl="6" w:tplc="4809000F" w:tentative="1">
      <w:start w:val="1"/>
      <w:numFmt w:val="decimal"/>
      <w:lvlText w:val="%7."/>
      <w:lvlJc w:val="left"/>
      <w:pPr>
        <w:ind w:left="5940" w:hanging="360"/>
      </w:pPr>
    </w:lvl>
    <w:lvl w:ilvl="7" w:tplc="48090019" w:tentative="1">
      <w:start w:val="1"/>
      <w:numFmt w:val="lowerLetter"/>
      <w:lvlText w:val="%8."/>
      <w:lvlJc w:val="left"/>
      <w:pPr>
        <w:ind w:left="6660" w:hanging="360"/>
      </w:pPr>
    </w:lvl>
    <w:lvl w:ilvl="8" w:tplc="4809001B" w:tentative="1">
      <w:start w:val="1"/>
      <w:numFmt w:val="lowerRoman"/>
      <w:lvlText w:val="%9."/>
      <w:lvlJc w:val="right"/>
      <w:pPr>
        <w:ind w:left="7380" w:hanging="180"/>
      </w:pPr>
    </w:lvl>
  </w:abstractNum>
  <w:abstractNum w:abstractNumId="12" w15:restartNumberingAfterBreak="0">
    <w:nsid w:val="35F83293"/>
    <w:multiLevelType w:val="hybridMultilevel"/>
    <w:tmpl w:val="6B9C9B4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4" w15:restartNumberingAfterBreak="0">
    <w:nsid w:val="3A32595E"/>
    <w:multiLevelType w:val="multilevel"/>
    <w:tmpl w:val="428422B4"/>
    <w:lvl w:ilvl="0">
      <w:start w:val="1"/>
      <w:numFmt w:val="decimal"/>
      <w:lvlText w:val="%1"/>
      <w:lvlJc w:val="left"/>
      <w:pPr>
        <w:ind w:left="432" w:hanging="432"/>
      </w:pPr>
      <w:rPr>
        <w:color w:val="FFFFFF" w:themeColor="background1"/>
      </w:rPr>
    </w:lvl>
    <w:lvl w:ilvl="1">
      <w:start w:val="1"/>
      <w:numFmt w:val="decimal"/>
      <w:lvlText w:val="%1.%2"/>
      <w:lvlJc w:val="left"/>
      <w:pPr>
        <w:ind w:left="576" w:hanging="576"/>
      </w:pPr>
    </w:lvl>
    <w:lvl w:ilvl="2">
      <w:start w:val="1"/>
      <w:numFmt w:val="decimal"/>
      <w:lvlText w:val="%1.%2.%3"/>
      <w:lvlJc w:val="left"/>
      <w:pPr>
        <w:ind w:left="720" w:hanging="720"/>
      </w:pPr>
      <w:rPr>
        <w:i w:val="0"/>
        <w:vertAlign w:val="baseline"/>
      </w:r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3A340D8C"/>
    <w:multiLevelType w:val="hybridMultilevel"/>
    <w:tmpl w:val="2CAAF50A"/>
    <w:lvl w:ilvl="0" w:tplc="534ABC4C">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15:restartNumberingAfterBreak="0">
    <w:nsid w:val="3BEC1095"/>
    <w:multiLevelType w:val="hybridMultilevel"/>
    <w:tmpl w:val="395600C8"/>
    <w:lvl w:ilvl="0" w:tplc="0BEA529A">
      <w:start w:val="1"/>
      <w:numFmt w:val="lowerLetter"/>
      <w:lvlText w:val="(%1)"/>
      <w:lvlJc w:val="left"/>
      <w:pPr>
        <w:ind w:left="720"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15:restartNumberingAfterBreak="0">
    <w:nsid w:val="3C6C3FAC"/>
    <w:multiLevelType w:val="hybridMultilevel"/>
    <w:tmpl w:val="CA78F89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42BB3808"/>
    <w:multiLevelType w:val="hybridMultilevel"/>
    <w:tmpl w:val="CFD8412C"/>
    <w:lvl w:ilvl="0" w:tplc="F2646B42">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9" w15:restartNumberingAfterBreak="0">
    <w:nsid w:val="4E7178DF"/>
    <w:multiLevelType w:val="hybridMultilevel"/>
    <w:tmpl w:val="C96E3F1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0" w15:restartNumberingAfterBreak="0">
    <w:nsid w:val="56413B38"/>
    <w:multiLevelType w:val="hybridMultilevel"/>
    <w:tmpl w:val="129656A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62AF1352"/>
    <w:multiLevelType w:val="hybridMultilevel"/>
    <w:tmpl w:val="066486B6"/>
    <w:lvl w:ilvl="0" w:tplc="F2646B42">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2" w15:restartNumberingAfterBreak="0">
    <w:nsid w:val="65262B22"/>
    <w:multiLevelType w:val="hybridMultilevel"/>
    <w:tmpl w:val="2A08B87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15:restartNumberingAfterBreak="0">
    <w:nsid w:val="732C1DF0"/>
    <w:multiLevelType w:val="multilevel"/>
    <w:tmpl w:val="692674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74745951"/>
    <w:multiLevelType w:val="hybridMultilevel"/>
    <w:tmpl w:val="EDB4CB9E"/>
    <w:lvl w:ilvl="0" w:tplc="A4B0A3E4">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5" w15:restartNumberingAfterBreak="0">
    <w:nsid w:val="74CC15A6"/>
    <w:multiLevelType w:val="hybridMultilevel"/>
    <w:tmpl w:val="8238445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350246"/>
    <w:multiLevelType w:val="hybridMultilevel"/>
    <w:tmpl w:val="4A76F7D2"/>
    <w:lvl w:ilvl="0" w:tplc="F2646B42">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7" w15:restartNumberingAfterBreak="0">
    <w:nsid w:val="78B455E1"/>
    <w:multiLevelType w:val="hybridMultilevel"/>
    <w:tmpl w:val="EA3C8064"/>
    <w:lvl w:ilvl="0" w:tplc="F2646B42">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8" w15:restartNumberingAfterBreak="0">
    <w:nsid w:val="7AB4248B"/>
    <w:multiLevelType w:val="hybridMultilevel"/>
    <w:tmpl w:val="4D808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E72695"/>
    <w:multiLevelType w:val="hybridMultilevel"/>
    <w:tmpl w:val="519666C0"/>
    <w:lvl w:ilvl="0" w:tplc="074C5F9C">
      <w:start w:val="1"/>
      <w:numFmt w:val="lowerLetter"/>
      <w:lvlText w:val="(%1)"/>
      <w:lvlJc w:val="left"/>
      <w:pPr>
        <w:ind w:left="780" w:hanging="360"/>
      </w:pPr>
      <w:rPr>
        <w:rFonts w:cs="Arial"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16cid:durableId="1157653110">
    <w:abstractNumId w:val="28"/>
  </w:num>
  <w:num w:numId="2" w16cid:durableId="1330521549">
    <w:abstractNumId w:val="6"/>
  </w:num>
  <w:num w:numId="3" w16cid:durableId="692655354">
    <w:abstractNumId w:val="7"/>
  </w:num>
  <w:num w:numId="4" w16cid:durableId="156112311">
    <w:abstractNumId w:val="1"/>
  </w:num>
  <w:num w:numId="5" w16cid:durableId="1606301667">
    <w:abstractNumId w:val="23"/>
  </w:num>
  <w:num w:numId="6" w16cid:durableId="1926841793">
    <w:abstractNumId w:val="9"/>
  </w:num>
  <w:num w:numId="7" w16cid:durableId="386956072">
    <w:abstractNumId w:val="13"/>
  </w:num>
  <w:num w:numId="8" w16cid:durableId="708727337">
    <w:abstractNumId w:val="8"/>
  </w:num>
  <w:num w:numId="9" w16cid:durableId="27551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01756140">
    <w:abstractNumId w:val="29"/>
  </w:num>
  <w:num w:numId="11" w16cid:durableId="1533029466">
    <w:abstractNumId w:val="3"/>
  </w:num>
  <w:num w:numId="12" w16cid:durableId="458190284">
    <w:abstractNumId w:val="2"/>
  </w:num>
  <w:num w:numId="13" w16cid:durableId="210852239">
    <w:abstractNumId w:val="15"/>
  </w:num>
  <w:num w:numId="14" w16cid:durableId="172384462">
    <w:abstractNumId w:val="17"/>
  </w:num>
  <w:num w:numId="15" w16cid:durableId="303967514">
    <w:abstractNumId w:val="24"/>
  </w:num>
  <w:num w:numId="16" w16cid:durableId="739062247">
    <w:abstractNumId w:val="4"/>
  </w:num>
  <w:num w:numId="17" w16cid:durableId="1806192689">
    <w:abstractNumId w:val="18"/>
  </w:num>
  <w:num w:numId="18" w16cid:durableId="1886067217">
    <w:abstractNumId w:val="27"/>
  </w:num>
  <w:num w:numId="19" w16cid:durableId="1696149453">
    <w:abstractNumId w:val="26"/>
  </w:num>
  <w:num w:numId="20" w16cid:durableId="1473643034">
    <w:abstractNumId w:val="21"/>
  </w:num>
  <w:num w:numId="21" w16cid:durableId="1676953591">
    <w:abstractNumId w:val="5"/>
  </w:num>
  <w:num w:numId="22" w16cid:durableId="1481069308">
    <w:abstractNumId w:val="20"/>
  </w:num>
  <w:num w:numId="23" w16cid:durableId="1041132591">
    <w:abstractNumId w:val="16"/>
  </w:num>
  <w:num w:numId="24" w16cid:durableId="935403121">
    <w:abstractNumId w:val="12"/>
  </w:num>
  <w:num w:numId="25" w16cid:durableId="659583121">
    <w:abstractNumId w:val="10"/>
  </w:num>
  <w:num w:numId="26" w16cid:durableId="1049037640">
    <w:abstractNumId w:val="0"/>
  </w:num>
  <w:num w:numId="27" w16cid:durableId="1996297708">
    <w:abstractNumId w:val="22"/>
  </w:num>
  <w:num w:numId="28" w16cid:durableId="314185155">
    <w:abstractNumId w:val="11"/>
  </w:num>
  <w:num w:numId="29" w16cid:durableId="2011790446">
    <w:abstractNumId w:val="25"/>
  </w:num>
  <w:num w:numId="30" w16cid:durableId="510031681">
    <w:abstractNumId w:val="19"/>
  </w:num>
  <w:num w:numId="31" w16cid:durableId="1415281801">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A6"/>
    <w:rsid w:val="00051E6E"/>
    <w:rsid w:val="00053DFC"/>
    <w:rsid w:val="00095D97"/>
    <w:rsid w:val="000A0BA1"/>
    <w:rsid w:val="000A6FAF"/>
    <w:rsid w:val="000C5A41"/>
    <w:rsid w:val="00101146"/>
    <w:rsid w:val="00123C53"/>
    <w:rsid w:val="00151BFC"/>
    <w:rsid w:val="00211438"/>
    <w:rsid w:val="0022766E"/>
    <w:rsid w:val="00233C5E"/>
    <w:rsid w:val="00245B80"/>
    <w:rsid w:val="00250BE8"/>
    <w:rsid w:val="00255BA1"/>
    <w:rsid w:val="00264DEF"/>
    <w:rsid w:val="0026604E"/>
    <w:rsid w:val="002925A6"/>
    <w:rsid w:val="00296D5B"/>
    <w:rsid w:val="002D03D5"/>
    <w:rsid w:val="00355A2E"/>
    <w:rsid w:val="0036599B"/>
    <w:rsid w:val="00392F2C"/>
    <w:rsid w:val="003A6783"/>
    <w:rsid w:val="003B5943"/>
    <w:rsid w:val="003C2E9F"/>
    <w:rsid w:val="00441C2A"/>
    <w:rsid w:val="004737B8"/>
    <w:rsid w:val="0048025D"/>
    <w:rsid w:val="004B090C"/>
    <w:rsid w:val="004D6B11"/>
    <w:rsid w:val="004D6C62"/>
    <w:rsid w:val="005601D0"/>
    <w:rsid w:val="005769C4"/>
    <w:rsid w:val="00586825"/>
    <w:rsid w:val="005E3529"/>
    <w:rsid w:val="005F66CC"/>
    <w:rsid w:val="006412F3"/>
    <w:rsid w:val="006A0045"/>
    <w:rsid w:val="006C48B7"/>
    <w:rsid w:val="006E116E"/>
    <w:rsid w:val="0071105B"/>
    <w:rsid w:val="00722DEC"/>
    <w:rsid w:val="00755B4F"/>
    <w:rsid w:val="00761CD5"/>
    <w:rsid w:val="00827A17"/>
    <w:rsid w:val="00851556"/>
    <w:rsid w:val="008B4CCD"/>
    <w:rsid w:val="008C6887"/>
    <w:rsid w:val="00910130"/>
    <w:rsid w:val="00982E49"/>
    <w:rsid w:val="009B61DC"/>
    <w:rsid w:val="00A71624"/>
    <w:rsid w:val="00AC2D0A"/>
    <w:rsid w:val="00AC7CB1"/>
    <w:rsid w:val="00AF3D39"/>
    <w:rsid w:val="00B06DD4"/>
    <w:rsid w:val="00B11A03"/>
    <w:rsid w:val="00B17C01"/>
    <w:rsid w:val="00B65745"/>
    <w:rsid w:val="00B71AA1"/>
    <w:rsid w:val="00B725A6"/>
    <w:rsid w:val="00BD191A"/>
    <w:rsid w:val="00BD3994"/>
    <w:rsid w:val="00BE7CE9"/>
    <w:rsid w:val="00BF1D2E"/>
    <w:rsid w:val="00BF3849"/>
    <w:rsid w:val="00C4167B"/>
    <w:rsid w:val="00C86C69"/>
    <w:rsid w:val="00CE5A30"/>
    <w:rsid w:val="00D01843"/>
    <w:rsid w:val="00D258E4"/>
    <w:rsid w:val="00D8682D"/>
    <w:rsid w:val="00DF22E5"/>
    <w:rsid w:val="00DF376A"/>
    <w:rsid w:val="00E239F2"/>
    <w:rsid w:val="00E33ABD"/>
    <w:rsid w:val="00E40B22"/>
    <w:rsid w:val="00E47F58"/>
    <w:rsid w:val="00E507D7"/>
    <w:rsid w:val="00EB6AE8"/>
    <w:rsid w:val="00ED0C51"/>
    <w:rsid w:val="00ED4590"/>
    <w:rsid w:val="00F14D32"/>
    <w:rsid w:val="00F24C4A"/>
    <w:rsid w:val="00F345E2"/>
    <w:rsid w:val="00F4346E"/>
    <w:rsid w:val="00F6422B"/>
    <w:rsid w:val="00F67F44"/>
    <w:rsid w:val="00FA3541"/>
    <w:rsid w:val="00FB02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AF58FE"/>
  <w15:chartTrackingRefBased/>
  <w15:docId w15:val="{18D47B79-5D37-4DC6-ACE0-87FF062D0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6AE8"/>
    <w:pPr>
      <w:spacing w:after="200" w:line="276" w:lineRule="auto"/>
    </w:pPr>
    <w:rPr>
      <w:rFonts w:eastAsiaTheme="minorEastAsia"/>
    </w:rPr>
  </w:style>
  <w:style w:type="paragraph" w:styleId="Heading1">
    <w:name w:val="heading 1"/>
    <w:basedOn w:val="Normal"/>
    <w:next w:val="Normal"/>
    <w:link w:val="Heading1Char"/>
    <w:autoRedefine/>
    <w:uiPriority w:val="9"/>
    <w:qFormat/>
    <w:rsid w:val="00E47F58"/>
    <w:pPr>
      <w:keepNext/>
      <w:adjustRightInd w:val="0"/>
      <w:spacing w:after="480" w:line="240" w:lineRule="auto"/>
      <w:jc w:val="right"/>
      <w:outlineLvl w:val="0"/>
    </w:pPr>
    <w:rPr>
      <w:rFonts w:ascii="Arial" w:eastAsia="Times New Roman" w:hAnsi="Arial" w:cs="Arial"/>
      <w:b/>
      <w:iCs/>
      <w:color w:val="000000" w:themeColor="text1"/>
      <w:sz w:val="36"/>
      <w:szCs w:val="36"/>
      <w:lang w:val="en-GB"/>
    </w:rPr>
  </w:style>
  <w:style w:type="paragraph" w:styleId="Heading2">
    <w:name w:val="heading 2"/>
    <w:basedOn w:val="Normal"/>
    <w:next w:val="Normal"/>
    <w:link w:val="Heading2Char"/>
    <w:autoRedefine/>
    <w:uiPriority w:val="9"/>
    <w:unhideWhenUsed/>
    <w:qFormat/>
    <w:rsid w:val="00101146"/>
    <w:pPr>
      <w:keepNext/>
      <w:keepLines/>
      <w:spacing w:after="400" w:line="240" w:lineRule="auto"/>
      <w:ind w:left="1008" w:hanging="1008"/>
      <w:jc w:val="both"/>
      <w:outlineLvl w:val="1"/>
    </w:pPr>
    <w:rPr>
      <w:rFonts w:ascii="Arial" w:eastAsiaTheme="majorEastAsia" w:hAnsi="Arial" w:cs="Arial"/>
      <w:b/>
      <w:bCs/>
      <w:color w:val="000000" w:themeColor="text1"/>
      <w:lang w:val="en-GB"/>
    </w:rPr>
  </w:style>
  <w:style w:type="paragraph" w:styleId="Heading3">
    <w:name w:val="heading 3"/>
    <w:basedOn w:val="Normal"/>
    <w:next w:val="Normal"/>
    <w:link w:val="Heading3Char"/>
    <w:autoRedefine/>
    <w:uiPriority w:val="9"/>
    <w:unhideWhenUsed/>
    <w:qFormat/>
    <w:rsid w:val="00E47F58"/>
    <w:pPr>
      <w:keepNext/>
      <w:keepLines/>
      <w:spacing w:after="400" w:line="240" w:lineRule="auto"/>
      <w:ind w:left="1008" w:hanging="1008"/>
      <w:outlineLvl w:val="2"/>
    </w:pPr>
    <w:rPr>
      <w:rFonts w:ascii="Arial" w:eastAsiaTheme="majorEastAsia" w:hAnsi="Arial" w:cs="Arial"/>
      <w:b/>
      <w:bCs/>
      <w:color w:val="000000" w:themeColor="text1"/>
    </w:rPr>
  </w:style>
  <w:style w:type="paragraph" w:styleId="Heading4">
    <w:name w:val="heading 4"/>
    <w:basedOn w:val="Normal"/>
    <w:next w:val="Normal"/>
    <w:link w:val="Heading4Char"/>
    <w:autoRedefine/>
    <w:uiPriority w:val="9"/>
    <w:unhideWhenUsed/>
    <w:qFormat/>
    <w:rsid w:val="006412F3"/>
    <w:pPr>
      <w:keepNext/>
      <w:keepLines/>
      <w:spacing w:after="400" w:line="240" w:lineRule="auto"/>
      <w:jc w:val="both"/>
      <w:outlineLvl w:val="3"/>
    </w:pPr>
    <w:rPr>
      <w:rFonts w:ascii="Times New Roman" w:eastAsiaTheme="majorEastAsia" w:hAnsi="Times New Roman" w:cstheme="majorBidi"/>
      <w:b/>
      <w:iCs/>
      <w:color w:val="000000" w:themeColor="text1"/>
      <w:sz w:val="24"/>
    </w:rPr>
  </w:style>
  <w:style w:type="paragraph" w:styleId="Heading5">
    <w:name w:val="heading 5"/>
    <w:basedOn w:val="Normal"/>
    <w:next w:val="Normal"/>
    <w:link w:val="Heading5Char"/>
    <w:uiPriority w:val="9"/>
    <w:semiHidden/>
    <w:unhideWhenUsed/>
    <w:qFormat/>
    <w:rsid w:val="00EB6AE8"/>
    <w:pPr>
      <w:keepNext/>
      <w:keepLines/>
      <w:numPr>
        <w:ilvl w:val="4"/>
        <w:numId w:val="3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rsid w:val="00EB6AE8"/>
    <w:pPr>
      <w:numPr>
        <w:ilvl w:val="5"/>
        <w:numId w:val="31"/>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EB6AE8"/>
    <w:pPr>
      <w:keepNext/>
      <w:keepLines/>
      <w:numPr>
        <w:ilvl w:val="6"/>
        <w:numId w:val="3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B6AE8"/>
    <w:pPr>
      <w:keepNext/>
      <w:keepLines/>
      <w:numPr>
        <w:ilvl w:val="7"/>
        <w:numId w:val="3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B6AE8"/>
    <w:pPr>
      <w:keepNext/>
      <w:keepLines/>
      <w:numPr>
        <w:ilvl w:val="8"/>
        <w:numId w:val="3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7F58"/>
    <w:rPr>
      <w:rFonts w:ascii="Arial" w:eastAsia="Times New Roman" w:hAnsi="Arial" w:cs="Arial"/>
      <w:b/>
      <w:iCs/>
      <w:color w:val="000000" w:themeColor="text1"/>
      <w:sz w:val="36"/>
      <w:szCs w:val="36"/>
      <w:lang w:val="en-GB"/>
    </w:rPr>
  </w:style>
  <w:style w:type="character" w:customStyle="1" w:styleId="Heading2Char">
    <w:name w:val="Heading 2 Char"/>
    <w:basedOn w:val="DefaultParagraphFont"/>
    <w:link w:val="Heading2"/>
    <w:uiPriority w:val="9"/>
    <w:rsid w:val="00101146"/>
    <w:rPr>
      <w:rFonts w:ascii="Arial" w:eastAsiaTheme="majorEastAsia" w:hAnsi="Arial" w:cs="Arial"/>
      <w:b/>
      <w:bCs/>
      <w:color w:val="000000" w:themeColor="text1"/>
      <w:lang w:val="en-GB"/>
    </w:rPr>
  </w:style>
  <w:style w:type="character" w:customStyle="1" w:styleId="Heading3Char">
    <w:name w:val="Heading 3 Char"/>
    <w:basedOn w:val="DefaultParagraphFont"/>
    <w:link w:val="Heading3"/>
    <w:uiPriority w:val="9"/>
    <w:rsid w:val="00E47F58"/>
    <w:rPr>
      <w:rFonts w:ascii="Arial" w:eastAsiaTheme="majorEastAsia" w:hAnsi="Arial" w:cs="Arial"/>
      <w:b/>
      <w:bCs/>
      <w:color w:val="000000" w:themeColor="text1"/>
    </w:rPr>
  </w:style>
  <w:style w:type="character" w:customStyle="1" w:styleId="Heading4Char">
    <w:name w:val="Heading 4 Char"/>
    <w:basedOn w:val="DefaultParagraphFont"/>
    <w:link w:val="Heading4"/>
    <w:uiPriority w:val="9"/>
    <w:rsid w:val="006412F3"/>
    <w:rPr>
      <w:rFonts w:ascii="Times New Roman" w:eastAsiaTheme="majorEastAsia" w:hAnsi="Times New Roman" w:cstheme="majorBidi"/>
      <w:b/>
      <w:iCs/>
      <w:color w:val="000000" w:themeColor="text1"/>
      <w:sz w:val="24"/>
    </w:rPr>
  </w:style>
  <w:style w:type="character" w:customStyle="1" w:styleId="Heading5Char">
    <w:name w:val="Heading 5 Char"/>
    <w:basedOn w:val="DefaultParagraphFont"/>
    <w:link w:val="Heading5"/>
    <w:uiPriority w:val="9"/>
    <w:semiHidden/>
    <w:rsid w:val="00EB6AE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rsid w:val="00EB6AE8"/>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EB6AE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EB6AE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B6AE8"/>
    <w:rPr>
      <w:rFonts w:asciiTheme="majorHAnsi" w:eastAsiaTheme="majorEastAsia" w:hAnsiTheme="majorHAnsi" w:cstheme="majorBidi"/>
      <w:i/>
      <w:iCs/>
      <w:color w:val="272727" w:themeColor="text1" w:themeTint="D8"/>
      <w:sz w:val="21"/>
      <w:szCs w:val="21"/>
    </w:rPr>
  </w:style>
  <w:style w:type="paragraph" w:styleId="NoSpacing">
    <w:name w:val="No Spacing"/>
    <w:uiPriority w:val="1"/>
    <w:rsid w:val="00EB6AE8"/>
    <w:pPr>
      <w:spacing w:after="0" w:line="240" w:lineRule="auto"/>
    </w:pPr>
    <w:rPr>
      <w:rFonts w:eastAsiaTheme="minorEastAsia"/>
    </w:rPr>
  </w:style>
  <w:style w:type="paragraph" w:styleId="BodyText">
    <w:name w:val="Body Text"/>
    <w:basedOn w:val="Normal"/>
    <w:link w:val="BodyTextChar"/>
    <w:rsid w:val="00EB6AE8"/>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EB6AE8"/>
    <w:rPr>
      <w:rFonts w:ascii="Times New Roman" w:eastAsia="Times New Roman" w:hAnsi="Times New Roman" w:cs="Times New Roman"/>
      <w:sz w:val="24"/>
      <w:szCs w:val="24"/>
    </w:rPr>
  </w:style>
  <w:style w:type="paragraph" w:styleId="ListParagraph">
    <w:name w:val="List Paragraph"/>
    <w:basedOn w:val="Normal"/>
    <w:uiPriority w:val="34"/>
    <w:qFormat/>
    <w:rsid w:val="00EB6AE8"/>
    <w:pPr>
      <w:spacing w:after="0" w:line="240" w:lineRule="auto"/>
      <w:ind w:left="720"/>
      <w:contextualSpacing/>
    </w:pPr>
    <w:rPr>
      <w:rFonts w:ascii="Calibri" w:eastAsia="Calibri" w:hAnsi="Calibri" w:cs="Times New Roman"/>
    </w:rPr>
  </w:style>
  <w:style w:type="table" w:styleId="TableGrid">
    <w:name w:val="Table Grid"/>
    <w:basedOn w:val="TableNormal"/>
    <w:uiPriority w:val="59"/>
    <w:rsid w:val="00EB6AE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6A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6AE8"/>
    <w:rPr>
      <w:rFonts w:eastAsiaTheme="minorEastAsia"/>
    </w:rPr>
  </w:style>
  <w:style w:type="paragraph" w:styleId="Footer">
    <w:name w:val="footer"/>
    <w:basedOn w:val="Normal"/>
    <w:link w:val="FooterChar"/>
    <w:uiPriority w:val="99"/>
    <w:unhideWhenUsed/>
    <w:rsid w:val="00EB6A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6AE8"/>
    <w:rPr>
      <w:rFonts w:eastAsiaTheme="minorEastAsia"/>
    </w:rPr>
  </w:style>
  <w:style w:type="character" w:customStyle="1" w:styleId="BalloonTextChar">
    <w:name w:val="Balloon Text Char"/>
    <w:basedOn w:val="DefaultParagraphFont"/>
    <w:link w:val="BalloonText"/>
    <w:uiPriority w:val="99"/>
    <w:semiHidden/>
    <w:rsid w:val="00EB6AE8"/>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EB6AE8"/>
    <w:pPr>
      <w:spacing w:after="0" w:line="240" w:lineRule="auto"/>
    </w:pPr>
    <w:rPr>
      <w:rFonts w:ascii="Tahoma" w:hAnsi="Tahoma" w:cs="Tahoma"/>
      <w:sz w:val="16"/>
      <w:szCs w:val="16"/>
    </w:rPr>
  </w:style>
  <w:style w:type="character" w:styleId="Hyperlink">
    <w:name w:val="Hyperlink"/>
    <w:basedOn w:val="DefaultParagraphFont"/>
    <w:uiPriority w:val="99"/>
    <w:unhideWhenUsed/>
    <w:rsid w:val="00EB6AE8"/>
    <w:rPr>
      <w:color w:val="0563C1" w:themeColor="hyperlink"/>
      <w:u w:val="single"/>
    </w:rPr>
  </w:style>
  <w:style w:type="paragraph" w:styleId="Caption">
    <w:name w:val="caption"/>
    <w:basedOn w:val="Normal"/>
    <w:next w:val="Normal"/>
    <w:uiPriority w:val="35"/>
    <w:unhideWhenUsed/>
    <w:qFormat/>
    <w:rsid w:val="00EB6AE8"/>
    <w:pPr>
      <w:spacing w:after="0" w:line="240" w:lineRule="auto"/>
      <w:jc w:val="both"/>
    </w:pPr>
    <w:rPr>
      <w:rFonts w:ascii="Times New Roman" w:hAnsi="Times New Roman"/>
      <w:b/>
      <w:bCs/>
      <w:color w:val="000000" w:themeColor="text1"/>
      <w:sz w:val="24"/>
      <w:szCs w:val="18"/>
    </w:rPr>
  </w:style>
  <w:style w:type="paragraph" w:customStyle="1" w:styleId="MDPI11articletype">
    <w:name w:val="MDPI_1.1_article_type"/>
    <w:basedOn w:val="MDPI31text"/>
    <w:next w:val="MDPI12title"/>
    <w:rsid w:val="00EB6AE8"/>
    <w:pPr>
      <w:spacing w:before="240" w:line="240" w:lineRule="auto"/>
      <w:ind w:firstLine="0"/>
      <w:jc w:val="left"/>
    </w:pPr>
    <w:rPr>
      <w:i/>
    </w:rPr>
  </w:style>
  <w:style w:type="paragraph" w:customStyle="1" w:styleId="MDPI31text">
    <w:name w:val="MDPI_3.1_text"/>
    <w:rsid w:val="00EB6AE8"/>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paragraph" w:customStyle="1" w:styleId="MDPI12title">
    <w:name w:val="MDPI_1.2_title"/>
    <w:next w:val="MDPI13authornames"/>
    <w:rsid w:val="00EB6AE8"/>
    <w:pPr>
      <w:adjustRightInd w:val="0"/>
      <w:snapToGrid w:val="0"/>
      <w:spacing w:after="240" w:line="400" w:lineRule="exact"/>
    </w:pPr>
    <w:rPr>
      <w:rFonts w:ascii="Palatino Linotype" w:eastAsia="Times New Roman" w:hAnsi="Palatino Linotype" w:cs="Times New Roman"/>
      <w:b/>
      <w:snapToGrid w:val="0"/>
      <w:color w:val="000000"/>
      <w:sz w:val="36"/>
      <w:szCs w:val="20"/>
      <w:lang w:eastAsia="de-DE" w:bidi="en-US"/>
    </w:rPr>
  </w:style>
  <w:style w:type="paragraph" w:customStyle="1" w:styleId="MDPI13authornames">
    <w:name w:val="MDPI_1.3_authornames"/>
    <w:basedOn w:val="MDPI31text"/>
    <w:next w:val="MDPI14history"/>
    <w:rsid w:val="00EB6AE8"/>
    <w:pPr>
      <w:spacing w:after="120"/>
      <w:ind w:firstLine="0"/>
      <w:jc w:val="left"/>
    </w:pPr>
    <w:rPr>
      <w:b/>
      <w:snapToGrid/>
    </w:rPr>
  </w:style>
  <w:style w:type="paragraph" w:customStyle="1" w:styleId="MDPI14history">
    <w:name w:val="MDPI_1.4_history"/>
    <w:basedOn w:val="MDPI62Acknowledgments"/>
    <w:next w:val="Normal"/>
    <w:rsid w:val="00EB6AE8"/>
    <w:pPr>
      <w:ind w:left="113"/>
      <w:jc w:val="left"/>
    </w:pPr>
    <w:rPr>
      <w:snapToGrid/>
    </w:rPr>
  </w:style>
  <w:style w:type="paragraph" w:customStyle="1" w:styleId="MDPI62Acknowledgments">
    <w:name w:val="MDPI_6.2_Acknowledgments"/>
    <w:rsid w:val="00EB6AE8"/>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eastAsia="de-DE" w:bidi="en-US"/>
    </w:rPr>
  </w:style>
  <w:style w:type="paragraph" w:customStyle="1" w:styleId="MDPI16affiliation">
    <w:name w:val="MDPI_1.6_affiliation"/>
    <w:basedOn w:val="MDPI62Acknowledgments"/>
    <w:rsid w:val="00EB6AE8"/>
    <w:pPr>
      <w:spacing w:before="0"/>
      <w:ind w:left="311" w:hanging="198"/>
      <w:jc w:val="left"/>
    </w:pPr>
    <w:rPr>
      <w:snapToGrid/>
      <w:szCs w:val="18"/>
    </w:rPr>
  </w:style>
  <w:style w:type="paragraph" w:customStyle="1" w:styleId="MDPI17abstract">
    <w:name w:val="MDPI_1.7_abstract"/>
    <w:basedOn w:val="MDPI31text"/>
    <w:next w:val="MDPI18keywords"/>
    <w:rsid w:val="00EB6AE8"/>
    <w:pPr>
      <w:spacing w:before="240"/>
      <w:ind w:left="113" w:firstLine="0"/>
    </w:pPr>
    <w:rPr>
      <w:snapToGrid/>
    </w:rPr>
  </w:style>
  <w:style w:type="paragraph" w:customStyle="1" w:styleId="MDPI18keywords">
    <w:name w:val="MDPI_1.8_keywords"/>
    <w:basedOn w:val="MDPI31text"/>
    <w:next w:val="Normal"/>
    <w:rsid w:val="00EB6AE8"/>
    <w:pPr>
      <w:spacing w:before="240"/>
      <w:ind w:left="113" w:firstLine="0"/>
    </w:pPr>
  </w:style>
  <w:style w:type="paragraph" w:customStyle="1" w:styleId="MDPI19line">
    <w:name w:val="MDPI_1.9_line"/>
    <w:basedOn w:val="MDPI31text"/>
    <w:rsid w:val="00EB6AE8"/>
    <w:pPr>
      <w:pBdr>
        <w:bottom w:val="single" w:sz="6" w:space="1" w:color="auto"/>
      </w:pBdr>
      <w:ind w:firstLine="0"/>
    </w:pPr>
    <w:rPr>
      <w:snapToGrid/>
      <w:szCs w:val="24"/>
    </w:rPr>
  </w:style>
  <w:style w:type="paragraph" w:customStyle="1" w:styleId="MDPIheaderjournallogo">
    <w:name w:val="MDPI_header_journal_logo"/>
    <w:rsid w:val="00EB6AE8"/>
    <w:pPr>
      <w:adjustRightInd w:val="0"/>
      <w:snapToGrid w:val="0"/>
      <w:spacing w:after="0" w:line="240" w:lineRule="auto"/>
    </w:pPr>
    <w:rPr>
      <w:rFonts w:ascii="Palatino Linotype" w:eastAsia="Times New Roman" w:hAnsi="Palatino Linotype" w:cs="Times New Roman"/>
      <w:i/>
      <w:color w:val="000000"/>
      <w:sz w:val="24"/>
      <w:lang w:eastAsia="de-CH"/>
    </w:rPr>
  </w:style>
  <w:style w:type="paragraph" w:customStyle="1" w:styleId="MDPI32textnoindent">
    <w:name w:val="MDPI_3.2_text_no_indent"/>
    <w:basedOn w:val="MDPI31text"/>
    <w:rsid w:val="00EB6AE8"/>
    <w:pPr>
      <w:ind w:firstLine="0"/>
    </w:pPr>
  </w:style>
  <w:style w:type="paragraph" w:customStyle="1" w:styleId="MDPI33textspaceafter">
    <w:name w:val="MDPI_3.3_text_space_after"/>
    <w:basedOn w:val="MDPI31text"/>
    <w:rsid w:val="00EB6AE8"/>
    <w:pPr>
      <w:spacing w:after="240"/>
    </w:pPr>
  </w:style>
  <w:style w:type="paragraph" w:customStyle="1" w:styleId="MDPI34textspacebefore">
    <w:name w:val="MDPI_3.4_text_space_before"/>
    <w:basedOn w:val="MDPI31text"/>
    <w:rsid w:val="00EB6AE8"/>
    <w:pPr>
      <w:spacing w:before="240"/>
    </w:pPr>
  </w:style>
  <w:style w:type="paragraph" w:customStyle="1" w:styleId="MDPI35textbeforelist">
    <w:name w:val="MDPI_3.5_text_before_list"/>
    <w:basedOn w:val="MDPI31text"/>
    <w:rsid w:val="00EB6AE8"/>
    <w:pPr>
      <w:spacing w:after="120"/>
    </w:pPr>
  </w:style>
  <w:style w:type="paragraph" w:customStyle="1" w:styleId="MDPI36textafterlist">
    <w:name w:val="MDPI_3.6_text_after_list"/>
    <w:basedOn w:val="MDPI31text"/>
    <w:rsid w:val="00EB6AE8"/>
    <w:pPr>
      <w:spacing w:before="120"/>
    </w:pPr>
  </w:style>
  <w:style w:type="paragraph" w:customStyle="1" w:styleId="MDPI37itemize">
    <w:name w:val="MDPI_3.7_itemize"/>
    <w:basedOn w:val="MDPI31text"/>
    <w:rsid w:val="00EB6AE8"/>
    <w:pPr>
      <w:numPr>
        <w:numId w:val="6"/>
      </w:numPr>
      <w:ind w:left="425" w:hanging="425"/>
    </w:pPr>
  </w:style>
  <w:style w:type="paragraph" w:customStyle="1" w:styleId="MDPI38bullet">
    <w:name w:val="MDPI_3.8_bullet"/>
    <w:basedOn w:val="MDPI31text"/>
    <w:rsid w:val="00EB6AE8"/>
    <w:pPr>
      <w:numPr>
        <w:numId w:val="7"/>
      </w:numPr>
      <w:ind w:left="425" w:hanging="425"/>
    </w:pPr>
  </w:style>
  <w:style w:type="paragraph" w:customStyle="1" w:styleId="MDPI39equation">
    <w:name w:val="MDPI_3.9_equation"/>
    <w:basedOn w:val="MDPI31text"/>
    <w:rsid w:val="00EB6AE8"/>
    <w:pPr>
      <w:spacing w:before="120" w:after="120"/>
      <w:ind w:left="709" w:firstLine="0"/>
      <w:jc w:val="center"/>
    </w:pPr>
  </w:style>
  <w:style w:type="paragraph" w:customStyle="1" w:styleId="MDPI3aequationnumber">
    <w:name w:val="MDPI_3.a_equation_number"/>
    <w:basedOn w:val="MDPI31text"/>
    <w:rsid w:val="00EB6AE8"/>
    <w:pPr>
      <w:spacing w:before="120" w:after="120" w:line="240" w:lineRule="auto"/>
      <w:ind w:firstLine="0"/>
      <w:jc w:val="right"/>
    </w:pPr>
  </w:style>
  <w:style w:type="paragraph" w:customStyle="1" w:styleId="MDPI41tablecaption">
    <w:name w:val="MDPI_4.1_table_caption"/>
    <w:basedOn w:val="MDPI62Acknowledgments"/>
    <w:rsid w:val="00EB6AE8"/>
    <w:pPr>
      <w:spacing w:before="240" w:after="120" w:line="260" w:lineRule="atLeast"/>
      <w:ind w:left="425" w:right="425"/>
    </w:pPr>
    <w:rPr>
      <w:snapToGrid/>
      <w:szCs w:val="22"/>
    </w:rPr>
  </w:style>
  <w:style w:type="paragraph" w:customStyle="1" w:styleId="MDPI42tablebody">
    <w:name w:val="MDPI_4.2_table_body"/>
    <w:rsid w:val="00EB6AE8"/>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eastAsia="de-DE" w:bidi="en-US"/>
    </w:rPr>
  </w:style>
  <w:style w:type="paragraph" w:customStyle="1" w:styleId="MDPI43tablefooter">
    <w:name w:val="MDPI_4.3_table_footer"/>
    <w:basedOn w:val="MDPI41tablecaption"/>
    <w:next w:val="MDPI31text"/>
    <w:rsid w:val="00EB6AE8"/>
    <w:pPr>
      <w:spacing w:before="0"/>
      <w:ind w:left="0" w:right="0"/>
    </w:pPr>
  </w:style>
  <w:style w:type="paragraph" w:customStyle="1" w:styleId="MDPI51figurecaption">
    <w:name w:val="MDPI_5.1_figure_caption"/>
    <w:basedOn w:val="MDPI62Acknowledgments"/>
    <w:rsid w:val="00EB6AE8"/>
    <w:pPr>
      <w:spacing w:after="240" w:line="260" w:lineRule="atLeast"/>
      <w:ind w:left="425" w:right="425"/>
    </w:pPr>
    <w:rPr>
      <w:snapToGrid/>
    </w:rPr>
  </w:style>
  <w:style w:type="paragraph" w:customStyle="1" w:styleId="MDPI52figure">
    <w:name w:val="MDPI_5.2_figure"/>
    <w:rsid w:val="00EB6AE8"/>
    <w:pPr>
      <w:spacing w:after="0" w:line="240" w:lineRule="auto"/>
      <w:jc w:val="center"/>
    </w:pPr>
    <w:rPr>
      <w:rFonts w:ascii="Palatino Linotype" w:eastAsia="Times New Roman" w:hAnsi="Palatino Linotype" w:cs="Times New Roman"/>
      <w:snapToGrid w:val="0"/>
      <w:color w:val="000000"/>
      <w:sz w:val="24"/>
      <w:szCs w:val="20"/>
      <w:lang w:eastAsia="de-DE" w:bidi="en-US"/>
    </w:rPr>
  </w:style>
  <w:style w:type="paragraph" w:customStyle="1" w:styleId="MDPI61Supplementary">
    <w:name w:val="MDPI_6.1_Supplementary"/>
    <w:basedOn w:val="MDPI62Acknowledgments"/>
    <w:rsid w:val="00EB6AE8"/>
    <w:pPr>
      <w:spacing w:before="240"/>
    </w:pPr>
    <w:rPr>
      <w:lang w:eastAsia="en-US"/>
    </w:rPr>
  </w:style>
  <w:style w:type="paragraph" w:customStyle="1" w:styleId="MDPI63AuthorContributions">
    <w:name w:val="MDPI_6.3_AuthorContributions"/>
    <w:basedOn w:val="MDPI62Acknowledgments"/>
    <w:rsid w:val="00EB6AE8"/>
    <w:rPr>
      <w:rFonts w:eastAsia="SimSun"/>
      <w:color w:val="auto"/>
      <w:lang w:eastAsia="en-US"/>
    </w:rPr>
  </w:style>
  <w:style w:type="paragraph" w:customStyle="1" w:styleId="MDPI64CoI">
    <w:name w:val="MDPI_6.4_CoI"/>
    <w:basedOn w:val="MDPI62Acknowledgments"/>
    <w:rsid w:val="00EB6AE8"/>
  </w:style>
  <w:style w:type="paragraph" w:customStyle="1" w:styleId="MDPI81theorem">
    <w:name w:val="MDPI_8.1_theorem"/>
    <w:basedOn w:val="MDPI32textnoindent"/>
    <w:rsid w:val="00EB6AE8"/>
    <w:rPr>
      <w:i/>
    </w:rPr>
  </w:style>
  <w:style w:type="paragraph" w:customStyle="1" w:styleId="MDPI82proof">
    <w:name w:val="MDPI_8.2_proof"/>
    <w:basedOn w:val="MDPI32textnoindent"/>
    <w:rsid w:val="00EB6AE8"/>
  </w:style>
  <w:style w:type="paragraph" w:customStyle="1" w:styleId="MDPIfooterfirstpage">
    <w:name w:val="MDPI_footer_firstpage"/>
    <w:basedOn w:val="Normal"/>
    <w:rsid w:val="00EB6AE8"/>
    <w:pPr>
      <w:tabs>
        <w:tab w:val="right" w:pos="8845"/>
      </w:tabs>
      <w:adjustRightInd w:val="0"/>
      <w:snapToGrid w:val="0"/>
      <w:spacing w:before="120" w:after="0" w:line="160" w:lineRule="exact"/>
    </w:pPr>
    <w:rPr>
      <w:rFonts w:ascii="Palatino Linotype" w:eastAsia="Times New Roman" w:hAnsi="Palatino Linotype" w:cs="Times New Roman"/>
      <w:sz w:val="16"/>
      <w:szCs w:val="20"/>
      <w:lang w:eastAsia="de-DE"/>
    </w:rPr>
  </w:style>
  <w:style w:type="paragraph" w:customStyle="1" w:styleId="MDPI23heading3">
    <w:name w:val="MDPI_2.3_heading3"/>
    <w:basedOn w:val="MDPI31text"/>
    <w:rsid w:val="00EB6AE8"/>
    <w:pPr>
      <w:spacing w:before="240" w:after="120"/>
      <w:ind w:firstLine="0"/>
      <w:jc w:val="left"/>
      <w:outlineLvl w:val="2"/>
    </w:pPr>
  </w:style>
  <w:style w:type="paragraph" w:customStyle="1" w:styleId="MDPI21heading1">
    <w:name w:val="MDPI_2.1_heading1"/>
    <w:basedOn w:val="MDPI23heading3"/>
    <w:rsid w:val="00EB6AE8"/>
    <w:pPr>
      <w:outlineLvl w:val="0"/>
    </w:pPr>
    <w:rPr>
      <w:b/>
    </w:rPr>
  </w:style>
  <w:style w:type="paragraph" w:customStyle="1" w:styleId="MDPI22heading2">
    <w:name w:val="MDPI_2.2_heading2"/>
    <w:basedOn w:val="Normal"/>
    <w:rsid w:val="00EB6AE8"/>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cs="Times New Roman"/>
      <w:i/>
      <w:noProof/>
      <w:snapToGrid w:val="0"/>
      <w:color w:val="000000"/>
      <w:sz w:val="20"/>
      <w:lang w:eastAsia="de-DE" w:bidi="en-US"/>
    </w:rPr>
  </w:style>
  <w:style w:type="paragraph" w:customStyle="1" w:styleId="MDPI71References">
    <w:name w:val="MDPI_7.1_References"/>
    <w:basedOn w:val="MDPI62Acknowledgments"/>
    <w:rsid w:val="00EB6AE8"/>
    <w:pPr>
      <w:numPr>
        <w:numId w:val="8"/>
      </w:numPr>
      <w:spacing w:before="0" w:line="260" w:lineRule="atLeast"/>
      <w:ind w:left="425" w:hanging="425"/>
    </w:pPr>
  </w:style>
  <w:style w:type="paragraph" w:customStyle="1" w:styleId="p">
    <w:name w:val="p"/>
    <w:basedOn w:val="Normal"/>
    <w:rsid w:val="00EB6AE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B6AE8"/>
    <w:rPr>
      <w:i/>
      <w:iCs/>
    </w:rPr>
  </w:style>
  <w:style w:type="character" w:customStyle="1" w:styleId="a-size-base">
    <w:name w:val="a-size-base"/>
    <w:basedOn w:val="DefaultParagraphFont"/>
    <w:rsid w:val="00EB6AE8"/>
  </w:style>
  <w:style w:type="paragraph" w:customStyle="1" w:styleId="ads-ad">
    <w:name w:val="ads-ad"/>
    <w:basedOn w:val="Normal"/>
    <w:rsid w:val="00EB6AE8"/>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EB6AE8"/>
    <w:pPr>
      <w:tabs>
        <w:tab w:val="right" w:pos="8184"/>
      </w:tabs>
      <w:spacing w:after="0" w:line="240" w:lineRule="auto"/>
      <w:ind w:left="1008" w:hanging="558"/>
    </w:pPr>
    <w:rPr>
      <w:rFonts w:ascii="Times New Roman Bold" w:hAnsi="Times New Roman Bold" w:cstheme="minorHAnsi"/>
      <w:b/>
      <w:bCs/>
      <w:caps/>
      <w:color w:val="000000" w:themeColor="text1"/>
      <w:sz w:val="24"/>
      <w:szCs w:val="20"/>
    </w:rPr>
  </w:style>
  <w:style w:type="character" w:customStyle="1" w:styleId="CommentTextChar">
    <w:name w:val="Comment Text Char"/>
    <w:basedOn w:val="DefaultParagraphFont"/>
    <w:link w:val="CommentText"/>
    <w:uiPriority w:val="99"/>
    <w:semiHidden/>
    <w:rsid w:val="00EB6AE8"/>
    <w:rPr>
      <w:rFonts w:ascii="Times New Roman" w:eastAsia="Times New Roman" w:hAnsi="Times New Roman" w:cs="Times New Roman"/>
      <w:color w:val="000000"/>
      <w:sz w:val="20"/>
      <w:szCs w:val="20"/>
      <w:lang w:eastAsia="de-DE"/>
    </w:rPr>
  </w:style>
  <w:style w:type="paragraph" w:styleId="CommentText">
    <w:name w:val="annotation text"/>
    <w:basedOn w:val="Normal"/>
    <w:link w:val="CommentTextChar"/>
    <w:uiPriority w:val="99"/>
    <w:semiHidden/>
    <w:unhideWhenUsed/>
    <w:rsid w:val="00EB6AE8"/>
    <w:pPr>
      <w:spacing w:after="0" w:line="240" w:lineRule="auto"/>
      <w:jc w:val="both"/>
    </w:pPr>
    <w:rPr>
      <w:rFonts w:ascii="Times New Roman" w:eastAsia="Times New Roman" w:hAnsi="Times New Roman" w:cs="Times New Roman"/>
      <w:color w:val="000000"/>
      <w:sz w:val="20"/>
      <w:szCs w:val="20"/>
      <w:lang w:eastAsia="de-DE"/>
    </w:rPr>
  </w:style>
  <w:style w:type="character" w:customStyle="1" w:styleId="CommentTextChar1">
    <w:name w:val="Comment Text Char1"/>
    <w:basedOn w:val="DefaultParagraphFont"/>
    <w:uiPriority w:val="99"/>
    <w:semiHidden/>
    <w:rsid w:val="00EB6AE8"/>
    <w:rPr>
      <w:rFonts w:eastAsiaTheme="minorEastAsia"/>
      <w:sz w:val="20"/>
      <w:szCs w:val="20"/>
    </w:rPr>
  </w:style>
  <w:style w:type="character" w:customStyle="1" w:styleId="CommentSubjectChar">
    <w:name w:val="Comment Subject Char"/>
    <w:basedOn w:val="CommentTextChar"/>
    <w:link w:val="CommentSubject"/>
    <w:uiPriority w:val="99"/>
    <w:semiHidden/>
    <w:rsid w:val="00EB6AE8"/>
    <w:rPr>
      <w:rFonts w:ascii="Times New Roman" w:eastAsia="Times New Roman" w:hAnsi="Times New Roman" w:cs="Times New Roman"/>
      <w:b/>
      <w:bCs/>
      <w:color w:val="000000"/>
      <w:sz w:val="20"/>
      <w:szCs w:val="20"/>
      <w:lang w:eastAsia="de-DE"/>
    </w:rPr>
  </w:style>
  <w:style w:type="paragraph" w:styleId="CommentSubject">
    <w:name w:val="annotation subject"/>
    <w:basedOn w:val="CommentText"/>
    <w:next w:val="CommentText"/>
    <w:link w:val="CommentSubjectChar"/>
    <w:uiPriority w:val="99"/>
    <w:semiHidden/>
    <w:unhideWhenUsed/>
    <w:rsid w:val="00EB6AE8"/>
    <w:rPr>
      <w:b/>
      <w:bCs/>
    </w:rPr>
  </w:style>
  <w:style w:type="character" w:customStyle="1" w:styleId="CommentSubjectChar1">
    <w:name w:val="Comment Subject Char1"/>
    <w:basedOn w:val="CommentTextChar1"/>
    <w:uiPriority w:val="99"/>
    <w:semiHidden/>
    <w:rsid w:val="00EB6AE8"/>
    <w:rPr>
      <w:rFonts w:eastAsiaTheme="minorEastAsia"/>
      <w:b/>
      <w:bCs/>
      <w:sz w:val="20"/>
      <w:szCs w:val="20"/>
    </w:rPr>
  </w:style>
  <w:style w:type="character" w:customStyle="1" w:styleId="HTMLPreformattedChar">
    <w:name w:val="HTML Preformatted Char"/>
    <w:basedOn w:val="DefaultParagraphFont"/>
    <w:link w:val="HTMLPreformatted"/>
    <w:uiPriority w:val="99"/>
    <w:semiHidden/>
    <w:rsid w:val="00EB6AE8"/>
    <w:rPr>
      <w:rFonts w:ascii="Consolas" w:eastAsiaTheme="minorEastAsia" w:hAnsi="Consolas"/>
      <w:sz w:val="20"/>
      <w:szCs w:val="20"/>
    </w:rPr>
  </w:style>
  <w:style w:type="paragraph" w:styleId="HTMLPreformatted">
    <w:name w:val="HTML Preformatted"/>
    <w:basedOn w:val="Normal"/>
    <w:link w:val="HTMLPreformattedChar"/>
    <w:uiPriority w:val="99"/>
    <w:semiHidden/>
    <w:unhideWhenUsed/>
    <w:rsid w:val="00EB6AE8"/>
    <w:pPr>
      <w:spacing w:after="0" w:line="240" w:lineRule="auto"/>
    </w:pPr>
    <w:rPr>
      <w:rFonts w:ascii="Consolas" w:hAnsi="Consolas"/>
      <w:sz w:val="20"/>
      <w:szCs w:val="20"/>
    </w:rPr>
  </w:style>
  <w:style w:type="paragraph" w:styleId="TOCHeading">
    <w:name w:val="TOC Heading"/>
    <w:basedOn w:val="Heading1"/>
    <w:next w:val="Normal"/>
    <w:uiPriority w:val="39"/>
    <w:unhideWhenUsed/>
    <w:qFormat/>
    <w:rsid w:val="00EB6AE8"/>
    <w:pPr>
      <w:keepLines/>
      <w:spacing w:before="240" w:line="259" w:lineRule="auto"/>
      <w:jc w:val="left"/>
      <w:outlineLvl w:val="9"/>
    </w:pPr>
    <w:rPr>
      <w:rFonts w:asciiTheme="majorHAnsi" w:eastAsiaTheme="majorEastAsia" w:hAnsiTheme="majorHAnsi" w:cstheme="majorBidi"/>
      <w:b w:val="0"/>
      <w:color w:val="2E74B5" w:themeColor="accent1" w:themeShade="BF"/>
    </w:rPr>
  </w:style>
  <w:style w:type="paragraph" w:styleId="TOC2">
    <w:name w:val="toc 2"/>
    <w:basedOn w:val="Normal"/>
    <w:next w:val="Normal"/>
    <w:autoRedefine/>
    <w:uiPriority w:val="39"/>
    <w:unhideWhenUsed/>
    <w:rsid w:val="00EB6AE8"/>
    <w:pPr>
      <w:spacing w:after="0" w:line="240" w:lineRule="auto"/>
      <w:ind w:left="1728" w:hanging="720"/>
    </w:pPr>
    <w:rPr>
      <w:rFonts w:ascii="Times New Roman" w:hAnsi="Times New Roman" w:cs="Times New Roman"/>
      <w:noProof/>
      <w:color w:val="000000" w:themeColor="text1"/>
      <w:sz w:val="24"/>
      <w:szCs w:val="20"/>
    </w:rPr>
  </w:style>
  <w:style w:type="paragraph" w:styleId="TOC3">
    <w:name w:val="toc 3"/>
    <w:basedOn w:val="Normal"/>
    <w:next w:val="Normal"/>
    <w:autoRedefine/>
    <w:uiPriority w:val="39"/>
    <w:unhideWhenUsed/>
    <w:rsid w:val="00EB6AE8"/>
    <w:pPr>
      <w:spacing w:after="0" w:line="240" w:lineRule="auto"/>
      <w:ind w:left="2448" w:hanging="720"/>
    </w:pPr>
    <w:rPr>
      <w:rFonts w:ascii="Times New Roman" w:hAnsi="Times New Roman" w:cstheme="minorHAnsi"/>
      <w:color w:val="000000" w:themeColor="text1"/>
      <w:sz w:val="24"/>
      <w:szCs w:val="20"/>
    </w:rPr>
  </w:style>
  <w:style w:type="paragraph" w:styleId="TOC4">
    <w:name w:val="toc 4"/>
    <w:basedOn w:val="Normal"/>
    <w:next w:val="Normal"/>
    <w:autoRedefine/>
    <w:uiPriority w:val="39"/>
    <w:unhideWhenUsed/>
    <w:rsid w:val="00EB6AE8"/>
    <w:pPr>
      <w:spacing w:after="0" w:line="240" w:lineRule="auto"/>
      <w:ind w:left="3456" w:hanging="1008"/>
    </w:pPr>
    <w:rPr>
      <w:rFonts w:ascii="Times New Roman" w:hAnsi="Times New Roman" w:cstheme="minorHAnsi"/>
      <w:color w:val="000000" w:themeColor="text1"/>
      <w:sz w:val="24"/>
      <w:szCs w:val="20"/>
    </w:rPr>
  </w:style>
  <w:style w:type="paragraph" w:styleId="TOC5">
    <w:name w:val="toc 5"/>
    <w:basedOn w:val="Normal"/>
    <w:next w:val="Normal"/>
    <w:autoRedefine/>
    <w:uiPriority w:val="39"/>
    <w:unhideWhenUsed/>
    <w:rsid w:val="00EB6AE8"/>
    <w:pPr>
      <w:spacing w:after="0"/>
      <w:ind w:left="880"/>
    </w:pPr>
    <w:rPr>
      <w:rFonts w:cstheme="minorHAnsi"/>
      <w:sz w:val="20"/>
      <w:szCs w:val="20"/>
    </w:rPr>
  </w:style>
  <w:style w:type="paragraph" w:styleId="TOC6">
    <w:name w:val="toc 6"/>
    <w:basedOn w:val="Normal"/>
    <w:next w:val="Normal"/>
    <w:autoRedefine/>
    <w:uiPriority w:val="39"/>
    <w:unhideWhenUsed/>
    <w:rsid w:val="00EB6AE8"/>
    <w:pPr>
      <w:spacing w:after="0"/>
      <w:ind w:left="1100"/>
    </w:pPr>
    <w:rPr>
      <w:rFonts w:cstheme="minorHAnsi"/>
      <w:sz w:val="20"/>
      <w:szCs w:val="20"/>
    </w:rPr>
  </w:style>
  <w:style w:type="paragraph" w:styleId="TOC7">
    <w:name w:val="toc 7"/>
    <w:basedOn w:val="Normal"/>
    <w:next w:val="Normal"/>
    <w:autoRedefine/>
    <w:uiPriority w:val="39"/>
    <w:unhideWhenUsed/>
    <w:rsid w:val="00EB6AE8"/>
    <w:pPr>
      <w:spacing w:after="0"/>
      <w:ind w:left="1320"/>
    </w:pPr>
    <w:rPr>
      <w:rFonts w:cstheme="minorHAnsi"/>
      <w:sz w:val="20"/>
      <w:szCs w:val="20"/>
    </w:rPr>
  </w:style>
  <w:style w:type="paragraph" w:styleId="TOC8">
    <w:name w:val="toc 8"/>
    <w:basedOn w:val="Normal"/>
    <w:next w:val="Normal"/>
    <w:autoRedefine/>
    <w:uiPriority w:val="39"/>
    <w:unhideWhenUsed/>
    <w:rsid w:val="00EB6AE8"/>
    <w:pPr>
      <w:spacing w:after="0"/>
      <w:ind w:left="1540"/>
    </w:pPr>
    <w:rPr>
      <w:rFonts w:cstheme="minorHAnsi"/>
      <w:sz w:val="20"/>
      <w:szCs w:val="20"/>
    </w:rPr>
  </w:style>
  <w:style w:type="paragraph" w:styleId="TOC9">
    <w:name w:val="toc 9"/>
    <w:basedOn w:val="Normal"/>
    <w:next w:val="Normal"/>
    <w:autoRedefine/>
    <w:uiPriority w:val="39"/>
    <w:unhideWhenUsed/>
    <w:rsid w:val="00EB6AE8"/>
    <w:pPr>
      <w:spacing w:after="0"/>
      <w:ind w:left="1760"/>
    </w:pPr>
    <w:rPr>
      <w:rFonts w:cstheme="minorHAnsi"/>
      <w:sz w:val="20"/>
      <w:szCs w:val="20"/>
    </w:rPr>
  </w:style>
  <w:style w:type="paragraph" w:customStyle="1" w:styleId="chapter">
    <w:name w:val="chapter"/>
    <w:basedOn w:val="Normal"/>
    <w:next w:val="Normal"/>
    <w:qFormat/>
    <w:rsid w:val="00EB6AE8"/>
    <w:pPr>
      <w:spacing w:after="480" w:line="240" w:lineRule="auto"/>
      <w:jc w:val="center"/>
    </w:pPr>
    <w:rPr>
      <w:rFonts w:ascii="Times New Roman" w:hAnsi="Times New Roman"/>
      <w:b/>
      <w:color w:val="000000" w:themeColor="text1"/>
      <w:sz w:val="24"/>
      <w:lang w:val="en-GB"/>
    </w:rPr>
  </w:style>
  <w:style w:type="paragraph" w:customStyle="1" w:styleId="single">
    <w:name w:val="single"/>
    <w:basedOn w:val="Normal"/>
    <w:next w:val="Normal"/>
    <w:qFormat/>
    <w:rsid w:val="00EB6AE8"/>
    <w:pPr>
      <w:spacing w:after="480" w:line="240" w:lineRule="auto"/>
      <w:jc w:val="both"/>
    </w:pPr>
    <w:rPr>
      <w:rFonts w:ascii="Times New Roman" w:hAnsi="Times New Roman" w:cs="Times New Roman"/>
      <w:color w:val="000000" w:themeColor="text1"/>
      <w:sz w:val="24"/>
      <w:szCs w:val="24"/>
    </w:rPr>
  </w:style>
  <w:style w:type="paragraph" w:customStyle="1" w:styleId="j">
    <w:name w:val="j"/>
    <w:basedOn w:val="Normal"/>
    <w:next w:val="Normal"/>
    <w:qFormat/>
    <w:rsid w:val="00EB6AE8"/>
    <w:pPr>
      <w:spacing w:after="0" w:line="240" w:lineRule="auto"/>
      <w:jc w:val="both"/>
    </w:pPr>
    <w:rPr>
      <w:rFonts w:ascii="Times New Roman" w:hAnsi="Times New Roman"/>
      <w:color w:val="000000" w:themeColor="text1"/>
      <w:sz w:val="24"/>
    </w:rPr>
  </w:style>
  <w:style w:type="paragraph" w:styleId="TableofFigures">
    <w:name w:val="table of figures"/>
    <w:basedOn w:val="Normal"/>
    <w:next w:val="Normal"/>
    <w:autoRedefine/>
    <w:uiPriority w:val="99"/>
    <w:unhideWhenUsed/>
    <w:rsid w:val="00EB6AE8"/>
    <w:pPr>
      <w:spacing w:after="240" w:line="240" w:lineRule="auto"/>
      <w:ind w:left="720" w:hanging="720"/>
    </w:pPr>
    <w:rPr>
      <w:rFonts w:ascii="Times New Roman" w:hAnsi="Times New Roman"/>
      <w:color w:val="000000" w:themeColor="text1"/>
      <w:sz w:val="24"/>
    </w:rPr>
  </w:style>
  <w:style w:type="character" w:styleId="UnresolvedMention">
    <w:name w:val="Unresolved Mention"/>
    <w:basedOn w:val="DefaultParagraphFont"/>
    <w:uiPriority w:val="99"/>
    <w:semiHidden/>
    <w:unhideWhenUsed/>
    <w:rsid w:val="005E3529"/>
    <w:rPr>
      <w:color w:val="605E5C"/>
      <w:shd w:val="clear" w:color="auto" w:fill="E1DFDD"/>
    </w:rPr>
  </w:style>
  <w:style w:type="character" w:styleId="CommentReference">
    <w:name w:val="annotation reference"/>
    <w:basedOn w:val="DefaultParagraphFont"/>
    <w:uiPriority w:val="99"/>
    <w:semiHidden/>
    <w:unhideWhenUsed/>
    <w:rsid w:val="008C6887"/>
    <w:rPr>
      <w:sz w:val="16"/>
      <w:szCs w:val="16"/>
    </w:rPr>
  </w:style>
  <w:style w:type="paragraph" w:styleId="Revision">
    <w:name w:val="Revision"/>
    <w:hidden/>
    <w:uiPriority w:val="99"/>
    <w:semiHidden/>
    <w:rsid w:val="008C6887"/>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361645">
      <w:bodyDiv w:val="1"/>
      <w:marLeft w:val="0"/>
      <w:marRight w:val="0"/>
      <w:marTop w:val="0"/>
      <w:marBottom w:val="0"/>
      <w:divBdr>
        <w:top w:val="none" w:sz="0" w:space="0" w:color="auto"/>
        <w:left w:val="none" w:sz="0" w:space="0" w:color="auto"/>
        <w:bottom w:val="none" w:sz="0" w:space="0" w:color="auto"/>
        <w:right w:val="none" w:sz="0" w:space="0" w:color="auto"/>
      </w:divBdr>
    </w:div>
    <w:div w:id="532110375">
      <w:bodyDiv w:val="1"/>
      <w:marLeft w:val="0"/>
      <w:marRight w:val="0"/>
      <w:marTop w:val="0"/>
      <w:marBottom w:val="0"/>
      <w:divBdr>
        <w:top w:val="none" w:sz="0" w:space="0" w:color="auto"/>
        <w:left w:val="none" w:sz="0" w:space="0" w:color="auto"/>
        <w:bottom w:val="none" w:sz="0" w:space="0" w:color="auto"/>
        <w:right w:val="none" w:sz="0" w:space="0" w:color="auto"/>
      </w:divBdr>
    </w:div>
    <w:div w:id="840002029">
      <w:bodyDiv w:val="1"/>
      <w:marLeft w:val="0"/>
      <w:marRight w:val="0"/>
      <w:marTop w:val="0"/>
      <w:marBottom w:val="0"/>
      <w:divBdr>
        <w:top w:val="none" w:sz="0" w:space="0" w:color="auto"/>
        <w:left w:val="none" w:sz="0" w:space="0" w:color="auto"/>
        <w:bottom w:val="none" w:sz="0" w:space="0" w:color="auto"/>
        <w:right w:val="none" w:sz="0" w:space="0" w:color="auto"/>
      </w:divBdr>
    </w:div>
    <w:div w:id="172629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nmrdb.org/"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en.wikipedia.org/wiki/Billerica,_Massachusetts" TargetMode="External"/><Relationship Id="rId17" Type="http://schemas.openxmlformats.org/officeDocument/2006/relationships/image" Target="media/image4.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9.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emf"/><Relationship Id="rId28" Type="http://schemas.openxmlformats.org/officeDocument/2006/relationships/footer" Target="footer2.xml"/><Relationship Id="rId10" Type="http://schemas.microsoft.com/office/2016/09/relationships/commentsIds" Target="commentsIds.xml"/><Relationship Id="rId19" Type="http://schemas.openxmlformats.org/officeDocument/2006/relationships/hyperlink" Target="https://pubchem.ncbi.nlm.nih.gov/" TargetMode="External"/><Relationship Id="rId31"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en.wikipedia.org/wiki/Billerica,_Massachusetts" TargetMode="External"/><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223A57-1146-479D-A694-7125C87AE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1748</TotalTime>
  <Pages>22</Pages>
  <Words>20185</Words>
  <Characters>115061</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Office User</cp:lastModifiedBy>
  <cp:revision>53</cp:revision>
  <dcterms:created xsi:type="dcterms:W3CDTF">2026-05-05T14:34:00Z</dcterms:created>
  <dcterms:modified xsi:type="dcterms:W3CDTF">2026-05-12T17:49:00Z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AMA Manual of Style 11th edition</vt:lpwstr>
  </property>
  <property fmtid="{D5CDD505-2E9C-101B-9397-08002B2CF9AE}" pid="4" name="Mendeley Recent Style Id 1_1">
    <vt:lpwstr>http://www.zotero.org/styles/apa</vt:lpwstr>
  </property>
  <property fmtid="{D5CDD505-2E9C-101B-9397-08002B2CF9AE}" pid="5" name="Mendeley Recent Style Name 1_1">
    <vt:lpwstr>APA Style 7th edition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APSA Style Manual revised 2018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ASA Style Guide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18th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(author-date/Harvard)</vt:lpwstr>
  </property>
  <property fmtid="{D5CDD505-2E9C-101B-9397-08002B2CF9AE}" pid="14" name="Mendeley Recent Style Id 6_1">
    <vt:lpwstr>http://www.zotero.org/styles/ieee</vt:lpwstr>
  </property>
  <property fmtid="{D5CDD505-2E9C-101B-9397-08002B2CF9AE}" pid="15" name="Mendeley Recent Style Name 6_1">
    <vt:lpwstr>IEEE Reference Guide version 11.29.2023</vt:lpwstr>
  </property>
  <property fmtid="{D5CDD505-2E9C-101B-9397-08002B2CF9AE}" pid="16" name="Mendeley Recent Style Id 7_1">
    <vt:lpwstr>http://www.zotero.org/styles/modern-language-association</vt:lpwstr>
  </property>
  <property fmtid="{D5CDD505-2E9C-101B-9397-08002B2CF9AE}" pid="17" name="Mendeley Recent Style Name 7_1">
    <vt:lpwstr>MLA Handbook 9th edition (in-text citations)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c9d6abf5-87c6-3ce1-8f5d-52f85d496c71</vt:lpwstr>
  </property>
  <property fmtid="{D5CDD505-2E9C-101B-9397-08002B2CF9AE}" pid="24" name="Mendeley Citation Style_1">
    <vt:lpwstr>http://www.zotero.org/styles/vancouver</vt:lpwstr>
  </property>
</Properties>
</file>