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BE39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E39F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BE39F9" w:rsidRDefault="00E10E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BE39F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BE39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E39F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BE39F9" w:rsidRDefault="00F21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Ms_JSRR_157547</w:t>
            </w:r>
          </w:p>
        </w:tc>
      </w:tr>
      <w:tr w:rsidR="0085404E" w:rsidRPr="00BE39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E39F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BE39F9" w:rsidRDefault="00F21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Oil- Oil Correlation of the North-central Niger Delta Basin: Implications for Production, Exploration and Petroleum System Modelling  </w:t>
            </w:r>
          </w:p>
        </w:tc>
      </w:tr>
      <w:tr w:rsidR="0085404E" w:rsidRPr="00BE39F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BE39F9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BE39F9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BE39F9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BE39F9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BE39F9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BE39F9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BE39F9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E39F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E39F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BE39F9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7046"/>
        <w:gridCol w:w="1875"/>
      </w:tblGrid>
      <w:tr w:rsidR="0085404E" w:rsidRPr="00BE39F9" w:rsidTr="00D671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536" w:type="pct"/>
            <w:shd w:val="clear" w:color="auto" w:fill="auto"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39F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675" w:type="pct"/>
            <w:shd w:val="clear" w:color="auto" w:fill="auto"/>
          </w:tcPr>
          <w:p w:rsidR="0085404E" w:rsidRPr="00BE39F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39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39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 w:rsidTr="00D6711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536" w:type="pct"/>
            <w:shd w:val="clear" w:color="auto" w:fill="auto"/>
          </w:tcPr>
          <w:p w:rsidR="00D6711B" w:rsidRPr="00BE39F9" w:rsidRDefault="00D671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39F9">
              <w:rPr>
                <w:rFonts w:ascii="Arial" w:hAnsi="Arial" w:cs="Arial"/>
                <w:sz w:val="20"/>
                <w:szCs w:val="20"/>
              </w:rPr>
              <w:t xml:space="preserve">This manuscript provides an important scientific contribution by establishing oil–oil correlation patterns within the North-central Niger Delta Basin, offering deeper insight into the genetic relationships between different hydrocarbon accumulations. </w:t>
            </w:r>
          </w:p>
          <w:p w:rsidR="00D6711B" w:rsidRPr="00BE39F9" w:rsidRDefault="00D671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39F9">
              <w:rPr>
                <w:rFonts w:ascii="Arial" w:hAnsi="Arial" w:cs="Arial"/>
                <w:sz w:val="20"/>
                <w:szCs w:val="20"/>
              </w:rPr>
              <w:t xml:space="preserve">The integrating geochemical fingerprinting with basin analysis, the study enhances understanding of source rock characteristics, migration pathways, and reservoir connectivity. </w:t>
            </w:r>
          </w:p>
          <w:p w:rsidR="0085404E" w:rsidRPr="00BE39F9" w:rsidRDefault="00D671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sz w:val="20"/>
                <w:szCs w:val="20"/>
              </w:rPr>
              <w:t>These findings have direct implications for improving exploration strategies, optimizing production efficiency, and reducing uncertainty in petroleum system modelling. Furthermore, the research strengthens the regional petroleum geology framework and presents a methodological approach that can be applied to other complex deltaic basins worldwide.</w:t>
            </w:r>
          </w:p>
        </w:tc>
        <w:tc>
          <w:tcPr>
            <w:tcW w:w="675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BE39F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BE39F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BE39F9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BE39F9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E39F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BE39F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BE39F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39F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39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39F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9F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9F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9F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9F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9F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39F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BE39F9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BE39F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BE39F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BE39F9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BE39F9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E39F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BE39F9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BE39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39F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BE39F9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BE39F9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39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39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BE39F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E39F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BE39F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E39F9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E39F9" w:rsidRDefault="007A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E39F9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E39F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39F9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BE39F9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BE39F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BE39F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E39F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E39F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BE39F9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BE39F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BE39F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BE39F9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BE39F9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BE39F9" w:rsidRDefault="007A43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39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BE39F9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BE39F9" w:rsidRDefault="0085404E" w:rsidP="00B239D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D0E72" w:rsidRPr="00BE39F9" w:rsidRDefault="000D0E72" w:rsidP="000D0E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39F9">
        <w:rPr>
          <w:rFonts w:ascii="Arial" w:hAnsi="Arial" w:cs="Arial"/>
          <w:b/>
          <w:u w:val="single"/>
        </w:rPr>
        <w:t>Reviewer details:</w:t>
      </w:r>
    </w:p>
    <w:p w:rsidR="000D0E72" w:rsidRPr="00BE39F9" w:rsidRDefault="000D0E72" w:rsidP="000D0E72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:rsidR="000D0E72" w:rsidRPr="00BE39F9" w:rsidRDefault="000D0E72" w:rsidP="000D0E72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r w:rsidRPr="00BE39F9">
        <w:rPr>
          <w:rFonts w:ascii="Arial" w:hAnsi="Arial" w:cs="Arial"/>
          <w:sz w:val="20"/>
          <w:szCs w:val="20"/>
          <w:lang w:val="en-GB" w:eastAsia="x-none"/>
        </w:rPr>
        <w:t xml:space="preserve">Bharat L </w:t>
      </w:r>
      <w:proofErr w:type="spellStart"/>
      <w:r w:rsidRPr="00BE39F9">
        <w:rPr>
          <w:rFonts w:ascii="Arial" w:hAnsi="Arial" w:cs="Arial"/>
          <w:sz w:val="20"/>
          <w:szCs w:val="20"/>
          <w:lang w:val="en-GB" w:eastAsia="x-none"/>
        </w:rPr>
        <w:t>Gadakh</w:t>
      </w:r>
      <w:proofErr w:type="spellEnd"/>
      <w:r w:rsidRPr="00BE39F9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proofErr w:type="spellStart"/>
      <w:r w:rsidRPr="00BE39F9">
        <w:rPr>
          <w:rFonts w:ascii="Arial" w:hAnsi="Arial" w:cs="Arial"/>
          <w:sz w:val="20"/>
          <w:szCs w:val="20"/>
          <w:lang w:val="en-GB" w:eastAsia="x-none"/>
        </w:rPr>
        <w:t>K.R.</w:t>
      </w:r>
      <w:proofErr w:type="gramStart"/>
      <w:r w:rsidRPr="00BE39F9">
        <w:rPr>
          <w:rFonts w:ascii="Arial" w:hAnsi="Arial" w:cs="Arial"/>
          <w:sz w:val="20"/>
          <w:szCs w:val="20"/>
          <w:lang w:val="en-GB" w:eastAsia="x-none"/>
        </w:rPr>
        <w:t>T.Arts</w:t>
      </w:r>
      <w:bookmarkStart w:id="0" w:name="_GoBack"/>
      <w:bookmarkEnd w:id="0"/>
      <w:proofErr w:type="gramEnd"/>
      <w:r w:rsidRPr="00BE39F9">
        <w:rPr>
          <w:rFonts w:ascii="Arial" w:hAnsi="Arial" w:cs="Arial"/>
          <w:sz w:val="20"/>
          <w:szCs w:val="20"/>
          <w:lang w:val="en-GB" w:eastAsia="x-none"/>
        </w:rPr>
        <w:t>,B.H.Commerce</w:t>
      </w:r>
      <w:proofErr w:type="spellEnd"/>
      <w:r w:rsidRPr="00BE39F9">
        <w:rPr>
          <w:rFonts w:ascii="Arial" w:hAnsi="Arial" w:cs="Arial"/>
          <w:sz w:val="20"/>
          <w:szCs w:val="20"/>
          <w:lang w:val="en-GB" w:eastAsia="x-none"/>
        </w:rPr>
        <w:t xml:space="preserve"> and A.M. Science(KTHM) College</w:t>
      </w:r>
      <w:r w:rsidRPr="00BE39F9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BE39F9">
        <w:rPr>
          <w:rFonts w:ascii="Arial" w:hAnsi="Arial" w:cs="Arial"/>
          <w:sz w:val="20"/>
          <w:szCs w:val="20"/>
          <w:lang w:val="en-GB" w:eastAsia="x-none"/>
        </w:rPr>
        <w:t>India</w:t>
      </w:r>
    </w:p>
    <w:sectPr w:rsidR="000D0E72" w:rsidRPr="00BE39F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ECB" w:rsidRDefault="00E10ECB">
      <w:r>
        <w:separator/>
      </w:r>
    </w:p>
  </w:endnote>
  <w:endnote w:type="continuationSeparator" w:id="0">
    <w:p w:rsidR="00E10ECB" w:rsidRDefault="00E1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39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39D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ECB" w:rsidRDefault="00E10ECB">
      <w:r>
        <w:separator/>
      </w:r>
    </w:p>
  </w:footnote>
  <w:footnote w:type="continuationSeparator" w:id="0">
    <w:p w:rsidR="00E10ECB" w:rsidRDefault="00E1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D0E72"/>
    <w:rsid w:val="001E18D1"/>
    <w:rsid w:val="00396814"/>
    <w:rsid w:val="00471B0B"/>
    <w:rsid w:val="004874B6"/>
    <w:rsid w:val="004E1A66"/>
    <w:rsid w:val="00600732"/>
    <w:rsid w:val="00753238"/>
    <w:rsid w:val="007A439D"/>
    <w:rsid w:val="007F79E8"/>
    <w:rsid w:val="0085404E"/>
    <w:rsid w:val="00B239DE"/>
    <w:rsid w:val="00BE39F9"/>
    <w:rsid w:val="00C37BAF"/>
    <w:rsid w:val="00CA3AE2"/>
    <w:rsid w:val="00D6711B"/>
    <w:rsid w:val="00E10ECB"/>
    <w:rsid w:val="00E20B36"/>
    <w:rsid w:val="00F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95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0E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