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Default="005D511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1E18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Default="00892D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92D8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Ms_JSRR_157495</w:t>
            </w:r>
          </w:p>
        </w:tc>
      </w:tr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Default="00892D8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92D8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Genetic and Parental Environmental Influences on Callous-Unemotional Traits of Twins in Childhood</w:t>
            </w:r>
          </w:p>
        </w:tc>
      </w:tr>
      <w:tr w:rsidR="0085404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Default="0060073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Default="006007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85404E" w:rsidRDefault="0085404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85404E" w:rsidRDefault="0085404E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85404E" w:rsidRDefault="0085404E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85404E" w:rsidRDefault="0060073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85404E" w:rsidRDefault="0085404E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Default="0060073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Default="0060073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D4679" w:rsidRPr="00963A5E" w:rsidRDefault="000D4679" w:rsidP="000D4679">
            <w:pPr>
              <w:jc w:val="both"/>
              <w:rPr>
                <w:sz w:val="22"/>
                <w:szCs w:val="22"/>
              </w:rPr>
            </w:pPr>
          </w:p>
          <w:p w:rsidR="000D4679" w:rsidRPr="00963A5E" w:rsidRDefault="000D4679" w:rsidP="000D46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</w:t>
            </w:r>
            <w:r w:rsidRPr="00963A5E">
              <w:rPr>
                <w:sz w:val="22"/>
                <w:szCs w:val="22"/>
              </w:rPr>
              <w:t xml:space="preserve"> manuscript provides valuable empirical evidence on the genetic and </w:t>
            </w:r>
            <w:r>
              <w:rPr>
                <w:sz w:val="22"/>
                <w:szCs w:val="22"/>
              </w:rPr>
              <w:t xml:space="preserve">Parental </w:t>
            </w:r>
            <w:r w:rsidRPr="00963A5E">
              <w:rPr>
                <w:sz w:val="22"/>
                <w:szCs w:val="22"/>
              </w:rPr>
              <w:t>envi</w:t>
            </w:r>
            <w:r>
              <w:rPr>
                <w:sz w:val="22"/>
                <w:szCs w:val="22"/>
              </w:rPr>
              <w:t>ronmental foundation</w:t>
            </w:r>
            <w:r w:rsidRPr="00963A5E">
              <w:rPr>
                <w:sz w:val="22"/>
                <w:szCs w:val="22"/>
              </w:rPr>
              <w:t xml:space="preserve"> of callous-unemotional (CU) traits from a no</w:t>
            </w:r>
            <w:r>
              <w:rPr>
                <w:sz w:val="22"/>
                <w:szCs w:val="22"/>
              </w:rPr>
              <w:t xml:space="preserve">n-Western, rural Indian context, </w:t>
            </w:r>
            <w:r w:rsidRPr="00963A5E">
              <w:rPr>
                <w:sz w:val="22"/>
                <w:szCs w:val="22"/>
              </w:rPr>
              <w:t>an understudied popul</w:t>
            </w:r>
            <w:r>
              <w:rPr>
                <w:sz w:val="22"/>
                <w:szCs w:val="22"/>
              </w:rPr>
              <w:t xml:space="preserve">ation in behavioral genetics. </w:t>
            </w:r>
            <w:r w:rsidRPr="00963A5E">
              <w:rPr>
                <w:sz w:val="22"/>
                <w:szCs w:val="22"/>
              </w:rPr>
              <w:t>It also highlights th</w:t>
            </w:r>
            <w:r w:rsidR="001D5C41">
              <w:rPr>
                <w:sz w:val="22"/>
                <w:szCs w:val="22"/>
              </w:rPr>
              <w:t>e significant role of</w:t>
            </w:r>
            <w:r w:rsidRPr="00963A5E">
              <w:rPr>
                <w:sz w:val="22"/>
                <w:szCs w:val="22"/>
              </w:rPr>
              <w:t xml:space="preserve"> parenting practices, such as inconsistent discipline and corporal punishment, in the expression of these traits. These findings have important implications for early intervention and culturally sensitive family-based strategies in low-resource settings.</w:t>
            </w:r>
          </w:p>
          <w:p w:rsidR="0085404E" w:rsidRDefault="0085404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5404E" w:rsidRDefault="000D467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b w:val="0"/>
                <w:lang w:val="en-GB"/>
              </w:rPr>
              <w:t>Worth</w:t>
            </w:r>
            <w:r w:rsidR="00E51231">
              <w:rPr>
                <w:rFonts w:ascii="Times New Roman" w:hAnsi="Times New Roman"/>
                <w:b w:val="0"/>
                <w:lang w:val="en-GB"/>
              </w:rPr>
              <w:t xml:space="preserve"> It</w:t>
            </w:r>
          </w:p>
        </w:tc>
      </w:tr>
    </w:tbl>
    <w:p w:rsidR="0085404E" w:rsidRDefault="0085404E">
      <w:pPr>
        <w:rPr>
          <w:sz w:val="22"/>
          <w:szCs w:val="20"/>
          <w:lang w:val="en-GB"/>
        </w:rPr>
      </w:pPr>
    </w:p>
    <w:p w:rsidR="0085404E" w:rsidRDefault="0085404E">
      <w:pPr>
        <w:rPr>
          <w:sz w:val="22"/>
          <w:szCs w:val="20"/>
          <w:lang w:val="en-GB"/>
        </w:rPr>
      </w:pPr>
    </w:p>
    <w:p w:rsidR="0085404E" w:rsidRDefault="0085404E">
      <w:pPr>
        <w:rPr>
          <w:sz w:val="22"/>
          <w:szCs w:val="20"/>
          <w:lang w:val="en-GB"/>
        </w:rPr>
      </w:pPr>
    </w:p>
    <w:p w:rsidR="0085404E" w:rsidRDefault="00600732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85404E" w:rsidRDefault="0085404E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Default="0060073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E51231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3B7D96" w:rsidRDefault="003B7D96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:rsidR="003B7D96" w:rsidRDefault="003B7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:rsidR="003B7D96" w:rsidRDefault="003B7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3B7D96" w:rsidRDefault="003B7D9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3B7D96" w:rsidRDefault="003B7D96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3B7D96" w:rsidRDefault="003B7D96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3B7D96" w:rsidRDefault="003B7D96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:rsidR="003B7D96" w:rsidRDefault="003B7D96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Yes. 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Yes. Excellently Necessary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Yes, they are related to the existing findings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The Limitations are excellently discussed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Default="0060073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Default="0060073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Default="0060073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Default="000D467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5404E" w:rsidRDefault="0085404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85404E" w:rsidRDefault="00600732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85404E" w:rsidRDefault="0085404E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Tr="00E5123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Default="0060073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85404E" w:rsidRDefault="0085404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85404E" w:rsidRDefault="0060073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Default="0085404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85404E" w:rsidTr="00E5123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Default="0060073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Default="0085404E">
            <w:pPr>
              <w:rPr>
                <w:bCs/>
                <w:sz w:val="20"/>
                <w:szCs w:val="20"/>
                <w:lang w:val="en-GB"/>
              </w:rPr>
            </w:pPr>
          </w:p>
          <w:p w:rsidR="0085404E" w:rsidRDefault="0060073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Default="000D4679" w:rsidP="000D4679">
            <w:pPr>
              <w:ind w:left="360"/>
              <w:jc w:val="both"/>
              <w:rPr>
                <w:color w:val="0F1115"/>
                <w:sz w:val="20"/>
                <w:szCs w:val="20"/>
                <w:shd w:val="clear" w:color="auto" w:fill="FFFFFF"/>
              </w:rPr>
            </w:pPr>
            <w:r w:rsidRPr="000D4679">
              <w:rPr>
                <w:color w:val="0F1115"/>
                <w:sz w:val="20"/>
                <w:szCs w:val="20"/>
                <w:shd w:val="clear" w:color="auto" w:fill="FFFFFF"/>
              </w:rPr>
              <w:t>Yes.</w:t>
            </w:r>
          </w:p>
          <w:p w:rsidR="003B7D96" w:rsidRPr="000D4679" w:rsidRDefault="003B7D96" w:rsidP="000D4679">
            <w:pPr>
              <w:ind w:left="360"/>
              <w:jc w:val="both"/>
              <w:rPr>
                <w:b/>
                <w:bCs/>
                <w:sz w:val="20"/>
                <w:szCs w:val="20"/>
                <w:lang w:val="en-GB"/>
              </w:rPr>
            </w:pPr>
            <w:r w:rsidRPr="00152827">
              <w:rPr>
                <w:color w:val="0F1115"/>
                <w:shd w:val="clear" w:color="auto" w:fill="FFFFFF"/>
              </w:rPr>
              <w:t>The title accurately reflects the study’s focus on both genetic and parental environmental influences on CU traits in twins during childhood</w:t>
            </w:r>
            <w:r>
              <w:rPr>
                <w:color w:val="0F1115"/>
                <w:shd w:val="clear" w:color="auto" w:fill="FFFFFF"/>
              </w:rPr>
              <w:t>.</w:t>
            </w:r>
          </w:p>
        </w:tc>
        <w:tc>
          <w:tcPr>
            <w:tcW w:w="1542" w:type="pct"/>
            <w:shd w:val="clear" w:color="auto" w:fill="auto"/>
          </w:tcPr>
          <w:p w:rsidR="0085404E" w:rsidRPr="00152827" w:rsidRDefault="0085404E" w:rsidP="00152827">
            <w:pPr>
              <w:pStyle w:val="Heading2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51231" w:rsidTr="00E5123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51231" w:rsidRDefault="00E5123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E51231" w:rsidRDefault="00E51231">
            <w:pPr>
              <w:rPr>
                <w:bCs/>
                <w:sz w:val="20"/>
                <w:szCs w:val="20"/>
                <w:lang w:val="en-GB"/>
              </w:rPr>
            </w:pPr>
          </w:p>
          <w:p w:rsidR="00E51231" w:rsidRDefault="00E51231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51231" w:rsidRDefault="00E51231" w:rsidP="00E51231">
            <w:pPr>
              <w:rPr>
                <w:sz w:val="22"/>
                <w:szCs w:val="22"/>
              </w:rPr>
            </w:pPr>
            <w:r w:rsidRPr="00963A5E">
              <w:rPr>
                <w:sz w:val="22"/>
                <w:szCs w:val="22"/>
              </w:rPr>
              <w:t>Yes</w:t>
            </w:r>
          </w:p>
          <w:p w:rsidR="003B7D96" w:rsidRDefault="003B7D96" w:rsidP="00E51231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52827">
              <w:rPr>
                <w:sz w:val="22"/>
                <w:szCs w:val="22"/>
              </w:rPr>
              <w:t>However, it would have been more benefial from briefly mentioning the study’s cross-sectional design as a limitation and including the exact age range (6–9 years) in the abstract.</w:t>
            </w:r>
          </w:p>
        </w:tc>
        <w:tc>
          <w:tcPr>
            <w:tcW w:w="1542" w:type="pct"/>
            <w:shd w:val="clear" w:color="auto" w:fill="auto"/>
          </w:tcPr>
          <w:p w:rsidR="00E51231" w:rsidRPr="00152827" w:rsidRDefault="00E51231" w:rsidP="00152827">
            <w:pPr>
              <w:jc w:val="both"/>
              <w:rPr>
                <w:sz w:val="22"/>
                <w:szCs w:val="22"/>
              </w:rPr>
            </w:pPr>
          </w:p>
          <w:p w:rsidR="00E51231" w:rsidRPr="00152827" w:rsidRDefault="00E51231" w:rsidP="00152827">
            <w:pPr>
              <w:ind w:left="360"/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E51231" w:rsidTr="00E5123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51231" w:rsidRDefault="00E5123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E51231" w:rsidRDefault="00E51231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51231" w:rsidRDefault="00BF5FA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63A5E">
              <w:rPr>
                <w:sz w:val="22"/>
                <w:szCs w:val="22"/>
              </w:rPr>
              <w:t>The methodology (twin design, Falconer’s formula, standardized instruments) is appropriate, and statistical analyses (z-test, chi-square) are correctly applied. One minor concern: the heritability estimate (78%) is higher than typical ranges (45–67%); the authors might discuss whether this is due to sample characteristics or method</w:t>
            </w:r>
            <w:r>
              <w:rPr>
                <w:sz w:val="22"/>
                <w:szCs w:val="22"/>
              </w:rPr>
              <w:t xml:space="preserve"> or may have added as an inclusive criteria.</w:t>
            </w:r>
          </w:p>
        </w:tc>
        <w:tc>
          <w:tcPr>
            <w:tcW w:w="1542" w:type="pct"/>
            <w:shd w:val="clear" w:color="auto" w:fill="auto"/>
          </w:tcPr>
          <w:p w:rsidR="00E51231" w:rsidRDefault="00E51231" w:rsidP="00AF3938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E51231" w:rsidTr="00E5123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51231" w:rsidRDefault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51231" w:rsidRDefault="00E5123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51231" w:rsidRDefault="00E51231">
            <w:pPr>
              <w:rPr>
                <w:bCs/>
                <w:sz w:val="20"/>
                <w:szCs w:val="20"/>
                <w:lang w:val="en-GB"/>
              </w:rPr>
            </w:pPr>
          </w:p>
          <w:p w:rsidR="00E51231" w:rsidRDefault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51231" w:rsidRDefault="00CF5B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2"/>
                <w:szCs w:val="22"/>
              </w:rPr>
              <w:t xml:space="preserve">The references included </w:t>
            </w:r>
            <w:r w:rsidRPr="00CF5B37">
              <w:rPr>
                <w:sz w:val="22"/>
                <w:szCs w:val="22"/>
              </w:rPr>
              <w:t xml:space="preserve">works </w:t>
            </w:r>
            <w:r>
              <w:rPr>
                <w:sz w:val="22"/>
                <w:szCs w:val="22"/>
              </w:rPr>
              <w:t xml:space="preserve">of </w:t>
            </w:r>
            <w:r w:rsidRPr="00CF5B37">
              <w:rPr>
                <w:sz w:val="22"/>
                <w:szCs w:val="22"/>
              </w:rPr>
              <w:t>(Frick, Viding) and recent publications (2024–2026). However, adding 1–2 more references from non-Western or Indian family studies would strengthen the contextual relevance</w:t>
            </w:r>
            <w:r>
              <w:rPr>
                <w:sz w:val="22"/>
                <w:szCs w:val="22"/>
              </w:rPr>
              <w:t xml:space="preserve"> of the study.</w:t>
            </w:r>
          </w:p>
        </w:tc>
        <w:tc>
          <w:tcPr>
            <w:tcW w:w="1542" w:type="pct"/>
            <w:shd w:val="clear" w:color="auto" w:fill="auto"/>
          </w:tcPr>
          <w:p w:rsidR="00E51231" w:rsidRPr="00CF5B37" w:rsidRDefault="00E51231" w:rsidP="00CF5B37">
            <w:pPr>
              <w:pStyle w:val="Heading2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E51231" w:rsidTr="00E5123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51231" w:rsidRDefault="00E5123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51231" w:rsidRDefault="00E5123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51231" w:rsidRDefault="00E51231">
            <w:pPr>
              <w:rPr>
                <w:bCs/>
                <w:sz w:val="20"/>
                <w:szCs w:val="20"/>
                <w:lang w:val="en-GB"/>
              </w:rPr>
            </w:pPr>
          </w:p>
          <w:p w:rsidR="00E51231" w:rsidRDefault="00E5123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51231" w:rsidRDefault="00E5123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51231" w:rsidRDefault="00CF5B3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:rsidR="003B7D96" w:rsidRDefault="003B7D9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963A5E">
              <w:rPr>
                <w:sz w:val="22"/>
                <w:szCs w:val="22"/>
              </w:rPr>
              <w:t>No ethical concerns are identified.</w:t>
            </w:r>
          </w:p>
        </w:tc>
        <w:tc>
          <w:tcPr>
            <w:tcW w:w="1542" w:type="pct"/>
            <w:shd w:val="clear" w:color="auto" w:fill="auto"/>
          </w:tcPr>
          <w:p w:rsidR="00E51231" w:rsidRPr="00CF5B37" w:rsidRDefault="00E51231" w:rsidP="00CF5B37">
            <w:pPr>
              <w:jc w:val="both"/>
              <w:rPr>
                <w:sz w:val="22"/>
                <w:szCs w:val="22"/>
              </w:rPr>
            </w:pPr>
          </w:p>
        </w:tc>
      </w:tr>
    </w:tbl>
    <w:p w:rsidR="00657FC6" w:rsidRDefault="00657FC6" w:rsidP="00657F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657FC6" w:rsidRDefault="00657FC6" w:rsidP="00657FC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657FC6" w:rsidRDefault="00657FC6" w:rsidP="00657FC6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Onia Orinate Peters, Merit College Of Nursing ,  </w:t>
      </w:r>
    </w:p>
    <w:p w:rsidR="0085404E" w:rsidRDefault="0085404E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sectPr w:rsidR="0085404E" w:rsidSect="00082C6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15" w:rsidRDefault="005D5115">
      <w:r>
        <w:separator/>
      </w:r>
    </w:p>
  </w:endnote>
  <w:endnote w:type="continuationSeparator" w:id="0">
    <w:p w:rsidR="005D5115" w:rsidRDefault="005D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082C6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082C62">
      <w:rPr>
        <w:b/>
        <w:sz w:val="20"/>
      </w:rPr>
      <w:fldChar w:fldCharType="separate"/>
    </w:r>
    <w:r w:rsidR="00657FC6">
      <w:rPr>
        <w:b/>
        <w:noProof/>
        <w:sz w:val="20"/>
      </w:rPr>
      <w:t>1</w:t>
    </w:r>
    <w:r w:rsidR="00082C62">
      <w:rPr>
        <w:b/>
        <w:sz w:val="20"/>
      </w:rPr>
      <w:fldChar w:fldCharType="end"/>
    </w:r>
    <w:r>
      <w:rPr>
        <w:sz w:val="20"/>
      </w:rPr>
      <w:t xml:space="preserve"> of </w:t>
    </w:r>
    <w:r w:rsidR="00082C6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082C62">
      <w:rPr>
        <w:b/>
        <w:sz w:val="20"/>
      </w:rPr>
      <w:fldChar w:fldCharType="separate"/>
    </w:r>
    <w:r w:rsidR="00657FC6">
      <w:rPr>
        <w:b/>
        <w:noProof/>
        <w:sz w:val="20"/>
      </w:rPr>
      <w:t>2</w:t>
    </w:r>
    <w:r w:rsidR="00082C62"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15" w:rsidRDefault="005D5115">
      <w:r>
        <w:separator/>
      </w:r>
    </w:p>
  </w:footnote>
  <w:footnote w:type="continuationSeparator" w:id="0">
    <w:p w:rsidR="005D5115" w:rsidRDefault="005D5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1AA0"/>
    <w:multiLevelType w:val="multilevel"/>
    <w:tmpl w:val="421E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404E"/>
    <w:rsid w:val="00082C62"/>
    <w:rsid w:val="000D4679"/>
    <w:rsid w:val="00115A3C"/>
    <w:rsid w:val="00152827"/>
    <w:rsid w:val="001D5C41"/>
    <w:rsid w:val="001E18D1"/>
    <w:rsid w:val="003B7D96"/>
    <w:rsid w:val="004874B6"/>
    <w:rsid w:val="004E1A66"/>
    <w:rsid w:val="004F5C94"/>
    <w:rsid w:val="00500E95"/>
    <w:rsid w:val="005B4210"/>
    <w:rsid w:val="005D5115"/>
    <w:rsid w:val="005E1F5A"/>
    <w:rsid w:val="00600732"/>
    <w:rsid w:val="00617F64"/>
    <w:rsid w:val="00657FC6"/>
    <w:rsid w:val="007C008A"/>
    <w:rsid w:val="007D6D6B"/>
    <w:rsid w:val="0085404E"/>
    <w:rsid w:val="00892D85"/>
    <w:rsid w:val="009145BE"/>
    <w:rsid w:val="00A06294"/>
    <w:rsid w:val="00AF3938"/>
    <w:rsid w:val="00BF5FAC"/>
    <w:rsid w:val="00C37BAF"/>
    <w:rsid w:val="00C52977"/>
    <w:rsid w:val="00CA3AE2"/>
    <w:rsid w:val="00CF5B37"/>
    <w:rsid w:val="00CF6F9D"/>
    <w:rsid w:val="00E51231"/>
    <w:rsid w:val="00F0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1B190-F798-4302-9EF4-6EBBDD4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C6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82C6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82C6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82C6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82C6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82C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82C6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82C6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82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2C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2C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82C6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082C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C62"/>
    <w:pPr>
      <w:ind w:left="720"/>
      <w:contextualSpacing/>
    </w:pPr>
  </w:style>
  <w:style w:type="paragraph" w:styleId="Revision">
    <w:name w:val="Revision"/>
    <w:hidden/>
    <w:uiPriority w:val="99"/>
    <w:semiHidden/>
    <w:rsid w:val="00082C6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82C62"/>
    <w:rPr>
      <w:color w:val="800080"/>
      <w:u w:val="single"/>
    </w:rPr>
  </w:style>
  <w:style w:type="table" w:styleId="TableGrid">
    <w:name w:val="Table Grid"/>
    <w:basedOn w:val="TableNormal"/>
    <w:uiPriority w:val="59"/>
    <w:rsid w:val="00082C62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sid w:val="00082C6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082C62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9145BE"/>
    <w:pPr>
      <w:spacing w:before="100" w:beforeAutospacing="1" w:after="100" w:afterAutospacing="1"/>
    </w:pPr>
  </w:style>
  <w:style w:type="paragraph" w:customStyle="1" w:styleId="Affiliation">
    <w:name w:val="Affiliation"/>
    <w:basedOn w:val="Normal"/>
    <w:rsid w:val="00657F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user</cp:lastModifiedBy>
  <cp:revision>15</cp:revision>
  <dcterms:created xsi:type="dcterms:W3CDTF">2026-04-28T11:57:00Z</dcterms:created>
  <dcterms:modified xsi:type="dcterms:W3CDTF">2026-05-04T10:55:00Z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