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D7D0E" w:rsidRPr="0093723D" w14:paraId="66EB8270" w14:textId="77777777">
        <w:trPr>
          <w:trHeight w:val="20"/>
          <w:jc w:val="center"/>
        </w:trPr>
        <w:tc>
          <w:tcPr>
            <w:tcW w:w="1186" w:type="pct"/>
          </w:tcPr>
          <w:p w14:paraId="2E75FB20" w14:textId="77777777" w:rsidR="005D7D0E" w:rsidRPr="0093723D" w:rsidRDefault="00500D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F2FC6D3" w14:textId="77777777" w:rsidR="005D7D0E" w:rsidRPr="0093723D" w:rsidRDefault="00500D5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23D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Pharmaceutical Research International</w:t>
              </w:r>
            </w:hyperlink>
          </w:p>
        </w:tc>
      </w:tr>
      <w:tr w:rsidR="005D7D0E" w:rsidRPr="0093723D" w14:paraId="70E387D7" w14:textId="77777777">
        <w:trPr>
          <w:trHeight w:val="20"/>
          <w:jc w:val="center"/>
        </w:trPr>
        <w:tc>
          <w:tcPr>
            <w:tcW w:w="1186" w:type="pct"/>
          </w:tcPr>
          <w:p w14:paraId="73F7F134" w14:textId="77777777" w:rsidR="005D7D0E" w:rsidRPr="0093723D" w:rsidRDefault="00500D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09ED5506" w14:textId="77777777" w:rsidR="005D7D0E" w:rsidRPr="0093723D" w:rsidRDefault="000437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Ms_JPRI_159049</w:t>
            </w:r>
          </w:p>
        </w:tc>
      </w:tr>
      <w:tr w:rsidR="005D7D0E" w:rsidRPr="0093723D" w14:paraId="7F66C44E" w14:textId="77777777">
        <w:trPr>
          <w:trHeight w:val="20"/>
          <w:jc w:val="center"/>
        </w:trPr>
        <w:tc>
          <w:tcPr>
            <w:tcW w:w="1186" w:type="pct"/>
          </w:tcPr>
          <w:p w14:paraId="63DF39F1" w14:textId="77777777" w:rsidR="005D7D0E" w:rsidRPr="0093723D" w:rsidRDefault="00500D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5BEAFB1" w14:textId="77777777" w:rsidR="005D7D0E" w:rsidRPr="0093723D" w:rsidRDefault="00FB4D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KNOWLEDGE AND MEDICATION ADHERENCE IN PATIENTS WITH HYPERTENSION</w:t>
            </w:r>
          </w:p>
        </w:tc>
      </w:tr>
      <w:tr w:rsidR="005D7D0E" w:rsidRPr="0093723D" w14:paraId="254CE75C" w14:textId="77777777">
        <w:trPr>
          <w:trHeight w:val="20"/>
          <w:jc w:val="center"/>
        </w:trPr>
        <w:tc>
          <w:tcPr>
            <w:tcW w:w="1186" w:type="pct"/>
          </w:tcPr>
          <w:p w14:paraId="2485EE95" w14:textId="77777777" w:rsidR="005D7D0E" w:rsidRPr="0093723D" w:rsidRDefault="00500D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11E828D" w14:textId="77777777" w:rsidR="005D7D0E" w:rsidRPr="0093723D" w:rsidRDefault="00500D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832C72" w14:textId="77777777" w:rsidR="005D7D0E" w:rsidRPr="0093723D" w:rsidRDefault="005D7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EBBC693" w14:textId="77777777" w:rsidR="005D7D0E" w:rsidRPr="0093723D" w:rsidRDefault="00500D5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93723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3723D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4BDE520" w14:textId="77777777" w:rsidR="005D7D0E" w:rsidRPr="0093723D" w:rsidRDefault="005D7D0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D7D0E" w:rsidRPr="0093723D" w14:paraId="240EAA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0BA96E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E6FD2A0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2F03306" w14:textId="77777777" w:rsidR="005D7D0E" w:rsidRPr="0093723D" w:rsidRDefault="00500D5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372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72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E21A10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44CF7E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9FE967" w14:textId="77777777" w:rsidR="005D7D0E" w:rsidRPr="0093723D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ECA0556" w14:textId="77777777" w:rsidR="005D7D0E" w:rsidRPr="0093723D" w:rsidRDefault="00500D5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73B83D1" w14:textId="77777777" w:rsidR="002F0649" w:rsidRPr="0093723D" w:rsidRDefault="002F064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 xml:space="preserve">The study contributes useful information regarding awareness gaps and adherence </w:t>
            </w:r>
            <w:proofErr w:type="spellStart"/>
            <w:r w:rsidRPr="0093723D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93723D">
              <w:rPr>
                <w:rFonts w:ascii="Arial" w:hAnsi="Arial" w:cs="Arial"/>
                <w:sz w:val="20"/>
                <w:szCs w:val="20"/>
              </w:rPr>
              <w:t xml:space="preserve"> among hypertensive patients. The findings may help clinicians, pharmacists, and healthcare policymakers design better educational for improving long-term blood pressure control. In addition, the manuscript highlights the importance of continuous patient education and follow-up in chronic disease management, especially in rural populations.</w:t>
            </w:r>
          </w:p>
          <w:p w14:paraId="013CBF06" w14:textId="77777777" w:rsidR="005D7D0E" w:rsidRPr="0093723D" w:rsidRDefault="005D7D0E" w:rsidP="002F06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78F158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1A316B" w14:textId="77777777" w:rsidR="005D7D0E" w:rsidRPr="0093723D" w:rsidRDefault="00500D5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3723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1E6A7D9" w14:textId="77777777" w:rsidR="005D7D0E" w:rsidRPr="0093723D" w:rsidRDefault="005D7D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D7D0E" w:rsidRPr="0093723D" w14:paraId="2B95C2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C1D85F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F967242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9AA0BDC" w14:textId="77777777" w:rsidR="005D7D0E" w:rsidRPr="0093723D" w:rsidRDefault="00500D5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2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72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D7D0E" w:rsidRPr="0093723D" w14:paraId="07FBD3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616281" w14:textId="77777777" w:rsidR="005D7D0E" w:rsidRPr="0093723D" w:rsidRDefault="00500D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0CB243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1F89CC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F623FC" w14:textId="77777777" w:rsidR="005D7D0E" w:rsidRPr="0093723D" w:rsidRDefault="002F0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DCF6253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27F50A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F3B523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A78E924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94D35C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7D3CA0" w14:textId="77777777" w:rsidR="005D7D0E" w:rsidRPr="0093723D" w:rsidRDefault="002F0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8B958D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1A0AF1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9C0200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205C73D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95822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76FC8C" w14:textId="77777777" w:rsidR="005D7D0E" w:rsidRPr="0093723D" w:rsidRDefault="002F0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EC36BCA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646411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E1D83C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6331551B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AC871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089CE0" w14:textId="77777777" w:rsidR="005D7D0E" w:rsidRPr="0093723D" w:rsidRDefault="002F0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47700BD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6C0068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FE4ADB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4F8AAAD8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C900E8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346EFD" w14:textId="77777777" w:rsidR="005D7D0E" w:rsidRPr="0093723D" w:rsidRDefault="002F0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92CE49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13B396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C87AAA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3416B3FC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3976C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D4F203" w14:textId="77777777" w:rsidR="005D7D0E" w:rsidRPr="0093723D" w:rsidRDefault="002F0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E552685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430AEC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9FCDAF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CA2A1D7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7AB45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E23AC7" w14:textId="77777777" w:rsidR="005D7D0E" w:rsidRPr="0093723D" w:rsidRDefault="002F0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3F5AD6C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631DA2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2DB1F4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1510A50D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989B2C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85AA59" w14:textId="77777777" w:rsidR="005D7D0E" w:rsidRPr="0093723D" w:rsidRDefault="002F0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1E4D720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4FC9C2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E9DAE5" w14:textId="77777777" w:rsidR="005D7D0E" w:rsidRPr="0093723D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7F3D42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5E046B" w14:textId="77777777" w:rsidR="005D7D0E" w:rsidRPr="0093723D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DC3585" w14:textId="77777777" w:rsidR="005D7D0E" w:rsidRPr="0093723D" w:rsidRDefault="002F06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3FDEF14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728697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2C5355" w14:textId="77777777" w:rsidR="005D7D0E" w:rsidRPr="0093723D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85A2D1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41BF1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470DB99" w14:textId="77777777" w:rsidR="005D7D0E" w:rsidRPr="0093723D" w:rsidRDefault="005D7D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8A53767" w14:textId="77777777" w:rsidR="005D7D0E" w:rsidRPr="0093723D" w:rsidRDefault="005D7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4B3473" w14:textId="77777777" w:rsidR="005D7D0E" w:rsidRPr="0093723D" w:rsidRDefault="002F06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127E4F1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7BBB60C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79061C" w14:textId="77777777" w:rsidR="005D7D0E" w:rsidRPr="0093723D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DEC1F56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B04CD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740F27" w14:textId="77777777" w:rsidR="005D7D0E" w:rsidRPr="0093723D" w:rsidRDefault="002F06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27762D7A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6AC6AB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7CD316" w14:textId="77777777" w:rsidR="005D7D0E" w:rsidRPr="0093723D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5BAEBB3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123C5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F60C38" w14:textId="77777777" w:rsidR="005D7D0E" w:rsidRPr="0093723D" w:rsidRDefault="002F06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3F770B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1F8487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AA500E" w14:textId="77777777" w:rsidR="005D7D0E" w:rsidRPr="0093723D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CE076C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FF8803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11A365" w14:textId="77777777" w:rsidR="005D7D0E" w:rsidRPr="0093723D" w:rsidRDefault="002F06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9B63E65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240215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4864CD" w14:textId="77777777" w:rsidR="005D7D0E" w:rsidRPr="0093723D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64FEAA9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EA153C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3D6F59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4E566ED" w14:textId="77777777" w:rsidR="005D7D0E" w:rsidRPr="0093723D" w:rsidRDefault="002F06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FAA5169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6FC599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050F03" w14:textId="77777777" w:rsidR="005D7D0E" w:rsidRPr="0093723D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1DEF83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A2D2A" w14:textId="77777777" w:rsidR="005D7D0E" w:rsidRPr="0093723D" w:rsidRDefault="00500D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235D0E" w14:textId="77777777" w:rsidR="005D7D0E" w:rsidRPr="0093723D" w:rsidRDefault="00500D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8B5BE27" w14:textId="77777777" w:rsidR="005D7D0E" w:rsidRPr="0093723D" w:rsidRDefault="002F06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F4CC8F0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BC7B4E" w14:textId="77777777" w:rsidR="005D7D0E" w:rsidRPr="0093723D" w:rsidRDefault="005D7D0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8D311B0" w14:textId="77777777" w:rsidR="005D7D0E" w:rsidRPr="0093723D" w:rsidRDefault="00500D5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3723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45A692D" w14:textId="77777777" w:rsidR="005D7D0E" w:rsidRPr="0093723D" w:rsidRDefault="005D7D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D7D0E" w:rsidRPr="0093723D" w14:paraId="1826A6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81ADD4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F666A0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FCBBBF9" w14:textId="77777777" w:rsidR="005D7D0E" w:rsidRPr="0093723D" w:rsidRDefault="005D7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F733F8" w14:textId="77777777" w:rsidR="005D7D0E" w:rsidRPr="0093723D" w:rsidRDefault="00500D5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72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72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919C51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3B23BA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D0EC08" w14:textId="77777777" w:rsidR="005D7D0E" w:rsidRPr="0093723D" w:rsidRDefault="00500D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FBC333" w14:textId="77777777" w:rsidR="005D7D0E" w:rsidRPr="0093723D" w:rsidRDefault="005D7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7C62A1" w14:textId="77777777" w:rsidR="005D7D0E" w:rsidRPr="0093723D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1E091EF" w14:textId="77777777" w:rsidR="005D7D0E" w:rsidRPr="0093723D" w:rsidRDefault="005D7D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F4B3054" w14:textId="77777777" w:rsidR="005D7D0E" w:rsidRPr="0093723D" w:rsidRDefault="007F6E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289CA53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21C34D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C04777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F8299C4" w14:textId="77777777" w:rsidR="005D7D0E" w:rsidRPr="0093723D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051BF82" w14:textId="77777777" w:rsidR="005D7D0E" w:rsidRPr="0093723D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2CA6C2" w14:textId="77777777" w:rsidR="005D7D0E" w:rsidRPr="0093723D" w:rsidRDefault="005D7D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0633B8" w14:textId="77777777" w:rsidR="005D7D0E" w:rsidRPr="0093723D" w:rsidRDefault="007F6E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67FB127A" w14:textId="77777777" w:rsidR="007F6EF7" w:rsidRPr="0093723D" w:rsidRDefault="007F6E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00BD3F" w14:textId="77777777" w:rsidR="007F6EF7" w:rsidRPr="0093723D" w:rsidRDefault="007F6EF7" w:rsidP="007F6E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>Authors may improve readability by reducing repetitive statements and reporting statistical findings more concisely.</w:t>
            </w:r>
          </w:p>
        </w:tc>
        <w:tc>
          <w:tcPr>
            <w:tcW w:w="1667" w:type="pct"/>
          </w:tcPr>
          <w:p w14:paraId="0568D515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164427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730EA1" w14:textId="77777777" w:rsidR="005D7D0E" w:rsidRPr="0093723D" w:rsidRDefault="00500D5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372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5052B4D" w14:textId="77777777" w:rsidR="005D7D0E" w:rsidRPr="0093723D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25B09A1" w14:textId="77777777" w:rsidR="005D7D0E" w:rsidRPr="0093723D" w:rsidRDefault="00500D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98D4B78" w14:textId="77777777" w:rsidR="005D7D0E" w:rsidRPr="0093723D" w:rsidRDefault="007F6E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B87C3E"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, but</w:t>
            </w:r>
          </w:p>
          <w:p w14:paraId="2C94F650" w14:textId="77777777" w:rsidR="009921E5" w:rsidRPr="0093723D" w:rsidRDefault="009921E5" w:rsidP="00B87C3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 xml:space="preserve">Organized the introduction section smoother transitions between paragraphs. </w:t>
            </w:r>
          </w:p>
          <w:p w14:paraId="69BA2BFC" w14:textId="77777777" w:rsidR="00B87C3E" w:rsidRPr="0093723D" w:rsidRDefault="007F6EF7" w:rsidP="00B87C3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>Few recent studies from 2024–2025 are included</w:t>
            </w:r>
            <w:r w:rsidR="00B87C3E" w:rsidRPr="0093723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63642FB" w14:textId="77777777" w:rsidR="007F6EF7" w:rsidRPr="0093723D" w:rsidRDefault="007F6EF7" w:rsidP="00B87C3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>Methodology section should clearly explain the scoring criteria used for classifying knowledge and medication adherence levels</w:t>
            </w:r>
            <w:r w:rsidR="00B87C3E" w:rsidRPr="0093723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AB46842" w14:textId="77777777" w:rsidR="009921E5" w:rsidRPr="0093723D" w:rsidRDefault="009921E5" w:rsidP="00B87C3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 xml:space="preserve">Use mathematical equation typing for writing </w:t>
            </w:r>
            <w:r w:rsidR="00E250D3" w:rsidRPr="0093723D">
              <w:rPr>
                <w:rFonts w:ascii="Arial" w:hAnsi="Arial" w:cs="Arial"/>
                <w:sz w:val="20"/>
                <w:szCs w:val="20"/>
              </w:rPr>
              <w:t>equations e.g. for the formula</w:t>
            </w:r>
            <w:r w:rsidR="00E250D3" w:rsidRPr="0093723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250D3" w:rsidRPr="009372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E250D3" w:rsidRPr="0093723D">
              <w:rPr>
                <w:rFonts w:ascii="Arial" w:hAnsi="Arial" w:cs="Arial"/>
                <w:sz w:val="20"/>
                <w:szCs w:val="20"/>
              </w:rPr>
              <w:t>n</w:t>
            </w:r>
            <w:r w:rsidR="00E250D3" w:rsidRPr="009372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250D3" w:rsidRPr="0093723D">
              <w:rPr>
                <w:rFonts w:ascii="Arial" w:hAnsi="Arial" w:cs="Arial"/>
                <w:sz w:val="20"/>
                <w:szCs w:val="20"/>
              </w:rPr>
              <w:t>=</w:t>
            </w:r>
            <w:r w:rsidR="00E250D3" w:rsidRPr="009372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E250D3" w:rsidRPr="0093723D">
              <w:rPr>
                <w:rFonts w:ascii="Arial" w:hAnsi="Arial" w:cs="Arial"/>
                <w:sz w:val="20"/>
                <w:szCs w:val="20"/>
              </w:rPr>
              <w:t>(Z2</w:t>
            </w:r>
            <w:r w:rsidR="00E250D3" w:rsidRPr="009372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E250D3" w:rsidRPr="0093723D">
              <w:rPr>
                <w:rFonts w:ascii="Arial" w:hAnsi="Arial" w:cs="Arial"/>
                <w:sz w:val="20"/>
                <w:szCs w:val="20"/>
              </w:rPr>
              <w:t>x</w:t>
            </w:r>
            <w:r w:rsidR="00E250D3" w:rsidRPr="009372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250D3" w:rsidRPr="0093723D">
              <w:rPr>
                <w:rFonts w:ascii="Arial" w:hAnsi="Arial" w:cs="Arial"/>
                <w:sz w:val="20"/>
                <w:szCs w:val="20"/>
              </w:rPr>
              <w:t>P(1-P))/d2</w:t>
            </w:r>
            <w:r w:rsidR="00E250D3" w:rsidRPr="009372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250D3" w:rsidRPr="0093723D">
              <w:rPr>
                <w:rFonts w:ascii="Arial" w:hAnsi="Arial" w:cs="Arial"/>
                <w:sz w:val="20"/>
                <w:szCs w:val="20"/>
              </w:rPr>
              <w:t>(1-</w:t>
            </w:r>
            <w:r w:rsidR="00E250D3" w:rsidRPr="0093723D">
              <w:rPr>
                <w:rFonts w:ascii="Arial" w:hAnsi="Arial" w:cs="Arial"/>
                <w:spacing w:val="-5"/>
                <w:sz w:val="20"/>
                <w:szCs w:val="20"/>
              </w:rPr>
              <w:t>α)</w:t>
            </w:r>
          </w:p>
          <w:p w14:paraId="461073FC" w14:textId="77777777" w:rsidR="007F6EF7" w:rsidRPr="0093723D" w:rsidRDefault="00B87C3E" w:rsidP="00B87C3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>Repeated description of same findings in both tables and text may be reduced.</w:t>
            </w:r>
          </w:p>
          <w:p w14:paraId="003E5362" w14:textId="77777777" w:rsidR="00B87C3E" w:rsidRPr="0093723D" w:rsidRDefault="00B87C3E" w:rsidP="00B87C3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>Figures require better formatting.</w:t>
            </w:r>
          </w:p>
          <w:p w14:paraId="721178FE" w14:textId="77777777" w:rsidR="00E250D3" w:rsidRPr="0093723D" w:rsidRDefault="00E250D3" w:rsidP="00B87C3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 xml:space="preserve">Modify the figure and table headings / captions for clear understanding. </w:t>
            </w:r>
          </w:p>
          <w:p w14:paraId="235B906D" w14:textId="77777777" w:rsidR="00E250D3" w:rsidRPr="0093723D" w:rsidRDefault="00E250D3" w:rsidP="00B87C3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 xml:space="preserve">Marge Table 9 and Table 10 in one and give a proper format. </w:t>
            </w:r>
          </w:p>
          <w:p w14:paraId="0AC079E5" w14:textId="77777777" w:rsidR="00DA5FF5" w:rsidRPr="0093723D" w:rsidRDefault="00B87C3E" w:rsidP="00DA5FF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>Expand the discussion section by adding critical comparison of findings with previous studies.</w:t>
            </w:r>
          </w:p>
          <w:p w14:paraId="151106EF" w14:textId="77777777" w:rsidR="00DA5FF5" w:rsidRPr="0093723D" w:rsidRDefault="00DA5FF5" w:rsidP="00DA5FF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sz w:val="20"/>
                <w:szCs w:val="20"/>
                <w:lang w:val="en-IN" w:eastAsia="en-IN"/>
              </w:rPr>
              <w:t>The authors should explain possible reasons behind the lack of statistically significant association between studied variables and adherence.</w:t>
            </w:r>
          </w:p>
          <w:p w14:paraId="4943AFE7" w14:textId="77777777" w:rsidR="00DA5FF5" w:rsidRPr="0093723D" w:rsidRDefault="00DA5FF5" w:rsidP="00DA5FF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sz w:val="20"/>
                <w:szCs w:val="20"/>
                <w:lang w:val="en-IN" w:eastAsia="en-IN"/>
              </w:rPr>
              <w:t>The manuscript may add a separate subsection on limitations of the study.</w:t>
            </w:r>
          </w:p>
        </w:tc>
        <w:tc>
          <w:tcPr>
            <w:tcW w:w="1667" w:type="pct"/>
          </w:tcPr>
          <w:p w14:paraId="44C009C8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2BA1D0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B8D89D" w14:textId="77777777" w:rsidR="005D7D0E" w:rsidRPr="0093723D" w:rsidRDefault="00500D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5AEEC2" w14:textId="77777777" w:rsidR="005D7D0E" w:rsidRPr="0093723D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863549" w14:textId="77777777" w:rsidR="005D7D0E" w:rsidRPr="0093723D" w:rsidRDefault="005D7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B6FCD2" w14:textId="77777777" w:rsidR="005D7D0E" w:rsidRPr="0093723D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A0DFEAF" w14:textId="77777777" w:rsidR="005D7D0E" w:rsidRPr="0093723D" w:rsidRDefault="005D7D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F06181" w14:textId="77777777" w:rsidR="005D7D0E" w:rsidRPr="0093723D" w:rsidRDefault="007F6E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51D97B36" w14:textId="77777777" w:rsidR="007F6EF7" w:rsidRPr="0093723D" w:rsidRDefault="007F6E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58AF4B" w14:textId="77777777" w:rsidR="007F6EF7" w:rsidRPr="0093723D" w:rsidRDefault="007F6EF7" w:rsidP="007F6E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sz w:val="20"/>
                <w:szCs w:val="20"/>
              </w:rPr>
              <w:t xml:space="preserve">Authors may include some more recent literature related to medication adherence and hypertension awareness. </w:t>
            </w:r>
          </w:p>
        </w:tc>
        <w:tc>
          <w:tcPr>
            <w:tcW w:w="1667" w:type="pct"/>
          </w:tcPr>
          <w:p w14:paraId="2849A092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D0E" w:rsidRPr="0093723D" w14:paraId="5AE143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B8CE08" w14:textId="77777777" w:rsidR="005D7D0E" w:rsidRPr="0093723D" w:rsidRDefault="00500D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1C4F447" w14:textId="77777777" w:rsidR="005D7D0E" w:rsidRPr="0093723D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DC2CDF" w14:textId="77777777" w:rsidR="005D7D0E" w:rsidRPr="0093723D" w:rsidRDefault="005D7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B24221" w14:textId="77777777" w:rsidR="005D7D0E" w:rsidRPr="0093723D" w:rsidRDefault="00500D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99F9AAB" w14:textId="77777777" w:rsidR="005D7D0E" w:rsidRPr="0093723D" w:rsidRDefault="005D7D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FD722E" w14:textId="77777777" w:rsidR="005D7D0E" w:rsidRPr="0093723D" w:rsidRDefault="007F6EF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72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2812234F" w14:textId="77777777" w:rsidR="005D7D0E" w:rsidRPr="0093723D" w:rsidRDefault="005D7D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5C53041" w14:textId="77777777" w:rsidR="0017179E" w:rsidRPr="0093723D" w:rsidRDefault="0017179E" w:rsidP="0017179E">
      <w:pPr>
        <w:rPr>
          <w:rFonts w:ascii="Arial" w:hAnsi="Arial" w:cs="Arial"/>
          <w:b/>
          <w:sz w:val="20"/>
          <w:szCs w:val="20"/>
          <w:u w:val="single"/>
        </w:rPr>
      </w:pPr>
      <w:r w:rsidRPr="0093723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8D916BD" w14:textId="77777777" w:rsidR="0017179E" w:rsidRPr="0093723D" w:rsidRDefault="0017179E" w:rsidP="0017179E">
      <w:pPr>
        <w:rPr>
          <w:rFonts w:ascii="Arial" w:hAnsi="Arial" w:cs="Arial"/>
          <w:sz w:val="20"/>
          <w:szCs w:val="20"/>
        </w:rPr>
      </w:pPr>
    </w:p>
    <w:p w14:paraId="2B4A2482" w14:textId="77777777" w:rsidR="0017179E" w:rsidRPr="0093723D" w:rsidRDefault="0017179E" w:rsidP="0017179E">
      <w:pPr>
        <w:rPr>
          <w:rFonts w:ascii="Arial" w:hAnsi="Arial" w:cs="Arial"/>
          <w:sz w:val="20"/>
          <w:szCs w:val="20"/>
        </w:rPr>
      </w:pPr>
      <w:r w:rsidRPr="0093723D">
        <w:rPr>
          <w:rFonts w:ascii="Arial" w:hAnsi="Arial" w:cs="Arial"/>
          <w:color w:val="000000"/>
          <w:sz w:val="20"/>
          <w:szCs w:val="20"/>
        </w:rPr>
        <w:t xml:space="preserve">Debajyoti </w:t>
      </w:r>
      <w:proofErr w:type="gramStart"/>
      <w:r w:rsidRPr="0093723D">
        <w:rPr>
          <w:rFonts w:ascii="Arial" w:hAnsi="Arial" w:cs="Arial"/>
          <w:color w:val="000000"/>
          <w:sz w:val="20"/>
          <w:szCs w:val="20"/>
        </w:rPr>
        <w:t>Bora ,</w:t>
      </w:r>
      <w:proofErr w:type="gramEnd"/>
      <w:r w:rsidRPr="0093723D">
        <w:rPr>
          <w:rFonts w:ascii="Arial" w:hAnsi="Arial" w:cs="Arial"/>
          <w:color w:val="000000"/>
          <w:sz w:val="20"/>
          <w:szCs w:val="20"/>
        </w:rPr>
        <w:t xml:space="preserve"> Pandit Deendayal Upadhyaya Adarsha Mahavidyalaya</w:t>
      </w:r>
      <w:r w:rsidRPr="0093723D">
        <w:rPr>
          <w:rFonts w:ascii="Arial" w:hAnsi="Arial" w:cs="Arial"/>
          <w:sz w:val="20"/>
          <w:szCs w:val="20"/>
        </w:rPr>
        <w:t xml:space="preserve">, </w:t>
      </w:r>
      <w:r w:rsidRPr="0093723D">
        <w:rPr>
          <w:rFonts w:ascii="Arial" w:hAnsi="Arial" w:cs="Arial"/>
          <w:color w:val="000000"/>
          <w:sz w:val="20"/>
          <w:szCs w:val="20"/>
        </w:rPr>
        <w:t xml:space="preserve">India </w:t>
      </w:r>
    </w:p>
    <w:sectPr w:rsidR="0017179E" w:rsidRPr="0093723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EA3E" w14:textId="77777777" w:rsidR="00007780" w:rsidRDefault="00007780">
      <w:r>
        <w:separator/>
      </w:r>
    </w:p>
  </w:endnote>
  <w:endnote w:type="continuationSeparator" w:id="0">
    <w:p w14:paraId="54EC8413" w14:textId="77777777" w:rsidR="00007780" w:rsidRDefault="0000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6348" w14:textId="77777777" w:rsidR="005D7D0E" w:rsidRDefault="005D7D0E">
    <w:pPr>
      <w:pStyle w:val="Footer"/>
      <w:jc w:val="right"/>
    </w:pPr>
  </w:p>
  <w:p w14:paraId="23479DB2" w14:textId="77777777" w:rsidR="005D7D0E" w:rsidRDefault="00500D5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A5FF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A5FF5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D7975A8" w14:textId="77777777" w:rsidR="005D7D0E" w:rsidRDefault="00500D5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7A36628" w14:textId="77777777" w:rsidR="005D7D0E" w:rsidRDefault="005D7D0E">
    <w:pPr>
      <w:pStyle w:val="Footer"/>
      <w:jc w:val="right"/>
    </w:pPr>
  </w:p>
  <w:p w14:paraId="2292C1E2" w14:textId="77777777" w:rsidR="005D7D0E" w:rsidRDefault="005D7D0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40566" w14:textId="77777777" w:rsidR="00007780" w:rsidRDefault="00007780">
      <w:r>
        <w:separator/>
      </w:r>
    </w:p>
  </w:footnote>
  <w:footnote w:type="continuationSeparator" w:id="0">
    <w:p w14:paraId="448E10A9" w14:textId="77777777" w:rsidR="00007780" w:rsidRDefault="0000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C470" w14:textId="77777777" w:rsidR="005D7D0E" w:rsidRDefault="005D7D0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E48C25F" w14:textId="77777777" w:rsidR="005D7D0E" w:rsidRDefault="00500D5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B36F76"/>
    <w:multiLevelType w:val="hybridMultilevel"/>
    <w:tmpl w:val="C298D3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2968945">
    <w:abstractNumId w:val="4"/>
  </w:num>
  <w:num w:numId="2" w16cid:durableId="334040909">
    <w:abstractNumId w:val="8"/>
  </w:num>
  <w:num w:numId="3" w16cid:durableId="922371674">
    <w:abstractNumId w:val="7"/>
  </w:num>
  <w:num w:numId="4" w16cid:durableId="1445341707">
    <w:abstractNumId w:val="9"/>
  </w:num>
  <w:num w:numId="5" w16cid:durableId="841744480">
    <w:abstractNumId w:val="6"/>
  </w:num>
  <w:num w:numId="6" w16cid:durableId="1435440361">
    <w:abstractNumId w:val="0"/>
  </w:num>
  <w:num w:numId="7" w16cid:durableId="1143695284">
    <w:abstractNumId w:val="3"/>
  </w:num>
  <w:num w:numId="8" w16cid:durableId="1382170551">
    <w:abstractNumId w:val="11"/>
  </w:num>
  <w:num w:numId="9" w16cid:durableId="30309823">
    <w:abstractNumId w:val="10"/>
  </w:num>
  <w:num w:numId="10" w16cid:durableId="1379087453">
    <w:abstractNumId w:val="2"/>
  </w:num>
  <w:num w:numId="11" w16cid:durableId="1769425267">
    <w:abstractNumId w:val="1"/>
  </w:num>
  <w:num w:numId="12" w16cid:durableId="584995584">
    <w:abstractNumId w:val="5"/>
  </w:num>
  <w:num w:numId="13" w16cid:durableId="13783113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D0E"/>
    <w:rsid w:val="00007780"/>
    <w:rsid w:val="000437DB"/>
    <w:rsid w:val="0017179E"/>
    <w:rsid w:val="00180386"/>
    <w:rsid w:val="00184B83"/>
    <w:rsid w:val="00190A83"/>
    <w:rsid w:val="0025319A"/>
    <w:rsid w:val="00290843"/>
    <w:rsid w:val="002F0649"/>
    <w:rsid w:val="004E26F9"/>
    <w:rsid w:val="00500D51"/>
    <w:rsid w:val="005D7D0E"/>
    <w:rsid w:val="00661595"/>
    <w:rsid w:val="006C662F"/>
    <w:rsid w:val="00770F3B"/>
    <w:rsid w:val="00783928"/>
    <w:rsid w:val="007F6EF7"/>
    <w:rsid w:val="008347AD"/>
    <w:rsid w:val="00935632"/>
    <w:rsid w:val="0093723D"/>
    <w:rsid w:val="009921E5"/>
    <w:rsid w:val="00A528B5"/>
    <w:rsid w:val="00AD516A"/>
    <w:rsid w:val="00B27CF8"/>
    <w:rsid w:val="00B87C3E"/>
    <w:rsid w:val="00C20B07"/>
    <w:rsid w:val="00CD2A63"/>
    <w:rsid w:val="00DA5FF5"/>
    <w:rsid w:val="00E250D3"/>
    <w:rsid w:val="00E6390C"/>
    <w:rsid w:val="00E7655E"/>
    <w:rsid w:val="00E91E1E"/>
    <w:rsid w:val="00EC3861"/>
    <w:rsid w:val="00F366AA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EA64C"/>
  <w15:docId w15:val="{E07B277C-55E0-4BA7-9A26-B40D5E7A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58</cp:revision>
  <dcterms:created xsi:type="dcterms:W3CDTF">2026-03-24T06:15:00Z</dcterms:created>
  <dcterms:modified xsi:type="dcterms:W3CDTF">2026-05-26T11:21:00Z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