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02D2" w14:textId="77777777" w:rsidR="00C33EA5" w:rsidRDefault="00C33EA5">
      <w:pPr>
        <w:rPr>
          <w:lang w:val="en-IN"/>
        </w:rPr>
      </w:pPr>
    </w:p>
    <w:p w14:paraId="28D38230" w14:textId="77777777" w:rsidR="00720F01" w:rsidRDefault="00C33EA5">
      <w:pPr>
        <w:rPr>
          <w:lang w:val="en-IN"/>
        </w:rPr>
      </w:pPr>
      <w:r>
        <w:rPr>
          <w:lang w:val="en-IN"/>
        </w:rPr>
        <w:t xml:space="preserve">            </w:t>
      </w:r>
      <w:r w:rsidR="00720F01" w:rsidRPr="00720F01">
        <w:rPr>
          <w:lang w:val="en-IN"/>
        </w:rPr>
        <w:t>Review Article</w:t>
      </w:r>
    </w:p>
    <w:p w14:paraId="011270CC" w14:textId="19FCE6C4" w:rsidR="00C33EA5" w:rsidRPr="00C33EA5" w:rsidRDefault="00C33EA5">
      <w:pPr>
        <w:rPr>
          <w:b/>
          <w:bCs/>
          <w:lang w:val="en-IN"/>
        </w:rPr>
      </w:pPr>
      <w:bookmarkStart w:id="0" w:name="_Hlk229395635"/>
      <w:r>
        <w:rPr>
          <w:lang w:val="en-IN"/>
        </w:rPr>
        <w:t xml:space="preserve"> </w:t>
      </w:r>
      <w:r w:rsidR="008674F8">
        <w:rPr>
          <w:lang w:val="en-IN"/>
        </w:rPr>
        <w:t xml:space="preserve">      </w:t>
      </w:r>
      <w:bookmarkStart w:id="1" w:name="_Hlk229395680"/>
      <w:r w:rsidRPr="00C33EA5">
        <w:rPr>
          <w:b/>
          <w:bCs/>
          <w:lang w:val="en-IN"/>
        </w:rPr>
        <w:t xml:space="preserve">Clinical Role of Acupressure in </w:t>
      </w:r>
      <w:r w:rsidR="003A2E9E" w:rsidRPr="00C33EA5">
        <w:rPr>
          <w:b/>
          <w:bCs/>
          <w:lang w:val="en-IN"/>
        </w:rPr>
        <w:t>Preventing Postoperative</w:t>
      </w:r>
      <w:r w:rsidRPr="00C33EA5">
        <w:rPr>
          <w:b/>
          <w:bCs/>
          <w:lang w:val="en-IN"/>
        </w:rPr>
        <w:t xml:space="preserve"> Nausea and Vomiting: A Scoping Review</w:t>
      </w:r>
    </w:p>
    <w:bookmarkEnd w:id="0"/>
    <w:bookmarkEnd w:id="1"/>
    <w:p w14:paraId="68A27FEA" w14:textId="77777777" w:rsidR="00C33EA5" w:rsidRDefault="00C33EA5">
      <w:pPr>
        <w:rPr>
          <w:lang w:val="en-IN"/>
        </w:rPr>
      </w:pPr>
    </w:p>
    <w:p w14:paraId="7DA09657" w14:textId="77777777" w:rsidR="00C33EA5" w:rsidRPr="00C33EA5" w:rsidRDefault="00C33EA5">
      <w:pPr>
        <w:rPr>
          <w:lang w:val="en-IN"/>
        </w:rPr>
      </w:pPr>
    </w:p>
    <w:p w14:paraId="5FFCA927" w14:textId="77777777" w:rsidR="00F25541" w:rsidRPr="003232B9" w:rsidRDefault="00AA650C">
      <w:pPr>
        <w:pStyle w:val="Heading1"/>
      </w:pPr>
      <w:r>
        <w:t>Abstract</w:t>
      </w:r>
    </w:p>
    <w:p w14:paraId="7AF22F5B" w14:textId="77777777" w:rsidR="00F25541" w:rsidRDefault="00AA650C">
      <w:pPr>
        <w:spacing w:after="60"/>
        <w:ind w:firstLine="480"/>
        <w:jc w:val="both"/>
      </w:pPr>
      <w:r>
        <w:rPr>
          <w:rFonts w:eastAsia="SimHei"/>
          <w:b/>
          <w:bCs/>
        </w:rPr>
        <w:t xml:space="preserve">Background: </w:t>
      </w:r>
      <w:r>
        <w:t xml:space="preserve">Postoperative nausea and vomiting (PONV) </w:t>
      </w:r>
      <w:proofErr w:type="gramStart"/>
      <w:r>
        <w:t>remains</w:t>
      </w:r>
      <w:proofErr w:type="gramEnd"/>
      <w:r>
        <w:t xml:space="preserve"> one of the most distressing and prevalent complications following anaesthesia and surgery, affecting approximately 30% of unselected surgical patients and up to 80% of individuals with multiple Apfel risk factors. Despite significant advances in pharmacological prophylaxis, residual risk persists, particularly among high-risk groups, and the side-effect profiles and costs of conventional antiemetics limit their universal applicability. Acupressure at the Pericardium 6 (PC6, Neiguan) point offers a non-invasive, low-cost, and nursing-friendly adjunctive intervention that warrants systematic evaluation.</w:t>
      </w:r>
    </w:p>
    <w:p w14:paraId="380FAF5E" w14:textId="77777777" w:rsidR="00F25541" w:rsidRDefault="00AA650C">
      <w:pPr>
        <w:spacing w:after="60"/>
        <w:ind w:firstLine="480"/>
        <w:jc w:val="both"/>
      </w:pPr>
      <w:r>
        <w:rPr>
          <w:rFonts w:eastAsia="SimHei"/>
          <w:b/>
          <w:bCs/>
        </w:rPr>
        <w:t xml:space="preserve">Objective: </w:t>
      </w:r>
      <w:r>
        <w:t>To map and synthesise current evidence on PC6 acupressure for the prevention of PONV, appraise proposed neurophysiological mechanisms, compare efficacy with standard antiemetic agents, and propose evidence-informed implementation strategies relevant to diverse resource settings, with particular emphasis on sub-Saharan Africa.</w:t>
      </w:r>
    </w:p>
    <w:p w14:paraId="4CC785FC" w14:textId="77777777" w:rsidR="00F25541" w:rsidRDefault="00AA650C">
      <w:pPr>
        <w:spacing w:after="60"/>
        <w:ind w:firstLine="480"/>
        <w:jc w:val="both"/>
      </w:pPr>
      <w:r>
        <w:rPr>
          <w:rFonts w:eastAsia="SimHei"/>
          <w:b/>
          <w:bCs/>
        </w:rPr>
        <w:t xml:space="preserve">Methods: </w:t>
      </w:r>
      <w:r>
        <w:t>This scoping review was conducted in accordance with the Joanna Briggs Institute methodology for scoping reviews and reported following the PRISMA Extension for Scoping Reviews (PRISMA-ScR) guidelines. Five electronic databases—MEDLINE (PubMed), Embase (Ovid), Cochrane Central Register of Controlled Trials (CENTRAL), CINAHL, and African Journals Online (AJOL)—were systematically searched from inception to 31 December 2023. Eligible studies included peer-reviewed randomised controlled trials (RCTs), systematic reviews, and meta-analyses evaluating PC6 stimulation for PONV prevention in adults aged 18 years or older. Two independent reviewers screened records, extracted data, and assessed methodological quality. Narrative synthesis prioritised Cochrane reviews and recent network meta-analyses.</w:t>
      </w:r>
    </w:p>
    <w:p w14:paraId="1D6BF069" w14:textId="77777777" w:rsidR="00F25541" w:rsidRDefault="00AA650C">
      <w:pPr>
        <w:spacing w:after="60"/>
        <w:ind w:firstLine="480"/>
        <w:jc w:val="both"/>
      </w:pPr>
      <w:r>
        <w:rPr>
          <w:rFonts w:eastAsia="SimHei"/>
          <w:b/>
          <w:bCs/>
        </w:rPr>
        <w:t xml:space="preserve">Results: </w:t>
      </w:r>
      <w:r>
        <w:t xml:space="preserve">The search yielded 1,247 records, of which 42 sources met inclusion criteria (12 systematic reviews/meta-analyses and 30 landmark RCTs). The 2015 Cochrane review </w:t>
      </w:r>
      <w:r>
        <w:lastRenderedPageBreak/>
        <w:t>comprising 59 RCTs (n=7,667) demonstrated that PC6 stimulation significantly reduced nausea (RR 0.68, 95% CI 0.60–0.77) and vomiting (RR 0.60, 95% CI 0.51–0.71) versus sham, with a number needed to treat for an additional benefit (NNTB) of 5 for nausea at 60% baseline risk. No significant difference was found between PC6 and single-agent antiemetics (ondansetron, dexamethasone, droperidol). The 2025 Cochrane network meta-analysis of 77 trials confirmed additive benefit when PC6 was combined with antiemetics, yielding 135–247 fewer PONV events per 1,000 patients compared with sham. African data show pooled PONV incidence of 25.0% for nausea and 23.7% for vomiting, with lower rates reported in Nigerian obstetric cohorts using regional anaesthesia. Adverse events were minor (skin irritation 1–3%).</w:t>
      </w:r>
    </w:p>
    <w:p w14:paraId="50F2BA25" w14:textId="77777777" w:rsidR="00F25541" w:rsidRDefault="00AA650C">
      <w:pPr>
        <w:spacing w:after="60"/>
        <w:ind w:firstLine="480"/>
        <w:jc w:val="both"/>
      </w:pPr>
      <w:r>
        <w:rPr>
          <w:rFonts w:eastAsia="SimHei"/>
          <w:b/>
          <w:bCs/>
        </w:rPr>
        <w:t xml:space="preserve">Conclusions: </w:t>
      </w:r>
      <w:r>
        <w:t>PC6 acupressure is safe, inexpensive, and supported by moderate-quality evidence. It is non-inferior to single pharmacologic agents and provides incremental benefit in multimodal regimens. Integration into perioperative pathways is warranted, especially in high-risk patients and resource-constrained settings.</w:t>
      </w:r>
    </w:p>
    <w:p w14:paraId="0ADBFAA8" w14:textId="77777777" w:rsidR="00F25541" w:rsidRDefault="00AA650C">
      <w:pPr>
        <w:spacing w:after="60"/>
        <w:jc w:val="both"/>
      </w:pPr>
      <w:r>
        <w:rPr>
          <w:rFonts w:eastAsia="SimHei"/>
          <w:b/>
          <w:bCs/>
        </w:rPr>
        <w:t xml:space="preserve">Keywords: </w:t>
      </w:r>
      <w:r>
        <w:t>acupressure; PC6; Neiguan; postoperative nausea and vomiting; PONV; scoping review; multimodal prophylaxis; PRISMA-ScR</w:t>
      </w:r>
    </w:p>
    <w:p w14:paraId="342BB102" w14:textId="77777777" w:rsidR="00F25541" w:rsidRDefault="00F25541">
      <w:pPr>
        <w:sectPr w:rsidR="00F25541" w:rsidSect="00222CF9">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701" w:header="850" w:footer="992" w:gutter="0"/>
          <w:lnNumType w:countBy="1" w:restart="continuous"/>
          <w:pgNumType w:fmt="upperRoman" w:start="1"/>
          <w:cols w:space="720"/>
          <w:docGrid w:linePitch="360"/>
        </w:sectPr>
      </w:pPr>
    </w:p>
    <w:p w14:paraId="0B32797D" w14:textId="77777777" w:rsidR="00F25541" w:rsidRDefault="00AA650C">
      <w:pPr>
        <w:pStyle w:val="Heading1"/>
      </w:pPr>
      <w:r>
        <w:lastRenderedPageBreak/>
        <w:t>1. Introduction</w:t>
      </w:r>
    </w:p>
    <w:p w14:paraId="2A6B6922" w14:textId="77777777" w:rsidR="00F25541" w:rsidRDefault="00AA650C">
      <w:pPr>
        <w:spacing w:after="60"/>
        <w:ind w:firstLine="480"/>
        <w:jc w:val="both"/>
      </w:pPr>
      <w:r>
        <w:t>Postoperative nausea and vomiting (PONV) is among the most distressing complications of anaesthesia and surgery, impairing recovery, delaying discharge, and substantially reducing patient satisfaction.</w:t>
      </w:r>
      <w:r>
        <w:rPr>
          <w:sz w:val="18"/>
          <w:szCs w:val="18"/>
          <w:vertAlign w:val="superscript"/>
        </w:rPr>
        <w:t>[1]</w:t>
      </w:r>
      <w:r>
        <w:t xml:space="preserve"> Globally, the baseline risk of PONV approximates 30% in unselected surgical populations, rising to 60–80% when all four Apfel criteria are present: female sex, non-smoking status, history of PONV or motion sickness, and postoperative opioid use.</w:t>
      </w:r>
      <w:r>
        <w:rPr>
          <w:sz w:val="18"/>
          <w:szCs w:val="18"/>
          <w:vertAlign w:val="superscript"/>
        </w:rPr>
        <w:t>[2]</w:t>
      </w:r>
      <w:r>
        <w:t xml:space="preserve"> The clinical consequences extend beyond patient discomfort; PONV can lead to wound dehiscence, aspiration pneumonitis, electrolyte imbalances, and increased healthcare utilisation costs.</w:t>
      </w:r>
      <w:r>
        <w:rPr>
          <w:sz w:val="18"/>
          <w:szCs w:val="18"/>
          <w:vertAlign w:val="superscript"/>
        </w:rPr>
        <w:t>[3]</w:t>
      </w:r>
      <w:r>
        <w:t xml:space="preserve"> In Africa, a 2025 systematic review by Bacho and colleagues reported pooled incidences of nausea at 24.96% (95% CI 17.9–32.0) and vomiting at 23.7% (95% CI 17.5–29.8), confirming that PONV remains a substantial clinical burden despite heterogeneity across settings and anaesthetic techniques.</w:t>
      </w:r>
      <w:r>
        <w:rPr>
          <w:sz w:val="18"/>
          <w:szCs w:val="18"/>
          <w:vertAlign w:val="superscript"/>
        </w:rPr>
        <w:t>[4]</w:t>
      </w:r>
    </w:p>
    <w:p w14:paraId="75AD0415" w14:textId="77777777" w:rsidR="00F25541" w:rsidRDefault="00AA650C">
      <w:pPr>
        <w:spacing w:after="60"/>
        <w:ind w:firstLine="480"/>
        <w:jc w:val="both"/>
      </w:pPr>
      <w:r>
        <w:t>Pharmacological prophylaxis remains the cornerstone of PONV management. The Fourth Consensus Guidelines for the Management of Postoperative Nausea and Vomiting, published in 2020, endorse combination antiemetic therapy tailored to patient risk stratification.</w:t>
      </w:r>
      <w:r>
        <w:rPr>
          <w:sz w:val="18"/>
          <w:szCs w:val="18"/>
          <w:vertAlign w:val="superscript"/>
        </w:rPr>
        <w:t>[5]</w:t>
      </w:r>
      <w:r>
        <w:t xml:space="preserve"> However, single agents carry specific risks: QT prolongation with ondansetron, hyperglycaemia with dexamethasone, and extrapyramidal effects with droperidol.</w:t>
      </w:r>
      <w:r>
        <w:rPr>
          <w:sz w:val="18"/>
          <w:szCs w:val="18"/>
          <w:vertAlign w:val="superscript"/>
        </w:rPr>
        <w:t>[6]</w:t>
      </w:r>
      <w:r>
        <w:t xml:space="preserve"> Furthermore, in low- and middle-income countries (LMICs), drug availability and cost frequently limit adherence to guideline-recommended combination therapy. A dose of ondansetron in Nigeria costs approximately US$22, exceeding the daily wage for many patients, which underscores the urgent need for affordable, evidence-based alternatives.</w:t>
      </w:r>
      <w:r>
        <w:rPr>
          <w:sz w:val="18"/>
          <w:szCs w:val="18"/>
          <w:vertAlign w:val="superscript"/>
        </w:rPr>
        <w:t>[7]</w:t>
      </w:r>
    </w:p>
    <w:p w14:paraId="09828574" w14:textId="77777777" w:rsidR="00F25541" w:rsidRDefault="00AA650C">
      <w:pPr>
        <w:spacing w:after="60"/>
        <w:ind w:firstLine="480"/>
        <w:jc w:val="both"/>
      </w:pPr>
      <w:r>
        <w:t>Acupressure at the PC6 (Neiguan) point, located approximately 2 cun (~3 finger-breadths) proximal to the palmar wrist crease between the palmaris longus and flexor carpi radialis tendons overlying the median nerve, provides continuous afferent stimulation without needles or specialised equipment.</w:t>
      </w:r>
      <w:r>
        <w:rPr>
          <w:sz w:val="18"/>
          <w:szCs w:val="18"/>
          <w:vertAlign w:val="superscript"/>
        </w:rPr>
        <w:t>[8]</w:t>
      </w:r>
      <w:r>
        <w:t xml:space="preserve"> Unlike acupuncture, PC6 acupressure requires minimal training and no sterile technique, making it particularly attractive for nursing-led protocols in resource-limited settings. Elastic wristbands (such as Sea-Band) and electrical acustimulation devices (such as ReliefBand) enable self-administration and sustained stimulation throughout the perioperative period.</w:t>
      </w:r>
      <w:r>
        <w:rPr>
          <w:sz w:val="18"/>
          <w:szCs w:val="18"/>
          <w:vertAlign w:val="superscript"/>
        </w:rPr>
        <w:t>[9]</w:t>
      </w:r>
    </w:p>
    <w:p w14:paraId="6F46754D" w14:textId="2B007D3B" w:rsidR="00F25541" w:rsidRDefault="00AA650C">
      <w:pPr>
        <w:spacing w:after="60"/>
        <w:ind w:firstLine="480"/>
        <w:jc w:val="both"/>
      </w:pPr>
      <w:r>
        <w:t xml:space="preserve">Previous systematic syntheses, including the landmark 2015 Cochrane review by Lee and colleagues, established that PC6 stimulation significantly reduces PONV versus sham </w:t>
      </w:r>
      <w:r>
        <w:lastRenderedPageBreak/>
        <w:t>controls.</w:t>
      </w:r>
      <w:r>
        <w:rPr>
          <w:sz w:val="18"/>
          <w:szCs w:val="18"/>
          <w:vertAlign w:val="superscript"/>
        </w:rPr>
        <w:t>[10]</w:t>
      </w:r>
      <w:r>
        <w:t xml:space="preserve"> However, several important questions remain unresolved: the comparative effectiveness of PC6 acupressure against modern antiemetics in contemporary anaesthetic practice, the optimal stimulation modality (manual versus electrical), the incremental value of PC6 when added to multimodal drug regimens, and the applicability of findings to diverse patient populations, including those in sub-Saharan Africa. This scoping review updates the evidence through 2023, incorporates the 2025 Cochrane network meta-analysis, and emphasises </w:t>
      </w:r>
      <w:r w:rsidR="00222CF9">
        <w:t>applicability in Africa</w:t>
      </w:r>
      <w:r>
        <w:t xml:space="preserve"> with a view toward implementation in resource-constrained perioperative pathways.</w:t>
      </w:r>
      <w:r>
        <w:rPr>
          <w:sz w:val="18"/>
          <w:szCs w:val="18"/>
          <w:vertAlign w:val="superscript"/>
        </w:rPr>
        <w:t>[11]</w:t>
      </w:r>
    </w:p>
    <w:p w14:paraId="7D0EF3B8" w14:textId="77777777" w:rsidR="00F25541" w:rsidRDefault="00AA650C">
      <w:pPr>
        <w:pStyle w:val="Heading1"/>
      </w:pPr>
      <w:r>
        <w:t>2. Methods</w:t>
      </w:r>
    </w:p>
    <w:p w14:paraId="41A8D7A6" w14:textId="77777777" w:rsidR="00F25541" w:rsidRDefault="00AA650C">
      <w:pPr>
        <w:spacing w:after="60"/>
        <w:ind w:firstLine="480"/>
        <w:jc w:val="both"/>
      </w:pPr>
      <w:r>
        <w:t>This scoping review was conducted in accordance with the Joanna Briggs Institute (JBI) methodology for scoping reviews and is reported following the PRISMA Extension for Scoping Reviews (PRISMA-ScR) guidelines.</w:t>
      </w:r>
      <w:r>
        <w:rPr>
          <w:sz w:val="18"/>
          <w:szCs w:val="18"/>
          <w:vertAlign w:val="superscript"/>
        </w:rPr>
        <w:t>[12]</w:t>
      </w:r>
      <w:r>
        <w:t xml:space="preserve"> The protocol was developed a priori and adhered to the methodological framework proposed by Peters and colleagues for conducting systematic scoping reviews.</w:t>
      </w:r>
      <w:r>
        <w:rPr>
          <w:sz w:val="18"/>
          <w:szCs w:val="18"/>
          <w:vertAlign w:val="superscript"/>
        </w:rPr>
        <w:t>[13]</w:t>
      </w:r>
      <w:r>
        <w:t xml:space="preserve"> As a scoping review synthesising published literature, no ethical approval was required.</w:t>
      </w:r>
    </w:p>
    <w:p w14:paraId="0565D440" w14:textId="77777777" w:rsidR="00F25541" w:rsidRDefault="00AA650C">
      <w:pPr>
        <w:pStyle w:val="Heading2"/>
      </w:pPr>
      <w:r>
        <w:t>2.1 Search Strategy</w:t>
      </w:r>
    </w:p>
    <w:p w14:paraId="2E8C3FAB" w14:textId="77777777" w:rsidR="00F25541" w:rsidRDefault="00AA650C">
      <w:pPr>
        <w:spacing w:after="60"/>
        <w:ind w:firstLine="480"/>
        <w:jc w:val="both"/>
      </w:pPr>
      <w:r>
        <w:t>A comprehensive, systematic literature search was conducted across five electronic databases: MEDLINE (via PubMed), Embase (via Ovid), the Cochrane Central Register of Controlled Trials (CENTRAL), CINAHL (Cumulative Index to Nursing and Allied Health Literature), and African Journals Online (AJOL). The search encompassed records from database inception to 31 December 2023. The search strategy combined Medical Subject Headings (MeSH) and free-text terms as follows: ("acupressure" OR "PC6" OR "P6" OR "Neiguan" OR "acustimulation" OR "wristband" OR "Sea-Band") AND ("postoperative nausea" OR "postoperative vomiting" OR "PONV" OR "post-operative emesis"). No language restrictions were applied during the initial search; however, non-English articles without available translations were excluded at full-text screening. Reference lists of all included systematic reviews and relevant meta-analyses were hand-searched to identify additional eligible studies. Citation tracking was performed using Google Scholar to minimise the risk of missing relevant publications.</w:t>
      </w:r>
    </w:p>
    <w:p w14:paraId="5573413C" w14:textId="77777777" w:rsidR="00F25541" w:rsidRDefault="00AA650C">
      <w:pPr>
        <w:pStyle w:val="Heading2"/>
      </w:pPr>
      <w:r>
        <w:lastRenderedPageBreak/>
        <w:t>2.2 Eligibility Criteria</w:t>
      </w:r>
    </w:p>
    <w:p w14:paraId="419A8AE4" w14:textId="77777777" w:rsidR="00F25541" w:rsidRDefault="00AA650C">
      <w:pPr>
        <w:spacing w:after="60"/>
        <w:ind w:firstLine="480"/>
        <w:jc w:val="both"/>
      </w:pPr>
      <w:r>
        <w:t>Studies were eligible for inclusion if they met the following criteria: (i) study design comprising randomised controlled trials (RCTs), systematic reviews, or meta-analyses; (ii) population of adults aged 18 years or older undergoing surgery under general or regional anaesthesia; (iii) intervention involving PC6 acupressure delivered via manual pressure, elastic wristband, or electrical acustimulation for the prevention of PONV; and (iv) comparator including sham acupressure, no treatment, standard care, or pharmacological antiemetic agents. Studies were excluded if they: involved needle acupuncture without an acupressure arm; enrolled paediatric populations (under 18 years); evaluated non-PC6 acupoints without separate subgroup data for PC6; focused exclusively on chemotherapy-induced or pregnancy-induced nausea and vomiting; or were published in languages other than English without available translation. Conference abstracts, letters, editorials, and case reports were also excluded.</w:t>
      </w:r>
    </w:p>
    <w:p w14:paraId="60CF1C7A" w14:textId="77777777" w:rsidR="00F25541" w:rsidRDefault="00AA650C">
      <w:pPr>
        <w:pStyle w:val="Heading2"/>
      </w:pPr>
      <w:r>
        <w:t>2.3 Screening and Data Charting</w:t>
      </w:r>
    </w:p>
    <w:p w14:paraId="04845163" w14:textId="77777777" w:rsidR="00F25541" w:rsidRDefault="00AA650C">
      <w:pPr>
        <w:spacing w:after="60"/>
        <w:ind w:firstLine="480"/>
        <w:jc w:val="both"/>
      </w:pPr>
      <w:r>
        <w:t>After deduplication in EndNote (Clarivate Analytics), two reviewers (O.S.O. and A.A.A.) independently screened titles and abstracts against the eligibility criteria. Full-text articles of potentially relevant records were then retrieved and assessed independently by the same two reviewers. Discrepancies at either screening stage were resolved through discussion and consensus, with involvement of a third reviewer (D.O.O.) when necessary. Data charting was performed using a standardised form developed a priori, which captured: study design, population characteristics, anaesthetic technique, intervention details (type of PC6 stimulation, timing of application, duration, unilateral versus bilateral), comparator(s), primary and secondary outcomes (incidence of nausea, vomiting, use of rescue antiemetics), and reported adverse events. Methodological quality of included systematic reviews was assessed using the AMSTAR-2 (A Measurement Tool to Assess Systematic Reviews 2) instrument.</w:t>
      </w:r>
    </w:p>
    <w:p w14:paraId="6332E701" w14:textId="77777777" w:rsidR="00F25541" w:rsidRDefault="00AA650C">
      <w:pPr>
        <w:pStyle w:val="Heading2"/>
      </w:pPr>
      <w:r>
        <w:t>2.4 Synthesis and Reporting</w:t>
      </w:r>
    </w:p>
    <w:p w14:paraId="32D4F95D" w14:textId="77777777" w:rsidR="00F25541" w:rsidRDefault="00AA650C">
      <w:pPr>
        <w:spacing w:after="60"/>
        <w:ind w:firstLine="480"/>
        <w:jc w:val="both"/>
      </w:pPr>
      <w:r>
        <w:t xml:space="preserve">Given the heterogeneous nature of the included studies with respect to interventions, comparators, and outcome definitions, a narrative synthesis was conducted rather than de </w:t>
      </w:r>
      <w:r>
        <w:lastRenderedPageBreak/>
        <w:t>novo quantitative meta-analysis. The synthesis was structured around four principal domains: (i) proposed neurophysiological mechanisms of PC6 acupressure; (ii) efficacy of PC6 stimulation versus sham controls; (iii) comparative effectiveness of PC6 versus pharmacological antiemetics and additive benefit in combination therapy; and (iv) safety profile and implementation considerations. Quantitative data were extracted from existing Cochrane reviews to avoid duplicate pooling of the same primary studies. The review follows the PRISMA-ScR reporting checklist, and a PRISMA flow diagram documents the study selection process (Figure 1).</w:t>
      </w:r>
      <w:r>
        <w:rPr>
          <w:sz w:val="18"/>
          <w:szCs w:val="18"/>
          <w:vertAlign w:val="superscript"/>
        </w:rPr>
        <w:t>[14]</w:t>
      </w:r>
    </w:p>
    <w:p w14:paraId="2F6F431F" w14:textId="77777777" w:rsidR="00F25541" w:rsidRDefault="00AA650C">
      <w:pPr>
        <w:pStyle w:val="Heading1"/>
      </w:pPr>
      <w:r>
        <w:t>3. Results</w:t>
      </w:r>
    </w:p>
    <w:p w14:paraId="5A6ECA09" w14:textId="77777777" w:rsidR="00F25541" w:rsidRDefault="00AA650C">
      <w:pPr>
        <w:spacing w:after="60"/>
        <w:ind w:firstLine="480"/>
        <w:jc w:val="both"/>
      </w:pPr>
      <w:r>
        <w:t>The systematic search yielded 1,247 records across the five databases. After removal of 265 duplicates, 982 unique records underwent title and abstract screening. Of these, 87 articles were assessed at full-text level, and 45 were excluded with documented reasons (wrong intervention n=22, paediatric population n=12, no PC6-specific data n=11). A total of 42 sources met the inclusion criteria and were included in the scoping review: 12 systematic reviews and meta-analyses, and 30 landmark RCTs. The PRISMA-ScR flow diagram is presented in Figure 1.</w:t>
      </w:r>
    </w:p>
    <w:p w14:paraId="609137E3" w14:textId="77777777" w:rsidR="008B4265" w:rsidRDefault="008B4265">
      <w:pPr>
        <w:spacing w:after="60"/>
        <w:ind w:firstLine="480"/>
        <w:jc w:val="both"/>
      </w:pPr>
    </w:p>
    <w:p w14:paraId="00DA9534" w14:textId="77777777" w:rsidR="008B4265" w:rsidRDefault="008B4265">
      <w:pPr>
        <w:spacing w:after="60"/>
        <w:ind w:firstLine="480"/>
        <w:jc w:val="both"/>
      </w:pPr>
    </w:p>
    <w:p w14:paraId="6749A9F0" w14:textId="77777777" w:rsidR="00F25541" w:rsidRDefault="00AA650C">
      <w:pPr>
        <w:spacing w:after="60"/>
        <w:jc w:val="center"/>
      </w:pPr>
      <w:r>
        <w:rPr>
          <w:noProof/>
        </w:rPr>
        <w:lastRenderedPageBreak/>
        <w:drawing>
          <wp:inline distT="0" distB="0" distL="0" distR="0" wp14:anchorId="056B9270" wp14:editId="0ADD7A7A">
            <wp:extent cx="4572000" cy="5729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png"/>
                    <pic:cNvPicPr/>
                  </pic:nvPicPr>
                  <pic:blipFill>
                    <a:blip r:embed="rId13"/>
                    <a:stretch>
                      <a:fillRect/>
                    </a:stretch>
                  </pic:blipFill>
                  <pic:spPr>
                    <a:xfrm>
                      <a:off x="0" y="0"/>
                      <a:ext cx="4572000" cy="5729468"/>
                    </a:xfrm>
                    <a:prstGeom prst="rect">
                      <a:avLst/>
                    </a:prstGeom>
                  </pic:spPr>
                </pic:pic>
              </a:graphicData>
            </a:graphic>
          </wp:inline>
        </w:drawing>
      </w:r>
    </w:p>
    <w:p w14:paraId="100940E5" w14:textId="77777777" w:rsidR="00F25541" w:rsidRDefault="00AA650C">
      <w:pPr>
        <w:spacing w:before="60" w:after="200"/>
        <w:jc w:val="center"/>
      </w:pPr>
      <w:r>
        <w:rPr>
          <w:color w:val="333333"/>
          <w:sz w:val="21"/>
          <w:szCs w:val="21"/>
        </w:rPr>
        <w:t>Figure 1. PRISMA-ScR flow diagram illustrating the study selection process from database identification through screening, eligibility assessment, to final inclusion of 42 studies in the scoping review of PC6 acupressure for preventing postoperative nausea and vomiting. Databases searched: MEDLINE, Embase, Cochrane CENTRAL, CINAHL, and African Journals Online. Records identified: n=1,247; duplicates removed: n=265; records screened: n=982; full-text articles assessed: n=87; studies excluded: n=45 (wrong intervention n=22, paediatric n=12, no PC6 data n=11); studies included: n=42 (12 systematic reviews, 30 RCTs).</w:t>
      </w:r>
    </w:p>
    <w:p w14:paraId="4E0B4976" w14:textId="77777777" w:rsidR="00F25541" w:rsidRDefault="00AA650C">
      <w:pPr>
        <w:pStyle w:val="Heading2"/>
      </w:pPr>
      <w:r>
        <w:t>3.1 Neurophysiological Mechanisms of PC6 Acupressure</w:t>
      </w:r>
    </w:p>
    <w:p w14:paraId="220E1D85" w14:textId="77777777" w:rsidR="00F25541" w:rsidRDefault="00AA650C">
      <w:pPr>
        <w:spacing w:after="60"/>
        <w:ind w:firstLine="480"/>
        <w:jc w:val="both"/>
      </w:pPr>
      <w:r>
        <w:t xml:space="preserve">The PC6 (Neiguan) acupoint overlies the median nerve at a depth of approximately 0.5–1.0 cm, situated between the tendons of palmaris longus and flexor carpi radialis. </w:t>
      </w:r>
      <w:r>
        <w:lastRenderedPageBreak/>
        <w:t>Mechanical or electrical stimulation at this point activates large-diameter A-beta afferent nerve fibres, which project via the dorsal column–medial lemniscus pathway to the nucleus tractus solitarius (NTS) and area postrema—the central vomiting centre in the brainstem.</w:t>
      </w:r>
      <w:r>
        <w:rPr>
          <w:sz w:val="18"/>
          <w:szCs w:val="18"/>
          <w:vertAlign w:val="superscript"/>
        </w:rPr>
        <w:t>[15]</w:t>
      </w:r>
      <w:r>
        <w:t xml:space="preserve"> Functional magnetic resonance imaging (fMRI) studies have demonstrated that PC6 stimulation modulates activity in the insular cortex, periaqueductal grey, and hypothalamus, regions intimately involved in autonomic regulation and the emetic reflex.</w:t>
      </w:r>
      <w:r>
        <w:rPr>
          <w:sz w:val="18"/>
          <w:szCs w:val="18"/>
          <w:vertAlign w:val="superscript"/>
        </w:rPr>
        <w:t>[16]</w:t>
      </w:r>
    </w:p>
    <w:p w14:paraId="128F2F24" w14:textId="77777777" w:rsidR="00F25541" w:rsidRDefault="00AA650C">
      <w:pPr>
        <w:spacing w:after="60"/>
        <w:ind w:firstLine="480"/>
        <w:jc w:val="both"/>
      </w:pPr>
      <w:r>
        <w:t>At the neurochemical level, data from both animal models and human studies suggest that PC6 stimulation increases endogenous beta-endorphin release and down-regulates serotonin 5-HT3 receptor activity in the brainstem, thereby paralleling the pharmacological mechanism of ondansetron.</w:t>
      </w:r>
      <w:r>
        <w:rPr>
          <w:sz w:val="18"/>
          <w:szCs w:val="18"/>
          <w:vertAlign w:val="superscript"/>
        </w:rPr>
        <w:t>[17]</w:t>
      </w:r>
      <w:r>
        <w:t xml:space="preserve"> Additionally, PC6 acupressure has been shown to enhance vagal tone and reduce gastric dysrhythmia, providing a peripheral mechanism that complements central antiemetic effects.</w:t>
      </w:r>
      <w:r>
        <w:rPr>
          <w:sz w:val="18"/>
          <w:szCs w:val="18"/>
          <w:vertAlign w:val="superscript"/>
        </w:rPr>
        <w:t>[18]</w:t>
      </w:r>
      <w:r>
        <w:t xml:space="preserve"> Lan and colleagues (2023) demonstrated that acupuncture at Neiguan significantly increased vagal modulation in healthy volunteers, as measured by heart rate variability parameters, supporting the role of autonomic pathway activation in the antiemetic mechanism.</w:t>
      </w:r>
      <w:r>
        <w:rPr>
          <w:sz w:val="18"/>
          <w:szCs w:val="18"/>
          <w:vertAlign w:val="superscript"/>
        </w:rPr>
        <w:t>[19]</w:t>
      </w:r>
    </w:p>
    <w:p w14:paraId="1A1037EB" w14:textId="77777777" w:rsidR="00F25541" w:rsidRDefault="00AA650C">
      <w:pPr>
        <w:pStyle w:val="Heading2"/>
      </w:pPr>
      <w:r>
        <w:t>3.2 Efficacy of PC6 Stimulation Versus Sham Controls</w:t>
      </w:r>
    </w:p>
    <w:p w14:paraId="7B3E02EA" w14:textId="77777777" w:rsidR="00F25541" w:rsidRDefault="00AA650C">
      <w:pPr>
        <w:spacing w:after="60"/>
        <w:ind w:firstLine="480"/>
        <w:jc w:val="both"/>
      </w:pPr>
      <w:r>
        <w:t>The most comprehensive evidence for the efficacy of PC6 stimulation versus sham comes from the Cochrane review by Lee and colleagues (2015), which included 59 RCTs encompassing 7,667 participants.</w:t>
      </w:r>
      <w:r>
        <w:rPr>
          <w:sz w:val="18"/>
          <w:szCs w:val="18"/>
          <w:vertAlign w:val="superscript"/>
        </w:rPr>
        <w:t>[10]</w:t>
      </w:r>
      <w:r>
        <w:t xml:space="preserve"> This review found that PC6 stimulation significantly reduced the incidence of nausea (risk ratio [RR] 0.68, 95% CI 0.60–0.77) and vomiting (RR 0.60, 95% CI 0.51–0.71) compared with sham controls. Trial sequential analysis confirmed that the evidence was firm, with the cumulative Z-score crossing the monitoring boundary. The number needed to treat for an additional benefit (NNTB) was 5 (95% CI 4–7) for nausea at a baseline risk of 60%, indicating clinically meaningful absolute risk reduction.</w:t>
      </w:r>
    </w:p>
    <w:p w14:paraId="1502D554" w14:textId="77777777" w:rsidR="00F25541" w:rsidRDefault="00AA650C">
      <w:pPr>
        <w:spacing w:after="60"/>
        <w:ind w:firstLine="480"/>
        <w:jc w:val="both"/>
      </w:pPr>
      <w:r>
        <w:t>Subgroup analyses within the Cochrane review suggested that the antiemetic effect was consistent across different stimulation modalities (manual pressure, elastic wristband, and electrical acustimulation), although direct comparisons between modalities were limited by the small number of head-to-head trials. The updated 2025 Cochrane network meta-analysis by Lee and colleagues expanded the evidence base to 77 trials and confirmed these findings, reporting that combination PC6 plus antiemetic therapy reduced PONV by 135–247 fewer events per 1,000 patients compared with sham, depending on the specific antiemetic combination used.</w:t>
      </w:r>
      <w:r>
        <w:rPr>
          <w:sz w:val="18"/>
          <w:szCs w:val="18"/>
          <w:vertAlign w:val="superscript"/>
        </w:rPr>
        <w:t>[11]</w:t>
      </w:r>
      <w:r>
        <w:t xml:space="preserve"> These effect sizes are comparable to those of single-agent </w:t>
      </w:r>
      <w:r>
        <w:lastRenderedPageBreak/>
        <w:t>pharmacological prophylaxis and provide strong support for the inclusion of PC6 in multimodal PONV prevention strategies.</w:t>
      </w:r>
    </w:p>
    <w:p w14:paraId="28BEB6FB" w14:textId="77777777" w:rsidR="00F25541" w:rsidRDefault="00AA650C">
      <w:pPr>
        <w:spacing w:after="60"/>
        <w:ind w:firstLine="480"/>
        <w:jc w:val="both"/>
      </w:pPr>
      <w:r>
        <w:t>More recent meta-analyses have corroborated these findings. Sridhar and colleagues (2023) conducted a meta-analysis of RCTs evaluating acupressure specifically in laparoscopic surgical populations and reported significant reductions in PONV incidence, with pooled effect sizes consistent with the broader Cochrane evidence.</w:t>
      </w:r>
      <w:r>
        <w:rPr>
          <w:sz w:val="18"/>
          <w:szCs w:val="18"/>
          <w:vertAlign w:val="superscript"/>
        </w:rPr>
        <w:t>[20]</w:t>
      </w:r>
      <w:r>
        <w:t xml:space="preserve"> Similarly, Zhao and colleagues (2024) demonstrated in a focused meta-analysis that acupressure significantly reduced nausea and vomiting after laparoscopic cholecystectomy, one of the highest-risk procedures for PONV.</w:t>
      </w:r>
      <w:r>
        <w:rPr>
          <w:sz w:val="18"/>
          <w:szCs w:val="18"/>
          <w:vertAlign w:val="superscript"/>
        </w:rPr>
        <w:t>[21]</w:t>
      </w:r>
    </w:p>
    <w:p w14:paraId="377E8F41" w14:textId="77777777" w:rsidR="00F25541" w:rsidRDefault="00AA650C">
      <w:pPr>
        <w:pStyle w:val="Heading2"/>
      </w:pPr>
      <w:r>
        <w:t>3.3 Comparative Effectiveness Against Pharmacological Antiemetics</w:t>
      </w:r>
    </w:p>
    <w:p w14:paraId="0D4A82D0" w14:textId="77777777" w:rsidR="00F25541" w:rsidRDefault="00AA650C">
      <w:pPr>
        <w:spacing w:after="60"/>
        <w:ind w:firstLine="480"/>
        <w:jc w:val="both"/>
      </w:pPr>
      <w:r>
        <w:t>A critical question for clinical implementation is whether PC6 acupressure is equivalent to, or can substitute for, standard pharmacological antiemetics. The 2015 Cochrane review found no statistically significant difference between PC6 stimulation and single-agent antiemetics for the prevention of nausea (RR 0.91, 95% CI 0.75–1.10) or vomiting (RR 0.93, 95% CI 0.74–1.17), with moderate-quality evidence.</w:t>
      </w:r>
      <w:r>
        <w:rPr>
          <w:sz w:val="18"/>
          <w:szCs w:val="18"/>
          <w:vertAlign w:val="superscript"/>
        </w:rPr>
        <w:t>[10]</w:t>
      </w:r>
      <w:r>
        <w:t xml:space="preserve"> This non-inferiority finding has been supported by several individual RCTs. Agarwal and colleagues (2002) randomised 150 patients undergoing laparoscopic cholecystectomy and found comparable PONV rates between the acupressure wristband group (26%) and the ondansetron group (28%), both significantly lower than placebo (50%).</w:t>
      </w:r>
      <w:r>
        <w:rPr>
          <w:sz w:val="18"/>
          <w:szCs w:val="18"/>
          <w:vertAlign w:val="superscript"/>
        </w:rPr>
        <w:t>[22]</w:t>
      </w:r>
    </w:p>
    <w:p w14:paraId="7E892300" w14:textId="77777777" w:rsidR="00F25541" w:rsidRDefault="00AA650C">
      <w:pPr>
        <w:spacing w:after="60"/>
        <w:ind w:firstLine="480"/>
        <w:jc w:val="both"/>
      </w:pPr>
      <w:r>
        <w:t>Alkaissi and colleagues (2002) demonstrated in a large trial of 410 gynaecological surgery patients that PC6 wristband application reduced PONV from 46% (sham) to 33% (p=0.019).</w:t>
      </w:r>
      <w:r>
        <w:rPr>
          <w:sz w:val="18"/>
          <w:szCs w:val="18"/>
          <w:vertAlign w:val="superscript"/>
        </w:rPr>
        <w:t>[23]</w:t>
      </w:r>
      <w:r>
        <w:t xml:space="preserve"> In the context of combination therapy, Habib and colleagues (2006) showed that the ReliefBand device provided additive nausea reduction when combined with ondansetron in breast surgery patients, and White and colleagues (2012) demonstrated that a disposable acupressure device added to standard antiemetic prophylaxis reduced PONV from 48% to 26% in gynaecological surgery.</w:t>
      </w:r>
      <w:r>
        <w:rPr>
          <w:sz w:val="18"/>
          <w:szCs w:val="18"/>
          <w:vertAlign w:val="superscript"/>
        </w:rPr>
        <w:t>[24][25]</w:t>
      </w:r>
      <w:r>
        <w:t xml:space="preserve"> The 2025 Cochrane network meta-analysis further strengthened the case for combination therapy, demonstrating that PC6 plus antiemetic combinations consistently outperformed either intervention alone.</w:t>
      </w:r>
      <w:r>
        <w:rPr>
          <w:sz w:val="18"/>
          <w:szCs w:val="18"/>
          <w:vertAlign w:val="superscript"/>
        </w:rPr>
        <w:t>[11]</w:t>
      </w:r>
    </w:p>
    <w:p w14:paraId="6E10B51A" w14:textId="77777777" w:rsidR="00F25541" w:rsidRDefault="00AA650C">
      <w:pPr>
        <w:spacing w:after="60"/>
        <w:ind w:firstLine="480"/>
        <w:jc w:val="both"/>
      </w:pPr>
      <w:r>
        <w:t>The landmark Cochrane network meta-analysis by Weibel and colleagues (2020) compared all available pharmacological antiemetics for PONV prevention and established the relative efficacy ranking of individual agents.</w:t>
      </w:r>
      <w:r>
        <w:rPr>
          <w:sz w:val="18"/>
          <w:szCs w:val="18"/>
          <w:vertAlign w:val="superscript"/>
        </w:rPr>
        <w:t>[6]</w:t>
      </w:r>
      <w:r>
        <w:t xml:space="preserve"> When PC6 acupressure data from the </w:t>
      </w:r>
      <w:r>
        <w:lastRenderedPageBreak/>
        <w:t>Cochrane reviews are contextualised within this pharmacological framework, PC6 stimulation falls within the same effectiveness tier as single-agent 5-HT3 antagonists or dexamethasone, supporting its role as a legitimate component of multimodal prophylaxis rather than a mere complementary add-on.</w:t>
      </w:r>
    </w:p>
    <w:p w14:paraId="12009B43" w14:textId="77777777" w:rsidR="00F25541" w:rsidRDefault="00AA650C">
      <w:pPr>
        <w:keepNext/>
        <w:spacing w:before="200" w:after="100"/>
        <w:jc w:val="center"/>
      </w:pPr>
      <w:r>
        <w:rPr>
          <w:color w:val="333333"/>
          <w:sz w:val="21"/>
          <w:szCs w:val="21"/>
        </w:rPr>
        <w:t>Table 1. Characteristics and clinical recommendations for PC6 acupressure delivery modalities for the prevention of postoperative nausea and vomiting (PONV). Cost estimates reflect approximate United States dollar values at time of publication.</w:t>
      </w:r>
    </w:p>
    <w:tbl>
      <w:tblPr>
        <w:tblW w:w="5000" w:type="pct"/>
        <w:tblBorders>
          <w:top w:val="single" w:sz="4" w:space="0" w:color="000000"/>
          <w:left w:val="none" w:sz="0" w:space="0" w:color="FFFFFF"/>
          <w:bottom w:val="single" w:sz="4" w:space="0" w:color="000000"/>
          <w:right w:val="none" w:sz="0" w:space="0" w:color="FFFFFF"/>
        </w:tblBorders>
        <w:tblCellMar>
          <w:left w:w="10" w:type="dxa"/>
          <w:right w:w="10" w:type="dxa"/>
        </w:tblCellMar>
        <w:tblLook w:val="04A0" w:firstRow="1" w:lastRow="0" w:firstColumn="1" w:lastColumn="0" w:noHBand="0" w:noVBand="1"/>
      </w:tblPr>
      <w:tblGrid>
        <w:gridCol w:w="2067"/>
        <w:gridCol w:w="2457"/>
        <w:gridCol w:w="1273"/>
        <w:gridCol w:w="2991"/>
      </w:tblGrid>
      <w:tr w:rsidR="00F25541" w14:paraId="77154245" w14:textId="77777777">
        <w:trPr>
          <w:cantSplit/>
          <w:tblHeader/>
        </w:trPr>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3C5113B6" w14:textId="77777777" w:rsidR="00F25541" w:rsidRDefault="00AA650C">
            <w:pPr>
              <w:jc w:val="center"/>
            </w:pPr>
            <w:r>
              <w:rPr>
                <w:b/>
                <w:bCs/>
                <w:sz w:val="21"/>
                <w:szCs w:val="21"/>
              </w:rPr>
              <w:t>Modality</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0D6DF3B4" w14:textId="77777777" w:rsidR="00F25541" w:rsidRDefault="00AA650C">
            <w:pPr>
              <w:jc w:val="center"/>
            </w:pPr>
            <w:r>
              <w:rPr>
                <w:b/>
                <w:bCs/>
                <w:sz w:val="21"/>
                <w:szCs w:val="21"/>
              </w:rPr>
              <w:t>Mechanism</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4E2AF7E9" w14:textId="77777777" w:rsidR="00F25541" w:rsidRDefault="00AA650C">
            <w:pPr>
              <w:jc w:val="center"/>
            </w:pPr>
            <w:r>
              <w:rPr>
                <w:b/>
                <w:bCs/>
                <w:sz w:val="21"/>
                <w:szCs w:val="21"/>
              </w:rPr>
              <w:t>Cost (USD)</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61759656" w14:textId="77777777" w:rsidR="00F25541" w:rsidRDefault="00AA650C">
            <w:pPr>
              <w:jc w:val="center"/>
            </w:pPr>
            <w:r>
              <w:rPr>
                <w:b/>
                <w:bCs/>
                <w:sz w:val="21"/>
                <w:szCs w:val="21"/>
              </w:rPr>
              <w:t>Clinical Recommendation</w:t>
            </w:r>
          </w:p>
        </w:tc>
      </w:tr>
      <w:tr w:rsidR="00F25541" w14:paraId="5D9ECADE"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59C59E4" w14:textId="77777777" w:rsidR="00F25541" w:rsidRDefault="00AA650C">
            <w:r>
              <w:rPr>
                <w:sz w:val="21"/>
                <w:szCs w:val="21"/>
              </w:rPr>
              <w:t>Elastic wristband (e.g., Sea-Band)</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A312704" w14:textId="77777777" w:rsidR="00F25541" w:rsidRDefault="00AA650C">
            <w:r>
              <w:rPr>
                <w:sz w:val="21"/>
                <w:szCs w:val="21"/>
              </w:rPr>
              <w:t>Continuous mechanical pressure on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AB29E38" w14:textId="77777777" w:rsidR="00F25541" w:rsidRDefault="00AA650C">
            <w:r>
              <w:rPr>
                <w:sz w:val="21"/>
                <w:szCs w:val="21"/>
              </w:rPr>
              <w:t>~5–15 (reusable)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16C950D" w14:textId="77777777" w:rsidR="00F25541" w:rsidRDefault="00AA650C">
            <w:r>
              <w:rPr>
                <w:sz w:val="21"/>
                <w:szCs w:val="21"/>
              </w:rPr>
              <w:t>First-line for routine prophylaxis; apply bilaterally 30–60 min pre-induction</w:t>
            </w:r>
          </w:p>
        </w:tc>
      </w:tr>
      <w:tr w:rsidR="00F25541" w14:paraId="56E0A1A2"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FD99ADD" w14:textId="77777777" w:rsidR="00F25541" w:rsidRDefault="00AA650C">
            <w:r>
              <w:rPr>
                <w:sz w:val="21"/>
                <w:szCs w:val="21"/>
              </w:rPr>
              <w:t>Manual thumb pressure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A16DF8F" w14:textId="77777777" w:rsidR="00F25541" w:rsidRDefault="00AA650C">
            <w:r>
              <w:rPr>
                <w:sz w:val="21"/>
                <w:szCs w:val="21"/>
              </w:rPr>
              <w:t>Intermittent digital pressure on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A8B5188" w14:textId="77777777" w:rsidR="00F25541" w:rsidRDefault="00AA650C">
            <w:r>
              <w:rPr>
                <w:sz w:val="21"/>
                <w:szCs w:val="21"/>
              </w:rPr>
              <w:t>Negligible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DC3AD69" w14:textId="77777777" w:rsidR="00F25541" w:rsidRDefault="00AA650C">
            <w:r>
              <w:rPr>
                <w:sz w:val="21"/>
                <w:szCs w:val="21"/>
              </w:rPr>
              <w:t>Rescue only; operator-dependent, not sustained</w:t>
            </w:r>
          </w:p>
        </w:tc>
      </w:tr>
      <w:tr w:rsidR="00F25541" w14:paraId="4007C0B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2A5B3E0" w14:textId="77777777" w:rsidR="00F25541" w:rsidRDefault="00AA650C">
            <w:r>
              <w:rPr>
                <w:sz w:val="21"/>
                <w:szCs w:val="21"/>
              </w:rPr>
              <w:t>Electrical acustimulation (e.g., ReliefBand)</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9F23AB2" w14:textId="77777777" w:rsidR="00F25541" w:rsidRDefault="00AA650C">
            <w:r>
              <w:rPr>
                <w:sz w:val="21"/>
                <w:szCs w:val="21"/>
              </w:rPr>
              <w:t>Transcutaneous electrical nerve stimulation (TENS) at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CC2797C" w14:textId="77777777" w:rsidR="00F25541" w:rsidRDefault="00AA650C">
            <w:r>
              <w:rPr>
                <w:sz w:val="21"/>
                <w:szCs w:val="21"/>
              </w:rPr>
              <w:t>~50–150 (device)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BBB6B14" w14:textId="77777777" w:rsidR="00F25541" w:rsidRDefault="00AA650C">
            <w:r>
              <w:rPr>
                <w:sz w:val="21"/>
                <w:szCs w:val="21"/>
              </w:rPr>
              <w:t>High-risk patients or when pharmacologic escalation undesirable</w:t>
            </w:r>
          </w:p>
        </w:tc>
      </w:tr>
      <w:tr w:rsidR="00F25541" w14:paraId="52FF483E"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479469D" w14:textId="77777777" w:rsidR="00F25541" w:rsidRDefault="00AA650C">
            <w:r>
              <w:rPr>
                <w:sz w:val="21"/>
                <w:szCs w:val="21"/>
              </w:rPr>
              <w:t>Acupressure seeds/magnets</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B969A80" w14:textId="77777777" w:rsidR="00F25541" w:rsidRDefault="00AA650C">
            <w:r>
              <w:rPr>
                <w:sz w:val="21"/>
                <w:szCs w:val="21"/>
              </w:rPr>
              <w:t>Localised sustained pressure via adhesive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BB1F373" w14:textId="77777777" w:rsidR="00F25541" w:rsidRDefault="00AA650C">
            <w:r>
              <w:rPr>
                <w:sz w:val="21"/>
                <w:szCs w:val="21"/>
              </w:rPr>
              <w:t>~1–3</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4D5392E" w14:textId="77777777" w:rsidR="00F25541" w:rsidRDefault="00AA650C">
            <w:r>
              <w:rPr>
                <w:sz w:val="21"/>
                <w:szCs w:val="21"/>
              </w:rPr>
              <w:t>Insufficient high-quality evidence for routine recommendation</w:t>
            </w:r>
          </w:p>
        </w:tc>
      </w:tr>
    </w:tbl>
    <w:p w14:paraId="268344A6" w14:textId="77777777" w:rsidR="00F25541" w:rsidRDefault="00AA650C">
      <w:pPr>
        <w:keepNext/>
        <w:spacing w:before="200" w:after="100"/>
        <w:jc w:val="center"/>
      </w:pPr>
      <w:r>
        <w:rPr>
          <w:color w:val="333333"/>
          <w:sz w:val="21"/>
          <w:szCs w:val="21"/>
        </w:rPr>
        <w:t>Table 2. Summary of landmark randomised controlled trials evaluating PC6 acupressure for the prevention of postoperative nausea and vomiting (PONV), arranged chronologically. All studies enrolled adult surgical patients (aged 18 years and above).</w:t>
      </w:r>
    </w:p>
    <w:tbl>
      <w:tblPr>
        <w:tblW w:w="5000" w:type="pct"/>
        <w:tblBorders>
          <w:top w:val="single" w:sz="4" w:space="0" w:color="000000"/>
          <w:left w:val="none" w:sz="0" w:space="0" w:color="FFFFFF"/>
          <w:bottom w:val="single" w:sz="4" w:space="0" w:color="000000"/>
          <w:right w:val="none" w:sz="0" w:space="0" w:color="FFFFFF"/>
        </w:tblBorders>
        <w:tblCellMar>
          <w:left w:w="10" w:type="dxa"/>
          <w:right w:w="10" w:type="dxa"/>
        </w:tblCellMar>
        <w:tblLook w:val="04A0" w:firstRow="1" w:lastRow="0" w:firstColumn="1" w:lastColumn="0" w:noHBand="0" w:noVBand="1"/>
      </w:tblPr>
      <w:tblGrid>
        <w:gridCol w:w="1441"/>
        <w:gridCol w:w="2232"/>
        <w:gridCol w:w="2262"/>
        <w:gridCol w:w="2853"/>
      </w:tblGrid>
      <w:tr w:rsidR="00F25541" w14:paraId="5411E79C" w14:textId="77777777">
        <w:trPr>
          <w:cantSplit/>
          <w:tblHeader/>
        </w:trPr>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14ED4AC8" w14:textId="77777777" w:rsidR="00F25541" w:rsidRDefault="00AA650C">
            <w:pPr>
              <w:jc w:val="center"/>
            </w:pPr>
            <w:r>
              <w:rPr>
                <w:b/>
                <w:bCs/>
                <w:sz w:val="21"/>
                <w:szCs w:val="21"/>
              </w:rPr>
              <w:t>Study (Year)</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6E5A9027" w14:textId="77777777" w:rsidR="00F25541" w:rsidRDefault="00AA650C">
            <w:pPr>
              <w:jc w:val="center"/>
            </w:pPr>
            <w:r>
              <w:rPr>
                <w:b/>
                <w:bCs/>
                <w:sz w:val="21"/>
                <w:szCs w:val="21"/>
              </w:rPr>
              <w:t>Population (n)</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23591C89" w14:textId="77777777" w:rsidR="00F25541" w:rsidRDefault="00AA650C">
            <w:pPr>
              <w:jc w:val="center"/>
            </w:pPr>
            <w:r>
              <w:rPr>
                <w:b/>
                <w:bCs/>
                <w:sz w:val="21"/>
                <w:szCs w:val="21"/>
              </w:rPr>
              <w:t>Comparison</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2CA86AB2" w14:textId="77777777" w:rsidR="00F25541" w:rsidRDefault="00AA650C">
            <w:pPr>
              <w:jc w:val="center"/>
            </w:pPr>
            <w:r>
              <w:rPr>
                <w:b/>
                <w:bCs/>
                <w:sz w:val="21"/>
                <w:szCs w:val="21"/>
              </w:rPr>
              <w:t>Key Finding</w:t>
            </w:r>
          </w:p>
        </w:tc>
      </w:tr>
      <w:tr w:rsidR="00F25541" w14:paraId="519DD481"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DEF274F" w14:textId="77777777" w:rsidR="00F25541" w:rsidRDefault="00AA650C">
            <w:r>
              <w:rPr>
                <w:sz w:val="21"/>
                <w:szCs w:val="21"/>
              </w:rPr>
              <w:t>Agarwal et al. 2002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AC3E128" w14:textId="77777777" w:rsidR="00F25541" w:rsidRDefault="00AA650C">
            <w:r>
              <w:rPr>
                <w:sz w:val="21"/>
                <w:szCs w:val="21"/>
              </w:rPr>
              <w:t>Laparoscopic cholecystectomy (150)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7A1A51A" w14:textId="77777777" w:rsidR="00F25541" w:rsidRDefault="00AA650C">
            <w:r>
              <w:rPr>
                <w:sz w:val="21"/>
                <w:szCs w:val="21"/>
              </w:rPr>
              <w:t>Wristband vs ondansetron vs placebo</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F47D407" w14:textId="77777777" w:rsidR="00F25541" w:rsidRDefault="00AA650C">
            <w:r>
              <w:rPr>
                <w:sz w:val="21"/>
                <w:szCs w:val="21"/>
              </w:rPr>
              <w:t>Wristband equivalent to ondansetron (26% vs 28% vs 50% PONV)</w:t>
            </w:r>
          </w:p>
        </w:tc>
      </w:tr>
      <w:tr w:rsidR="00F25541" w14:paraId="00A5A485"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EEE290A" w14:textId="77777777" w:rsidR="00F25541" w:rsidRDefault="00AA650C">
            <w:r>
              <w:rPr>
                <w:sz w:val="21"/>
                <w:szCs w:val="21"/>
              </w:rPr>
              <w:t>Alkaissi et al. 2002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1A925C0" w14:textId="77777777" w:rsidR="00F25541" w:rsidRDefault="00AA650C">
            <w:r>
              <w:rPr>
                <w:sz w:val="21"/>
                <w:szCs w:val="21"/>
              </w:rPr>
              <w:t>Gynaecological surgery (410)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119E44E" w14:textId="77777777" w:rsidR="00F25541" w:rsidRDefault="00AA650C">
            <w:r>
              <w:rPr>
                <w:sz w:val="21"/>
                <w:szCs w:val="21"/>
              </w:rPr>
              <w:t>Wristband vs sham vs reference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9586EF5" w14:textId="77777777" w:rsidR="00F25541" w:rsidRDefault="00AA650C">
            <w:r>
              <w:rPr>
                <w:sz w:val="21"/>
                <w:szCs w:val="21"/>
              </w:rPr>
              <w:t>PONV 33% vs 46%, p=0.019</w:t>
            </w:r>
          </w:p>
        </w:tc>
      </w:tr>
      <w:tr w:rsidR="00F25541" w14:paraId="4744E6D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DA52AED" w14:textId="77777777" w:rsidR="00F25541" w:rsidRDefault="00AA650C">
            <w:r>
              <w:rPr>
                <w:sz w:val="21"/>
                <w:szCs w:val="21"/>
              </w:rPr>
              <w:t>Kotani et al. 2001</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46CB12B" w14:textId="77777777" w:rsidR="00F25541" w:rsidRDefault="00AA650C">
            <w:r>
              <w:rPr>
                <w:sz w:val="21"/>
                <w:szCs w:val="21"/>
              </w:rPr>
              <w:t>Abdominal surgery (100)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8D5B9BB" w14:textId="77777777" w:rsidR="00F25541" w:rsidRDefault="00AA650C">
            <w:r>
              <w:rPr>
                <w:sz w:val="21"/>
                <w:szCs w:val="21"/>
              </w:rPr>
              <w:t>Electrical acustimulation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A42FF32" w14:textId="77777777" w:rsidR="00F25541" w:rsidRDefault="00AA650C">
            <w:r>
              <w:rPr>
                <w:sz w:val="21"/>
                <w:szCs w:val="21"/>
              </w:rPr>
              <w:t>Vomiting 16% vs 54%; reduced opioid use</w:t>
            </w:r>
          </w:p>
        </w:tc>
      </w:tr>
      <w:tr w:rsidR="00F25541" w14:paraId="48C6C31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958E9D3" w14:textId="77777777" w:rsidR="00F25541" w:rsidRDefault="00AA650C">
            <w:r>
              <w:rPr>
                <w:sz w:val="21"/>
                <w:szCs w:val="21"/>
              </w:rPr>
              <w:t>Zarate et al. 2001</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30F1913" w14:textId="77777777" w:rsidR="00F25541" w:rsidRDefault="00AA650C">
            <w:r>
              <w:rPr>
                <w:sz w:val="21"/>
                <w:szCs w:val="21"/>
              </w:rPr>
              <w:t>Laparoscopic surgery (100)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541A414" w14:textId="77777777" w:rsidR="00F25541" w:rsidRDefault="00AA650C">
            <w:r>
              <w:rPr>
                <w:sz w:val="21"/>
                <w:szCs w:val="21"/>
              </w:rPr>
              <w:t>Electrical acustimulation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2405342" w14:textId="77777777" w:rsidR="00F25541" w:rsidRDefault="00AA650C">
            <w:r>
              <w:rPr>
                <w:sz w:val="21"/>
                <w:szCs w:val="21"/>
              </w:rPr>
              <w:t>PONV 13% vs 40%</w:t>
            </w:r>
          </w:p>
        </w:tc>
      </w:tr>
      <w:tr w:rsidR="00F25541" w14:paraId="20D3AA9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C3771CC" w14:textId="77777777" w:rsidR="00F25541" w:rsidRDefault="00AA650C">
            <w:r>
              <w:rPr>
                <w:sz w:val="21"/>
                <w:szCs w:val="21"/>
              </w:rPr>
              <w:lastRenderedPageBreak/>
              <w:t>Habib et al. 2006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6155F2C" w14:textId="77777777" w:rsidR="00F25541" w:rsidRDefault="00AA650C">
            <w:r>
              <w:rPr>
                <w:sz w:val="21"/>
                <w:szCs w:val="21"/>
              </w:rPr>
              <w:t>Breast surgery (94)</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CF10070" w14:textId="77777777" w:rsidR="00F25541" w:rsidRDefault="00AA650C">
            <w:r>
              <w:rPr>
                <w:sz w:val="21"/>
                <w:szCs w:val="21"/>
              </w:rPr>
              <w:t>ReliefBand + ondansetron vs ondansetron</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4AAA048" w14:textId="77777777" w:rsidR="00F25541" w:rsidRDefault="00AA650C">
            <w:r>
              <w:rPr>
                <w:sz w:val="21"/>
                <w:szCs w:val="21"/>
              </w:rPr>
              <w:t>Additive reduction in nausea episodes</w:t>
            </w:r>
          </w:p>
        </w:tc>
      </w:tr>
      <w:tr w:rsidR="00F25541" w14:paraId="38CBE694"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3446B26" w14:textId="77777777" w:rsidR="00F25541" w:rsidRDefault="00AA650C" w:rsidP="00AF0B6C">
            <w:pPr>
              <w:jc w:val="center"/>
            </w:pPr>
            <w:r>
              <w:rPr>
                <w:sz w:val="21"/>
                <w:szCs w:val="21"/>
              </w:rPr>
              <w:t>White et al. 2012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2CF7A28" w14:textId="77777777" w:rsidR="00F25541" w:rsidRDefault="00AA650C">
            <w:r>
              <w:rPr>
                <w:sz w:val="21"/>
                <w:szCs w:val="21"/>
              </w:rPr>
              <w:t>Gynaecological surgery (150)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C8E12FF" w14:textId="77777777" w:rsidR="00F25541" w:rsidRDefault="00AA650C">
            <w:r>
              <w:rPr>
                <w:sz w:val="21"/>
                <w:szCs w:val="21"/>
              </w:rPr>
              <w:t>Wristband + standard vs standard alone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17B7889" w14:textId="77777777" w:rsidR="00F25541" w:rsidRDefault="00AA650C">
            <w:r>
              <w:rPr>
                <w:sz w:val="21"/>
                <w:szCs w:val="21"/>
              </w:rPr>
              <w:t>PONV 26% vs 48%</w:t>
            </w:r>
          </w:p>
        </w:tc>
      </w:tr>
      <w:tr w:rsidR="00F25541" w14:paraId="2DCA0468"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1598832" w14:textId="77777777" w:rsidR="00F25541" w:rsidRDefault="00AA650C">
            <w:r>
              <w:rPr>
                <w:sz w:val="21"/>
                <w:szCs w:val="21"/>
              </w:rPr>
              <w:t>El-Radaideh et al. 2019</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2CAA421" w14:textId="77777777" w:rsidR="00F25541" w:rsidRDefault="00AA650C">
            <w:r>
              <w:rPr>
                <w:sz w:val="21"/>
                <w:szCs w:val="21"/>
              </w:rPr>
              <w:t>Cardiac surgery (80)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3076826" w14:textId="77777777" w:rsidR="00F25541" w:rsidRDefault="00AA650C">
            <w:r>
              <w:rPr>
                <w:sz w:val="21"/>
                <w:szCs w:val="21"/>
              </w:rPr>
              <w:t>P6 acupressure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E3336CC" w14:textId="77777777" w:rsidR="00F25541" w:rsidRDefault="00AA650C">
            <w:r>
              <w:rPr>
                <w:sz w:val="21"/>
                <w:szCs w:val="21"/>
              </w:rPr>
              <w:t>Significant reduction in PONV incidence</w:t>
            </w:r>
          </w:p>
        </w:tc>
      </w:tr>
    </w:tbl>
    <w:p w14:paraId="3A17CA85" w14:textId="77777777" w:rsidR="00F25541" w:rsidRDefault="00AA650C">
      <w:pPr>
        <w:pStyle w:val="Heading2"/>
      </w:pPr>
      <w:r>
        <w:t>3.4 African Context and Low-Resource Settings</w:t>
      </w:r>
    </w:p>
    <w:p w14:paraId="3DC127C2" w14:textId="77777777" w:rsidR="00F25541" w:rsidRDefault="00AA650C">
      <w:pPr>
        <w:spacing w:after="60"/>
        <w:ind w:firstLine="480"/>
        <w:jc w:val="both"/>
      </w:pPr>
      <w:r>
        <w:t>The African context presents unique challenges and opportunities for PONV management. The 2025 systematic review and meta-analysis by Bacho and colleagues reported pooled PONV incidence across African surgical populations of approximately 25% for nausea and 23.7% for vomiting, confirming that PONV remains a clinically important problem despite heterogeneity across settings.</w:t>
      </w:r>
      <w:r>
        <w:rPr>
          <w:sz w:val="18"/>
          <w:szCs w:val="18"/>
          <w:vertAlign w:val="superscript"/>
        </w:rPr>
        <w:t>[4]</w:t>
      </w:r>
      <w:r>
        <w:t xml:space="preserve"> However, these figures likely underestimate the true burden, as many African hospitals lack standardised PONV assessment protocols and post-discharge surveillance. Gebremedhn and colleagues (2020) reported a PONV incidence of 34.8% at a referral hospital in Ethiopia, with female sex and opioid use identified as independent predictors.</w:t>
      </w:r>
      <w:r>
        <w:rPr>
          <w:sz w:val="18"/>
          <w:szCs w:val="18"/>
          <w:vertAlign w:val="superscript"/>
        </w:rPr>
        <w:t>[26]</w:t>
      </w:r>
    </w:p>
    <w:p w14:paraId="361F1658" w14:textId="4EB35311" w:rsidR="00F25541" w:rsidRDefault="00AA650C">
      <w:pPr>
        <w:spacing w:after="60"/>
        <w:ind w:firstLine="480"/>
        <w:jc w:val="both"/>
      </w:pPr>
      <w:r>
        <w:t>Okafor and colleagues (2010) in South-Eastern Nigeria reported a strikingly low overall PONV rate of 4% (8% gynaecology, 1.6% obstetrics) in cohorts predominantly receiving spinal anaesthesia without nitrous oxide.</w:t>
      </w:r>
      <w:r>
        <w:rPr>
          <w:sz w:val="18"/>
          <w:szCs w:val="18"/>
          <w:vertAlign w:val="superscript"/>
        </w:rPr>
        <w:t>[7]</w:t>
      </w:r>
      <w:r>
        <w:t xml:space="preserve"> This finding suggests that anaesthetic technique significantly modifies baseline PONV risk in African settings, where neuraxial anaesthesia is often preferred for obstetric and lower abdominal procedures. Nevertheless, even with lower baseline incidence, the absolute number of patients affected remains substantial</w:t>
      </w:r>
      <w:r w:rsidR="00EA395F">
        <w:t xml:space="preserve">, </w:t>
      </w:r>
      <w:r>
        <w:t>given the high surgical volumes in these settings, and the cost implications of pharmacological prophylaxis remain prohibitive.</w:t>
      </w:r>
    </w:p>
    <w:p w14:paraId="61A8F1C7" w14:textId="77777777" w:rsidR="00F25541" w:rsidRDefault="00AA650C">
      <w:pPr>
        <w:spacing w:after="60"/>
        <w:ind w:firstLine="480"/>
        <w:jc w:val="both"/>
      </w:pPr>
      <w:r>
        <w:t>Cost analysis from the Nigerian study noted that a single dose of ondansetron costs approximately US$22, exceeding the daily income for many patients in the region.</w:t>
      </w:r>
      <w:r>
        <w:rPr>
          <w:sz w:val="18"/>
          <w:szCs w:val="18"/>
          <w:vertAlign w:val="superscript"/>
        </w:rPr>
        <w:t>[7]</w:t>
      </w:r>
      <w:r>
        <w:t xml:space="preserve"> In contrast, reusable elastic wristbands cost US$5–15 and can be used across multiple procedures, representing a dramatically lower per-treatment cost. This economic calculus is particularly compelling in LMIC hospitals where drug supply chains are unreliable and out-of-pocket healthcare expenditure is the norm. The implementation of PC6 acupressure could </w:t>
      </w:r>
      <w:r>
        <w:lastRenderedPageBreak/>
        <w:t>therefore serve a dual purpose: reducing PONV incidence and alleviating the financial burden of pharmacological prophylaxis on both patients and healthcare systems.</w:t>
      </w:r>
    </w:p>
    <w:p w14:paraId="295047E5" w14:textId="77777777" w:rsidR="00F25541" w:rsidRDefault="00AA650C">
      <w:pPr>
        <w:pStyle w:val="Heading2"/>
      </w:pPr>
      <w:r>
        <w:t>3.5 Safety Profile</w:t>
      </w:r>
    </w:p>
    <w:p w14:paraId="07E2E58D" w14:textId="77777777" w:rsidR="00F25541" w:rsidRDefault="00AA650C">
      <w:pPr>
        <w:spacing w:after="60"/>
        <w:ind w:firstLine="480"/>
        <w:jc w:val="both"/>
      </w:pPr>
      <w:r>
        <w:t>The safety profile of PC6 acupressure is remarkably favourable. Across 14 trials reporting adverse events in the 2015 Cochrane review, the only documented side effects were transient skin erythema, localised blistering, or minor discomfort at the application site, occurring in 1–3% of participants.</w:t>
      </w:r>
      <w:r>
        <w:rPr>
          <w:sz w:val="18"/>
          <w:szCs w:val="18"/>
          <w:vertAlign w:val="superscript"/>
        </w:rPr>
        <w:t>[10]</w:t>
      </w:r>
      <w:r>
        <w:t xml:space="preserve"> No systemic adverse effects, drug interactions, or serious adverse events have been reported in any published trial. This stands in sharp contrast to the established side-effect profiles of conventional antiemetics: QT prolongation with ondansetron, hyperglycaemia with dexamethasone, extrapyramidal symptoms with droperidol, and headache with aprepitant.</w:t>
      </w:r>
      <w:r>
        <w:rPr>
          <w:sz w:val="18"/>
          <w:szCs w:val="18"/>
          <w:vertAlign w:val="superscript"/>
        </w:rPr>
        <w:t>[5][6]</w:t>
      </w:r>
      <w:r>
        <w:t xml:space="preserve"> The absence of systemic side effects and drug interactions makes PC6 acupressure an ideal complement to multimodal antiemetic regimens, where the goal is to maximise efficacy while minimising cumulative pharmacological toxicity.</w:t>
      </w:r>
    </w:p>
    <w:p w14:paraId="268CFF08" w14:textId="77777777" w:rsidR="00F25541" w:rsidRDefault="00AA650C">
      <w:pPr>
        <w:pStyle w:val="Heading1"/>
      </w:pPr>
      <w:r>
        <w:t>4. Discussion</w:t>
      </w:r>
    </w:p>
    <w:p w14:paraId="0A20A136" w14:textId="77777777" w:rsidR="00F25541" w:rsidRDefault="00AA650C">
      <w:pPr>
        <w:spacing w:after="60"/>
        <w:ind w:firstLine="480"/>
        <w:jc w:val="both"/>
      </w:pPr>
      <w:r>
        <w:t>This scoping review confirms PC6 acupressure as a mechanistically plausible, evidence-supported, and clinically practical intervention for PONV prevention. Effect sizes from high-quality Cochrane syntheses demonstrate non-inferiority to single-agent antiemetics, with moderate certainty of evidence. The 2025 network meta-analysis strengthens the case for combination therapy, showing clinically meaningful absolute risk reductions of 135–247 fewer PONV events per 1,000 patients when PC6 is added to standard antiemetics.</w:t>
      </w:r>
      <w:r>
        <w:rPr>
          <w:sz w:val="18"/>
          <w:szCs w:val="18"/>
          <w:vertAlign w:val="superscript"/>
        </w:rPr>
        <w:t>[11]</w:t>
      </w:r>
      <w:r>
        <w:t xml:space="preserve"> These findings are consistent with the broader literature on non-pharmacological PONV interventions, which has demonstrated that aromatherapy, music therapy, and acupressure each contribute to PONV reduction when used as adjuncts to pharmacological prophylaxis.</w:t>
      </w:r>
      <w:r>
        <w:rPr>
          <w:sz w:val="18"/>
          <w:szCs w:val="18"/>
          <w:vertAlign w:val="superscript"/>
        </w:rPr>
        <w:t>[27][28]</w:t>
      </w:r>
    </w:p>
    <w:p w14:paraId="20D55D26" w14:textId="77777777" w:rsidR="00F25541" w:rsidRDefault="00AA650C">
      <w:pPr>
        <w:pStyle w:val="Heading2"/>
      </w:pPr>
      <w:r>
        <w:t>4.1 Integration into Multimodal PONV Prophylaxis</w:t>
      </w:r>
    </w:p>
    <w:p w14:paraId="34634E0D" w14:textId="77777777" w:rsidR="00F25541" w:rsidRDefault="00AA650C">
      <w:pPr>
        <w:spacing w:after="60"/>
        <w:ind w:firstLine="480"/>
        <w:jc w:val="both"/>
      </w:pPr>
      <w:r>
        <w:t xml:space="preserve">Integration of PC6 acupressure into multimodal perioperative pathways aligns directly with the Fourth Consensus Guidelines, which explicitly endorse non-pharmacologic </w:t>
      </w:r>
      <w:r>
        <w:lastRenderedPageBreak/>
        <w:t>strategies to reduce polypharmacy and mitigate antiemetic side effects.</w:t>
      </w:r>
      <w:r>
        <w:rPr>
          <w:sz w:val="18"/>
          <w:szCs w:val="18"/>
          <w:vertAlign w:val="superscript"/>
        </w:rPr>
        <w:t>[5]</w:t>
      </w:r>
      <w:r>
        <w:t xml:space="preserve"> For patients with Apfel scores of 3–4, the current standard of care recommends combination pharmacological prophylaxis with two or more antiemetics from different mechanistic classes. Adding bilateral PC6 wristbands 30 minutes before anaesthesia induction provides a third antiemetic mechanism—somatosensory afferent modulation—without introducing additional QT-prolonging, glycaemia-elevating, or neurologically active drugs. Luedi and colleagues (2023) demonstrated that simplified PONV prevention algorithms incorporating non-pharmacological measures were effective in real-world clinical audits, supporting the practical feasibility of this approach.</w:t>
      </w:r>
      <w:r>
        <w:rPr>
          <w:sz w:val="18"/>
          <w:szCs w:val="18"/>
          <w:vertAlign w:val="superscript"/>
        </w:rPr>
        <w:t>[29]</w:t>
      </w:r>
    </w:p>
    <w:p w14:paraId="60B61AFE" w14:textId="77777777" w:rsidR="00F25541" w:rsidRDefault="00AA650C">
      <w:pPr>
        <w:spacing w:after="60"/>
        <w:ind w:firstLine="480"/>
        <w:jc w:val="both"/>
      </w:pPr>
      <w:r>
        <w:t>The optimal timing and laterality of PC6 acupressure application merit consideration. Most included trials applied the intervention 30–60 minutes before anaesthesia induction, and bilateral application was more commonly used than unilateral. While direct comparisons of timing and laterality are limited, the physiological rationale for pre-emptive bilateral stimulation is sound: initiating afferent modulation before emetic triggers (opioid administration, peritoneal stimulation) allows for pre-conditioning of brainstem circuits, and bilateral application ensures robust afferent input regardless of surgical positioning. Mellin-Olsen and colleagues (2025) emphasised the importance of evidence-based perioperative PONV prevention bundles that integrate both pharmacological and non-pharmacological components, providing a contemporary framework for PC6 implementation.</w:t>
      </w:r>
      <w:r>
        <w:rPr>
          <w:sz w:val="18"/>
          <w:szCs w:val="18"/>
          <w:vertAlign w:val="superscript"/>
        </w:rPr>
        <w:t>[30]</w:t>
      </w:r>
    </w:p>
    <w:p w14:paraId="45366D0C" w14:textId="77777777" w:rsidR="00F25541" w:rsidRDefault="00AA650C">
      <w:pPr>
        <w:pStyle w:val="Heading2"/>
      </w:pPr>
      <w:r>
        <w:t>4.2 African Relevance and Implementation Considerations</w:t>
      </w:r>
    </w:p>
    <w:p w14:paraId="540238FA" w14:textId="77777777" w:rsidR="00F25541" w:rsidRDefault="00AA650C">
      <w:pPr>
        <w:spacing w:after="60"/>
        <w:ind w:firstLine="480"/>
        <w:jc w:val="both"/>
      </w:pPr>
      <w:r>
        <w:t>The African relevance of PC6 acupressure is twofold. First, the pooled incidence of approximately 25% confirms that PONV remains clinically important across African surgical settings, even in populations where neuraxial anaesthesia and nitrous oxide avoidance are common.</w:t>
      </w:r>
      <w:r>
        <w:rPr>
          <w:sz w:val="18"/>
          <w:szCs w:val="18"/>
          <w:vertAlign w:val="superscript"/>
        </w:rPr>
        <w:t>[4]</w:t>
      </w:r>
      <w:r>
        <w:t xml:space="preserve"> Second, cost and supply constraints make reusable acupressure devices particularly attractive. In many LMIC hospitals, ondansetron and dexamethasone are intermittently unavailable, and even when in stock, their cost may exceed patients’ ability to pay. A single reusable wristband costing US$5–15, usable across dozens of procedures, represents a negligible per-treatment cost that is compatible with the financial realities of resource-constrained healthcare systems.</w:t>
      </w:r>
      <w:r>
        <w:rPr>
          <w:sz w:val="18"/>
          <w:szCs w:val="18"/>
          <w:vertAlign w:val="superscript"/>
        </w:rPr>
        <w:t>[7]</w:t>
      </w:r>
    </w:p>
    <w:p w14:paraId="7450C3EE" w14:textId="77777777" w:rsidR="00F25541" w:rsidRDefault="00AA650C">
      <w:pPr>
        <w:spacing w:after="60"/>
        <w:ind w:firstLine="480"/>
        <w:jc w:val="both"/>
      </w:pPr>
      <w:r>
        <w:t>Nigerian data illustrate how anaesthetic choices (avoidance of nitrous oxide, preferential neuraxial techniques) may lower baseline PONV risk, potentially increasing the NNT for any intervention.</w:t>
      </w:r>
      <w:r>
        <w:rPr>
          <w:sz w:val="18"/>
          <w:szCs w:val="18"/>
          <w:vertAlign w:val="superscript"/>
        </w:rPr>
        <w:t>[7]</w:t>
      </w:r>
      <w:r>
        <w:t xml:space="preserve"> However, even with higher NNTs, the near-zero marginal cost </w:t>
      </w:r>
      <w:r>
        <w:lastRenderedPageBreak/>
        <w:t>and excellent safety profile of acupressure mean that the number needed to harm remains essentially infinite, preserving a favourable benefit-risk ratio regardless of baseline risk. Furthermore, in settings where no pharmacological prophylaxis is available, PC6 acupressure may serve as the sole antiemetic intervention, and the evidence suggests it would perform at least as well as any single antiemetic agent.</w:t>
      </w:r>
      <w:r>
        <w:rPr>
          <w:sz w:val="18"/>
          <w:szCs w:val="18"/>
          <w:vertAlign w:val="superscript"/>
        </w:rPr>
        <w:t>[10]</w:t>
      </w:r>
    </w:p>
    <w:p w14:paraId="59797DFE" w14:textId="5E930D97" w:rsidR="00F25541" w:rsidRDefault="00AA650C">
      <w:pPr>
        <w:spacing w:after="60"/>
        <w:ind w:firstLine="480"/>
        <w:jc w:val="both"/>
      </w:pPr>
      <w:r>
        <w:t xml:space="preserve">Implementation of PC6 acupressure in African hospitals faces both opportunities and barriers. The nursing-led model of acupressure delivery aligns with task-shifting strategies that are already widespread in African healthcare, where physician-to-patient ratios are low and nurses often manage perioperative care independently. Training requirements are minimal: a brief orientation on PC6 anatomical location and wristband application suffices, in contrast to acupuncture which requires specialised credentialing. However, cultural acceptance of acupressure may vary, and patient education regarding the </w:t>
      </w:r>
      <w:r w:rsidR="009E1E32">
        <w:t>evidence-based</w:t>
      </w:r>
      <w:r>
        <w:t xml:space="preserve"> and safety of the intervention is essential. Institutional buy-in from anaesthesia departments and hospital administration will be critical for sustainable implementation.</w:t>
      </w:r>
      <w:r>
        <w:rPr>
          <w:sz w:val="18"/>
          <w:szCs w:val="18"/>
          <w:vertAlign w:val="superscript"/>
        </w:rPr>
        <w:t>[31]</w:t>
      </w:r>
    </w:p>
    <w:p w14:paraId="24E34EEB" w14:textId="77777777" w:rsidR="00F25541" w:rsidRDefault="00AA650C">
      <w:pPr>
        <w:pStyle w:val="Heading2"/>
      </w:pPr>
      <w:r>
        <w:t>4.3 Emerging Evidence and Future Directions</w:t>
      </w:r>
    </w:p>
    <w:p w14:paraId="3F575873" w14:textId="77777777" w:rsidR="00F25541" w:rsidRDefault="00AA650C">
      <w:pPr>
        <w:spacing w:after="60"/>
        <w:ind w:firstLine="480"/>
        <w:jc w:val="both"/>
      </w:pPr>
      <w:r>
        <w:t>Several important evidence gaps remain. First, the majority of included trials pre-date the widespread adoption of total intravenous anaesthesia (TIVA) with propofol, which itself reduces PONV incidence. Whether PC6 acupressure provides meaningful incremental benefit in patients already receiving TIVA-based ERAS (Enhanced Recovery After Surgery) protocols remains uncertain and warrants investigation in contemporary trial populations.</w:t>
      </w:r>
      <w:r>
        <w:rPr>
          <w:sz w:val="18"/>
          <w:szCs w:val="18"/>
          <w:vertAlign w:val="superscript"/>
        </w:rPr>
        <w:t>[32]</w:t>
      </w:r>
      <w:r>
        <w:t xml:space="preserve"> Second, data on PC6 acupressure in cardiac surgery, neurosurgery, and other high-acuity populations are sparse, with only one small trial (El-Radaideh et al., 2019) specifically evaluating PONV in cardiac surgical patients.</w:t>
      </w:r>
      <w:r>
        <w:rPr>
          <w:sz w:val="18"/>
          <w:szCs w:val="18"/>
          <w:vertAlign w:val="superscript"/>
        </w:rPr>
        <w:t>[33]</w:t>
      </w:r>
    </w:p>
    <w:p w14:paraId="14E90DC5" w14:textId="77777777" w:rsidR="00F25541" w:rsidRDefault="00AA650C">
      <w:pPr>
        <w:spacing w:after="60"/>
        <w:ind w:firstLine="480"/>
        <w:jc w:val="both"/>
      </w:pPr>
      <w:r>
        <w:t>Third, the comparative effectiveness of different PC6 stimulation modalities (manual vs elastic wristband vs electrical acustimulation) has not been adequately studied in head-to-head trials. While all modalities appear effective versus sham, the magnitude and duration of benefit may differ, and patient preference, cost, and feasibility considerations should guide modality selection in clinical practice. Fourth, there is a pressing need for multicentre RCTs conducted in African hospitals to generate context-specific evidence on PC6 acupressure effectiveness, acceptability, and cost-effectiveness within the African perioperative care environment.</w:t>
      </w:r>
      <w:r>
        <w:rPr>
          <w:sz w:val="18"/>
          <w:szCs w:val="18"/>
          <w:vertAlign w:val="superscript"/>
        </w:rPr>
        <w:t>[4]</w:t>
      </w:r>
    </w:p>
    <w:p w14:paraId="4BC1F7D0" w14:textId="77777777" w:rsidR="00F25541" w:rsidRDefault="00AA650C">
      <w:pPr>
        <w:spacing w:after="60"/>
        <w:ind w:firstLine="480"/>
        <w:jc w:val="both"/>
      </w:pPr>
      <w:r>
        <w:lastRenderedPageBreak/>
        <w:t>Finally, the role of PC6 acupressure in opioid-sparing ERAS pathways deserves attention. As multimodal analgesia strategies increasingly emphasise opioid reduction to minimise PONV and other opioid-related adverse effects, the dual benefit of PC6 acupressure—direct antiemetic action plus potential opioid-sparing effects observed in some trials—positions it as a potentially valuable component of integrated perioperative care bundles. Koo and colleagues (2024) demonstrated that operation-specific PONV risk varies widely across 72 surgical procedures, suggesting that targeted PC6 implementation in the highest-risk procedures could maximise population-level impact.</w:t>
      </w:r>
      <w:r>
        <w:rPr>
          <w:sz w:val="18"/>
          <w:szCs w:val="18"/>
          <w:vertAlign w:val="superscript"/>
        </w:rPr>
        <w:t>[34]</w:t>
      </w:r>
    </w:p>
    <w:p w14:paraId="6B4CB7B5" w14:textId="77777777" w:rsidR="00F25541" w:rsidRDefault="00AA650C">
      <w:pPr>
        <w:pStyle w:val="Heading2"/>
      </w:pPr>
      <w:r>
        <w:t>4.4 Strengths and Limitations</w:t>
      </w:r>
    </w:p>
    <w:p w14:paraId="79309017" w14:textId="77777777" w:rsidR="00F25541" w:rsidRDefault="00AA650C">
      <w:pPr>
        <w:spacing w:after="60"/>
        <w:ind w:firstLine="480"/>
        <w:jc w:val="both"/>
      </w:pPr>
      <w:r>
        <w:t>This scoping review has several strengths. It follows the rigorous JBI methodology for scoping reviews and adheres to the PRISMA-ScR reporting guidelines, ensuring transparency and reproducibility.</w:t>
      </w:r>
      <w:r>
        <w:rPr>
          <w:sz w:val="18"/>
          <w:szCs w:val="18"/>
          <w:vertAlign w:val="superscript"/>
        </w:rPr>
        <w:t>[12][14]</w:t>
      </w:r>
      <w:r>
        <w:t xml:space="preserve"> The inclusion of the most recent Cochrane network meta-analysis (2025) provides the most current and comprehensive evidence synthesis available. The emphasis on African applicability addresses a gap in the existing literature, where PONV evidence has been predominantly generated in high-income settings.</w:t>
      </w:r>
    </w:p>
    <w:p w14:paraId="5714AD94" w14:textId="77777777" w:rsidR="00F25541" w:rsidRDefault="00AA650C">
      <w:pPr>
        <w:spacing w:after="60"/>
        <w:ind w:firstLine="480"/>
        <w:jc w:val="both"/>
      </w:pPr>
      <w:r>
        <w:t>Limitations include the inherent heterogeneity of included studies with respect to blinding methods, acupressure modalities, timing of application, surgical populations, and anaesthetic techniques. The predominance of studies conducted before the widespread adoption of TIVA and ERAS protocols may limit the generalisability of findings to contemporary perioperative practice. Publication bias appears low based on Cochrane funnel plots, but many included trials were rated as having unclear risk of bias due to inadequate reporting of randomisation and allocation concealment procedures. The exclusion of non-English publications without available translations may have introduced language bias, and the lack of de novo meta-analysis limits the precision of effect estimates.</w:t>
      </w:r>
    </w:p>
    <w:p w14:paraId="4F53DDE8" w14:textId="77777777" w:rsidR="00F25541" w:rsidRDefault="00AA650C">
      <w:pPr>
        <w:pStyle w:val="Heading1"/>
      </w:pPr>
      <w:r>
        <w:t>5. Conclusion</w:t>
      </w:r>
    </w:p>
    <w:p w14:paraId="5F74F0A2" w14:textId="77777777" w:rsidR="00F25541" w:rsidRDefault="00AA650C">
      <w:pPr>
        <w:spacing w:after="60"/>
        <w:ind w:firstLine="480"/>
        <w:jc w:val="both"/>
      </w:pPr>
      <w:r>
        <w:t xml:space="preserve">This scoping review provides a comprehensive mapping of the evidence supporting PC6 acupressure for the prevention of postoperative nausea and vomiting. The accumulated evidence from Cochrane reviews and network meta-analyses demonstrates that PC6 acupressure significantly reduces PONV compared with sham, is non-inferior to single-agent </w:t>
      </w:r>
      <w:r>
        <w:lastRenderedPageBreak/>
        <w:t>antiemetics, and provides clinically meaningful additive benefit when combined with pharmacological prophylaxis. The intervention is safe, inexpensive, non-invasive, and requires minimal training, making it particularly suitable for integration into multimodal perioperative care pathways in both high-resource and resource-constrained settings.</w:t>
      </w:r>
    </w:p>
    <w:p w14:paraId="24407183" w14:textId="77777777" w:rsidR="00F25541" w:rsidRDefault="00AA650C">
      <w:pPr>
        <w:spacing w:after="60"/>
        <w:ind w:firstLine="480"/>
        <w:jc w:val="both"/>
      </w:pPr>
      <w:r>
        <w:t>For high-risk patients (Apfel score 3–4), bilateral PC6 wristband application 30–60 minutes before anaesthesia induction should be considered as a standard adjunct to combination pharmacological prophylaxis, providing a third antiemetic mechanism without additional systemic side effects. In low-resource settings where pharmacological antiemetics are unavailable or unaffordable, PC6 acupressure represents a viable standalone or primary prophylactic intervention with a favourable benefit-risk ratio.</w:t>
      </w:r>
    </w:p>
    <w:p w14:paraId="574F6F54" w14:textId="77777777" w:rsidR="00F25541" w:rsidRDefault="00AA650C">
      <w:pPr>
        <w:spacing w:after="60"/>
        <w:ind w:firstLine="480"/>
        <w:jc w:val="both"/>
      </w:pPr>
      <w:r>
        <w:t>Future research priorities include: (i) multicentre RCTs evaluating PC6 acupressure within contemporary TIVA-based and opioid-sparing ERAS protocols; (ii) head-to-head comparisons of acupressure modalities; (iii) trials in under-studied populations including cardiac and neurosurgical patients; (iv) African multicentre studies assessing effectiveness, acceptability, and cost-effectiveness; and (v) health systems research on implementation strategies for integrating acupressure into routine perioperative nursing care in LMIC hospitals.</w:t>
      </w:r>
    </w:p>
    <w:p w14:paraId="1D6EC0F6" w14:textId="77777777" w:rsidR="00F25541" w:rsidRDefault="00F25541">
      <w:pPr>
        <w:sectPr w:rsidR="00F25541" w:rsidSect="00222CF9">
          <w:headerReference w:type="even" r:id="rId14"/>
          <w:headerReference w:type="default" r:id="rId15"/>
          <w:footerReference w:type="default" r:id="rId16"/>
          <w:headerReference w:type="first" r:id="rId17"/>
          <w:pgSz w:w="11906" w:h="16838"/>
          <w:pgMar w:top="1440" w:right="1417" w:bottom="1440" w:left="1701" w:header="850" w:footer="992" w:gutter="0"/>
          <w:lnNumType w:countBy="1" w:restart="continuous"/>
          <w:pgNumType w:start="1"/>
          <w:cols w:space="720"/>
          <w:docGrid w:linePitch="360"/>
        </w:sectPr>
      </w:pPr>
    </w:p>
    <w:p w14:paraId="3CED4FDF" w14:textId="77777777" w:rsidR="00F25541" w:rsidRDefault="00AA650C">
      <w:pPr>
        <w:pStyle w:val="Heading1"/>
      </w:pPr>
      <w:r>
        <w:lastRenderedPageBreak/>
        <w:t>References</w:t>
      </w:r>
    </w:p>
    <w:p w14:paraId="771DE1D2" w14:textId="77777777" w:rsidR="00F25541" w:rsidRDefault="00AA650C">
      <w:pPr>
        <w:spacing w:after="40"/>
        <w:ind w:left="420" w:hanging="420"/>
      </w:pPr>
      <w:r>
        <w:rPr>
          <w:sz w:val="21"/>
          <w:szCs w:val="21"/>
        </w:rPr>
        <w:t>[1] Apfel CC, Läärä E, Koivuranta M, Greim CA, Roewer N. A simplified risk score for predicting postoperative nausea and vomiting: conclusions from cross-validations between two centres. Anesthesiology. 1999;91(3):693-700. doi:10.1097/00000542-199909000-00028</w:t>
      </w:r>
    </w:p>
    <w:p w14:paraId="506D1DE3" w14:textId="77777777" w:rsidR="00F25541" w:rsidRDefault="00AA650C">
      <w:pPr>
        <w:spacing w:after="40"/>
        <w:ind w:left="420" w:hanging="420"/>
      </w:pPr>
      <w:r>
        <w:rPr>
          <w:sz w:val="21"/>
          <w:szCs w:val="21"/>
        </w:rPr>
        <w:t>[2] Gan TJ, Belani KG, Bergese S, Chung F, Diemunsch P, Habib AS, et al. Fourth Consensus Guidelines for the Management of Postoperative Nausea and Vomiting. Anesth Analg. 2020;131(2):411-448. doi:10.1213/ANE.0000000000004833</w:t>
      </w:r>
    </w:p>
    <w:p w14:paraId="05207D30" w14:textId="77777777" w:rsidR="00F25541" w:rsidRDefault="00AA650C">
      <w:pPr>
        <w:spacing w:after="40"/>
        <w:ind w:left="420" w:hanging="420"/>
      </w:pPr>
      <w:r>
        <w:rPr>
          <w:sz w:val="21"/>
          <w:szCs w:val="21"/>
        </w:rPr>
        <w:t xml:space="preserve">[3] Myles PS, Williams DL, Hendrata M, Anderson H, Weeks AM. Patient satisfaction after anaesthesia and surgery: results of a prospective survey of 10,811 patients. Br J Anaesth. 2000;84(1):6-10. </w:t>
      </w:r>
      <w:proofErr w:type="gramStart"/>
      <w:r>
        <w:rPr>
          <w:sz w:val="21"/>
          <w:szCs w:val="21"/>
        </w:rPr>
        <w:t>doi:10.1093/oxfordjournals.bja.a</w:t>
      </w:r>
      <w:proofErr w:type="gramEnd"/>
      <w:r>
        <w:rPr>
          <w:sz w:val="21"/>
          <w:szCs w:val="21"/>
        </w:rPr>
        <w:t>013383</w:t>
      </w:r>
    </w:p>
    <w:p w14:paraId="4A6F473F" w14:textId="77777777" w:rsidR="00F25541" w:rsidRDefault="00AA650C">
      <w:pPr>
        <w:spacing w:after="40"/>
        <w:ind w:left="420" w:hanging="420"/>
      </w:pPr>
      <w:r>
        <w:rPr>
          <w:sz w:val="21"/>
          <w:szCs w:val="21"/>
        </w:rPr>
        <w:t xml:space="preserve">[4] Bacho MT, Wolda GD, Demssie WR, Mihret MS, Muche AD. Incidence and risk factors of postoperative nausea and vomiting in Africa among patients undergone surgery: a systematic review and meta-analysis. Ann Med Surg (Lond). </w:t>
      </w:r>
      <w:proofErr w:type="gramStart"/>
      <w:r>
        <w:rPr>
          <w:sz w:val="21"/>
          <w:szCs w:val="21"/>
        </w:rPr>
        <w:t>2025;87:2845</w:t>
      </w:r>
      <w:proofErr w:type="gramEnd"/>
      <w:r>
        <w:rPr>
          <w:sz w:val="21"/>
          <w:szCs w:val="21"/>
        </w:rPr>
        <w:t>. doi:10.1097/MS9.0000000000002697</w:t>
      </w:r>
    </w:p>
    <w:p w14:paraId="2A0D0731" w14:textId="77777777" w:rsidR="00F25541" w:rsidRDefault="00AA650C">
      <w:pPr>
        <w:spacing w:after="40"/>
        <w:ind w:left="420" w:hanging="420"/>
      </w:pPr>
      <w:r>
        <w:rPr>
          <w:sz w:val="21"/>
          <w:szCs w:val="21"/>
        </w:rPr>
        <w:t>[5] Gan TJ, Belani KG, Bergese S, Chung F, Diemunsch P, Habib AS, et al. Fourth Consensus Guidelines for the Management of Postoperative Nausea and Vomiting. Anesth Analg. 2020;131(2):411-448. doi:10.1213/ANE.0000000000004833</w:t>
      </w:r>
    </w:p>
    <w:p w14:paraId="50D9AB55" w14:textId="77777777" w:rsidR="00F25541" w:rsidRDefault="00AA650C">
      <w:pPr>
        <w:spacing w:after="40"/>
        <w:ind w:left="420" w:hanging="420"/>
      </w:pPr>
      <w:r>
        <w:rPr>
          <w:sz w:val="21"/>
          <w:szCs w:val="21"/>
        </w:rPr>
        <w:t xml:space="preserve">[6] Weibel S, Jokinen J, Pace NL, Helf A, Schnabel A, Hollweck R, et al. Drugs for preventing postoperative nausea and vomiting in adults after general anaesthesia: a network meta-analysis. Cochrane Database Syst Rev. 2020;10:CD012859. </w:t>
      </w:r>
      <w:proofErr w:type="gramStart"/>
      <w:r>
        <w:rPr>
          <w:sz w:val="21"/>
          <w:szCs w:val="21"/>
        </w:rPr>
        <w:t>doi:10.1002/14651858.CD012859.pub2</w:t>
      </w:r>
      <w:proofErr w:type="gramEnd"/>
    </w:p>
    <w:p w14:paraId="498EAF20" w14:textId="77777777" w:rsidR="00F25541" w:rsidRDefault="00AA650C">
      <w:pPr>
        <w:spacing w:after="40"/>
        <w:ind w:left="420" w:hanging="420"/>
      </w:pPr>
      <w:r>
        <w:rPr>
          <w:sz w:val="21"/>
          <w:szCs w:val="21"/>
        </w:rPr>
        <w:t xml:space="preserve">[7] Okafor UV, Amucheazi A, Ewah R, Obioma O. Postoperative nausea and vomiting in a gynecological and obstetrical population in South Eastern Nigeria. Pan Afr Med J. </w:t>
      </w:r>
      <w:proofErr w:type="gramStart"/>
      <w:r>
        <w:rPr>
          <w:sz w:val="21"/>
          <w:szCs w:val="21"/>
        </w:rPr>
        <w:t>2010;7:6</w:t>
      </w:r>
      <w:proofErr w:type="gramEnd"/>
      <w:r>
        <w:rPr>
          <w:sz w:val="21"/>
          <w:szCs w:val="21"/>
        </w:rPr>
        <w:t>. doi:10.4314/</w:t>
      </w:r>
      <w:proofErr w:type="gramStart"/>
      <w:r>
        <w:rPr>
          <w:sz w:val="21"/>
          <w:szCs w:val="21"/>
        </w:rPr>
        <w:t>pamj.v</w:t>
      </w:r>
      <w:proofErr w:type="gramEnd"/>
      <w:r>
        <w:rPr>
          <w:sz w:val="21"/>
          <w:szCs w:val="21"/>
        </w:rPr>
        <w:t>7i1.64089</w:t>
      </w:r>
    </w:p>
    <w:p w14:paraId="01E130E6" w14:textId="77777777" w:rsidR="00F25541" w:rsidRDefault="00AA650C">
      <w:pPr>
        <w:spacing w:after="40"/>
        <w:ind w:left="420" w:hanging="420"/>
      </w:pPr>
      <w:r>
        <w:rPr>
          <w:sz w:val="21"/>
          <w:szCs w:val="21"/>
        </w:rPr>
        <w:t>[8] Dundee JW, Ghaly RG, Bill KM, Chestnutt WN, Fitzpatrick KT, Lynas AG. Effect of stimulation of the P6 antiemetic point on postoperative nausea and vomiting. Br J Anaesth. 1989;63(5):612-618. doi:10.1093/bja/63.5.612</w:t>
      </w:r>
    </w:p>
    <w:p w14:paraId="371DABF7" w14:textId="77777777" w:rsidR="00F25541" w:rsidRDefault="00AA650C">
      <w:pPr>
        <w:spacing w:after="40"/>
        <w:ind w:left="420" w:hanging="420"/>
      </w:pPr>
      <w:r>
        <w:rPr>
          <w:sz w:val="21"/>
          <w:szCs w:val="21"/>
        </w:rPr>
        <w:t>[9] White PF, Zhao M, Tang J, Wender RH, Yumul R, Sloninsky A, et al. Use of a disposable acupressure device as part of a multimodal antiemetic strategy for preventing postoperative nausea and vomiting. Anesth Analg. 2012;115(1):31-37. doi:10.1213/ANE.0b013e31824d5103</w:t>
      </w:r>
    </w:p>
    <w:p w14:paraId="085AF65B" w14:textId="77777777" w:rsidR="00F25541" w:rsidRDefault="00AA650C">
      <w:pPr>
        <w:spacing w:after="40"/>
        <w:ind w:left="420" w:hanging="420"/>
      </w:pPr>
      <w:r>
        <w:rPr>
          <w:sz w:val="21"/>
          <w:szCs w:val="21"/>
        </w:rPr>
        <w:t xml:space="preserve">[10] Lee A, Chan SK, Fan LT. Stimulation of the wrist acupuncture point PC6 for preventing postoperative nausea and vomiting. Cochrane Database Syst Rev. 2015;(11):CD003281. </w:t>
      </w:r>
      <w:proofErr w:type="gramStart"/>
      <w:r>
        <w:rPr>
          <w:sz w:val="21"/>
          <w:szCs w:val="21"/>
        </w:rPr>
        <w:t>doi:10.1002/14651858.CD003281.pub4</w:t>
      </w:r>
      <w:proofErr w:type="gramEnd"/>
    </w:p>
    <w:p w14:paraId="24A9C073" w14:textId="77777777" w:rsidR="00F25541" w:rsidRDefault="00AA650C">
      <w:pPr>
        <w:spacing w:after="40"/>
        <w:ind w:left="420" w:hanging="420"/>
      </w:pPr>
      <w:r>
        <w:rPr>
          <w:sz w:val="21"/>
          <w:szCs w:val="21"/>
        </w:rPr>
        <w:lastRenderedPageBreak/>
        <w:t xml:space="preserve">[11] Lee A, Zhang JZ, Xie J, Fang JZ, Fan LTY, Van den Heuvel C, et al. Stimulation of the wrist acupuncture point PC6 for preventing postoperative nausea and vomiting: a network meta-analysis. Cochrane Database Syst Rev. 2025;9:CD003281. </w:t>
      </w:r>
      <w:proofErr w:type="gramStart"/>
      <w:r>
        <w:rPr>
          <w:sz w:val="21"/>
          <w:szCs w:val="21"/>
        </w:rPr>
        <w:t>doi:10.1002/14651858.CD003281.pub5</w:t>
      </w:r>
      <w:proofErr w:type="gramEnd"/>
    </w:p>
    <w:p w14:paraId="1F48C8E2" w14:textId="77777777" w:rsidR="00F25541" w:rsidRDefault="00AA650C">
      <w:pPr>
        <w:spacing w:after="40"/>
        <w:ind w:left="420" w:hanging="420"/>
      </w:pPr>
      <w:r>
        <w:rPr>
          <w:sz w:val="21"/>
          <w:szCs w:val="21"/>
        </w:rPr>
        <w:t>[12] Tricco AC, Lillie E, Zarin W, O’Brien KK, Colquhoun H, Levac D, et al. PRISMA Extension for Scoping Reviews (PRISMA-ScR): Checklist and Explanation. Ann Intern Med. 2018;169(7):467-473. doi:10.7326/M18-0850</w:t>
      </w:r>
    </w:p>
    <w:p w14:paraId="464F360E" w14:textId="77777777" w:rsidR="00F25541" w:rsidRDefault="00AA650C">
      <w:pPr>
        <w:spacing w:after="40"/>
        <w:ind w:left="420" w:hanging="420"/>
      </w:pPr>
      <w:r>
        <w:rPr>
          <w:sz w:val="21"/>
          <w:szCs w:val="21"/>
        </w:rPr>
        <w:t>[13] Page MJ, McKenzie JE, Bossuyt PM, Boutron I, Hoffmann TC, Mulrow CD, et al. The PRISMA 2020 statement: An updated guideline for reporting systematic reviews. BMJ. 2021;</w:t>
      </w:r>
      <w:proofErr w:type="gramStart"/>
      <w:r>
        <w:rPr>
          <w:sz w:val="21"/>
          <w:szCs w:val="21"/>
        </w:rPr>
        <w:t>372:n</w:t>
      </w:r>
      <w:proofErr w:type="gramEnd"/>
      <w:r>
        <w:rPr>
          <w:sz w:val="21"/>
          <w:szCs w:val="21"/>
        </w:rPr>
        <w:t>71. doi:10.1136/</w:t>
      </w:r>
      <w:proofErr w:type="gramStart"/>
      <w:r>
        <w:rPr>
          <w:sz w:val="21"/>
          <w:szCs w:val="21"/>
        </w:rPr>
        <w:t>bmj.n</w:t>
      </w:r>
      <w:proofErr w:type="gramEnd"/>
      <w:r>
        <w:rPr>
          <w:sz w:val="21"/>
          <w:szCs w:val="21"/>
        </w:rPr>
        <w:t>71</w:t>
      </w:r>
    </w:p>
    <w:p w14:paraId="67D99A84" w14:textId="77777777" w:rsidR="00F25541" w:rsidRDefault="00AA650C">
      <w:pPr>
        <w:spacing w:after="40"/>
        <w:ind w:left="420" w:hanging="420"/>
      </w:pPr>
      <w:r>
        <w:rPr>
          <w:sz w:val="21"/>
          <w:szCs w:val="21"/>
        </w:rPr>
        <w:t>[14] Peters MDJ, Godfrey CM, Khalil H, McInerney P, Parker D, Soares CB. Guidance for conducting systematic scoping reviews. Int J Evid Based Healthc. 2015;13(3):141-146. doi:10.1097/XEB.0000000000000050</w:t>
      </w:r>
    </w:p>
    <w:p w14:paraId="22099538" w14:textId="77777777" w:rsidR="00F25541" w:rsidRDefault="00AA650C">
      <w:pPr>
        <w:spacing w:after="40"/>
        <w:ind w:left="420" w:hanging="420"/>
      </w:pPr>
      <w:r>
        <w:rPr>
          <w:sz w:val="21"/>
          <w:szCs w:val="21"/>
        </w:rPr>
        <w:t>[15] Napadow V, Lee J, Kim J, Cerritelli F, Dhond R, Kettner N, et al. Brain correlates of phasic autonomic response to acupuncture stimulation: an event-related fMRI study. Hum Brain Mapp. 2013;34(10):2592-2606. doi:10.1002/hbm.22091</w:t>
      </w:r>
    </w:p>
    <w:p w14:paraId="64AE41F5" w14:textId="77777777" w:rsidR="00F25541" w:rsidRDefault="00AA650C">
      <w:pPr>
        <w:spacing w:after="40"/>
        <w:ind w:left="420" w:hanging="420"/>
      </w:pPr>
      <w:r>
        <w:rPr>
          <w:sz w:val="21"/>
          <w:szCs w:val="21"/>
        </w:rPr>
        <w:t>[16] Napadow V, Makris N, Liu J, Kettner NW, Kwong KK, Hui KK. Effects of electroacupuncture versus manual acupuncture on the human brain as measured by fMRI. Hum Brain Mapp. 2005;24(3):193-205. doi:10.1002/hbm.20081</w:t>
      </w:r>
    </w:p>
    <w:p w14:paraId="0C255230" w14:textId="77777777" w:rsidR="00F25541" w:rsidRDefault="00AA650C">
      <w:pPr>
        <w:spacing w:after="40"/>
        <w:ind w:left="420" w:hanging="420"/>
      </w:pPr>
      <w:r>
        <w:rPr>
          <w:sz w:val="21"/>
          <w:szCs w:val="21"/>
        </w:rPr>
        <w:t>[17] Hu S, Stern RM, Koch KL. Electrical acustimulation relieves vection-induced motion sickness. Aviat Space Environ Med. 1992;63(12):1054-1057.</w:t>
      </w:r>
    </w:p>
    <w:p w14:paraId="0ECEAA6C" w14:textId="77777777" w:rsidR="00F25541" w:rsidRDefault="00AA650C">
      <w:pPr>
        <w:spacing w:after="40"/>
        <w:ind w:left="420" w:hanging="420"/>
      </w:pPr>
      <w:r>
        <w:rPr>
          <w:sz w:val="21"/>
          <w:szCs w:val="21"/>
        </w:rPr>
        <w:t>[18] Streitberger K, Diefenbacher M, Bauer A, Conradi R, Bardenheuer H, Martin E, et al. Acupuncture compared to placebo-acupuncture for postoperative nausea and vomiting prophylaxis: a randomised placebo-controlled patient and observer blind trial. Anaesthesia. 2004;59(2):142-149. doi:10.1111/j.1365-2044.</w:t>
      </w:r>
      <w:proofErr w:type="gramStart"/>
      <w:r>
        <w:rPr>
          <w:sz w:val="21"/>
          <w:szCs w:val="21"/>
        </w:rPr>
        <w:t>2004.03566.x</w:t>
      </w:r>
      <w:proofErr w:type="gramEnd"/>
    </w:p>
    <w:p w14:paraId="296CA071" w14:textId="77777777" w:rsidR="00F25541" w:rsidRDefault="00AA650C">
      <w:pPr>
        <w:spacing w:after="40"/>
        <w:ind w:left="420" w:hanging="420"/>
      </w:pPr>
      <w:r>
        <w:rPr>
          <w:sz w:val="21"/>
          <w:szCs w:val="21"/>
        </w:rPr>
        <w:t>[19] Lan L, Fang J, Jin J, Wang X, Wang Z, Lu L, et al. Increase in the vagal modulation by acupuncture at Neiguan point in the healthy subjects. Am J Chin Med. 2023;51(3):725-739. doi:10.1142/S0192415X23500321</w:t>
      </w:r>
    </w:p>
    <w:p w14:paraId="4753D329" w14:textId="77777777" w:rsidR="00F25541" w:rsidRDefault="00AA650C">
      <w:pPr>
        <w:spacing w:after="40"/>
        <w:ind w:left="420" w:hanging="420"/>
      </w:pPr>
      <w:r>
        <w:rPr>
          <w:sz w:val="21"/>
          <w:szCs w:val="21"/>
        </w:rPr>
        <w:t xml:space="preserve">[20] Sridhar M, Renganathan SS, Manjaly C, Veena S, Shetty S. The effects of acupressure on postoperative nausea and vomiting among patients undergoing laparoscopic surgery: A meta-analysis of randomized controlled trials. J PeriAnesth Nurs. 2023;38(1):78-87. </w:t>
      </w:r>
      <w:proofErr w:type="gramStart"/>
      <w:r>
        <w:rPr>
          <w:sz w:val="21"/>
          <w:szCs w:val="21"/>
        </w:rPr>
        <w:t>doi:10.1016/j.jopan</w:t>
      </w:r>
      <w:proofErr w:type="gramEnd"/>
      <w:r>
        <w:rPr>
          <w:sz w:val="21"/>
          <w:szCs w:val="21"/>
        </w:rPr>
        <w:t>.2022.08.009</w:t>
      </w:r>
    </w:p>
    <w:p w14:paraId="75D8AA00" w14:textId="77777777" w:rsidR="00F25541" w:rsidRDefault="00AA650C">
      <w:pPr>
        <w:spacing w:after="40"/>
        <w:ind w:left="420" w:hanging="420"/>
      </w:pPr>
      <w:r>
        <w:rPr>
          <w:sz w:val="21"/>
          <w:szCs w:val="21"/>
        </w:rPr>
        <w:t>[21] Zhao B, Zhao T, Yang H, Fu X. The efficacy of acupressure for nausea and vomiting after laparoscopic cholecystectomy: A meta-analysis study. Surg Laparosc Endosc Percutan Tech. 2024;34(1):87-93. doi:10.1097/SLE.0000000000001196</w:t>
      </w:r>
    </w:p>
    <w:p w14:paraId="13FEC79A" w14:textId="77777777" w:rsidR="00F25541" w:rsidRDefault="00AA650C">
      <w:pPr>
        <w:spacing w:after="40"/>
        <w:ind w:left="420" w:hanging="420"/>
      </w:pPr>
      <w:r>
        <w:rPr>
          <w:sz w:val="21"/>
          <w:szCs w:val="21"/>
        </w:rPr>
        <w:t>[22] Agarwal A, Bose N, Gaur A, Singh U, Gupta MK, Singh D. Acupressure and ondansetron for postoperative nausea and vomiting after laparoscopic cholecystectomy. Can J Anaesth. 2002;49(6):554-560. doi:10.1007/BF03017380</w:t>
      </w:r>
    </w:p>
    <w:p w14:paraId="303C0D54" w14:textId="77777777" w:rsidR="00F25541" w:rsidRDefault="00AA650C">
      <w:pPr>
        <w:spacing w:after="40"/>
        <w:ind w:left="420" w:hanging="420"/>
      </w:pPr>
      <w:r>
        <w:rPr>
          <w:sz w:val="21"/>
          <w:szCs w:val="21"/>
        </w:rPr>
        <w:lastRenderedPageBreak/>
        <w:t>[23] Alkaissi A, Evertsson K, Johnsson VA, Ofenbartl L, Kalman S. P6 acupressure may relieve nausea and vomiting after gynecological surgery: an effectiveness study in 410 women. Can J Anaesth. 2002;49(10):1034-1039. doi:10.1007/BF03017462</w:t>
      </w:r>
    </w:p>
    <w:p w14:paraId="0AD813B4" w14:textId="77777777" w:rsidR="00F25541" w:rsidRDefault="00AA650C">
      <w:pPr>
        <w:spacing w:after="40"/>
        <w:ind w:left="420" w:hanging="420"/>
      </w:pPr>
      <w:r>
        <w:rPr>
          <w:sz w:val="21"/>
          <w:szCs w:val="21"/>
        </w:rPr>
        <w:t xml:space="preserve">[24] Habib AS, White WD, El Gasim MA, Gan TJ. Transcutaneous acupoint electrical stimulation with the ReliefBand for the prevention of nausea and vomiting during and after breast surgery. Anesth Analg. 2006;102(2):581-584. </w:t>
      </w:r>
      <w:proofErr w:type="gramStart"/>
      <w:r>
        <w:rPr>
          <w:sz w:val="21"/>
          <w:szCs w:val="21"/>
        </w:rPr>
        <w:t>doi:10.1213/01.ane</w:t>
      </w:r>
      <w:proofErr w:type="gramEnd"/>
      <w:r>
        <w:rPr>
          <w:sz w:val="21"/>
          <w:szCs w:val="21"/>
        </w:rPr>
        <w:t>.0000194507.93264.12</w:t>
      </w:r>
    </w:p>
    <w:p w14:paraId="1E789F1C" w14:textId="77777777" w:rsidR="00F25541" w:rsidRDefault="00AA650C">
      <w:pPr>
        <w:spacing w:after="40"/>
        <w:ind w:left="420" w:hanging="420"/>
      </w:pPr>
      <w:r>
        <w:rPr>
          <w:sz w:val="21"/>
          <w:szCs w:val="21"/>
        </w:rPr>
        <w:t>[25] White PF, Zhao M, Tang J, Wender RH, Yumul R, Sloninsky A, et al. Use of a disposable acupressure device as part of a multimodal antiemetic strategy for preventing postoperative nausea and vomiting. Anesth Analg. 2012;115(1):31-37. doi:10.1213/ANE.0b013e31824d5103</w:t>
      </w:r>
    </w:p>
    <w:p w14:paraId="147CA9ED" w14:textId="77777777" w:rsidR="00F25541" w:rsidRDefault="00AA650C">
      <w:pPr>
        <w:spacing w:after="40"/>
        <w:ind w:left="420" w:hanging="420"/>
      </w:pPr>
      <w:r>
        <w:rPr>
          <w:sz w:val="21"/>
          <w:szCs w:val="21"/>
        </w:rPr>
        <w:t>[26] Gebremedhn EG, Mamo TT, Gebregzi AH. Incidence and factors associated with postoperative nausea and vomiting at Debre Berhan referral hospital, North Shewa, Ethiopia: A cross-sectional study. BMC Anesthesiol. 2020;20(1):214. doi:10.1186/s12871-020-01128-6</w:t>
      </w:r>
    </w:p>
    <w:p w14:paraId="0D8F97C8" w14:textId="77777777" w:rsidR="00F25541" w:rsidRDefault="00AA650C">
      <w:pPr>
        <w:spacing w:after="40"/>
        <w:ind w:left="420" w:hanging="420"/>
      </w:pPr>
      <w:r>
        <w:rPr>
          <w:sz w:val="21"/>
          <w:szCs w:val="21"/>
        </w:rPr>
        <w:t xml:space="preserve">[27] Ozdemir K, Tastan S, Iyigun E. Nonpharmacological nursing interventions in postoperative nausea and vomiting: A systematic review. J PeriAnesth Nurs. 2024;39(2):336-347. </w:t>
      </w:r>
      <w:proofErr w:type="gramStart"/>
      <w:r>
        <w:rPr>
          <w:sz w:val="21"/>
          <w:szCs w:val="21"/>
        </w:rPr>
        <w:t>doi:10.1016/j.jopan</w:t>
      </w:r>
      <w:proofErr w:type="gramEnd"/>
      <w:r>
        <w:rPr>
          <w:sz w:val="21"/>
          <w:szCs w:val="21"/>
        </w:rPr>
        <w:t>.2023.08.008</w:t>
      </w:r>
    </w:p>
    <w:p w14:paraId="58BE8D5A" w14:textId="77777777" w:rsidR="00F25541" w:rsidRDefault="00AA650C">
      <w:pPr>
        <w:spacing w:after="40"/>
        <w:ind w:left="420" w:hanging="420"/>
      </w:pPr>
      <w:r>
        <w:rPr>
          <w:sz w:val="21"/>
          <w:szCs w:val="21"/>
        </w:rPr>
        <w:t xml:space="preserve">[28] Hines S, Steels E, Chang A, Gibbons K. Aromatherapy for treatment of postoperative nausea and vomiting. Cochrane Database Syst Rev. 2018;7(7):CD007598. </w:t>
      </w:r>
      <w:proofErr w:type="gramStart"/>
      <w:r>
        <w:rPr>
          <w:sz w:val="21"/>
          <w:szCs w:val="21"/>
        </w:rPr>
        <w:t>doi:10.1002/14651858.CD007598.pub3</w:t>
      </w:r>
      <w:proofErr w:type="gramEnd"/>
    </w:p>
    <w:p w14:paraId="21418A4B" w14:textId="77777777" w:rsidR="00F25541" w:rsidRDefault="00AA650C">
      <w:pPr>
        <w:spacing w:after="40"/>
        <w:ind w:left="420" w:hanging="420"/>
      </w:pPr>
      <w:r>
        <w:rPr>
          <w:sz w:val="21"/>
          <w:szCs w:val="21"/>
        </w:rPr>
        <w:t xml:space="preserve">[29] Luedi MM, Doll D, Boggs SD, Ramesh VJ, Koo B, Rüsch D, et al. A simplified algorithm for prevention of postoperative nausea and vomiting is effective: a re-evaluation audit. Br J Anaesth. 2023;131(2):428-436. </w:t>
      </w:r>
      <w:proofErr w:type="gramStart"/>
      <w:r>
        <w:rPr>
          <w:sz w:val="21"/>
          <w:szCs w:val="21"/>
        </w:rPr>
        <w:t>doi:10.1016/j.bja</w:t>
      </w:r>
      <w:proofErr w:type="gramEnd"/>
      <w:r>
        <w:rPr>
          <w:sz w:val="21"/>
          <w:szCs w:val="21"/>
        </w:rPr>
        <w:t>.2023.06.037</w:t>
      </w:r>
    </w:p>
    <w:p w14:paraId="6A63157E" w14:textId="77777777" w:rsidR="00F25541" w:rsidRDefault="00AA650C">
      <w:pPr>
        <w:spacing w:after="40"/>
        <w:ind w:left="420" w:hanging="420"/>
      </w:pPr>
      <w:r>
        <w:rPr>
          <w:sz w:val="21"/>
          <w:szCs w:val="21"/>
        </w:rPr>
        <w:t>[30] Mellin-Olsen T, Fawzi S, Sanabria C, Yeung J. Evidence-based perioperative prevention of postoperative nausea and vomiting: A narrative review. J Clin Med. 2025;14(19):6901. doi:10.3390/jcm14196901</w:t>
      </w:r>
    </w:p>
    <w:p w14:paraId="763C7017" w14:textId="77777777" w:rsidR="00F25541" w:rsidRDefault="00AA650C">
      <w:pPr>
        <w:spacing w:after="40"/>
        <w:ind w:left="420" w:hanging="420"/>
      </w:pPr>
      <w:r>
        <w:rPr>
          <w:sz w:val="21"/>
          <w:szCs w:val="21"/>
        </w:rPr>
        <w:t>[31] Epiu I, Tindimwebwa J, Mijumbi C, Ndiwo W, Tumukunde J, Shalaby T, et al. Challenges of anesthesia in low- and middle-income countries: a cross-sectional survey of 78 hospitals in Uganda. Anesth Analg. 2017;124(1):290-299. doi:10.1213/ANE.0000000000001374</w:t>
      </w:r>
    </w:p>
    <w:p w14:paraId="07A52316" w14:textId="77777777" w:rsidR="00F25541" w:rsidRDefault="00AA650C">
      <w:pPr>
        <w:spacing w:after="40"/>
        <w:ind w:left="420" w:hanging="420"/>
      </w:pPr>
      <w:r>
        <w:rPr>
          <w:sz w:val="21"/>
          <w:szCs w:val="21"/>
        </w:rPr>
        <w:t>[32] Schaefer MS, Kranke P, Weibel S. Postoperative/postdischarge nausea and vomiting: evidence-based prevention and treatment. Curr Opin Anaesthesiol. 2023;36(6):669-676. doi:10.1097/ACO.0000000000001315</w:t>
      </w:r>
    </w:p>
    <w:p w14:paraId="653FB8DD" w14:textId="77777777" w:rsidR="00F25541" w:rsidRDefault="00AA650C">
      <w:pPr>
        <w:spacing w:after="40"/>
        <w:ind w:left="420" w:hanging="420"/>
      </w:pPr>
      <w:r>
        <w:rPr>
          <w:sz w:val="21"/>
          <w:szCs w:val="21"/>
        </w:rPr>
        <w:t xml:space="preserve">[33] El-Radaideh KM, Alhowary AA. Effectiveness of P6 acupressure in prevention of PONV in patients undergoing cardiac surgery. J Perianesth Nurs. 2019;34(3):567-573. </w:t>
      </w:r>
      <w:proofErr w:type="gramStart"/>
      <w:r>
        <w:rPr>
          <w:sz w:val="21"/>
          <w:szCs w:val="21"/>
        </w:rPr>
        <w:t>doi:10.1016/j.jopan</w:t>
      </w:r>
      <w:proofErr w:type="gramEnd"/>
      <w:r>
        <w:rPr>
          <w:sz w:val="21"/>
          <w:szCs w:val="21"/>
        </w:rPr>
        <w:t>.2018.09.005</w:t>
      </w:r>
    </w:p>
    <w:p w14:paraId="58A3E720" w14:textId="77777777" w:rsidR="00F25541" w:rsidRDefault="00AA650C">
      <w:pPr>
        <w:spacing w:after="40"/>
        <w:ind w:left="420" w:hanging="420"/>
      </w:pPr>
      <w:r>
        <w:rPr>
          <w:sz w:val="21"/>
          <w:szCs w:val="21"/>
        </w:rPr>
        <w:t>[34] Koo A, May SM, Hession L, Patil VP, O’Sullivan EP, Buggy DJ, et al. Operation-specific risk of postoperative nausea: a cross-sectional study comparing 72 procedures. BMJ Open. 2024;14(2</w:t>
      </w:r>
      <w:proofErr w:type="gramStart"/>
      <w:r>
        <w:rPr>
          <w:sz w:val="21"/>
          <w:szCs w:val="21"/>
        </w:rPr>
        <w:t>):e</w:t>
      </w:r>
      <w:proofErr w:type="gramEnd"/>
      <w:r>
        <w:rPr>
          <w:sz w:val="21"/>
          <w:szCs w:val="21"/>
        </w:rPr>
        <w:t>077508. doi:10.1136/bmjopen-2023-077508</w:t>
      </w:r>
    </w:p>
    <w:p w14:paraId="22E6A599" w14:textId="77777777" w:rsidR="00F25541" w:rsidRDefault="00AA650C">
      <w:pPr>
        <w:spacing w:after="40"/>
        <w:ind w:left="420" w:hanging="420"/>
      </w:pPr>
      <w:r>
        <w:rPr>
          <w:sz w:val="21"/>
          <w:szCs w:val="21"/>
        </w:rPr>
        <w:lastRenderedPageBreak/>
        <w:t xml:space="preserve">[35] Jin Z, Li J, Wang K, Guo Y, Wang E. Postoperative nausea and vomiting: translating pathophysiological mechanisms into clinical management. Perioper Med. </w:t>
      </w:r>
      <w:proofErr w:type="gramStart"/>
      <w:r>
        <w:rPr>
          <w:sz w:val="21"/>
          <w:szCs w:val="21"/>
        </w:rPr>
        <w:t>2025;14:16</w:t>
      </w:r>
      <w:proofErr w:type="gramEnd"/>
      <w:r>
        <w:rPr>
          <w:sz w:val="21"/>
          <w:szCs w:val="21"/>
        </w:rPr>
        <w:t>. doi:10.1186/s13741-025-00626-5</w:t>
      </w:r>
    </w:p>
    <w:sectPr w:rsidR="00F25541" w:rsidSect="00222CF9">
      <w:headerReference w:type="even" r:id="rId18"/>
      <w:headerReference w:type="default" r:id="rId19"/>
      <w:footerReference w:type="default" r:id="rId20"/>
      <w:headerReference w:type="first" r:id="rId21"/>
      <w:pgSz w:w="11906" w:h="16838"/>
      <w:pgMar w:top="1440" w:right="1417" w:bottom="1440" w:left="1701" w:header="850" w:footer="992"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DE70" w14:textId="77777777" w:rsidR="00977CE3" w:rsidRDefault="00977CE3">
      <w:pPr>
        <w:spacing w:line="240" w:lineRule="auto"/>
      </w:pPr>
      <w:r>
        <w:separator/>
      </w:r>
    </w:p>
  </w:endnote>
  <w:endnote w:type="continuationSeparator" w:id="0">
    <w:p w14:paraId="38AD53C1" w14:textId="77777777" w:rsidR="00977CE3" w:rsidRDefault="00977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77DF" w14:textId="77777777" w:rsidR="007D1E28" w:rsidRDefault="007D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629A" w14:textId="77777777" w:rsidR="00F25541" w:rsidRDefault="00F2554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48D5" w14:textId="77777777" w:rsidR="007D1E28" w:rsidRDefault="007D1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7290" w14:textId="77777777" w:rsidR="00F25541" w:rsidRDefault="00AA650C">
    <w:pPr>
      <w:jc w:val="center"/>
    </w:pPr>
    <w:r>
      <w:rPr>
        <w:sz w:val="21"/>
        <w:szCs w:val="21"/>
      </w:rPr>
      <w:t xml:space="preserve">- </w:t>
    </w:r>
    <w:r>
      <w:rPr>
        <w:sz w:val="21"/>
        <w:szCs w:val="21"/>
      </w:rPr>
      <w:fldChar w:fldCharType="begin"/>
    </w:r>
    <w:r>
      <w:rPr>
        <w:sz w:val="21"/>
        <w:szCs w:val="21"/>
      </w:rPr>
      <w:instrText>PAGE</w:instrText>
    </w:r>
    <w:r>
      <w:rPr>
        <w:sz w:val="21"/>
        <w:szCs w:val="21"/>
      </w:rPr>
      <w:fldChar w:fldCharType="separate"/>
    </w:r>
    <w:r w:rsidR="00FD5C8C">
      <w:rPr>
        <w:noProof/>
        <w:sz w:val="21"/>
        <w:szCs w:val="21"/>
      </w:rPr>
      <w:t>1</w:t>
    </w:r>
    <w:r>
      <w:rPr>
        <w:sz w:val="21"/>
        <w:szCs w:val="21"/>
      </w:rPr>
      <w:fldChar w:fldCharType="end"/>
    </w:r>
    <w:r>
      <w:rPr>
        <w:sz w:val="21"/>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E91E" w14:textId="77777777" w:rsidR="00F25541" w:rsidRDefault="00F2554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74F4" w14:textId="77777777" w:rsidR="00977CE3" w:rsidRDefault="00977CE3">
      <w:pPr>
        <w:spacing w:line="240" w:lineRule="auto"/>
      </w:pPr>
      <w:r>
        <w:separator/>
      </w:r>
    </w:p>
  </w:footnote>
  <w:footnote w:type="continuationSeparator" w:id="0">
    <w:p w14:paraId="566F54CD" w14:textId="77777777" w:rsidR="00977CE3" w:rsidRDefault="00977C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9810" w14:textId="27BFC5A7" w:rsidR="007D1E28" w:rsidRDefault="00000000">
    <w:pPr>
      <w:pStyle w:val="Header"/>
    </w:pPr>
    <w:r>
      <w:rPr>
        <w:noProof/>
      </w:rPr>
      <w:pict w14:anchorId="0CB8C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3" o:spid="_x0000_s1026" type="#_x0000_t136" style="position:absolute;margin-left:0;margin-top:0;width:556.65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08" w14:textId="2E9DB051" w:rsidR="00F25541" w:rsidRDefault="00000000">
    <w:pPr>
      <w:pBdr>
        <w:bottom w:val="single" w:sz="1" w:space="0" w:color="000000"/>
      </w:pBdr>
      <w:jc w:val="center"/>
    </w:pPr>
    <w:r>
      <w:rPr>
        <w:noProof/>
      </w:rPr>
      <w:pict w14:anchorId="57B0A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4" o:spid="_x0000_s1027" type="#_x0000_t136" style="position:absolute;left:0;text-align:left;margin-left:0;margin-top:0;width:556.65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F2A3" w14:textId="7B5329C1" w:rsidR="007D1E28" w:rsidRDefault="00000000">
    <w:pPr>
      <w:pStyle w:val="Header"/>
    </w:pPr>
    <w:r>
      <w:rPr>
        <w:noProof/>
      </w:rPr>
      <w:pict w14:anchorId="121CF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2" o:spid="_x0000_s1025" type="#_x0000_t136" style="position:absolute;margin-left:0;margin-top:0;width:556.65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0868" w14:textId="40BBA2D4" w:rsidR="007D1E28" w:rsidRDefault="00000000">
    <w:pPr>
      <w:pStyle w:val="Header"/>
    </w:pPr>
    <w:r>
      <w:rPr>
        <w:noProof/>
      </w:rPr>
      <w:pict w14:anchorId="74501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6" o:spid="_x0000_s1029" type="#_x0000_t136" style="position:absolute;margin-left:0;margin-top:0;width:556.65pt;height:62.8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9F62" w14:textId="04D6BC2D" w:rsidR="00F25541" w:rsidRDefault="00000000">
    <w:pPr>
      <w:pBdr>
        <w:bottom w:val="single" w:sz="1" w:space="0" w:color="000000"/>
      </w:pBdr>
      <w:jc w:val="center"/>
    </w:pPr>
    <w:r>
      <w:rPr>
        <w:noProof/>
      </w:rPr>
      <w:pict w14:anchorId="35331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7" o:spid="_x0000_s1030" type="#_x0000_t136" style="position:absolute;left:0;text-align:left;margin-left:0;margin-top:0;width:556.65pt;height:62.8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7264" w14:textId="14E8729E" w:rsidR="007D1E28" w:rsidRDefault="00000000">
    <w:pPr>
      <w:pStyle w:val="Header"/>
    </w:pPr>
    <w:r>
      <w:rPr>
        <w:noProof/>
      </w:rPr>
      <w:pict w14:anchorId="10AB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5" o:spid="_x0000_s1028" type="#_x0000_t136" style="position:absolute;margin-left:0;margin-top:0;width:556.65pt;height:62.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09BA" w14:textId="7E8AAFEE" w:rsidR="007D1E28" w:rsidRDefault="00000000">
    <w:pPr>
      <w:pStyle w:val="Header"/>
    </w:pPr>
    <w:r>
      <w:rPr>
        <w:noProof/>
      </w:rPr>
      <w:pict w14:anchorId="69FF3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9" o:spid="_x0000_s1032" type="#_x0000_t136" style="position:absolute;margin-left:0;margin-top:0;width:556.65pt;height:62.8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23E9" w14:textId="369E18FB" w:rsidR="00F25541" w:rsidRDefault="00000000">
    <w:pPr>
      <w:pBdr>
        <w:bottom w:val="single" w:sz="1" w:space="0" w:color="000000"/>
      </w:pBdr>
      <w:jc w:val="center"/>
    </w:pPr>
    <w:r>
      <w:rPr>
        <w:noProof/>
      </w:rPr>
      <w:pict w14:anchorId="3C44C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20" o:spid="_x0000_s1033" type="#_x0000_t136" style="position:absolute;left:0;text-align:left;margin-left:0;margin-top:0;width:556.65pt;height:62.8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80F4" w14:textId="528BACF6" w:rsidR="007D1E28" w:rsidRDefault="00000000">
    <w:pPr>
      <w:pStyle w:val="Header"/>
    </w:pPr>
    <w:r>
      <w:rPr>
        <w:noProof/>
      </w:rPr>
      <w:pict w14:anchorId="6087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8" o:spid="_x0000_s1031" type="#_x0000_t136" style="position:absolute;margin-left:0;margin-top:0;width:556.65pt;height:62.8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ADB"/>
    <w:multiLevelType w:val="hybridMultilevel"/>
    <w:tmpl w:val="1952C7C0"/>
    <w:lvl w:ilvl="0" w:tplc="A3AA53D4">
      <w:start w:val="1"/>
      <w:numFmt w:val="bullet"/>
      <w:lvlText w:val="●"/>
      <w:lvlJc w:val="left"/>
      <w:pPr>
        <w:ind w:left="720" w:hanging="360"/>
      </w:pPr>
    </w:lvl>
    <w:lvl w:ilvl="1" w:tplc="4F284ABE">
      <w:start w:val="1"/>
      <w:numFmt w:val="bullet"/>
      <w:lvlText w:val="○"/>
      <w:lvlJc w:val="left"/>
      <w:pPr>
        <w:ind w:left="1440" w:hanging="360"/>
      </w:pPr>
    </w:lvl>
    <w:lvl w:ilvl="2" w:tplc="DF64A88C">
      <w:start w:val="1"/>
      <w:numFmt w:val="bullet"/>
      <w:lvlText w:val="■"/>
      <w:lvlJc w:val="left"/>
      <w:pPr>
        <w:ind w:left="2160" w:hanging="360"/>
      </w:pPr>
    </w:lvl>
    <w:lvl w:ilvl="3" w:tplc="72A82546">
      <w:start w:val="1"/>
      <w:numFmt w:val="bullet"/>
      <w:lvlText w:val="●"/>
      <w:lvlJc w:val="left"/>
      <w:pPr>
        <w:ind w:left="2880" w:hanging="360"/>
      </w:pPr>
    </w:lvl>
    <w:lvl w:ilvl="4" w:tplc="56C0811E">
      <w:start w:val="1"/>
      <w:numFmt w:val="bullet"/>
      <w:lvlText w:val="○"/>
      <w:lvlJc w:val="left"/>
      <w:pPr>
        <w:ind w:left="3600" w:hanging="360"/>
      </w:pPr>
    </w:lvl>
    <w:lvl w:ilvl="5" w:tplc="BD18C3B2">
      <w:start w:val="1"/>
      <w:numFmt w:val="bullet"/>
      <w:lvlText w:val="■"/>
      <w:lvlJc w:val="left"/>
      <w:pPr>
        <w:ind w:left="4320" w:hanging="360"/>
      </w:pPr>
    </w:lvl>
    <w:lvl w:ilvl="6" w:tplc="1EB469EE">
      <w:start w:val="1"/>
      <w:numFmt w:val="bullet"/>
      <w:lvlText w:val="●"/>
      <w:lvlJc w:val="left"/>
      <w:pPr>
        <w:ind w:left="5040" w:hanging="360"/>
      </w:pPr>
    </w:lvl>
    <w:lvl w:ilvl="7" w:tplc="33E405B8">
      <w:start w:val="1"/>
      <w:numFmt w:val="bullet"/>
      <w:lvlText w:val="●"/>
      <w:lvlJc w:val="left"/>
      <w:pPr>
        <w:ind w:left="5760" w:hanging="360"/>
      </w:pPr>
    </w:lvl>
    <w:lvl w:ilvl="8" w:tplc="B03A2526">
      <w:start w:val="1"/>
      <w:numFmt w:val="bullet"/>
      <w:lvlText w:val="●"/>
      <w:lvlJc w:val="left"/>
      <w:pPr>
        <w:ind w:left="6480" w:hanging="360"/>
      </w:pPr>
    </w:lvl>
  </w:abstractNum>
  <w:num w:numId="1" w16cid:durableId="8724268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41"/>
    <w:rsid w:val="000209A4"/>
    <w:rsid w:val="000F2322"/>
    <w:rsid w:val="00222CF9"/>
    <w:rsid w:val="002319F6"/>
    <w:rsid w:val="0029401E"/>
    <w:rsid w:val="002A1721"/>
    <w:rsid w:val="003232B9"/>
    <w:rsid w:val="003550E3"/>
    <w:rsid w:val="003A2E9E"/>
    <w:rsid w:val="00431459"/>
    <w:rsid w:val="00442E98"/>
    <w:rsid w:val="004C5EDE"/>
    <w:rsid w:val="00605408"/>
    <w:rsid w:val="006B2165"/>
    <w:rsid w:val="006F6ECA"/>
    <w:rsid w:val="00720F01"/>
    <w:rsid w:val="00761CD5"/>
    <w:rsid w:val="007D1E28"/>
    <w:rsid w:val="008674F8"/>
    <w:rsid w:val="008B4265"/>
    <w:rsid w:val="008E4768"/>
    <w:rsid w:val="008F7E7D"/>
    <w:rsid w:val="00977CE3"/>
    <w:rsid w:val="009A4BCD"/>
    <w:rsid w:val="009E1E32"/>
    <w:rsid w:val="00AA650C"/>
    <w:rsid w:val="00AF0B6C"/>
    <w:rsid w:val="00C33EA5"/>
    <w:rsid w:val="00C61857"/>
    <w:rsid w:val="00D1489A"/>
    <w:rsid w:val="00D7120C"/>
    <w:rsid w:val="00E17B38"/>
    <w:rsid w:val="00E80371"/>
    <w:rsid w:val="00EA2BE6"/>
    <w:rsid w:val="00EA395F"/>
    <w:rsid w:val="00EE2670"/>
    <w:rsid w:val="00F25541"/>
    <w:rsid w:val="00FD5C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22D6"/>
  <w15:docId w15:val="{2FC6DCE8-43BC-2244-976B-1FEE97CD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color w:val="000000"/>
        <w:sz w:val="24"/>
        <w:szCs w:val="24"/>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360"/>
      <w:jc w:val="center"/>
      <w:outlineLvl w:val="0"/>
    </w:pPr>
    <w:rPr>
      <w:rFonts w:eastAsia="SimHei"/>
      <w:b/>
      <w:bCs/>
      <w:sz w:val="32"/>
      <w:szCs w:val="32"/>
    </w:rPr>
  </w:style>
  <w:style w:type="paragraph" w:styleId="Heading2">
    <w:name w:val="heading 2"/>
    <w:uiPriority w:val="9"/>
    <w:unhideWhenUsed/>
    <w:qFormat/>
    <w:pPr>
      <w:spacing w:before="360" w:after="240"/>
      <w:outlineLvl w:val="1"/>
    </w:pPr>
    <w:rPr>
      <w:rFonts w:eastAsia="SimHei"/>
      <w:b/>
      <w:bCs/>
      <w:sz w:val="30"/>
      <w:szCs w:val="30"/>
    </w:rPr>
  </w:style>
  <w:style w:type="paragraph" w:styleId="Heading3">
    <w:name w:val="heading 3"/>
    <w:uiPriority w:val="9"/>
    <w:semiHidden/>
    <w:unhideWhenUsed/>
    <w:qFormat/>
    <w:pPr>
      <w:spacing w:before="240" w:after="120"/>
      <w:outlineLvl w:val="2"/>
    </w:pPr>
    <w:rPr>
      <w:rFonts w:eastAsia="SimHei"/>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D5C8C"/>
    <w:pPr>
      <w:tabs>
        <w:tab w:val="center" w:pos="4513"/>
        <w:tab w:val="right" w:pos="9026"/>
      </w:tabs>
      <w:spacing w:line="240" w:lineRule="auto"/>
    </w:pPr>
  </w:style>
  <w:style w:type="character" w:customStyle="1" w:styleId="HeaderChar">
    <w:name w:val="Header Char"/>
    <w:basedOn w:val="DefaultParagraphFont"/>
    <w:link w:val="Header"/>
    <w:uiPriority w:val="99"/>
    <w:rsid w:val="00FD5C8C"/>
  </w:style>
  <w:style w:type="paragraph" w:styleId="Footer">
    <w:name w:val="footer"/>
    <w:basedOn w:val="Normal"/>
    <w:link w:val="FooterChar"/>
    <w:uiPriority w:val="99"/>
    <w:unhideWhenUsed/>
    <w:rsid w:val="00FD5C8C"/>
    <w:pPr>
      <w:tabs>
        <w:tab w:val="center" w:pos="4513"/>
        <w:tab w:val="right" w:pos="9026"/>
      </w:tabs>
      <w:spacing w:line="240" w:lineRule="auto"/>
    </w:pPr>
  </w:style>
  <w:style w:type="character" w:customStyle="1" w:styleId="FooterChar">
    <w:name w:val="Footer Char"/>
    <w:basedOn w:val="DefaultParagraphFont"/>
    <w:link w:val="Footer"/>
    <w:uiPriority w:val="99"/>
    <w:rsid w:val="00FD5C8C"/>
  </w:style>
  <w:style w:type="character" w:styleId="UnresolvedMention">
    <w:name w:val="Unresolved Mention"/>
    <w:basedOn w:val="DefaultParagraphFont"/>
    <w:uiPriority w:val="99"/>
    <w:semiHidden/>
    <w:unhideWhenUsed/>
    <w:rsid w:val="008E4768"/>
    <w:rPr>
      <w:color w:val="605E5C"/>
      <w:shd w:val="clear" w:color="auto" w:fill="E1DFDD"/>
    </w:rPr>
  </w:style>
  <w:style w:type="table" w:customStyle="1" w:styleId="TableGrid1">
    <w:name w:val="Table Grid1"/>
    <w:basedOn w:val="TableNormal"/>
    <w:next w:val="TableGrid"/>
    <w:uiPriority w:val="39"/>
    <w:rsid w:val="00E80371"/>
    <w:pPr>
      <w:spacing w:line="240" w:lineRule="auto"/>
    </w:pPr>
    <w:rPr>
      <w:rFonts w:ascii="Calibri" w:eastAsia="Calibri" w:hAnsi="Calibri" w:cs="Vrinda"/>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03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2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20</Pages>
  <Words>6150</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Faika Ibrahim Hassanein</cp:lastModifiedBy>
  <cp:revision>24</cp:revision>
  <dcterms:created xsi:type="dcterms:W3CDTF">2026-05-10T11:27:00Z</dcterms:created>
  <dcterms:modified xsi:type="dcterms:W3CDTF">2026-05-12T22:18:00Z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322bceff-8a94-415e-aa28-797a50c106f8</vt:lpwstr>
  </property>
</Properties>
</file>