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30A4" w14:textId="5AF6FA47" w:rsidR="00754C9A" w:rsidRDefault="007C29E0" w:rsidP="00441B6F">
      <w:pPr>
        <w:pStyle w:val="Title"/>
        <w:spacing w:after="0"/>
        <w:jc w:val="both"/>
        <w:rPr>
          <w:rFonts w:ascii="Arial" w:hAnsi="Arial" w:cs="Arial"/>
        </w:rPr>
      </w:pPr>
      <w:r w:rsidRPr="007C29E0">
        <w:rPr>
          <w:rFonts w:ascii="Arial" w:hAnsi="Arial" w:cs="Arial"/>
        </w:rPr>
        <w:t>Original Research Article</w:t>
      </w:r>
    </w:p>
    <w:p w14:paraId="595EDAA1" w14:textId="77777777" w:rsidR="007C29E0" w:rsidRDefault="007C29E0" w:rsidP="00441B6F">
      <w:pPr>
        <w:pStyle w:val="Title"/>
        <w:spacing w:after="0"/>
        <w:jc w:val="both"/>
        <w:rPr>
          <w:rFonts w:ascii="Arial" w:hAnsi="Arial" w:cs="Arial"/>
        </w:rPr>
      </w:pPr>
    </w:p>
    <w:p w14:paraId="4CA0555D" w14:textId="77777777" w:rsidR="007C29E0" w:rsidRDefault="007C29E0" w:rsidP="00441B6F">
      <w:pPr>
        <w:pStyle w:val="Title"/>
        <w:spacing w:after="0"/>
        <w:jc w:val="both"/>
        <w:rPr>
          <w:rFonts w:ascii="Arial" w:hAnsi="Arial" w:cs="Arial"/>
        </w:rPr>
      </w:pPr>
    </w:p>
    <w:p w14:paraId="2F1218A8" w14:textId="0F96F608" w:rsidR="00741C82" w:rsidRPr="00741C82" w:rsidRDefault="00741C82" w:rsidP="00741C82">
      <w:pPr>
        <w:pStyle w:val="Author"/>
        <w:spacing w:line="240" w:lineRule="auto"/>
        <w:rPr>
          <w:rFonts w:ascii="Arial" w:hAnsi="Arial" w:cs="Arial"/>
          <w:bCs/>
          <w:iCs/>
          <w:kern w:val="28"/>
          <w:sz w:val="36"/>
        </w:rPr>
      </w:pPr>
      <w:r w:rsidRPr="00741C82">
        <w:rPr>
          <w:rFonts w:ascii="Arial" w:hAnsi="Arial" w:cs="Arial"/>
          <w:bCs/>
          <w:iCs/>
          <w:kern w:val="28"/>
          <w:sz w:val="36"/>
        </w:rPr>
        <w:t xml:space="preserve">Antioxidant and Antibacterial Activities of Aqueous and Hydroethanolic Extracts from the Pericarp of </w:t>
      </w:r>
      <w:r w:rsidR="00CA16D7" w:rsidRPr="00CA16D7">
        <w:rPr>
          <w:rFonts w:ascii="Arial" w:hAnsi="Arial" w:cs="Arial"/>
          <w:bCs/>
          <w:i/>
          <w:iCs/>
          <w:kern w:val="28"/>
          <w:sz w:val="36"/>
        </w:rPr>
        <w:t>Garcinia mangostana</w:t>
      </w:r>
      <w:r w:rsidRPr="00741C82">
        <w:rPr>
          <w:rFonts w:ascii="Arial" w:hAnsi="Arial" w:cs="Arial"/>
          <w:bCs/>
          <w:iCs/>
          <w:kern w:val="28"/>
          <w:sz w:val="36"/>
        </w:rPr>
        <w:t xml:space="preserve"> L. (Clusiaceae)</w:t>
      </w:r>
    </w:p>
    <w:p w14:paraId="6448A8FD" w14:textId="77777777" w:rsidR="00741C82" w:rsidRPr="000E12D9" w:rsidRDefault="00741C82" w:rsidP="00741C82">
      <w:pPr>
        <w:pStyle w:val="Heading1"/>
        <w:rPr>
          <w:rFonts w:asciiTheme="majorBidi" w:hAnsiTheme="majorBidi"/>
          <w:b w:val="0"/>
          <w:bCs/>
          <w:color w:val="000000" w:themeColor="text1"/>
          <w:sz w:val="24"/>
          <w:szCs w:val="24"/>
        </w:rPr>
      </w:pPr>
    </w:p>
    <w:p w14:paraId="71330328" w14:textId="77777777" w:rsidR="002C57D2" w:rsidRPr="00FB3A86" w:rsidRDefault="002C57D2" w:rsidP="00441B6F">
      <w:pPr>
        <w:pStyle w:val="Affiliation"/>
        <w:spacing w:after="0" w:line="240" w:lineRule="auto"/>
        <w:jc w:val="both"/>
        <w:rPr>
          <w:rFonts w:ascii="Arial" w:hAnsi="Arial" w:cs="Arial"/>
        </w:rPr>
      </w:pPr>
    </w:p>
    <w:p w14:paraId="4D0D1189" w14:textId="0CF9A9A1" w:rsidR="00B01FCD" w:rsidRPr="00FB3A86" w:rsidRDefault="00BF0CCB" w:rsidP="00441B6F">
      <w:pPr>
        <w:pStyle w:val="Copyright"/>
        <w:spacing w:after="0" w:line="240" w:lineRule="auto"/>
        <w:jc w:val="both"/>
        <w:rPr>
          <w:rFonts w:ascii="Arial" w:hAnsi="Arial" w:cs="Arial"/>
        </w:rPr>
        <w:sectPr w:rsidR="00B01FCD" w:rsidRPr="00FB3A86" w:rsidSect="007502A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F95191" wp14:editId="7B412371">
                <wp:extent cx="5303520" cy="635"/>
                <wp:effectExtent l="11430" t="18415" r="9525" b="10160"/>
                <wp:docPr id="93691638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27F19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66A64A" w14:textId="4110F8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2061F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DE420F" w14:textId="77777777" w:rsidTr="001E44FE">
        <w:tc>
          <w:tcPr>
            <w:tcW w:w="9576" w:type="dxa"/>
            <w:shd w:val="clear" w:color="auto" w:fill="F2F2F2"/>
          </w:tcPr>
          <w:p w14:paraId="2C33D51E" w14:textId="7253E657" w:rsidR="00741C82" w:rsidRDefault="00741C82" w:rsidP="00741C82">
            <w:pPr>
              <w:pStyle w:val="Body"/>
              <w:spacing w:after="0"/>
              <w:rPr>
                <w:rFonts w:ascii="Arial" w:eastAsia="Calibri" w:hAnsi="Arial" w:cs="Arial"/>
                <w:szCs w:val="22"/>
              </w:rPr>
            </w:pPr>
            <w:r w:rsidRPr="001A5676">
              <w:rPr>
                <w:rFonts w:ascii="Arial" w:eastAsia="Calibri" w:hAnsi="Arial" w:cs="Arial"/>
                <w:b/>
                <w:bCs/>
                <w:szCs w:val="22"/>
              </w:rPr>
              <w:t>Aim:</w:t>
            </w:r>
            <w:r>
              <w:rPr>
                <w:rFonts w:ascii="Arial" w:eastAsia="Calibri" w:hAnsi="Arial" w:cs="Arial"/>
                <w:szCs w:val="22"/>
              </w:rPr>
              <w:t xml:space="preserve"> To </w:t>
            </w:r>
            <w:r w:rsidRPr="002504E7">
              <w:rPr>
                <w:rFonts w:ascii="Arial" w:eastAsia="Calibri" w:hAnsi="Arial" w:cs="Arial"/>
                <w:szCs w:val="22"/>
              </w:rPr>
              <w:t xml:space="preserve">carry out a phytochemical screening and </w:t>
            </w:r>
            <w:r>
              <w:rPr>
                <w:rFonts w:ascii="Arial" w:eastAsia="Calibri" w:hAnsi="Arial" w:cs="Arial"/>
                <w:szCs w:val="22"/>
              </w:rPr>
              <w:t xml:space="preserve">to </w:t>
            </w:r>
            <w:r w:rsidRPr="002504E7">
              <w:rPr>
                <w:rFonts w:ascii="Arial" w:eastAsia="Calibri" w:hAnsi="Arial" w:cs="Arial"/>
                <w:szCs w:val="22"/>
              </w:rPr>
              <w:t xml:space="preserve">evaluate the antioxidant and antibacterial activity of aqueous and hydroethanol extracts from the pericarp of the fruit of </w:t>
            </w:r>
            <w:r w:rsidR="00CA16D7" w:rsidRPr="00CA16D7">
              <w:rPr>
                <w:rFonts w:ascii="Arial" w:eastAsia="Calibri" w:hAnsi="Arial" w:cs="Arial"/>
                <w:i/>
                <w:iCs/>
                <w:szCs w:val="22"/>
              </w:rPr>
              <w:t xml:space="preserve">Garcinia mangostana </w:t>
            </w:r>
            <w:r w:rsidRPr="002504E7">
              <w:rPr>
                <w:rFonts w:ascii="Arial" w:eastAsia="Calibri" w:hAnsi="Arial" w:cs="Arial"/>
                <w:szCs w:val="22"/>
              </w:rPr>
              <w:t xml:space="preserve"> (Clusiaceae). </w:t>
            </w:r>
          </w:p>
          <w:p w14:paraId="3951D081" w14:textId="77777777" w:rsidR="00741C82" w:rsidRDefault="00741C82" w:rsidP="00741C82">
            <w:pPr>
              <w:pStyle w:val="Body"/>
              <w:spacing w:after="0"/>
              <w:rPr>
                <w:rFonts w:ascii="Arial" w:eastAsia="Calibri" w:hAnsi="Arial" w:cs="Arial"/>
                <w:szCs w:val="22"/>
              </w:rPr>
            </w:pPr>
          </w:p>
          <w:p w14:paraId="46320778" w14:textId="4B7EF4CE" w:rsidR="00741C82" w:rsidRDefault="00741C82" w:rsidP="00741C82">
            <w:pPr>
              <w:pStyle w:val="Body"/>
              <w:spacing w:after="0"/>
              <w:rPr>
                <w:rFonts w:ascii="Arial" w:eastAsia="Calibri" w:hAnsi="Arial" w:cs="Arial"/>
                <w:szCs w:val="22"/>
              </w:rPr>
            </w:pPr>
            <w:r w:rsidRPr="001A5676">
              <w:rPr>
                <w:rFonts w:ascii="Arial" w:eastAsia="Calibri" w:hAnsi="Arial" w:cs="Arial"/>
                <w:b/>
                <w:bCs/>
                <w:szCs w:val="22"/>
              </w:rPr>
              <w:t>Methodology:</w:t>
            </w:r>
            <w:r>
              <w:rPr>
                <w:rFonts w:ascii="Arial" w:eastAsia="Calibri" w:hAnsi="Arial" w:cs="Arial"/>
                <w:szCs w:val="22"/>
              </w:rPr>
              <w:t xml:space="preserve"> </w:t>
            </w:r>
            <w:commentRangeStart w:id="0"/>
            <w:r w:rsidRPr="002504E7">
              <w:rPr>
                <w:rFonts w:ascii="Arial" w:eastAsia="Calibri" w:hAnsi="Arial" w:cs="Arial"/>
                <w:szCs w:val="22"/>
              </w:rPr>
              <w:t>Phytochemical screening was carried out using colorimetric tests for qualitative analysis and spectrometric assays for quantitative analysis</w:t>
            </w:r>
            <w:commentRangeEnd w:id="0"/>
            <w:r w:rsidR="00C12CAE" w:rsidRPr="002504E7">
              <w:rPr>
                <w:rStyle w:val="CommentReference"/>
                <w:rFonts w:ascii="Arial" w:eastAsia="Calibri" w:hAnsi="Arial" w:cs="Arial"/>
                <w:sz w:val="20"/>
                <w:szCs w:val="22"/>
              </w:rPr>
              <w:commentReference w:id="0"/>
            </w:r>
            <w:r w:rsidRPr="002504E7">
              <w:rPr>
                <w:rFonts w:ascii="Arial" w:eastAsia="Calibri" w:hAnsi="Arial" w:cs="Arial"/>
                <w:szCs w:val="22"/>
              </w:rPr>
              <w:t xml:space="preserve">. Antioxidant activity was assessed by FRAP and DPPH methods. Antibacterial activity was determined using the Broth Microdilution technique on 4 bacterial strains including </w:t>
            </w:r>
            <w:r w:rsidR="00CA16D7" w:rsidRPr="00CA16D7">
              <w:rPr>
                <w:rFonts w:ascii="Arial" w:eastAsia="Calibri" w:hAnsi="Arial" w:cs="Arial"/>
                <w:i/>
                <w:iCs/>
                <w:szCs w:val="22"/>
              </w:rPr>
              <w:t>Enterobacter cloacae</w:t>
            </w:r>
            <w:r w:rsidRPr="002504E7">
              <w:rPr>
                <w:rFonts w:ascii="Arial" w:eastAsia="Calibri" w:hAnsi="Arial" w:cs="Arial"/>
                <w:szCs w:val="22"/>
              </w:rPr>
              <w:t xml:space="preserve">, </w:t>
            </w:r>
            <w:r w:rsidR="00CA16D7" w:rsidRPr="00CA16D7">
              <w:rPr>
                <w:rFonts w:ascii="Arial" w:eastAsia="Calibri" w:hAnsi="Arial" w:cs="Arial"/>
                <w:i/>
                <w:iCs/>
                <w:szCs w:val="22"/>
              </w:rPr>
              <w:t>S. aureus</w:t>
            </w:r>
            <w:r w:rsidRPr="002504E7">
              <w:rPr>
                <w:rFonts w:ascii="Arial" w:eastAsia="Calibri" w:hAnsi="Arial" w:cs="Arial"/>
                <w:szCs w:val="22"/>
              </w:rPr>
              <w:t xml:space="preserve">, </w:t>
            </w:r>
            <w:r w:rsidR="00BF0CCB" w:rsidRPr="00BF0CCB">
              <w:rPr>
                <w:rFonts w:ascii="Arial" w:eastAsia="Calibri" w:hAnsi="Arial" w:cs="Arial"/>
                <w:i/>
                <w:iCs/>
                <w:szCs w:val="22"/>
              </w:rPr>
              <w:t>Escherichia coli</w:t>
            </w:r>
            <w:r w:rsidRPr="002504E7">
              <w:rPr>
                <w:rFonts w:ascii="Arial" w:eastAsia="Calibri" w:hAnsi="Arial" w:cs="Arial"/>
                <w:szCs w:val="22"/>
              </w:rPr>
              <w:t xml:space="preserve">, </w:t>
            </w:r>
            <w:r w:rsidR="00CA16D7" w:rsidRPr="00CA16D7">
              <w:rPr>
                <w:rFonts w:ascii="Arial" w:eastAsia="Calibri" w:hAnsi="Arial" w:cs="Arial"/>
                <w:i/>
                <w:iCs/>
                <w:szCs w:val="22"/>
              </w:rPr>
              <w:t>Pseudomonas aeruginosa</w:t>
            </w:r>
            <w:r w:rsidRPr="002504E7">
              <w:rPr>
                <w:rFonts w:ascii="Arial" w:eastAsia="Calibri" w:hAnsi="Arial" w:cs="Arial"/>
                <w:szCs w:val="22"/>
              </w:rPr>
              <w:t>. The bacterial isolates sought came from samples analyzed at the Microbiology Laboratory of the University Clinics of the Mountains, purified on nutrient agar.</w:t>
            </w:r>
          </w:p>
          <w:p w14:paraId="65220E27" w14:textId="02446061" w:rsidR="00741C82" w:rsidRPr="002504E7" w:rsidRDefault="00741C82" w:rsidP="00741C82">
            <w:pPr>
              <w:pStyle w:val="Body"/>
              <w:spacing w:after="0"/>
              <w:rPr>
                <w:rFonts w:ascii="Arial" w:eastAsia="Calibri" w:hAnsi="Arial" w:cs="Arial"/>
                <w:szCs w:val="22"/>
              </w:rPr>
            </w:pPr>
            <w:r w:rsidRPr="001A5676">
              <w:rPr>
                <w:rFonts w:ascii="Arial" w:eastAsia="Calibri" w:hAnsi="Arial" w:cs="Arial"/>
                <w:b/>
                <w:bCs/>
                <w:szCs w:val="22"/>
              </w:rPr>
              <w:t>Results:</w:t>
            </w:r>
            <w:r>
              <w:rPr>
                <w:rFonts w:ascii="Arial" w:eastAsia="Calibri" w:hAnsi="Arial" w:cs="Arial"/>
                <w:szCs w:val="22"/>
              </w:rPr>
              <w:t xml:space="preserve"> </w:t>
            </w:r>
            <w:r w:rsidRPr="002504E7">
              <w:rPr>
                <w:rFonts w:ascii="Arial" w:eastAsia="Calibri" w:hAnsi="Arial" w:cs="Arial"/>
                <w:szCs w:val="22"/>
              </w:rPr>
              <w:t xml:space="preserve"> </w:t>
            </w:r>
            <w:r>
              <w:rPr>
                <w:rFonts w:ascii="Arial" w:eastAsia="Calibri" w:hAnsi="Arial" w:cs="Arial"/>
                <w:szCs w:val="22"/>
              </w:rPr>
              <w:t>E</w:t>
            </w:r>
            <w:r w:rsidRPr="002504E7">
              <w:rPr>
                <w:rFonts w:ascii="Arial" w:eastAsia="Calibri" w:hAnsi="Arial" w:cs="Arial"/>
                <w:szCs w:val="22"/>
              </w:rPr>
              <w:t xml:space="preserve">xtraction yields varied from 1% to 2.76%. The highest yield was obtained by hydroethanol maceration (2.76%), while the lowest was obtained by aqueous maceration (1%). Phytochemical screening revealed the presence of alkaloids, flavonoids, saponins, phenols, tannins and anthocyanins, with a higher concentration of total phenols in each extract. In addition, the hydroethanol extract showed the best anti-free radical activity particularly when measured using the DPPH method, where the IC50 of 15.71 µg/mL was lower than that obtained with butylhydroxy toluene extract (IC50 of 17.91 µg/mL). Although the opposite result were obtained using the FRAP method (IC50 of 18.97 and 15.82 µg/mL respectively), the IC50 value remained below 20 µg/mL indicating strong antioxidant activity of hydroethanol extract. aqueous decoction In parallel, the same hydroethanol extract showed strong inhibition of </w:t>
            </w:r>
            <w:r w:rsidR="00CA16D7" w:rsidRPr="00CA16D7">
              <w:rPr>
                <w:rFonts w:ascii="Arial" w:eastAsia="Calibri" w:hAnsi="Arial" w:cs="Arial"/>
                <w:i/>
                <w:iCs/>
                <w:szCs w:val="22"/>
              </w:rPr>
              <w:t>Enterobacter cloacae</w:t>
            </w:r>
            <w:r w:rsidRPr="002504E7">
              <w:rPr>
                <w:rFonts w:ascii="Arial" w:eastAsia="Calibri" w:hAnsi="Arial" w:cs="Arial"/>
                <w:szCs w:val="22"/>
              </w:rPr>
              <w:t xml:space="preserve"> (0.16µg/ml), </w:t>
            </w:r>
            <w:r w:rsidR="00CA16D7" w:rsidRPr="00CA16D7">
              <w:rPr>
                <w:rFonts w:ascii="Arial" w:eastAsia="Calibri" w:hAnsi="Arial" w:cs="Arial"/>
                <w:i/>
                <w:iCs/>
                <w:szCs w:val="22"/>
              </w:rPr>
              <w:t>S. aureus</w:t>
            </w:r>
            <w:r w:rsidRPr="002504E7">
              <w:rPr>
                <w:rFonts w:ascii="Arial" w:eastAsia="Calibri" w:hAnsi="Arial" w:cs="Arial"/>
                <w:szCs w:val="22"/>
              </w:rPr>
              <w:t xml:space="preserve"> (0.32µg/ml) and </w:t>
            </w:r>
            <w:r w:rsidR="00BF0CCB" w:rsidRPr="00BF0CCB">
              <w:rPr>
                <w:rFonts w:ascii="Arial" w:eastAsia="Calibri" w:hAnsi="Arial" w:cs="Arial"/>
                <w:i/>
                <w:iCs/>
                <w:szCs w:val="22"/>
              </w:rPr>
              <w:t>Escherichia coli</w:t>
            </w:r>
            <w:r w:rsidRPr="002504E7">
              <w:rPr>
                <w:rFonts w:ascii="Arial" w:eastAsia="Calibri" w:hAnsi="Arial" w:cs="Arial"/>
                <w:szCs w:val="22"/>
              </w:rPr>
              <w:t xml:space="preserve"> (0.64µg/ml), while </w:t>
            </w:r>
            <w:r w:rsidR="00CA16D7" w:rsidRPr="00CA16D7">
              <w:rPr>
                <w:rFonts w:ascii="Arial" w:eastAsia="Calibri" w:hAnsi="Arial" w:cs="Arial"/>
                <w:i/>
                <w:iCs/>
                <w:szCs w:val="22"/>
              </w:rPr>
              <w:t>Pseudomonas aeruginosa</w:t>
            </w:r>
            <w:r w:rsidRPr="002504E7">
              <w:rPr>
                <w:rFonts w:ascii="Arial" w:eastAsia="Calibri" w:hAnsi="Arial" w:cs="Arial"/>
                <w:szCs w:val="22"/>
              </w:rPr>
              <w:t xml:space="preserve"> was inhibited with a lower concentration 0.24µg/ml of aqueous decoction than the other extracts. </w:t>
            </w:r>
            <w:r w:rsidRPr="001A5676">
              <w:rPr>
                <w:rFonts w:ascii="Arial" w:eastAsia="Calibri" w:hAnsi="Arial" w:cs="Arial"/>
                <w:b/>
                <w:bCs/>
                <w:szCs w:val="22"/>
              </w:rPr>
              <w:t>Conclusion:</w:t>
            </w:r>
            <w:r>
              <w:rPr>
                <w:rFonts w:ascii="Arial" w:eastAsia="Calibri" w:hAnsi="Arial" w:cs="Arial"/>
                <w:szCs w:val="22"/>
              </w:rPr>
              <w:t xml:space="preserve"> </w:t>
            </w:r>
            <w:r w:rsidRPr="002504E7">
              <w:rPr>
                <w:rFonts w:ascii="Arial" w:eastAsia="Calibri" w:hAnsi="Arial" w:cs="Arial"/>
                <w:szCs w:val="22"/>
              </w:rPr>
              <w:t xml:space="preserve">Hydroethanolic extracts of </w:t>
            </w:r>
            <w:r w:rsidR="00CA16D7" w:rsidRPr="00CA16D7">
              <w:rPr>
                <w:rFonts w:ascii="Arial" w:eastAsia="Calibri" w:hAnsi="Arial" w:cs="Arial"/>
                <w:i/>
                <w:iCs/>
                <w:szCs w:val="22"/>
              </w:rPr>
              <w:t xml:space="preserve">Garcinia mangostana </w:t>
            </w:r>
            <w:r w:rsidRPr="002504E7">
              <w:rPr>
                <w:rFonts w:ascii="Arial" w:eastAsia="Calibri" w:hAnsi="Arial" w:cs="Arial"/>
                <w:szCs w:val="22"/>
              </w:rPr>
              <w:t xml:space="preserve"> pericarp possess antioxidant and antibacterial properties, justifying their use in traditional medicine. </w:t>
            </w:r>
          </w:p>
          <w:p w14:paraId="0EF2922B" w14:textId="251D0207" w:rsidR="00505F06" w:rsidRPr="00BA1B01" w:rsidRDefault="00505F06" w:rsidP="00441B6F">
            <w:pPr>
              <w:pStyle w:val="Body"/>
              <w:spacing w:after="0"/>
              <w:rPr>
                <w:rFonts w:ascii="Arial" w:eastAsia="Calibri" w:hAnsi="Arial" w:cs="Arial"/>
                <w:szCs w:val="22"/>
              </w:rPr>
            </w:pPr>
          </w:p>
        </w:tc>
      </w:tr>
    </w:tbl>
    <w:p w14:paraId="0B98E30A" w14:textId="77777777" w:rsidR="00636EB2" w:rsidRDefault="00636EB2" w:rsidP="00441B6F">
      <w:pPr>
        <w:pStyle w:val="Body"/>
        <w:spacing w:after="0"/>
        <w:rPr>
          <w:rFonts w:ascii="Arial" w:hAnsi="Arial" w:cs="Arial"/>
          <w:i/>
        </w:rPr>
      </w:pPr>
    </w:p>
    <w:p w14:paraId="034AA2D8" w14:textId="5FA7D628" w:rsidR="00A24E7E" w:rsidRDefault="00A24E7E" w:rsidP="00441B6F">
      <w:pPr>
        <w:pStyle w:val="Body"/>
        <w:spacing w:after="0"/>
        <w:rPr>
          <w:rFonts w:ascii="Arial" w:hAnsi="Arial" w:cs="Arial"/>
          <w:i/>
        </w:rPr>
      </w:pPr>
      <w:commentRangeStart w:id="1"/>
      <w:r>
        <w:rPr>
          <w:rFonts w:ascii="Arial" w:hAnsi="Arial" w:cs="Arial"/>
          <w:i/>
        </w:rPr>
        <w:t>Keywords</w:t>
      </w:r>
      <w:commentRangeEnd w:id="1"/>
      <w:r w:rsidR="00C12CAE">
        <w:rPr>
          <w:rStyle w:val="CommentReference"/>
          <w:rFonts w:ascii="Arial" w:hAnsi="Arial" w:cs="Arial"/>
          <w:i/>
          <w:sz w:val="20"/>
          <w:szCs w:val="20"/>
        </w:rPr>
        <w:commentReference w:id="1"/>
      </w:r>
      <w:r>
        <w:rPr>
          <w:rFonts w:ascii="Arial" w:hAnsi="Arial" w:cs="Arial"/>
          <w:i/>
        </w:rPr>
        <w:t xml:space="preserve">: </w:t>
      </w:r>
      <w:r w:rsidR="00CA16D7" w:rsidRPr="00CA16D7">
        <w:rPr>
          <w:rFonts w:ascii="Arial" w:hAnsi="Arial" w:cs="Arial"/>
          <w:i/>
          <w:iCs/>
        </w:rPr>
        <w:t xml:space="preserve">Garcinia mangostana </w:t>
      </w:r>
      <w:r w:rsidR="001A5676" w:rsidRPr="001A5676">
        <w:rPr>
          <w:rFonts w:ascii="Arial" w:hAnsi="Arial" w:cs="Arial"/>
          <w:i/>
        </w:rPr>
        <w:t xml:space="preserve">, antioxidant activity, </w:t>
      </w:r>
      <w:commentRangeStart w:id="2"/>
      <w:r w:rsidR="001A5676" w:rsidRPr="001A5676">
        <w:rPr>
          <w:rFonts w:ascii="Arial" w:hAnsi="Arial" w:cs="Arial"/>
          <w:i/>
        </w:rPr>
        <w:t xml:space="preserve">antibacterial activity phytochemical screening, </w:t>
      </w:r>
      <w:commentRangeEnd w:id="2"/>
      <w:r w:rsidR="00C12CAE" w:rsidRPr="001A5676">
        <w:rPr>
          <w:rStyle w:val="CommentReference"/>
          <w:rFonts w:ascii="Arial" w:hAnsi="Arial" w:cs="Arial"/>
          <w:i/>
          <w:sz w:val="20"/>
          <w:szCs w:val="20"/>
        </w:rPr>
        <w:commentReference w:id="2"/>
      </w:r>
      <w:r w:rsidR="001A5676" w:rsidRPr="001A5676">
        <w:rPr>
          <w:rFonts w:ascii="Arial" w:hAnsi="Arial" w:cs="Arial"/>
          <w:i/>
        </w:rPr>
        <w:t>pericarp</w:t>
      </w:r>
      <w:r w:rsidR="001A5676" w:rsidRPr="002504E7">
        <w:rPr>
          <w:rFonts w:ascii="Arial" w:eastAsia="Calibri" w:hAnsi="Arial" w:cs="Arial"/>
          <w:szCs w:val="22"/>
        </w:rPr>
        <w:t>.</w:t>
      </w:r>
    </w:p>
    <w:p w14:paraId="6155F263" w14:textId="77777777" w:rsidR="00790ADA" w:rsidRDefault="00790ADA" w:rsidP="00441B6F">
      <w:pPr>
        <w:pStyle w:val="Body"/>
        <w:spacing w:after="0"/>
        <w:rPr>
          <w:rFonts w:ascii="Arial" w:hAnsi="Arial" w:cs="Arial"/>
          <w:i/>
        </w:rPr>
      </w:pPr>
    </w:p>
    <w:p w14:paraId="373852A8" w14:textId="077A4265"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6C7D332" w14:textId="77777777" w:rsidR="00790ADA" w:rsidRPr="00FB3A86" w:rsidRDefault="00790ADA" w:rsidP="00441B6F">
      <w:pPr>
        <w:pStyle w:val="AbstHead"/>
        <w:spacing w:after="0"/>
        <w:jc w:val="both"/>
        <w:rPr>
          <w:rFonts w:ascii="Arial" w:hAnsi="Arial" w:cs="Arial"/>
        </w:rPr>
      </w:pPr>
    </w:p>
    <w:p w14:paraId="368CAFE7" w14:textId="4D85D5CC"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 xml:space="preserve">Oxidative stress is included in a wide spectrum of diseases that have a significant impact on population health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&lt;EndNote&gt;&lt;Cite&gt;&lt;Author&gt;Radia&lt;/Author&gt;&lt;Year&gt;2014&lt;/Year&gt;&lt;RecNum&gt;1&lt;/RecNum&gt;&lt;DisplayText&gt;(Radia, 2014)&lt;/DisplayText&gt;&lt;record&gt;&lt;rec-number&gt;1&lt;/rec-number&gt;&lt;foreign-keys&gt;&lt;key app="EN" db-id="xd20ava0ss0z06e9fzmxda9qwp2twsza5092" timestamp="1774870881"&gt;1&lt;/key&gt;&lt;/foreign-keys&gt;&lt;ref-type name="Thesis"&gt;32&lt;/ref-type&gt;&lt;contributors&gt;&lt;authors&gt;&lt;author&gt;Radia, L.&lt;/author&gt;&lt;/authors&gt;&lt;/contributors&gt;&lt;titles&gt;&lt;title&gt;Evaluation in-vitro des activités anti-oxydante et anti-inflammatoire des huiles essentielles d&amp;apos; Origanum glandulosum et Rosmarinus officinalis seules et en combinaison&lt;/title&gt;&lt;short-title&gt;Mémoire de Master&lt;/short-title&gt;&lt;/titles&gt;&lt;dates&gt;&lt;year&gt;2014&lt;/year&gt;&lt;/dates&gt;&lt;pub-location&gt;Algérie&lt;/pub-location&gt;&lt;publisher&gt;Université Abderrahmane Mira de Béjaia&lt;/publisher&gt;&lt;urls&gt;&lt;/urls&gt;&lt;/record&gt;&lt;/Cite&gt;&lt;/EndNote&gt;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(Radia, 2014)</w:t>
      </w:r>
      <w:r w:rsidRPr="001A5676">
        <w:rPr>
          <w:rFonts w:ascii="Arial" w:eastAsia="Calibri" w:hAnsi="Arial" w:cs="Arial"/>
          <w:szCs w:val="22"/>
        </w:rPr>
        <w:fldChar w:fldCharType="end"/>
      </w:r>
      <w:r w:rsidRPr="001A5676">
        <w:rPr>
          <w:rFonts w:ascii="Arial" w:eastAsia="Calibri" w:hAnsi="Arial" w:cs="Arial"/>
          <w:szCs w:val="22"/>
        </w:rPr>
        <w:t xml:space="preserve">. It is implicated in various pathologies such as cardiovascular diseases, cancers, diabetes, neurodegenerative diseases (Alzheimer's, Parkinson's), and the aging process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&lt;EndNote&gt;&lt;Cite&gt;&lt;Author&gt;Favier&lt;/Author&gt;&lt;Year&gt;2003&lt;/Year&gt;&lt;RecNum&gt;2&lt;/RecNum&gt;&lt;DisplayText&gt;(Favier, 2003)&lt;/DisplayText&gt;&lt;record&gt;&lt;rec-number&gt;2&lt;/rec-number&gt;&lt;foreign-keys&gt;&lt;key app="EN" db-id="xd20ava0ss0z06e9fzmxda9qwp2twsza5092" timestamp="1774870881"&gt;2&lt;/key&gt;&lt;/foreign-keys&gt;&lt;ref-type name="Journal Article"&gt;17&lt;/ref-type&gt;&lt;contributors&gt;&lt;authors&gt;&lt;author&gt;Favier, A.&lt;/author&gt;&lt;/authors&gt;&lt;/contributors&gt;&lt;titles&gt;&lt;title&gt;Stress oxydant et pathologies humaines&lt;/title&gt;&lt;secondary-title&gt;Annales Pharmaceutiques Françaises&lt;/secondary-title&gt;&lt;/titles&gt;&lt;periodical&gt;&lt;full-title&gt;Annales Pharmaceutiques Françaises&lt;/full-title&gt;&lt;/periodical&gt;&lt;pages&gt;390-396&lt;/pages&gt;&lt;volume&gt;64&lt;/volume&gt;&lt;dates&gt;&lt;year&gt;2003&lt;/year&gt;&lt;/dates&gt;&lt;urls&gt;&lt;/urls&gt;&lt;/record&gt;&lt;/Cite&gt;&lt;/EndNote&gt;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(Favier, 2003)</w:t>
      </w:r>
      <w:r w:rsidRPr="001A5676">
        <w:rPr>
          <w:rFonts w:ascii="Arial" w:eastAsia="Calibri" w:hAnsi="Arial" w:cs="Arial"/>
          <w:szCs w:val="22"/>
        </w:rPr>
        <w:fldChar w:fldCharType="end"/>
      </w:r>
      <w:r w:rsidRPr="001A5676">
        <w:rPr>
          <w:rFonts w:ascii="Arial" w:eastAsia="Calibri" w:hAnsi="Arial" w:cs="Arial"/>
          <w:szCs w:val="22"/>
        </w:rPr>
        <w:t>. Indeed, oxidative stress is caused by the presence of an excess of free radicals, the generation of which is stopped by antioxidant substances. However, synthetic antioxidants such as butylated hydroxytoluene (BHT) can be responsible for liver damage</w:t>
      </w:r>
      <w:bookmarkStart w:id="3" w:name="_Hlk135961701"/>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&lt;EndNote&gt;&lt;Cite&gt;&lt;Author&gt;Nakagawa&lt;/Author&gt;&lt;Year&gt;1984&lt;/Year&gt;&lt;RecNum&gt;287&lt;/RecNum&gt;&lt;DisplayText&gt;(Nakagawa, Tayama, Nakao, &amp;amp; Hiraga, 1984)&lt;/DisplayText&gt;&lt;record&gt;&lt;rec-number&gt;287&lt;/rec-number&gt;&lt;foreign-keys&gt;&lt;key app="EN" db-id="dzxvrd2t1ta0pceprrspdwttdvz259pz9wx0" timestamp="1772740503"&gt;287&lt;/key&gt;&lt;/foreign-keys&gt;&lt;ref-type name="Journal Article"&gt;17&lt;/ref-type&gt;&lt;contributors&gt;&lt;authors&gt;&lt;author&gt;Nakagawa, Yoshio&lt;/author&gt;&lt;author&gt;Tayama, Kuniaki&lt;/author&gt;&lt;author&gt;Nakao, Toshiko&lt;/author&gt;&lt;author&gt;Hiraga, Kogo&lt;/author&gt;&lt;/authors&gt;&lt;/contributors&gt;&lt;titles&gt;&lt;title&gt;On the mechanism of butylated hydroxytoluene-induced hepatic toxicity in rats&lt;/title&gt;&lt;secondary-title&gt;Biochemical pharmacology&lt;/secondary-title&gt;&lt;/titles&gt;&lt;periodical&gt;&lt;full-title&gt;Biochemical pharmacology&lt;/full-title&gt;&lt;/periodical&gt;&lt;pages&gt;2669-2674&lt;/pages&gt;&lt;volume&gt;33&lt;/volume&gt;&lt;number&gt;16&lt;/number&gt;&lt;dates&gt;&lt;year&gt;1984&lt;/year&gt;&lt;/dates&gt;&lt;isbn&gt;0006-2952&lt;/isbn&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(Nakagawa, Tayama, Nakao, &amp; Hiraga, 1984)</w:t>
      </w:r>
      <w:r w:rsidRPr="001A5676">
        <w:rPr>
          <w:rFonts w:ascii="Arial" w:eastAsia="Calibri" w:hAnsi="Arial" w:cs="Arial"/>
          <w:szCs w:val="22"/>
        </w:rPr>
        <w:fldChar w:fldCharType="end"/>
      </w:r>
      <w:r w:rsidRPr="001A5676">
        <w:rPr>
          <w:rFonts w:ascii="Arial" w:eastAsia="Calibri" w:hAnsi="Arial" w:cs="Arial"/>
          <w:szCs w:val="22"/>
        </w:rPr>
        <w:t>.</w:t>
      </w:r>
      <w:bookmarkEnd w:id="3"/>
    </w:p>
    <w:p w14:paraId="4E4508BC" w14:textId="58459855"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 xml:space="preserve">Furthermore, controlling bacterial infections is becoming increasingly complex. In addition to the phenomenon of multidrug resistance, access to synthetic antibiotics is extremely difficult for poor populations due to their high cost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&lt;EndNote&gt;&lt;Cite&gt;&lt;Author&gt;Rolland&lt;/Author&gt;&lt;Year&gt;2004&lt;/Year&gt;&lt;RecNum&gt;4&lt;/RecNum&gt;&lt;DisplayText&gt;(Rolland, 2004)&lt;/DisplayText&gt;&lt;record&gt;&lt;rec-number&gt;4&lt;/rec-number&gt;&lt;foreign-keys&gt;&lt;key app="EN" db-id="xd20ava0ss0z06e9fzmxda9qwp2twsza5092" timestamp="1774870881"&gt;4&lt;/key&gt;&lt;/foreign-keys&gt;&lt;ref-type name="Journal Article"&gt;17&lt;/ref-type&gt;&lt;contributors&gt;&lt;authors&gt;&lt;author&gt;Rolland, Y.&lt;/author&gt;&lt;/authors&gt;&lt;/contributors&gt;&lt;titles&gt;&lt;title&gt;Antioxydants naturels végétaux&lt;/title&gt;&lt;secondary-title&gt;Oilseeds and fats, Crops and Lipids&lt;/secondary-title&gt;&lt;/titles&gt;&lt;periodical&gt;&lt;full-title&gt;Oilseeds and fats, Crops and Lipids&lt;/full-title&gt;&lt;/periodical&gt;&lt;pages&gt;41&lt;/pages&gt;&lt;volume&gt;11&lt;/volume&gt;&lt;number&gt;6&lt;/number&gt;&lt;dates&gt;&lt;year&gt;2004&lt;/year&gt;&lt;/dates&gt;&lt;urls&gt;&lt;/urls&gt;&lt;/record&gt;&lt;/Cite&gt;&lt;/EndNote&gt;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(Rolland, 2004)</w:t>
      </w:r>
      <w:r w:rsidRPr="001A5676">
        <w:rPr>
          <w:rFonts w:ascii="Arial" w:eastAsia="Calibri" w:hAnsi="Arial" w:cs="Arial"/>
          <w:szCs w:val="22"/>
        </w:rPr>
        <w:fldChar w:fldCharType="end"/>
      </w:r>
      <w:r w:rsidRPr="001A5676">
        <w:rPr>
          <w:rFonts w:ascii="Arial" w:eastAsia="Calibri" w:hAnsi="Arial" w:cs="Arial"/>
          <w:szCs w:val="22"/>
        </w:rPr>
        <w:t>. Faced with these situations, people are increasingly turning to medicinal plants for treatment because of their effectiveness, accessibility, and availability. Thus, traditional medicine could be an effective complement in managing oxidative stress and infectious diseases.</w:t>
      </w:r>
    </w:p>
    <w:p w14:paraId="496CE9A4" w14:textId="6A445221"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 xml:space="preserve">More than 80% of the African population uses for their healthcare needs, through pharmacotoxicological and chemical studies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&lt;EndNote&gt;&lt;Cite&gt;&lt;Author&gt;Blé Marcel&lt;/Author&gt;&lt;Year&gt;2010&lt;/Year&gt;&lt;RecNum&gt;6&lt;/RecNum&gt;&lt;DisplayText&gt;(Blé Marcel, 2010)&lt;/DisplayText&gt;&lt;record&gt;&lt;rec-number&gt;6&lt;/rec-number&gt;&lt;foreign-keys&gt;&lt;key app="EN" db-id="xd20ava0ss0z06e9fzmxda9qwp2twsza5092" timestamp="1774870881"&gt;6&lt;/key&gt;&lt;/foreign-keys&gt;&lt;ref-type name="Journal Article"&gt;17&lt;/ref-type&gt;&lt;contributors&gt;&lt;authors&gt;&lt;author&gt;Blé Marcel, Y.&lt;/author&gt;&lt;/authors&gt;&lt;/contributors&gt;&lt;titles&gt;&lt;title&gt;Rôle de l’anthropologue dans la revalorisation de la médecine traditionnelle Africaine&lt;/title&gt;&lt;secondary-title&gt;Recherches qualitatives&lt;/secondary-title&gt;&lt;/titles&gt;&lt;periodical&gt;&lt;full-title&gt;Recherches qualitatives&lt;/full-title&gt;&lt;/periodical&gt;&lt;pages&gt;57-67&lt;/pages&gt;&lt;volume&gt;29&lt;/volume&gt;&lt;number&gt;2&lt;/number&gt;&lt;dates&gt;&lt;year&gt;2010&lt;/year&gt;&lt;/dates&gt;&lt;urls&gt;&lt;/urls&gt;&lt;/record&gt;&lt;/Cite&gt;&lt;/EndNote&gt;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(Blé Marcel, 2010)</w:t>
      </w:r>
      <w:r w:rsidRPr="001A5676">
        <w:rPr>
          <w:rFonts w:ascii="Arial" w:eastAsia="Calibri" w:hAnsi="Arial" w:cs="Arial"/>
          <w:szCs w:val="22"/>
        </w:rPr>
        <w:fldChar w:fldCharType="end"/>
      </w:r>
      <w:r w:rsidRPr="001A5676">
        <w:rPr>
          <w:rFonts w:ascii="Arial" w:eastAsia="Calibri" w:hAnsi="Arial" w:cs="Arial"/>
          <w:szCs w:val="22"/>
        </w:rPr>
        <w:t xml:space="preserve">. To this end, based on several studies, numerous plants have demonstrated antioxidant and antibacterial activity, such as the fruit of </w:t>
      </w:r>
      <w:r w:rsidR="00CA16D7" w:rsidRPr="00CA16D7">
        <w:rPr>
          <w:rFonts w:ascii="Arial" w:eastAsia="Calibri" w:hAnsi="Arial" w:cs="Arial"/>
          <w:i/>
          <w:iCs/>
          <w:szCs w:val="22"/>
        </w:rPr>
        <w:t xml:space="preserve">Garcinia mangostana </w:t>
      </w:r>
      <w:r w:rsidRPr="001A5676">
        <w:rPr>
          <w:rFonts w:ascii="Arial" w:eastAsia="Calibri" w:hAnsi="Arial" w:cs="Arial"/>
          <w:szCs w:val="22"/>
        </w:rPr>
        <w:t xml:space="preserve"> .</w:t>
      </w:r>
    </w:p>
    <w:p w14:paraId="724C0E25" w14:textId="284BFA21"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The mangosteen (</w:t>
      </w:r>
      <w:r w:rsidR="00CA16D7" w:rsidRPr="00CA16D7">
        <w:rPr>
          <w:rFonts w:ascii="Arial" w:eastAsia="Calibri" w:hAnsi="Arial" w:cs="Arial"/>
          <w:i/>
          <w:iCs/>
          <w:szCs w:val="22"/>
        </w:rPr>
        <w:t xml:space="preserve">Garcinia mangostana </w:t>
      </w:r>
      <w:r w:rsidRPr="001A5676">
        <w:rPr>
          <w:rFonts w:ascii="Arial" w:eastAsia="Calibri" w:hAnsi="Arial" w:cs="Arial"/>
          <w:szCs w:val="22"/>
        </w:rPr>
        <w:t xml:space="preserve"> ) is a tropical fruit prized for its edible pulp. This edible pulp represents only 30% of the total fruit, while the remaining pericarp and seeds are considered waste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&lt;EndNote&gt;&lt;Cite&gt;&lt;Author&gt;Roersch&lt;/Author&gt;&lt;Year&gt;2010&lt;/Year&gt;&lt;RecNum&gt;7&lt;/RecNum&gt;&lt;DisplayText&gt;(Roersch, 2010)&lt;/DisplayText&gt;&lt;record&gt;&lt;rec-number&gt;7&lt;/rec-number&gt;&lt;foreign-keys&gt;&lt;key app="EN" db-id="xd20ava0ss0z06e9fzmxda9qwp2twsza5092" timestamp="1774870881"&gt;7&lt;/key&gt;&lt;/foreign-keys&gt;&lt;ref-type name="Journal Article"&gt;17&lt;/ref-type&gt;&lt;contributors&gt;&lt;authors&gt;&lt;author&gt;Roersch, C.&lt;/author&gt;&lt;/authors&gt;&lt;/contributors&gt;&lt;titles&gt;&lt;title&gt;Piper umbellatum L. A comparative cross-cultural analysis of its medicinal uses and an ethnopharmacological evaluation&lt;/title&gt;&lt;secondary-title&gt;Journal of ethnopharmacology&lt;/secondary-title&gt;&lt;/titles&gt;&lt;periodical&gt;&lt;full-title&gt;Journal of ethnopharmacology&lt;/full-title&gt;&lt;/periodical&gt;&lt;pages&gt;522-537&lt;/pages&gt;&lt;volume&gt;131&lt;/volume&gt;&lt;number&gt;2&lt;/number&gt;&lt;dates&gt;&lt;year&gt;2010&lt;/year&gt;&lt;/dates&gt;&lt;urls&gt;&lt;/urls&gt;&lt;/record&gt;&lt;/Cite&gt;&lt;Cite&gt;&lt;Author&gt;Roersch&lt;/Author&gt;&lt;Year&gt;2010&lt;/Year&gt;&lt;RecNum&gt;7&lt;/RecNum&gt;&lt;record&gt;&lt;rec-number&gt;7&lt;/rec-number&gt;&lt;foreign-keys&gt;&lt;key app="EN" db-id="xd20ava0ss0z06e9fzmxda9qwp2twsza5092" timestamp="1774870881"&gt;7&lt;/key&gt;&lt;/foreign-keys&gt;&lt;ref-type name="Journal Article"&gt;17&lt;/ref-type&gt;&lt;contributors&gt;&lt;authors&gt;&lt;author&gt;Roersch, C.&lt;/author&gt;&lt;/authors&gt;&lt;/contributors&gt;&lt;titles&gt;&lt;title&gt;Piper umbellatum L. A comparative cross-cultural analysis of its medicinal uses and an ethnopharmacological evaluation&lt;/title&gt;&lt;secondary-title&gt;Journal of ethnopharmacology&lt;/secondary-title&gt;&lt;/titles&gt;&lt;periodical&gt;&lt;full-title&gt;Journal of ethnopharmacology&lt;/full-title&gt;&lt;/periodical&gt;&lt;pages&gt;522-537&lt;/pages&gt;&lt;volume&gt;131&lt;/volume&gt;&lt;number&gt;2&lt;/number&gt;&lt;dates&gt;&lt;year&gt;2010&lt;/year&gt;&lt;/dates&gt;&lt;urls&gt;&lt;/urls&gt;&lt;/record&gt;&lt;/Cite&gt;&lt;/EndNote&gt;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(Roersch, 2010)</w:t>
      </w:r>
      <w:r w:rsidRPr="001A5676">
        <w:rPr>
          <w:rFonts w:ascii="Arial" w:eastAsia="Calibri" w:hAnsi="Arial" w:cs="Arial"/>
          <w:szCs w:val="22"/>
        </w:rPr>
        <w:fldChar w:fldCharType="end"/>
      </w:r>
      <w:r w:rsidRPr="001A5676">
        <w:rPr>
          <w:rFonts w:ascii="Arial" w:eastAsia="Calibri" w:hAnsi="Arial" w:cs="Arial"/>
          <w:szCs w:val="22"/>
        </w:rPr>
        <w:t xml:space="preserve">. It is used in traditional medicine to treat numerous ailments in various countries. In Cameroon, an infusion of the bark is used as a vermifuge, and the pericarp is used for intestinal problems. A </w:t>
      </w:r>
      <w:bookmarkStart w:id="4" w:name="_Hlk226610878"/>
      <w:r w:rsidRPr="001A5676">
        <w:rPr>
          <w:rFonts w:ascii="Arial" w:eastAsia="Calibri" w:hAnsi="Arial" w:cs="Arial"/>
          <w:szCs w:val="22"/>
        </w:rPr>
        <w:t xml:space="preserve">decoction of the pulp is used in Ivory Coast and China to treat dysentery and persistent diarrhea </w:t>
      </w:r>
      <w:bookmarkEnd w:id="4"/>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&lt;EndNote&gt;&lt;Cite&gt;&lt;Author&gt;Augustin&lt;/Author&gt;&lt;Year&gt;1947&lt;/Year&gt;&lt;RecNum&gt;8&lt;/RecNum&gt;&lt;DisplayText&gt;(Augustin, 1947)&lt;/DisplayText&gt;&lt;record&gt;&lt;rec-number&gt;8&lt;/rec-number&gt;&lt;foreign-keys&gt;&lt;key app="EN" db-id="xd20ava0ss0z06e9fzmxda9qwp2twsza5092" timestamp="1774870881"&gt;8&lt;/key&gt;&lt;/foreign-keys&gt;&lt;ref-type name="Journal Article"&gt;17&lt;/ref-type&gt;&lt;contributors&gt;&lt;authors&gt;&lt;author&gt;Augustin, C.&lt;/author&gt;&lt;/authors&gt;&lt;/contributors&gt;&lt;titles&gt;&lt;title&gt;Produits médicinaux fournis par les plantes de la famille des Guttifères vivant dans les colonies françaises&lt;/title&gt;&lt;secondary-title&gt;Journal d’agriculture traditionnelle et de botanique appliquée&lt;/secondary-title&gt;&lt;/titles&gt;&lt;periodical&gt;&lt;full-title&gt;Journal d’agriculture traditionnelle et de botanique appliquée&lt;/full-title&gt;&lt;/periodical&gt;&lt;pages&gt;88-97&lt;/pages&gt;&lt;volume&gt;20&lt;/volume&gt;&lt;dates&gt;&lt;year&gt;1947&lt;/year&gt;&lt;/dates&gt;&lt;urls&gt;&lt;/urls&gt;&lt;/record&gt;&lt;/Cite&gt;&lt;/EndNote&gt;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(Augustin, 1947)</w:t>
      </w:r>
      <w:r w:rsidRPr="001A5676">
        <w:rPr>
          <w:rFonts w:ascii="Arial" w:eastAsia="Calibri" w:hAnsi="Arial" w:cs="Arial"/>
          <w:szCs w:val="22"/>
        </w:rPr>
        <w:fldChar w:fldCharType="end"/>
      </w:r>
      <w:r w:rsidRPr="001A5676">
        <w:rPr>
          <w:rFonts w:ascii="Arial" w:eastAsia="Calibri" w:hAnsi="Arial" w:cs="Arial"/>
          <w:szCs w:val="22"/>
        </w:rPr>
        <w:t>.</w:t>
      </w:r>
    </w:p>
    <w:p w14:paraId="6AC78BEA" w14:textId="5529E942"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 xml:space="preserve">In view of the above, this study aims to evaluate the antioxidant and antibacterial activity of aqueous and hydro-ethanolic extracts of the pericarp of the fruit of </w:t>
      </w:r>
      <w:bookmarkStart w:id="5" w:name="_Hlk226610907"/>
      <w:r w:rsidR="00CA16D7" w:rsidRPr="00CA16D7">
        <w:rPr>
          <w:rFonts w:ascii="Arial" w:eastAsia="Calibri" w:hAnsi="Arial" w:cs="Arial"/>
          <w:i/>
          <w:iCs/>
          <w:szCs w:val="22"/>
        </w:rPr>
        <w:t xml:space="preserve">Garcinia mangostana </w:t>
      </w:r>
      <w:r w:rsidRPr="001A5676">
        <w:rPr>
          <w:rFonts w:ascii="Arial" w:eastAsia="Calibri" w:hAnsi="Arial" w:cs="Arial"/>
          <w:szCs w:val="22"/>
        </w:rPr>
        <w:t xml:space="preserve"> </w:t>
      </w:r>
      <w:bookmarkEnd w:id="5"/>
      <w:r w:rsidRPr="001A5676">
        <w:rPr>
          <w:rFonts w:ascii="Arial" w:eastAsia="Calibri" w:hAnsi="Arial" w:cs="Arial"/>
          <w:szCs w:val="22"/>
        </w:rPr>
        <w:t>L. (Clusiaceae).</w:t>
      </w:r>
    </w:p>
    <w:p w14:paraId="3CB0318E" w14:textId="26E2071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69E2CF" w14:textId="77777777" w:rsidR="00790ADA" w:rsidRPr="00FB3A86" w:rsidRDefault="00790ADA" w:rsidP="00441B6F">
      <w:pPr>
        <w:pStyle w:val="AbstHead"/>
        <w:spacing w:after="0"/>
        <w:jc w:val="both"/>
        <w:rPr>
          <w:rFonts w:ascii="Arial" w:hAnsi="Arial" w:cs="Arial"/>
        </w:rPr>
      </w:pPr>
    </w:p>
    <w:p w14:paraId="64F536AA" w14:textId="349FED01" w:rsidR="001A5676" w:rsidRPr="001A5676" w:rsidRDefault="001A5676" w:rsidP="001A5676">
      <w:pPr>
        <w:pStyle w:val="Body"/>
        <w:spacing w:after="0"/>
        <w:rPr>
          <w:rFonts w:ascii="Arial" w:hAnsi="Arial" w:cs="Arial"/>
          <w:b/>
          <w:bCs/>
        </w:rPr>
      </w:pPr>
      <w:bookmarkStart w:id="6" w:name="_Toc137924716"/>
      <w:r w:rsidRPr="001A5676">
        <w:rPr>
          <w:rFonts w:ascii="Arial" w:hAnsi="Arial" w:cs="Arial"/>
          <w:b/>
          <w:bCs/>
        </w:rPr>
        <w:t>2.1. Plant material</w:t>
      </w:r>
      <w:bookmarkEnd w:id="6"/>
    </w:p>
    <w:p w14:paraId="2E3F1185" w14:textId="1BD3A5CF" w:rsidR="001A5676" w:rsidRPr="001A5676" w:rsidRDefault="001A5676" w:rsidP="001A5676">
      <w:pPr>
        <w:pStyle w:val="Body"/>
        <w:spacing w:after="0"/>
        <w:rPr>
          <w:rFonts w:ascii="Arial" w:hAnsi="Arial" w:cs="Arial"/>
        </w:rPr>
      </w:pPr>
      <w:r w:rsidRPr="001A5676">
        <w:rPr>
          <w:rFonts w:ascii="Arial" w:hAnsi="Arial" w:cs="Arial"/>
        </w:rPr>
        <w:t xml:space="preserve">The plant material, consisting of the pericarp of the fruit of </w:t>
      </w:r>
      <w:r w:rsidR="00CA16D7" w:rsidRPr="00CA16D7">
        <w:rPr>
          <w:rFonts w:ascii="Arial" w:hAnsi="Arial" w:cs="Arial"/>
          <w:i/>
          <w:iCs/>
        </w:rPr>
        <w:t xml:space="preserve">G. mangostana </w:t>
      </w:r>
      <w:r w:rsidRPr="001A5676">
        <w:rPr>
          <w:rFonts w:ascii="Arial" w:hAnsi="Arial" w:cs="Arial"/>
        </w:rPr>
        <w:t xml:space="preserve"> ( see Appendix 4 ), was collected on August 12, 2022, between 6:00 and 7:00 a.m. in Manjo, Moungo Department, Littoral Region, Cameroon. Identification was carried out at the National Herbarium of Cameroon under number 25666/SRFCam. The fruits were dried in the shade at room temperature and then ground into a fine powder using a VINCO® Model Y2-132S1-2 mill.</w:t>
      </w:r>
    </w:p>
    <w:p w14:paraId="448FD529" w14:textId="0517E5C8" w:rsidR="001A5676" w:rsidRPr="001A5676" w:rsidRDefault="001A5676" w:rsidP="001A5676">
      <w:pPr>
        <w:pStyle w:val="Body"/>
        <w:spacing w:after="0"/>
        <w:rPr>
          <w:rFonts w:ascii="Arial" w:hAnsi="Arial" w:cs="Arial"/>
          <w:b/>
          <w:bCs/>
        </w:rPr>
      </w:pPr>
      <w:bookmarkStart w:id="7" w:name="_Toc137924717"/>
      <w:r w:rsidRPr="001A5676">
        <w:rPr>
          <w:rFonts w:ascii="Arial" w:hAnsi="Arial" w:cs="Arial"/>
          <w:b/>
          <w:bCs/>
        </w:rPr>
        <w:t>2.1.2 Microbiological material</w:t>
      </w:r>
      <w:bookmarkEnd w:id="7"/>
    </w:p>
    <w:p w14:paraId="5CF1686C" w14:textId="625640B6" w:rsidR="001A5676" w:rsidRPr="001A5676" w:rsidRDefault="001A5676" w:rsidP="001A5676">
      <w:pPr>
        <w:pStyle w:val="Body"/>
        <w:spacing w:after="0"/>
        <w:rPr>
          <w:rFonts w:ascii="Arial" w:hAnsi="Arial" w:cs="Arial"/>
        </w:rPr>
      </w:pPr>
      <w:r w:rsidRPr="001A5676">
        <w:rPr>
          <w:rFonts w:ascii="Arial" w:hAnsi="Arial" w:cs="Arial"/>
        </w:rPr>
        <w:t xml:space="preserve">The tests were carried out on 04 strains of bacteria namely: </w:t>
      </w:r>
      <w:r w:rsidR="00CA16D7" w:rsidRPr="00CA16D7">
        <w:rPr>
          <w:rFonts w:ascii="Arial" w:hAnsi="Arial" w:cs="Arial"/>
          <w:i/>
          <w:iCs/>
        </w:rPr>
        <w:t>Pseudomonas aeruginosa</w:t>
      </w:r>
      <w:r w:rsidRPr="001A5676">
        <w:rPr>
          <w:rFonts w:ascii="Arial" w:hAnsi="Arial" w:cs="Arial"/>
        </w:rPr>
        <w:t xml:space="preserve">, </w:t>
      </w:r>
      <w:r w:rsidR="00CA16D7" w:rsidRPr="00CA16D7">
        <w:rPr>
          <w:rFonts w:ascii="Arial" w:hAnsi="Arial" w:cs="Arial"/>
          <w:i/>
          <w:iCs/>
        </w:rPr>
        <w:t>Enterobacter cloacae</w:t>
      </w:r>
      <w:r w:rsidRPr="001A5676">
        <w:rPr>
          <w:rFonts w:ascii="Arial" w:hAnsi="Arial" w:cs="Arial"/>
        </w:rPr>
        <w:t xml:space="preserve">, </w:t>
      </w:r>
      <w:r w:rsidR="00CA16D7" w:rsidRPr="00CA16D7">
        <w:rPr>
          <w:rFonts w:ascii="Arial" w:hAnsi="Arial" w:cs="Arial"/>
          <w:i/>
          <w:iCs/>
        </w:rPr>
        <w:t>S. aureus</w:t>
      </w:r>
      <w:r w:rsidRPr="001A5676">
        <w:rPr>
          <w:rFonts w:ascii="Arial" w:hAnsi="Arial" w:cs="Arial"/>
        </w:rPr>
        <w:t xml:space="preserve"> and </w:t>
      </w:r>
      <w:r w:rsidR="00BF0CCB" w:rsidRPr="00BF0CCB">
        <w:rPr>
          <w:rFonts w:ascii="Arial" w:hAnsi="Arial" w:cs="Arial"/>
          <w:i/>
          <w:iCs/>
        </w:rPr>
        <w:t>Escherichia coli</w:t>
      </w:r>
      <w:r w:rsidRPr="001A5676">
        <w:rPr>
          <w:rFonts w:ascii="Arial" w:hAnsi="Arial" w:cs="Arial"/>
        </w:rPr>
        <w:t xml:space="preserve">. </w:t>
      </w:r>
    </w:p>
    <w:p w14:paraId="343FF1F8" w14:textId="77777777" w:rsidR="001A5676" w:rsidRDefault="001A5676" w:rsidP="001A5676">
      <w:pPr>
        <w:pStyle w:val="Body"/>
        <w:spacing w:after="0"/>
        <w:rPr>
          <w:rFonts w:ascii="Arial" w:hAnsi="Arial" w:cs="Arial"/>
        </w:rPr>
      </w:pPr>
      <w:r w:rsidRPr="001A5676">
        <w:rPr>
          <w:rFonts w:ascii="Arial" w:hAnsi="Arial" w:cs="Arial"/>
        </w:rPr>
        <w:t>The bacterial isolates sought came from samples analyzed at the Microbiology Laboratory of the University Clinics of the Mountains, purified on nutrient agar.</w:t>
      </w:r>
    </w:p>
    <w:p w14:paraId="36A95EA6" w14:textId="77777777" w:rsidR="001A5676" w:rsidRPr="001A5676" w:rsidRDefault="001A5676" w:rsidP="001A5676">
      <w:pPr>
        <w:pStyle w:val="Body"/>
        <w:spacing w:after="0"/>
        <w:rPr>
          <w:rFonts w:ascii="Arial" w:hAnsi="Arial" w:cs="Arial"/>
        </w:rPr>
      </w:pPr>
    </w:p>
    <w:p w14:paraId="14327ECE" w14:textId="466588F0" w:rsidR="001A5676" w:rsidRPr="001A5676" w:rsidRDefault="001A5676" w:rsidP="001A5676">
      <w:pPr>
        <w:pStyle w:val="Body"/>
        <w:spacing w:after="0"/>
        <w:rPr>
          <w:rFonts w:ascii="Arial" w:hAnsi="Arial" w:cs="Arial"/>
          <w:b/>
          <w:bCs/>
        </w:rPr>
      </w:pPr>
      <w:bookmarkStart w:id="8" w:name="_Toc136377194"/>
      <w:bookmarkStart w:id="9" w:name="_Toc137924718"/>
      <w:r w:rsidRPr="001A5676">
        <w:rPr>
          <w:rFonts w:ascii="Arial" w:hAnsi="Arial" w:cs="Arial"/>
          <w:b/>
          <w:bCs/>
        </w:rPr>
        <w:t>2.2 Preparation of extracts</w:t>
      </w:r>
      <w:bookmarkEnd w:id="8"/>
      <w:bookmarkEnd w:id="9"/>
    </w:p>
    <w:p w14:paraId="703751CA" w14:textId="273E408B" w:rsidR="001A5676" w:rsidRPr="001A5676" w:rsidRDefault="001A5676" w:rsidP="001A5676">
      <w:pPr>
        <w:pStyle w:val="Body"/>
        <w:spacing w:after="0"/>
        <w:rPr>
          <w:rFonts w:ascii="Arial" w:hAnsi="Arial" w:cs="Arial"/>
        </w:rPr>
      </w:pPr>
      <w:r w:rsidRPr="001A5676">
        <w:rPr>
          <w:rFonts w:ascii="Arial" w:hAnsi="Arial" w:cs="Arial"/>
        </w:rPr>
        <w:t xml:space="preserve">Extraction was performed according to the method described by Bagre et al . </w:t>
      </w:r>
      <w:r w:rsidRPr="001A5676">
        <w:rPr>
          <w:rFonts w:ascii="Arial" w:hAnsi="Arial" w:cs="Arial"/>
        </w:rPr>
        <w:fldChar w:fldCharType="begin"/>
      </w:r>
      <w:r w:rsidR="00CA16D7">
        <w:rPr>
          <w:rFonts w:ascii="Arial" w:hAnsi="Arial" w:cs="Arial"/>
        </w:rPr>
        <w:instrText xml:space="preserve"> ADDIN EN.CITE &lt;EndNote&gt;&lt;Cite&gt;&lt;Author&gt;Omer Sheriff&lt;/Author&gt;&lt;Year&gt;2022&lt;/Year&gt;&lt;RecNum&gt;50&lt;/RecNum&gt;&lt;DisplayText&gt;(Omer Sheriff &amp;amp; Haresh Kumar, 2022)&lt;/DisplayText&gt;&lt;record&gt;&lt;rec-number&gt;50&lt;/rec-number&gt;&lt;foreign-keys&gt;&lt;key app="EN" db-id="xd20ava0ss0z06e9fzmxda9qwp2twsza5092" timestamp="1774870881"&gt;50&lt;/key&gt;&lt;/foreign-keys&gt;&lt;ref-type name="Journal Article"&gt;17&lt;/ref-type&gt;&lt;contributors&gt;&lt;authors&gt;&lt;author&gt;Omer Sheriff, S.&lt;/author&gt;&lt;author&gt;Haresh Kumar, K.&lt;/author&gt;&lt;/authors&gt;&lt;/contributors&gt;&lt;titles&gt;&lt;title&gt;Le potentiel de l’α-mangostine de Garcinia mangostana en tant qu’agent antibactérien efficace-Une revue systématique et une méta-analayse&lt;/title&gt;&lt;secondary-title&gt;Antibiotiques&lt;/secondary-title&gt;&lt;/titles&gt;&lt;periodical&gt;&lt;full-title&gt;Antibiotiques&lt;/full-title&gt;&lt;/periodical&gt;&lt;pages&gt;717&lt;/pages&gt;&lt;volume&gt;11&lt;/volume&gt;&lt;number&gt;6&lt;/number&gt;&lt;dates&gt;&lt;year&gt;2022&lt;/year&gt;&lt;/dates&gt;&lt;urls&gt;&lt;/urls&gt;&lt;/record&gt;&lt;/Cite&gt;&lt;/EndNote&gt;</w:instrText>
      </w:r>
      <w:r w:rsidRPr="001A5676">
        <w:rPr>
          <w:rFonts w:ascii="Arial" w:hAnsi="Arial" w:cs="Arial"/>
        </w:rPr>
        <w:fldChar w:fldCharType="separate"/>
      </w:r>
      <w:r w:rsidR="00CA16D7">
        <w:rPr>
          <w:rFonts w:ascii="Arial" w:hAnsi="Arial" w:cs="Arial"/>
          <w:noProof/>
        </w:rPr>
        <w:t>(Omer Sheriff &amp; Haresh Kumar, 2022)</w:t>
      </w:r>
      <w:r w:rsidRPr="001A5676">
        <w:rPr>
          <w:rFonts w:ascii="Arial" w:hAnsi="Arial" w:cs="Arial"/>
        </w:rPr>
        <w:fldChar w:fldCharType="end"/>
      </w:r>
      <w:r w:rsidRPr="001A5676">
        <w:rPr>
          <w:rFonts w:ascii="Arial" w:hAnsi="Arial" w:cs="Arial"/>
        </w:rPr>
        <w:t xml:space="preserve">. The different extracts were prepared by maceration and decoction. For this purpose, 100 g of fruit pericarp powder were weighed using a KERN® PLS balance (range: 0.01 g - 4800 g) and cold-macerated for 48 hours using 1 L of an ethanol-water mixture (70:30; V:V) for the hydroethanolic extract and 1 L of distilled water for 48 hours for the aqueous extract obtained by maceration. For the aqueous extract obtained by decoction, 100 g of powder were mixed with 1 L of distilled water and boiled for 15 minutes. The different products from each of these preparations were first filtered through cotton Hydro® and then through Whatman No. 2 filter paper. The filtrates obtained were evaporated using a rotary </w:t>
      </w:r>
      <w:r w:rsidRPr="001A5676">
        <w:rPr>
          <w:rFonts w:ascii="Arial" w:hAnsi="Arial" w:cs="Arial"/>
        </w:rPr>
        <w:lastRenderedPageBreak/>
        <w:t>evaporator under reduced pressure at 40°C and dried in an oven (37°C) to obtain the dry extracts. The dry residues were then collected, weighed, and packaged for further study.</w:t>
      </w:r>
    </w:p>
    <w:p w14:paraId="1549B1FD" w14:textId="77777777" w:rsidR="001A5676" w:rsidRPr="001A5676" w:rsidRDefault="001A5676" w:rsidP="001A5676">
      <w:pPr>
        <w:pStyle w:val="Body"/>
        <w:spacing w:after="0"/>
        <w:rPr>
          <w:rFonts w:ascii="Arial" w:hAnsi="Arial" w:cs="Arial"/>
        </w:rPr>
      </w:pPr>
      <w:r w:rsidRPr="001A5676">
        <w:rPr>
          <w:rFonts w:ascii="Arial" w:hAnsi="Arial" w:cs="Arial"/>
        </w:rPr>
        <w:t>The different extraction yields were calculated using the following formula:</w:t>
      </w:r>
    </w:p>
    <w:p w14:paraId="473DF746" w14:textId="77777777" w:rsidR="001A5676" w:rsidRPr="001A5676" w:rsidRDefault="001A5676" w:rsidP="001A5676">
      <w:pPr>
        <w:pStyle w:val="Body"/>
        <w:spacing w:after="0"/>
        <w:rPr>
          <w:rFonts w:ascii="Arial" w:hAnsi="Arial" w:cs="Arial"/>
        </w:rPr>
      </w:pPr>
      <w:r w:rsidRPr="001A5676">
        <w:rPr>
          <w:rFonts w:ascii="Arial" w:hAnsi="Arial" w:cs="Arial"/>
        </w:rPr>
        <w:t>Yield (%) = (Mass of extract obtained (g) / Mass of initial powder (g)) x 100</w:t>
      </w:r>
    </w:p>
    <w:p w14:paraId="2F441365" w14:textId="77777777" w:rsidR="001A5676" w:rsidRDefault="001A5676" w:rsidP="001A5676">
      <w:pPr>
        <w:pStyle w:val="Body"/>
        <w:spacing w:after="0"/>
        <w:rPr>
          <w:rFonts w:ascii="Arial" w:hAnsi="Arial" w:cs="Arial"/>
        </w:rPr>
      </w:pPr>
      <w:r w:rsidRPr="001A5676">
        <w:rPr>
          <w:rFonts w:ascii="Arial" w:hAnsi="Arial" w:cs="Arial"/>
        </w:rPr>
        <w:t>In order to get an idea of the major groups of secondary metabolites present in the different extracts and their content, a qualitative phytochemical screening was carried out using colorimetric and precipitation methods followed by spectrometric analysis.</w:t>
      </w:r>
    </w:p>
    <w:p w14:paraId="1FB0134F" w14:textId="77777777" w:rsidR="001A5676" w:rsidRPr="001A5676" w:rsidRDefault="001A5676" w:rsidP="001A5676">
      <w:pPr>
        <w:pStyle w:val="Body"/>
        <w:spacing w:after="0"/>
        <w:rPr>
          <w:rFonts w:ascii="Arial" w:hAnsi="Arial" w:cs="Arial"/>
        </w:rPr>
      </w:pPr>
    </w:p>
    <w:p w14:paraId="61A8D0CC" w14:textId="34601337" w:rsidR="001A5676" w:rsidRDefault="001A5676" w:rsidP="001A5676">
      <w:pPr>
        <w:pStyle w:val="Body"/>
        <w:spacing w:after="0"/>
        <w:rPr>
          <w:rFonts w:ascii="Arial" w:hAnsi="Arial" w:cs="Arial"/>
          <w:b/>
          <w:bCs/>
        </w:rPr>
      </w:pPr>
      <w:bookmarkStart w:id="10" w:name="_Toc136377195"/>
      <w:bookmarkStart w:id="11" w:name="_Toc137924719"/>
      <w:r w:rsidRPr="001A5676">
        <w:rPr>
          <w:rFonts w:ascii="Arial" w:hAnsi="Arial" w:cs="Arial"/>
          <w:b/>
          <w:bCs/>
        </w:rPr>
        <w:t>2.3 Phytochemical Screening</w:t>
      </w:r>
      <w:bookmarkEnd w:id="10"/>
      <w:bookmarkEnd w:id="11"/>
    </w:p>
    <w:p w14:paraId="192219EE" w14:textId="77777777" w:rsidR="001A5676" w:rsidRPr="001A5676" w:rsidRDefault="001A5676" w:rsidP="001A5676">
      <w:pPr>
        <w:pStyle w:val="Body"/>
        <w:spacing w:after="0"/>
        <w:rPr>
          <w:rFonts w:ascii="Arial" w:hAnsi="Arial" w:cs="Arial"/>
          <w:b/>
          <w:bCs/>
        </w:rPr>
      </w:pPr>
    </w:p>
    <w:p w14:paraId="245F0A69" w14:textId="2FE55A86" w:rsidR="001A5676" w:rsidRDefault="001A5676" w:rsidP="001A5676">
      <w:pPr>
        <w:pStyle w:val="Body"/>
        <w:spacing w:after="0"/>
        <w:rPr>
          <w:rFonts w:ascii="Arial" w:hAnsi="Arial" w:cs="Arial"/>
        </w:rPr>
      </w:pPr>
      <w:r w:rsidRPr="001A5676">
        <w:rPr>
          <w:rFonts w:ascii="Arial" w:hAnsi="Arial" w:cs="Arial"/>
        </w:rPr>
        <w:t xml:space="preserve">The total polyphenol and flavonoid content of each </w:t>
      </w:r>
      <w:r w:rsidR="00CA16D7" w:rsidRPr="00CA16D7">
        <w:rPr>
          <w:rFonts w:ascii="Arial" w:hAnsi="Arial" w:cs="Arial"/>
          <w:i/>
          <w:iCs/>
        </w:rPr>
        <w:t xml:space="preserve">G. mangostana </w:t>
      </w:r>
      <w:r w:rsidRPr="001A5676">
        <w:rPr>
          <w:rFonts w:ascii="Arial" w:hAnsi="Arial" w:cs="Arial"/>
        </w:rPr>
        <w:t xml:space="preserve"> extract was determined using the method of Siddiqui (2017) </w:t>
      </w:r>
      <w:r w:rsidRPr="001A5676">
        <w:rPr>
          <w:rFonts w:ascii="Arial" w:hAnsi="Arial" w:cs="Arial"/>
        </w:rPr>
        <w:fldChar w:fldCharType="begin"/>
      </w:r>
      <w:r w:rsidR="00CA16D7">
        <w:rPr>
          <w:rFonts w:ascii="Arial" w:hAnsi="Arial" w:cs="Arial"/>
        </w:rPr>
        <w:instrText xml:space="preserve"> ADDIN EN.CITE &lt;EndNote&gt;&lt;Cite&gt;&lt;Author&gt;Siddiqui&lt;/Author&gt;&lt;Year&gt;2017&lt;/Year&gt;&lt;RecNum&gt;55&lt;/RecNum&gt;&lt;DisplayText&gt;(Siddiqui &amp;amp; Abdur, 2017)&lt;/DisplayText&gt;&lt;record&gt;&lt;rec-number&gt;55&lt;/rec-number&gt;&lt;foreign-keys&gt;&lt;key app="EN" db-id="xd20ava0ss0z06e9fzmxda9qwp2twsza5092" timestamp="1774870881"&gt;55&lt;/key&gt;&lt;/foreign-keys&gt;&lt;ref-type name="Journal Article"&gt;17&lt;/ref-type&gt;&lt;contributors&gt;&lt;authors&gt;&lt;author&gt;Siddiqui, N.&lt;/author&gt;&lt;author&gt;Abdur, R.&lt;/author&gt;&lt;/authors&gt;&lt;/contributors&gt;&lt;titles&gt;&lt;title&gt;Secondary metabolits in plants&lt;/title&gt;&lt;secondary-title&gt;Journal of Taibah University Medical Sciences&lt;/secondary-title&gt;&lt;/titles&gt;&lt;periodical&gt;&lt;full-title&gt;Journal of Taibah University Medical Sciences&lt;/full-title&gt;&lt;/periodical&gt;&lt;pages&gt;360-363&lt;/pages&gt;&lt;volume&gt;12&lt;/volume&gt;&lt;number&gt;4&lt;/number&gt;&lt;dates&gt;&lt;year&gt;2017&lt;/year&gt;&lt;/dates&gt;&lt;urls&gt;&lt;/urls&gt;&lt;/record&gt;&lt;/Cite&gt;&lt;/EndNote&gt;</w:instrText>
      </w:r>
      <w:r w:rsidRPr="001A5676">
        <w:rPr>
          <w:rFonts w:ascii="Arial" w:hAnsi="Arial" w:cs="Arial"/>
        </w:rPr>
        <w:fldChar w:fldCharType="separate"/>
      </w:r>
      <w:r w:rsidR="00CA16D7">
        <w:rPr>
          <w:rFonts w:ascii="Arial" w:hAnsi="Arial" w:cs="Arial"/>
          <w:noProof/>
        </w:rPr>
        <w:t>(Siddiqui &amp; Abdur, 2017)</w:t>
      </w:r>
      <w:r w:rsidRPr="001A5676">
        <w:rPr>
          <w:rFonts w:ascii="Arial" w:hAnsi="Arial" w:cs="Arial"/>
        </w:rPr>
        <w:fldChar w:fldCharType="end"/>
      </w:r>
      <w:r w:rsidRPr="001A5676">
        <w:rPr>
          <w:rFonts w:ascii="Arial" w:hAnsi="Arial" w:cs="Arial"/>
        </w:rPr>
        <w:t xml:space="preserve">. The tannin content was determined using the method of Ribereau-Gayon et al (1966) </w:t>
      </w:r>
      <w:r w:rsidRPr="001A5676">
        <w:rPr>
          <w:rFonts w:ascii="Arial" w:hAnsi="Arial" w:cs="Arial"/>
        </w:rPr>
        <w:fldChar w:fldCharType="begin"/>
      </w:r>
      <w:r w:rsidR="00CA16D7">
        <w:rPr>
          <w:rFonts w:ascii="Arial" w:hAnsi="Arial" w:cs="Arial"/>
        </w:rPr>
        <w:instrText xml:space="preserve"> ADDIN EN.CITE &lt;EndNote&gt;&lt;Cite&gt;&lt;Author&gt;Ribereau-gayon&lt;/Author&gt;&lt;Year&gt;1996&lt;/Year&gt;&lt;RecNum&gt;56&lt;/RecNum&gt;&lt;DisplayText&gt;(Ribereau-gayon &amp;amp; Stonestreet, 1996)&lt;/DisplayText&gt;&lt;record&gt;&lt;rec-number&gt;56&lt;/rec-number&gt;&lt;foreign-keys&gt;&lt;key app="EN" db-id="xd20ava0ss0z06e9fzmxda9qwp2twsza5092" timestamp="1774870881"&gt;56&lt;/key&gt;&lt;/foreign-keys&gt;&lt;ref-type name="Journal Article"&gt;17&lt;/ref-type&gt;&lt;contributors&gt;&lt;authors&gt;&lt;author&gt;Ribereau-gayon, P.&lt;/author&gt;&lt;author&gt;Stonestreet, E.&lt;/author&gt;&lt;/authors&gt;&lt;/contributors&gt;&lt;titles&gt;&lt;title&gt;Chimie des plantes&lt;/title&gt;&lt;secondary-title&gt;Annales de Chimie&lt;/secondary-title&gt;&lt;/titles&gt;&lt;periodical&gt;&lt;full-title&gt;Annales de Chimie&lt;/full-title&gt;&lt;/periodical&gt;&lt;pages&gt;188-196&lt;/pages&gt;&lt;dates&gt;&lt;year&gt;1996&lt;/year&gt;&lt;/dates&gt;&lt;urls&gt;&lt;/urls&gt;&lt;/record&gt;&lt;/Cite&gt;&lt;/EndNote&gt;</w:instrText>
      </w:r>
      <w:r w:rsidRPr="001A5676">
        <w:rPr>
          <w:rFonts w:ascii="Arial" w:hAnsi="Arial" w:cs="Arial"/>
        </w:rPr>
        <w:fldChar w:fldCharType="separate"/>
      </w:r>
      <w:r w:rsidR="00CA16D7">
        <w:rPr>
          <w:rFonts w:ascii="Arial" w:hAnsi="Arial" w:cs="Arial"/>
          <w:noProof/>
        </w:rPr>
        <w:t>(Ribereau-gayon &amp; Stonestreet, 1996)</w:t>
      </w:r>
      <w:r w:rsidRPr="001A5676">
        <w:rPr>
          <w:rFonts w:ascii="Arial" w:hAnsi="Arial" w:cs="Arial"/>
        </w:rPr>
        <w:fldChar w:fldCharType="end"/>
      </w:r>
      <w:r w:rsidRPr="001A5676">
        <w:rPr>
          <w:rFonts w:ascii="Arial" w:hAnsi="Arial" w:cs="Arial"/>
        </w:rPr>
        <w:t>with some minor modifications.</w:t>
      </w:r>
    </w:p>
    <w:p w14:paraId="0660251F" w14:textId="77777777" w:rsidR="001A5676" w:rsidRPr="001A5676" w:rsidRDefault="001A5676" w:rsidP="001A5676">
      <w:pPr>
        <w:pStyle w:val="Body"/>
        <w:spacing w:after="0"/>
        <w:rPr>
          <w:rFonts w:ascii="Arial" w:hAnsi="Arial" w:cs="Arial"/>
        </w:rPr>
      </w:pPr>
    </w:p>
    <w:p w14:paraId="6D1F31FD" w14:textId="612DFB50" w:rsidR="001A5676" w:rsidRDefault="001A5676" w:rsidP="001A5676">
      <w:pPr>
        <w:pStyle w:val="Body"/>
        <w:spacing w:after="0"/>
        <w:rPr>
          <w:rFonts w:ascii="Arial" w:hAnsi="Arial" w:cs="Arial"/>
          <w:b/>
          <w:bCs/>
        </w:rPr>
      </w:pPr>
      <w:bookmarkStart w:id="12" w:name="_Toc137924723"/>
      <w:r w:rsidRPr="001A5676">
        <w:rPr>
          <w:rFonts w:ascii="Arial" w:hAnsi="Arial" w:cs="Arial"/>
          <w:b/>
          <w:bCs/>
        </w:rPr>
        <w:t>2.3.1 Determination of total polyphenol content</w:t>
      </w:r>
      <w:bookmarkEnd w:id="12"/>
    </w:p>
    <w:p w14:paraId="2158C882" w14:textId="77777777" w:rsidR="001A5676" w:rsidRPr="001A5676" w:rsidRDefault="001A5676" w:rsidP="001A5676">
      <w:pPr>
        <w:pStyle w:val="Body"/>
        <w:spacing w:after="0"/>
        <w:rPr>
          <w:rFonts w:ascii="Arial" w:hAnsi="Arial" w:cs="Arial"/>
          <w:b/>
          <w:bCs/>
        </w:rPr>
      </w:pPr>
    </w:p>
    <w:p w14:paraId="60CD9A90" w14:textId="464C07B3" w:rsidR="001A5676" w:rsidRDefault="001A5676" w:rsidP="001A5676">
      <w:pPr>
        <w:pStyle w:val="Body"/>
        <w:spacing w:after="0"/>
        <w:rPr>
          <w:rFonts w:ascii="Arial" w:hAnsi="Arial" w:cs="Arial"/>
        </w:rPr>
      </w:pPr>
      <w:r w:rsidRPr="001A5676">
        <w:rPr>
          <w:rFonts w:ascii="Arial" w:hAnsi="Arial" w:cs="Arial"/>
        </w:rPr>
        <w:t xml:space="preserve">The crude extract (50 mg) was mixed with 1 ml of Folin-Ciocalteu reagent diluted 10 times and 7.5 ml of distilled water. The mixture was kept at room temperature for 5 min, then 10 ml of 7% sodium carbonate was added, followed by incubation for 90 min at room temperature (18-25 °C). After incubation, the absorbance against a reagent blank was determined at 760 nm using a JENWAY 7305 UV /Visible spectrophotometer (United Kingdom). The total phenolic concentration of the extracts was expressed in mg/g gallic acid equivalent using the gallic acid calibration curve (R² = 0,9992). All samples were analyzed in triplets, and the results are expressed as mean ± standard deviation </w:t>
      </w:r>
      <w:r w:rsidRPr="001A5676">
        <w:rPr>
          <w:rFonts w:ascii="Arial" w:hAnsi="Arial" w:cs="Arial"/>
        </w:rPr>
        <w:fldChar w:fldCharType="begin"/>
      </w:r>
      <w:r w:rsidR="00CA16D7">
        <w:rPr>
          <w:rFonts w:ascii="Arial" w:hAnsi="Arial" w:cs="Arial"/>
        </w:rPr>
        <w:instrText xml:space="preserve"> ADDIN EN.CITE &lt;EndNote&gt;&lt;Cite&gt;&lt;Author&gt;Siddiqui&lt;/Author&gt;&lt;Year&gt;2017&lt;/Year&gt;&lt;RecNum&gt;55&lt;/RecNum&gt;&lt;DisplayText&gt;(Siddiqui &amp;amp; Abdur, 2017)&lt;/DisplayText&gt;&lt;record&gt;&lt;rec-number&gt;55&lt;/rec-number&gt;&lt;foreign-keys&gt;&lt;key app="EN" db-id="xd20ava0ss0z06e9fzmxda9qwp2twsza5092" timestamp="1774870881"&gt;55&lt;/key&gt;&lt;/foreign-keys&gt;&lt;ref-type name="Journal Article"&gt;17&lt;/ref-type&gt;&lt;contributors&gt;&lt;authors&gt;&lt;author&gt;Siddiqui, N.&lt;/author&gt;&lt;author&gt;Abdur, R.&lt;/author&gt;&lt;/authors&gt;&lt;/contributors&gt;&lt;titles&gt;&lt;title&gt;Secondary metabolits in plants&lt;/title&gt;&lt;secondary-title&gt;Journal of Taibah University Medical Sciences&lt;/secondary-title&gt;&lt;/titles&gt;&lt;periodical&gt;&lt;full-title&gt;Journal of Taibah University Medical Sciences&lt;/full-title&gt;&lt;/periodical&gt;&lt;pages&gt;360-363&lt;/pages&gt;&lt;volume&gt;12&lt;/volume&gt;&lt;number&gt;4&lt;/number&gt;&lt;dates&gt;&lt;year&gt;2017&lt;/year&gt;&lt;/dates&gt;&lt;urls&gt;&lt;/urls&gt;&lt;/record&gt;&lt;/Cite&gt;&lt;/EndNote&gt;</w:instrText>
      </w:r>
      <w:r w:rsidRPr="001A5676">
        <w:rPr>
          <w:rFonts w:ascii="Arial" w:hAnsi="Arial" w:cs="Arial"/>
        </w:rPr>
        <w:fldChar w:fldCharType="separate"/>
      </w:r>
      <w:r w:rsidR="00CA16D7">
        <w:rPr>
          <w:rFonts w:ascii="Arial" w:hAnsi="Arial" w:cs="Arial"/>
          <w:noProof/>
        </w:rPr>
        <w:t>(Siddiqui &amp; Abdur, 2017)</w:t>
      </w:r>
      <w:r w:rsidRPr="001A5676">
        <w:rPr>
          <w:rFonts w:ascii="Arial" w:hAnsi="Arial" w:cs="Arial"/>
        </w:rPr>
        <w:fldChar w:fldCharType="end"/>
      </w:r>
      <w:r w:rsidRPr="001A5676">
        <w:rPr>
          <w:rFonts w:ascii="Arial" w:hAnsi="Arial" w:cs="Arial"/>
        </w:rPr>
        <w:t>.</w:t>
      </w:r>
    </w:p>
    <w:p w14:paraId="30C8CE63" w14:textId="77777777" w:rsidR="001A5676" w:rsidRPr="001A5676" w:rsidRDefault="001A5676" w:rsidP="001A5676">
      <w:pPr>
        <w:pStyle w:val="Body"/>
        <w:spacing w:after="0"/>
        <w:rPr>
          <w:rFonts w:ascii="Arial" w:hAnsi="Arial" w:cs="Arial"/>
        </w:rPr>
      </w:pPr>
    </w:p>
    <w:p w14:paraId="4AAF76A1" w14:textId="799076EC" w:rsidR="001A5676" w:rsidRPr="001A5676" w:rsidRDefault="001A5676" w:rsidP="001A5676">
      <w:pPr>
        <w:pStyle w:val="Body"/>
        <w:spacing w:after="0"/>
        <w:rPr>
          <w:rFonts w:ascii="Arial" w:hAnsi="Arial" w:cs="Arial"/>
          <w:b/>
          <w:bCs/>
        </w:rPr>
      </w:pPr>
      <w:bookmarkStart w:id="13" w:name="_Toc137924724"/>
      <w:r w:rsidRPr="001A5676">
        <w:rPr>
          <w:rFonts w:ascii="Arial" w:hAnsi="Arial" w:cs="Arial"/>
          <w:b/>
          <w:bCs/>
        </w:rPr>
        <w:t>2.3.2 Determination of total flavonoid content</w:t>
      </w:r>
      <w:bookmarkEnd w:id="13"/>
    </w:p>
    <w:p w14:paraId="4866E30B" w14:textId="5B59F9B3" w:rsidR="001A5676" w:rsidRPr="001A5676" w:rsidRDefault="001A5676" w:rsidP="001A5676">
      <w:pPr>
        <w:pStyle w:val="Body"/>
        <w:spacing w:after="0"/>
        <w:rPr>
          <w:rFonts w:ascii="Arial" w:hAnsi="Arial" w:cs="Arial"/>
        </w:rPr>
      </w:pPr>
      <w:r w:rsidRPr="001A5676">
        <w:rPr>
          <w:rFonts w:ascii="Arial" w:hAnsi="Arial" w:cs="Arial"/>
        </w:rPr>
        <w:t xml:space="preserve">A volume of 0.833 mL of an 80 µg/mL extract was added to 120 µL of 5% sodium nitrite. After 5 min, 120 µL of 10% aluminum chloride was added, followed by the addition of 800 µL of 1 M NaOH after 6 min. The mixture was homogenized, and the absorbance of the reaction mixture was immediately read at 415 nm against a control using a UV/Visible spectrophotometer. The total flavonoid content of the extracts was expressed as mg/g quercetin equivalent using the quercetin calibration curve (R² = 0,9607) at different extract concentrations. All samples were analyzed in triplicate </w:t>
      </w:r>
      <w:r w:rsidRPr="001A5676">
        <w:rPr>
          <w:rFonts w:ascii="Arial" w:hAnsi="Arial" w:cs="Arial"/>
        </w:rPr>
        <w:fldChar w:fldCharType="begin"/>
      </w:r>
      <w:r w:rsidR="00CA16D7">
        <w:rPr>
          <w:rFonts w:ascii="Arial" w:hAnsi="Arial" w:cs="Arial"/>
        </w:rPr>
        <w:instrText xml:space="preserve"> ADDIN EN.CITE &lt;EndNote&gt;&lt;Cite&gt;&lt;Author&gt;Siddiqui&lt;/Author&gt;&lt;Year&gt;2017&lt;/Year&gt;&lt;RecNum&gt;55&lt;/RecNum&gt;&lt;DisplayText&gt;(Siddiqui &amp;amp; Abdur, 2017)&lt;/DisplayText&gt;&lt;record&gt;&lt;rec-number&gt;55&lt;/rec-number&gt;&lt;foreign-keys&gt;&lt;key app="EN" db-id="xd20ava0ss0z06e9fzmxda9qwp2twsza5092" timestamp="1774870881"&gt;55&lt;/key&gt;&lt;/foreign-keys&gt;&lt;ref-type name="Journal Article"&gt;17&lt;/ref-type&gt;&lt;contributors&gt;&lt;authors&gt;&lt;author&gt;Siddiqui, N.&lt;/author&gt;&lt;author&gt;Abdur, R.&lt;/author&gt;&lt;/authors&gt;&lt;/contributors&gt;&lt;titles&gt;&lt;title&gt;Secondary metabolits in plants&lt;/title&gt;&lt;secondary-title&gt;Journal of Taibah University Medical Sciences&lt;/secondary-title&gt;&lt;/titles&gt;&lt;periodical&gt;&lt;full-title&gt;Journal of Taibah University Medical Sciences&lt;/full-title&gt;&lt;/periodical&gt;&lt;pages&gt;360-363&lt;/pages&gt;&lt;volume&gt;12&lt;/volume&gt;&lt;number&gt;4&lt;/number&gt;&lt;dates&gt;&lt;year&gt;2017&lt;/year&gt;&lt;/dates&gt;&lt;urls&gt;&lt;/urls&gt;&lt;/record&gt;&lt;/Cite&gt;&lt;/EndNote&gt;</w:instrText>
      </w:r>
      <w:r w:rsidRPr="001A5676">
        <w:rPr>
          <w:rFonts w:ascii="Arial" w:hAnsi="Arial" w:cs="Arial"/>
        </w:rPr>
        <w:fldChar w:fldCharType="separate"/>
      </w:r>
      <w:r w:rsidR="00CA16D7">
        <w:rPr>
          <w:rFonts w:ascii="Arial" w:hAnsi="Arial" w:cs="Arial"/>
          <w:noProof/>
        </w:rPr>
        <w:t>(Siddiqui &amp; Abdur, 2017)</w:t>
      </w:r>
      <w:r w:rsidRPr="001A5676">
        <w:rPr>
          <w:rFonts w:ascii="Arial" w:hAnsi="Arial" w:cs="Arial"/>
        </w:rPr>
        <w:fldChar w:fldCharType="end"/>
      </w:r>
      <w:r w:rsidRPr="001A5676">
        <w:rPr>
          <w:rFonts w:ascii="Arial" w:hAnsi="Arial" w:cs="Arial"/>
        </w:rPr>
        <w:t>.</w:t>
      </w:r>
    </w:p>
    <w:p w14:paraId="2E20EDB2" w14:textId="77777777" w:rsidR="001A5676" w:rsidRPr="001A5676" w:rsidRDefault="001A5676" w:rsidP="001A5676">
      <w:pPr>
        <w:pStyle w:val="Body"/>
        <w:spacing w:after="0"/>
        <w:rPr>
          <w:rFonts w:ascii="Arial" w:hAnsi="Arial" w:cs="Arial"/>
        </w:rPr>
      </w:pPr>
      <w:bookmarkStart w:id="14" w:name="_Toc137924725"/>
      <w:r w:rsidRPr="001A5676">
        <w:rPr>
          <w:rFonts w:ascii="Arial" w:hAnsi="Arial" w:cs="Arial"/>
        </w:rPr>
        <w:t>II.3.3 Determination of total tannin content</w:t>
      </w:r>
      <w:bookmarkEnd w:id="14"/>
    </w:p>
    <w:p w14:paraId="404B9131" w14:textId="01281A17" w:rsidR="001A5676" w:rsidRDefault="001A5676" w:rsidP="001A5676">
      <w:pPr>
        <w:pStyle w:val="Body"/>
        <w:spacing w:after="0"/>
        <w:rPr>
          <w:rFonts w:ascii="Arial" w:hAnsi="Arial" w:cs="Arial"/>
        </w:rPr>
      </w:pPr>
      <w:r w:rsidRPr="001A5676">
        <w:rPr>
          <w:rFonts w:ascii="Arial" w:hAnsi="Arial" w:cs="Arial"/>
        </w:rPr>
        <w:t xml:space="preserve">A 50 µL volume of each 1 mg/ml extract was added to 1500 µL of 4% vanillin/methanol and mixed. Then, 750 µL of concentrated HCl was added. The resulting mixture reacted at room temperature for 20 min. Absorbance was measured at 550 nm (measure of condensed tannins) against a blank containing only the vanillin solution. Different concentrations between 0.05 and 0.5 (CE)/g were prepared from a stock catechin solution, which allowed for the plotting of the calibration curve (R² = 0,9993). All samples were analyzed in triplicate </w:t>
      </w:r>
      <w:r w:rsidRPr="001A5676">
        <w:rPr>
          <w:rFonts w:ascii="Arial" w:hAnsi="Arial" w:cs="Arial"/>
        </w:rPr>
        <w:fldChar w:fldCharType="begin"/>
      </w:r>
      <w:r w:rsidR="00CA16D7">
        <w:rPr>
          <w:rFonts w:ascii="Arial" w:hAnsi="Arial" w:cs="Arial"/>
        </w:rPr>
        <w:instrText xml:space="preserve"> ADDIN EN.CITE &lt;EndNote&gt;&lt;Cite&gt;&lt;Author&gt;Ribereau-gayon&lt;/Author&gt;&lt;Year&gt;1996&lt;/Year&gt;&lt;RecNum&gt;56&lt;/RecNum&gt;&lt;DisplayText&gt;(Ribereau-gayon &amp;amp; Stonestreet, 1996)&lt;/DisplayText&gt;&lt;record&gt;&lt;rec-number&gt;56&lt;/rec-number&gt;&lt;foreign-keys&gt;&lt;key app="EN" db-id="xd20ava0ss0z06e9fzmxda9qwp2twsza5092" timestamp="1774870881"&gt;56&lt;/key&gt;&lt;/foreign-keys&gt;&lt;ref-type name="Journal Article"&gt;17&lt;/ref-type&gt;&lt;contributors&gt;&lt;authors&gt;&lt;author&gt;Ribereau-gayon, P.&lt;/author&gt;&lt;author&gt;Stonestreet, E.&lt;/author&gt;&lt;/authors&gt;&lt;/contributors&gt;&lt;titles&gt;&lt;title&gt;Chimie des plantes&lt;/title&gt;&lt;secondary-title&gt;Annales de Chimie&lt;/secondary-title&gt;&lt;/titles&gt;&lt;periodical&gt;&lt;full-title&gt;Annales de Chimie&lt;/full-title&gt;&lt;/periodical&gt;&lt;pages&gt;188-196&lt;/pages&gt;&lt;dates&gt;&lt;year&gt;1996&lt;/year&gt;&lt;/dates&gt;&lt;urls&gt;&lt;/urls&gt;&lt;/record&gt;&lt;/Cite&gt;&lt;/EndNote&gt;</w:instrText>
      </w:r>
      <w:r w:rsidRPr="001A5676">
        <w:rPr>
          <w:rFonts w:ascii="Arial" w:hAnsi="Arial" w:cs="Arial"/>
        </w:rPr>
        <w:fldChar w:fldCharType="separate"/>
      </w:r>
      <w:r w:rsidR="00CA16D7">
        <w:rPr>
          <w:rFonts w:ascii="Arial" w:hAnsi="Arial" w:cs="Arial"/>
          <w:noProof/>
        </w:rPr>
        <w:t>(Ribereau-gayon &amp; Stonestreet, 1996)</w:t>
      </w:r>
      <w:r w:rsidRPr="001A5676">
        <w:rPr>
          <w:rFonts w:ascii="Arial" w:hAnsi="Arial" w:cs="Arial"/>
        </w:rPr>
        <w:fldChar w:fldCharType="end"/>
      </w:r>
      <w:r w:rsidRPr="001A5676">
        <w:rPr>
          <w:rFonts w:ascii="Arial" w:hAnsi="Arial" w:cs="Arial"/>
        </w:rPr>
        <w:t>.</w:t>
      </w:r>
    </w:p>
    <w:p w14:paraId="127CA9CC" w14:textId="77777777" w:rsidR="001A5676" w:rsidRPr="001A5676" w:rsidRDefault="001A5676" w:rsidP="001A5676">
      <w:pPr>
        <w:pStyle w:val="Body"/>
        <w:spacing w:after="0"/>
        <w:rPr>
          <w:rFonts w:ascii="Arial" w:hAnsi="Arial" w:cs="Arial"/>
        </w:rPr>
      </w:pPr>
    </w:p>
    <w:p w14:paraId="2E0DE23D" w14:textId="76898247" w:rsidR="001A5676" w:rsidRPr="001A5676" w:rsidRDefault="001A5676" w:rsidP="001A5676">
      <w:pPr>
        <w:pStyle w:val="Body"/>
        <w:spacing w:after="0"/>
        <w:rPr>
          <w:rFonts w:ascii="Arial" w:hAnsi="Arial" w:cs="Arial"/>
          <w:b/>
          <w:bCs/>
        </w:rPr>
      </w:pPr>
      <w:bookmarkStart w:id="15" w:name="_Toc136377196"/>
      <w:bookmarkStart w:id="16" w:name="_Toc137924726"/>
      <w:r w:rsidRPr="001A5676">
        <w:rPr>
          <w:rFonts w:ascii="Arial" w:hAnsi="Arial" w:cs="Arial"/>
          <w:b/>
          <w:bCs/>
        </w:rPr>
        <w:t xml:space="preserve">2.4 Antioxidant </w:t>
      </w:r>
      <w:bookmarkEnd w:id="15"/>
      <w:bookmarkEnd w:id="16"/>
      <w:r w:rsidRPr="001A5676">
        <w:rPr>
          <w:rFonts w:ascii="Arial" w:hAnsi="Arial" w:cs="Arial"/>
          <w:b/>
          <w:bCs/>
        </w:rPr>
        <w:t>activities</w:t>
      </w:r>
    </w:p>
    <w:p w14:paraId="65AD050A" w14:textId="6D920441" w:rsidR="001A5676" w:rsidRDefault="001A5676" w:rsidP="001A5676">
      <w:pPr>
        <w:pStyle w:val="Body"/>
        <w:spacing w:after="0"/>
        <w:rPr>
          <w:rFonts w:ascii="Arial" w:hAnsi="Arial" w:cs="Arial"/>
        </w:rPr>
      </w:pPr>
      <w:r w:rsidRPr="001A5676">
        <w:rPr>
          <w:rFonts w:ascii="Arial" w:hAnsi="Arial" w:cs="Arial"/>
        </w:rPr>
        <w:t xml:space="preserve">The evaluation of the antioxidant activity of </w:t>
      </w:r>
      <w:r w:rsidR="00CA16D7" w:rsidRPr="00CA16D7">
        <w:rPr>
          <w:rFonts w:ascii="Arial" w:hAnsi="Arial" w:cs="Arial"/>
          <w:i/>
          <w:iCs/>
        </w:rPr>
        <w:t xml:space="preserve">G. mangostana </w:t>
      </w:r>
      <w:r w:rsidRPr="001A5676">
        <w:rPr>
          <w:rFonts w:ascii="Arial" w:hAnsi="Arial" w:cs="Arial"/>
        </w:rPr>
        <w:t xml:space="preserve"> extracts was carried out by two methods: the DPPH radical scavenging method and the ferric iron to ferrous iron reduction method.</w:t>
      </w:r>
    </w:p>
    <w:p w14:paraId="710AC0CF" w14:textId="77777777" w:rsidR="001A5676" w:rsidRPr="001A5676" w:rsidRDefault="001A5676" w:rsidP="001A5676">
      <w:pPr>
        <w:pStyle w:val="Body"/>
        <w:spacing w:after="0"/>
        <w:rPr>
          <w:rFonts w:ascii="Arial" w:hAnsi="Arial" w:cs="Arial"/>
        </w:rPr>
      </w:pPr>
    </w:p>
    <w:p w14:paraId="39A74A64" w14:textId="77777777" w:rsidR="001A5676" w:rsidRPr="001A5676" w:rsidRDefault="001A5676" w:rsidP="001A5676">
      <w:pPr>
        <w:pStyle w:val="Body"/>
        <w:spacing w:after="0"/>
        <w:rPr>
          <w:rFonts w:ascii="Arial" w:hAnsi="Arial" w:cs="Arial"/>
          <w:b/>
          <w:bCs/>
        </w:rPr>
      </w:pPr>
      <w:bookmarkStart w:id="17" w:name="_Toc137924727"/>
      <w:r w:rsidRPr="001A5676">
        <w:rPr>
          <w:rFonts w:ascii="Arial" w:hAnsi="Arial" w:cs="Arial"/>
          <w:b/>
          <w:bCs/>
        </w:rPr>
        <w:t>II.4.1 DPPH radical trapping method</w:t>
      </w:r>
      <w:bookmarkEnd w:id="17"/>
    </w:p>
    <w:p w14:paraId="61DDBE89" w14:textId="23C91BFE" w:rsidR="001A5676" w:rsidRPr="001A5676" w:rsidRDefault="001A5676" w:rsidP="001A5676">
      <w:pPr>
        <w:pStyle w:val="Body"/>
        <w:spacing w:after="0"/>
        <w:rPr>
          <w:rFonts w:ascii="Arial" w:hAnsi="Arial" w:cs="Arial"/>
        </w:rPr>
      </w:pPr>
      <w:r w:rsidRPr="001A5676">
        <w:rPr>
          <w:rFonts w:ascii="Arial" w:hAnsi="Arial" w:cs="Arial"/>
        </w:rPr>
        <w:t xml:space="preserve">This test aims to measure the extract's ability to scavenge the relatively stable free radical, 2,2-diphenyl-1-picrylhydrazyl (DPPH). Scavenging this radical causes the initial solution to change color from dark purple to yellow following its reduction reaction </w:t>
      </w:r>
      <w:r w:rsidRPr="001A5676">
        <w:rPr>
          <w:rFonts w:ascii="Arial" w:hAnsi="Arial" w:cs="Arial"/>
        </w:rPr>
        <w:fldChar w:fldCharType="begin"/>
      </w:r>
      <w:r w:rsidR="00CA16D7">
        <w:rPr>
          <w:rFonts w:ascii="Arial" w:hAnsi="Arial" w:cs="Arial"/>
        </w:rPr>
        <w:instrText xml:space="preserve"> ADDIN EN.CITE &lt;EndNote&gt;&lt;Cite&gt;&lt;Author&gt;Molyneux&lt;/Author&gt;&lt;Year&gt;2004&lt;/Year&gt;&lt;RecNum&gt;57&lt;/RecNum&gt;&lt;DisplayText&gt;(Molyneux, 2004)&lt;/DisplayText&gt;&lt;record&gt;&lt;rec-number&gt;57&lt;/rec-number&gt;&lt;foreign-keys&gt;&lt;key app="EN" db-id="xd20ava0ss0z06e9fzmxda9qwp2twsza5092" timestamp="1774870881"&gt;57&lt;/key&gt;&lt;/foreign-keys&gt;&lt;ref-type name="Journal Article"&gt;17&lt;/ref-type&gt;&lt;contributors&gt;&lt;authors&gt;&lt;author&gt;Molyneux,&lt;/author&gt;&lt;/authors&gt;&lt;/contributors&gt;&lt;titles&gt;&lt;title&gt;The use of stable free radical diphenylpicryl-hydrazyl (DPPH) for estimating antioxidant activity Songklanakarin&lt;/title&gt;&lt;secondary-title&gt;Journal Science Technology&lt;/secondary-title&gt;&lt;/titles&gt;&lt;periodical&gt;&lt;full-title&gt;Journal Science Technology&lt;/full-title&gt;&lt;/periodical&gt;&lt;pages&gt;211-219&lt;/pages&gt;&lt;volume&gt;26&lt;/volume&gt;&lt;number&gt;2&lt;/number&gt;&lt;dates&gt;&lt;year&gt;2004&lt;/year&gt;&lt;/dates&gt;&lt;urls&gt;&lt;/urls&gt;&lt;/record&gt;&lt;/Cite&gt;&lt;/EndNote&gt;</w:instrText>
      </w:r>
      <w:r w:rsidRPr="001A5676">
        <w:rPr>
          <w:rFonts w:ascii="Arial" w:hAnsi="Arial" w:cs="Arial"/>
        </w:rPr>
        <w:fldChar w:fldCharType="separate"/>
      </w:r>
      <w:r w:rsidR="00CA16D7">
        <w:rPr>
          <w:rFonts w:ascii="Arial" w:hAnsi="Arial" w:cs="Arial"/>
          <w:noProof/>
        </w:rPr>
        <w:t>(Molyneux, 2004)</w:t>
      </w:r>
      <w:r w:rsidRPr="001A5676">
        <w:rPr>
          <w:rFonts w:ascii="Arial" w:hAnsi="Arial" w:cs="Arial"/>
        </w:rPr>
        <w:fldChar w:fldCharType="end"/>
      </w:r>
      <w:r w:rsidRPr="001A5676">
        <w:rPr>
          <w:rFonts w:ascii="Arial" w:hAnsi="Arial" w:cs="Arial"/>
        </w:rPr>
        <w:t xml:space="preserve">. This color change can be monitored by spectrophotometry at 517 nm, allowing the antioxidant </w:t>
      </w:r>
      <w:r w:rsidRPr="001A5676">
        <w:rPr>
          <w:rFonts w:ascii="Arial" w:hAnsi="Arial" w:cs="Arial"/>
        </w:rPr>
        <w:lastRenderedPageBreak/>
        <w:t xml:space="preserve">potential of a substance or plant extract to be determined. The protocol followed is described by Brand-Williams et al . </w:t>
      </w:r>
      <w:r w:rsidRPr="001A5676">
        <w:rPr>
          <w:rFonts w:ascii="Arial" w:hAnsi="Arial" w:cs="Arial"/>
        </w:rPr>
        <w:fldChar w:fldCharType="begin"/>
      </w:r>
      <w:r w:rsidR="00CA16D7">
        <w:rPr>
          <w:rFonts w:ascii="Arial" w:hAnsi="Arial" w:cs="Arial"/>
        </w:rPr>
        <w:instrText xml:space="preserve"> ADDIN EN.CITE &lt;EndNote&gt;&lt;Cite&gt;&lt;Author&gt;Molyneux&lt;/Author&gt;&lt;Year&gt;2004&lt;/Year&gt;&lt;RecNum&gt;57&lt;/RecNum&gt;&lt;DisplayText&gt;(Molyneux, 2004)&lt;/DisplayText&gt;&lt;record&gt;&lt;rec-number&gt;57&lt;/rec-number&gt;&lt;foreign-keys&gt;&lt;key app="EN" db-id="xd20ava0ss0z06e9fzmxda9qwp2twsza5092" timestamp="1774870881"&gt;57&lt;/key&gt;&lt;/foreign-keys&gt;&lt;ref-type name="Journal Article"&gt;17&lt;/ref-type&gt;&lt;contributors&gt;&lt;authors&gt;&lt;author&gt;Molyneux,&lt;/author&gt;&lt;/authors&gt;&lt;/contributors&gt;&lt;titles&gt;&lt;title&gt;The use of stable free radical diphenylpicryl-hydrazyl (DPPH) for estimating antioxidant activity Songklanakarin&lt;/title&gt;&lt;secondary-title&gt;Journal Science Technology&lt;/secondary-title&gt;&lt;/titles&gt;&lt;periodical&gt;&lt;full-title&gt;Journal Science Technology&lt;/full-title&gt;&lt;/periodical&gt;&lt;pages&gt;211-219&lt;/pages&gt;&lt;volume&gt;26&lt;/volume&gt;&lt;number&gt;2&lt;/number&gt;&lt;dates&gt;&lt;year&gt;2004&lt;/year&gt;&lt;/dates&gt;&lt;urls&gt;&lt;/urls&gt;&lt;/record&gt;&lt;/Cite&gt;&lt;/EndNote&gt;</w:instrText>
      </w:r>
      <w:r w:rsidRPr="001A5676">
        <w:rPr>
          <w:rFonts w:ascii="Arial" w:hAnsi="Arial" w:cs="Arial"/>
        </w:rPr>
        <w:fldChar w:fldCharType="separate"/>
      </w:r>
      <w:r w:rsidR="00CA16D7">
        <w:rPr>
          <w:rFonts w:ascii="Arial" w:hAnsi="Arial" w:cs="Arial"/>
          <w:noProof/>
        </w:rPr>
        <w:t>(Molyneux, 2004)</w:t>
      </w:r>
      <w:r w:rsidRPr="001A5676">
        <w:rPr>
          <w:rFonts w:ascii="Arial" w:hAnsi="Arial" w:cs="Arial"/>
        </w:rPr>
        <w:fldChar w:fldCharType="end"/>
      </w:r>
      <w:r w:rsidRPr="001A5676">
        <w:rPr>
          <w:rFonts w:ascii="Arial" w:hAnsi="Arial" w:cs="Arial"/>
        </w:rPr>
        <w:t>was used. In six dry test tubes, 100 µL of each extract dilution (1000 ppm, 500 ppm, 250 ppm, 125 ppm, 62.5 ppm, 31.5 ppm) was mixed with 1900 µL of DPPH methanolic solution (0.1mM). After shaking, the tubes were placed in the dark at room temperature for 30 minutes. The reading was then taken by measuring absorbance at 517 nm. In the negative control, the different dilutions of extract were replaced by 100 µL of methanol and in the positive control by dilutions of antioxidant references.</w:t>
      </w:r>
    </w:p>
    <w:p w14:paraId="12E3704E" w14:textId="24F4FCBF" w:rsidR="001A5676" w:rsidRPr="001A5676" w:rsidRDefault="001A5676" w:rsidP="001A5676">
      <w:pPr>
        <w:pStyle w:val="Body"/>
        <w:spacing w:after="0"/>
        <w:rPr>
          <w:rFonts w:ascii="Arial" w:hAnsi="Arial" w:cs="Arial"/>
        </w:rPr>
      </w:pPr>
      <w:r w:rsidRPr="001A5676">
        <w:rPr>
          <w:rFonts w:ascii="Arial" w:hAnsi="Arial" w:cs="Arial"/>
        </w:rPr>
        <w:t xml:space="preserve">The percentage of inhibition (PI) was calculated using the following formula </w:t>
      </w:r>
      <w:r w:rsidRPr="001A5676">
        <w:rPr>
          <w:rFonts w:ascii="Arial" w:hAnsi="Arial" w:cs="Arial"/>
        </w:rPr>
        <w:fldChar w:fldCharType="begin"/>
      </w:r>
      <w:r w:rsidR="00CA16D7">
        <w:rPr>
          <w:rFonts w:ascii="Arial" w:hAnsi="Arial" w:cs="Arial"/>
        </w:rPr>
        <w:instrText xml:space="preserve"> ADDIN EN.CITE &lt;EndNote&gt;&lt;Cite&gt;&lt;Author&gt;Talbi&lt;/Author&gt;&lt;Year&gt;2014&lt;/Year&gt;&lt;RecNum&gt;58&lt;/RecNum&gt;&lt;DisplayText&gt;(Talbi, 2014)&lt;/DisplayText&gt;&lt;record&gt;&lt;rec-number&gt;58&lt;/rec-number&gt;&lt;foreign-keys&gt;&lt;key app="EN" db-id="xd20ava0ss0z06e9fzmxda9qwp2twsza5092" timestamp="1774870881"&gt;58&lt;/key&gt;&lt;/foreign-keys&gt;&lt;ref-type name="Journal Article"&gt;17&lt;/ref-type&gt;&lt;contributors&gt;&lt;authors&gt;&lt;author&gt;Talbi, H.&lt;/author&gt;&lt;/authors&gt;&lt;/contributors&gt;&lt;titles&gt;&lt;title&gt;Evaluation de l’activité antioxydante et la composition physico-chimique des extraits méthanoliques et aqueux de la Nigella sativa&lt;/title&gt;&lt;/titles&gt;&lt;pages&gt;1111-1117&lt;/pages&gt;&lt;volume&gt;6&lt;/volume&gt;&lt;number&gt;4&lt;/number&gt;&lt;dates&gt;&lt;year&gt;2014&lt;/year&gt;&lt;/dates&gt;&lt;urls&gt;&lt;/urls&gt;&lt;/record&gt;&lt;/Cite&gt;&lt;/EndNote&gt;</w:instrText>
      </w:r>
      <w:r w:rsidRPr="001A5676">
        <w:rPr>
          <w:rFonts w:ascii="Arial" w:hAnsi="Arial" w:cs="Arial"/>
        </w:rPr>
        <w:fldChar w:fldCharType="separate"/>
      </w:r>
      <w:r w:rsidR="00CA16D7">
        <w:rPr>
          <w:rFonts w:ascii="Arial" w:hAnsi="Arial" w:cs="Arial"/>
          <w:noProof/>
        </w:rPr>
        <w:t>(Talbi, 2014)</w:t>
      </w:r>
      <w:r w:rsidRPr="001A5676">
        <w:rPr>
          <w:rFonts w:ascii="Arial" w:hAnsi="Arial" w:cs="Arial"/>
        </w:rPr>
        <w:fldChar w:fldCharType="end"/>
      </w:r>
    </w:p>
    <w:p w14:paraId="3A580E58" w14:textId="77777777" w:rsidR="001A5676" w:rsidRPr="001A5676" w:rsidRDefault="001A5676" w:rsidP="001A5676">
      <w:pPr>
        <w:pStyle w:val="Body"/>
        <w:spacing w:after="0"/>
        <w:rPr>
          <w:rFonts w:ascii="Arial" w:hAnsi="Arial" w:cs="Arial"/>
        </w:rPr>
      </w:pPr>
      <m:oMathPara>
        <m:oMath>
          <m:r>
            <w:rPr>
              <w:rFonts w:ascii="Cambria Math" w:hAnsi="Cambria Math" w:cs="Arial"/>
            </w:rPr>
            <m:t>I</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Absorbance of blank-Absorbance of test</m:t>
              </m:r>
            </m:num>
            <m:den>
              <m:r>
                <m:rPr>
                  <m:sty m:val="p"/>
                </m:rPr>
                <w:rPr>
                  <w:rFonts w:ascii="Cambria Math" w:hAnsi="Cambria Math" w:cs="Arial"/>
                </w:rPr>
                <m:t>Absorbance of blank</m:t>
              </m:r>
            </m:den>
          </m:f>
          <m:r>
            <m:rPr>
              <m:sty m:val="p"/>
            </m:rPr>
            <w:rPr>
              <w:rFonts w:ascii="Cambria Math" w:hAnsi="Cambria Math" w:cs="Arial"/>
            </w:rPr>
            <m:t>×100</m:t>
          </m:r>
        </m:oMath>
      </m:oMathPara>
    </w:p>
    <w:p w14:paraId="5F2B0DAC" w14:textId="2CB1C776" w:rsidR="001A5676" w:rsidRPr="001A5676" w:rsidRDefault="001A5676" w:rsidP="001A5676">
      <w:pPr>
        <w:pStyle w:val="Body"/>
        <w:spacing w:after="0"/>
        <w:rPr>
          <w:rFonts w:ascii="Arial" w:hAnsi="Arial" w:cs="Arial"/>
        </w:rPr>
      </w:pPr>
      <w:r w:rsidRPr="001A5676">
        <w:rPr>
          <w:rFonts w:ascii="Arial" w:hAnsi="Arial" w:cs="Arial"/>
        </w:rPr>
        <w:t xml:space="preserve">The IC50 the concentration of extract required to scavenge 50% of DPPH radicals (EC50 ) , expressed in mg of antioxidant/g of DPPH or </w:t>
      </w:r>
      <w:r w:rsidRPr="004514DD">
        <w:rPr>
          <w:rFonts w:ascii="Arial" w:hAnsi="Arial" w:cs="Arial"/>
          <w:highlight w:val="yellow"/>
        </w:rPr>
        <w:t>i</w:t>
      </w:r>
      <w:r w:rsidRPr="004514DD">
        <w:rPr>
          <w:rFonts w:ascii="Arial" w:hAnsi="Arial" w:cs="Arial"/>
          <w:highlight w:val="yellow"/>
        </w:rPr>
        <w:fldChar w:fldCharType="begin"/>
      </w:r>
      <w:r w:rsidR="00CA16D7" w:rsidRPr="004514DD">
        <w:rPr>
          <w:rFonts w:ascii="Arial" w:hAnsi="Arial" w:cs="Arial"/>
          <w:highlight w:val="yellow"/>
        </w:rPr>
        <w:instrText xml:space="preserve"> ADDIN EN.CITE &lt;EndNote&gt;&lt;Cite&gt;&lt;Author&gt;Nakagawa&lt;/Author&gt;&lt;Year&gt;1984&lt;/Year&gt;&lt;RecNum&gt;287&lt;/RecNum&gt;&lt;DisplayText&gt;(Nakagawa et al., 1984)&lt;/DisplayText&gt;&lt;record&gt;&lt;rec-number&gt;287&lt;/rec-number&gt;&lt;foreign-keys&gt;&lt;key app="EN" db-id="dzxvrd2t1ta0pceprrspdwttdvz259pz9wx0" timestamp="1772740503"&gt;287&lt;/key&gt;&lt;/foreign-keys&gt;&lt;ref-type name="Journal Article"&gt;17&lt;/ref-type&gt;&lt;contributors&gt;&lt;authors&gt;&lt;author&gt;Nakagawa, Yoshio&lt;/author&gt;&lt;author&gt;Tayama, Kuniaki&lt;/author&gt;&lt;author&gt;Nakao, Toshiko&lt;/author&gt;&lt;author&gt;Hiraga, Kogo&lt;/author&gt;&lt;/authors&gt;&lt;/contributors&gt;&lt;titles&gt;&lt;title&gt;On the mechanism of butylated hydroxytoluene-induced hepatic toxicity in rats&lt;/title&gt;&lt;secondary-title&gt;Biochemical pharmacology&lt;/secondary-title&gt;&lt;/titles&gt;&lt;periodical&gt;&lt;full-title&gt;Biochemical pharmacology&lt;/full-title&gt;&lt;/periodical&gt;&lt;pages&gt;2669-2674&lt;/pages&gt;&lt;volume&gt;33&lt;/volume&gt;&lt;number&gt;16&lt;/number&gt;&lt;dates&gt;&lt;year&gt;1984&lt;/year&gt;&lt;/dates&gt;&lt;isbn&gt;0006-2952&lt;/isbn&gt;&lt;urls&gt;&lt;/urls&gt;&lt;/record&gt;&lt;/Cite&gt;&lt;/EndNote&gt;</w:instrText>
      </w:r>
      <w:r w:rsidRPr="004514DD">
        <w:rPr>
          <w:rFonts w:ascii="Arial" w:hAnsi="Arial" w:cs="Arial"/>
          <w:highlight w:val="yellow"/>
        </w:rPr>
        <w:fldChar w:fldCharType="separate"/>
      </w:r>
      <w:r w:rsidR="00CA16D7" w:rsidRPr="004514DD">
        <w:rPr>
          <w:rFonts w:ascii="Arial" w:hAnsi="Arial" w:cs="Arial"/>
          <w:noProof/>
          <w:highlight w:val="yellow"/>
        </w:rPr>
        <w:t>(Nakagawa et al., 1984)</w:t>
      </w:r>
      <w:r w:rsidRPr="004514DD">
        <w:rPr>
          <w:rFonts w:ascii="Arial" w:hAnsi="Arial" w:cs="Arial"/>
          <w:highlight w:val="yellow"/>
        </w:rPr>
        <w:fldChar w:fldCharType="end"/>
      </w:r>
      <w:r w:rsidRPr="004514DD">
        <w:rPr>
          <w:rFonts w:ascii="Arial" w:hAnsi="Arial" w:cs="Arial"/>
          <w:highlight w:val="yellow"/>
        </w:rPr>
        <w:t>n</w:t>
      </w:r>
      <w:r w:rsidRPr="001A5676">
        <w:rPr>
          <w:rFonts w:ascii="Arial" w:hAnsi="Arial" w:cs="Arial"/>
        </w:rPr>
        <w:t xml:space="preserve"> mg of antioxidant/mol of DPPH, was deduced by the formula below for pure molecules. The CI 50 was determined graphically using a regression equation of the form y = alnx + b; assuming each time that y= 50. The antiradical potential was determined according to the scale provided by Souris </w:t>
      </w:r>
      <w:r w:rsidRPr="001A5676">
        <w:rPr>
          <w:rFonts w:ascii="Arial" w:hAnsi="Arial" w:cs="Arial"/>
        </w:rPr>
        <w:fldChar w:fldCharType="begin"/>
      </w:r>
      <w:r w:rsidR="00CA16D7">
        <w:rPr>
          <w:rFonts w:ascii="Arial" w:hAnsi="Arial" w:cs="Arial"/>
        </w:rPr>
        <w:instrText xml:space="preserve"> ADDIN EN.CITE &lt;EndNote&gt;&lt;Cite&gt;&lt;Author&gt;Souris&lt;/Author&gt;&lt;Year&gt;2002&lt;/Year&gt;&lt;RecNum&gt;77&lt;/RecNum&gt;&lt;DisplayText&gt;(Souris, 2002)&lt;/DisplayText&gt;&lt;record&gt;&lt;rec-number&gt;77&lt;/rec-number&gt;&lt;foreign-keys&gt;&lt;key app="EN" db-id="xd20ava0ss0z06e9fzmxda9qwp2twsza5092" timestamp="1774872180"&gt;77&lt;/key&gt;&lt;/foreign-keys&gt;&lt;ref-type name="Thesis"&gt;32&lt;/ref-type&gt;&lt;contributors&gt;&lt;authors&gt;&lt;author&gt;Souris, J. S.&lt;/author&gt;&lt;/authors&gt;&lt;/contributors&gt;&lt;titles&gt;&lt;title&gt;Évaluation de l&amp;apos;activité antioxydante des extraits de plantes&lt;/title&gt;&lt;short-title&gt;Évaluation de l&amp;apos;activité antioxydante des extraits de plantes&lt;/short-title&gt;&lt;/titles&gt;&lt;dates&gt;&lt;year&gt;2002&lt;/year&gt;&lt;/dates&gt;&lt;pub-location&gt;Louvain&lt;/pub-location&gt;&lt;publisher&gt;Université Catholique de Louvain&lt;/publisher&gt;&lt;urls&gt;&lt;/urls&gt;&lt;/record&gt;&lt;/Cite&gt;&lt;/EndNote&gt;</w:instrText>
      </w:r>
      <w:r w:rsidRPr="001A5676">
        <w:rPr>
          <w:rFonts w:ascii="Arial" w:hAnsi="Arial" w:cs="Arial"/>
        </w:rPr>
        <w:fldChar w:fldCharType="separate"/>
      </w:r>
      <w:r w:rsidR="00CA16D7">
        <w:rPr>
          <w:rFonts w:ascii="Arial" w:hAnsi="Arial" w:cs="Arial"/>
          <w:noProof/>
        </w:rPr>
        <w:t>(Souris, 2002)</w:t>
      </w:r>
      <w:r w:rsidRPr="001A5676">
        <w:rPr>
          <w:rFonts w:ascii="Arial" w:hAnsi="Arial" w:cs="Arial"/>
        </w:rPr>
        <w:fldChar w:fldCharType="end"/>
      </w:r>
      <w:r w:rsidRPr="001A5676">
        <w:rPr>
          <w:rFonts w:ascii="Arial" w:hAnsi="Arial" w:cs="Arial"/>
        </w:rPr>
        <w:t>which stipulates that the antiradical potential of a plant is considered high when the IC 50 &lt; 20 µg/mL, moderate when 20 µg/mL ≤ the IC 50 ≤ 75 µg/mL and low when the IC 50 &gt; 75 µg/mL.</w:t>
      </w:r>
    </w:p>
    <w:p w14:paraId="11B8792C" w14:textId="3C6810FB" w:rsidR="001A5676" w:rsidRPr="001A5676" w:rsidRDefault="001A5676" w:rsidP="001A5676">
      <w:pPr>
        <w:pStyle w:val="Body"/>
        <w:spacing w:after="0"/>
        <w:rPr>
          <w:rFonts w:ascii="Arial" w:hAnsi="Arial" w:cs="Arial"/>
        </w:rPr>
      </w:pPr>
      <w:r w:rsidRPr="001A5676">
        <w:rPr>
          <w:rFonts w:ascii="Arial" w:hAnsi="Arial" w:cs="Arial"/>
        </w:rPr>
        <w:t xml:space="preserve">The calculation of the antiradical power (AP), equal to the inverse of the effective concentration, was also carried out. The higher it is, the more effective the antiradical agent is </w:t>
      </w:r>
      <w:r w:rsidRPr="001A5676">
        <w:rPr>
          <w:rFonts w:ascii="Arial" w:hAnsi="Arial" w:cs="Arial"/>
        </w:rPr>
        <w:fldChar w:fldCharType="begin"/>
      </w:r>
      <w:r w:rsidR="00CA16D7">
        <w:rPr>
          <w:rFonts w:ascii="Arial" w:hAnsi="Arial" w:cs="Arial"/>
        </w:rPr>
        <w:instrText xml:space="preserve"> ADDIN EN.CITE &lt;EndNote&gt;&lt;Cite&gt;&lt;Author&gt;Nyegue&lt;/Author&gt;&lt;Year&gt;2006&lt;/Year&gt;&lt;RecNum&gt;61&lt;/RecNum&gt;&lt;DisplayText&gt;(Nyegue, 2006)&lt;/DisplayText&gt;&lt;record&gt;&lt;rec-number&gt;61&lt;/rec-number&gt;&lt;foreign-keys&gt;&lt;key app="EN" db-id="xd20ava0ss0z06e9fzmxda9qwp2twsza5092" timestamp="1774870881"&gt;61&lt;/key&gt;&lt;/foreign-keys&gt;&lt;ref-type name="Thesis"&gt;32&lt;/ref-type&gt;&lt;contributors&gt;&lt;authors&gt;&lt;author&gt;Nyegue, M.&lt;/author&gt;&lt;/authors&gt;&lt;/contributors&gt;&lt;titles&gt;&lt;title&gt;Propriétés chimiques et biologiques des huiles essentielles de quelques plantes aromatiques et/ou médicinales du Cameroun : évaluation de leurs activités anti-radicalaires, anti-inflammatoires et antibactériennes&lt;/title&gt;&lt;short-title&gt;Thèse de Doctorat&lt;/short-title&gt;&lt;/titles&gt;&lt;dates&gt;&lt;year&gt;2006&lt;/year&gt;&lt;/dates&gt;&lt;publisher&gt;Université de Montpellier II et Yaoundé I&lt;/publisher&gt;&lt;urls&gt;&lt;/urls&gt;&lt;/record&gt;&lt;/Cite&gt;&lt;/EndNote&gt;</w:instrText>
      </w:r>
      <w:r w:rsidRPr="001A5676">
        <w:rPr>
          <w:rFonts w:ascii="Arial" w:hAnsi="Arial" w:cs="Arial"/>
        </w:rPr>
        <w:fldChar w:fldCharType="separate"/>
      </w:r>
      <w:r w:rsidR="00CA16D7">
        <w:rPr>
          <w:rFonts w:ascii="Arial" w:hAnsi="Arial" w:cs="Arial"/>
          <w:noProof/>
        </w:rPr>
        <w:t>(Nyegue, 2006)</w:t>
      </w:r>
      <w:r w:rsidRPr="001A5676">
        <w:rPr>
          <w:rFonts w:ascii="Arial" w:hAnsi="Arial" w:cs="Arial"/>
        </w:rPr>
        <w:fldChar w:fldCharType="end"/>
      </w:r>
      <w:r w:rsidRPr="001A5676">
        <w:rPr>
          <w:rFonts w:ascii="Arial" w:hAnsi="Arial" w:cs="Arial"/>
        </w:rPr>
        <w:t>.</w:t>
      </w:r>
    </w:p>
    <w:p w14:paraId="6D0D3FDC" w14:textId="77777777" w:rsidR="001A5676" w:rsidRPr="001A5676" w:rsidRDefault="00000000" w:rsidP="001A5676">
      <w:pPr>
        <w:pStyle w:val="Body"/>
        <w:spacing w:after="0"/>
        <w:rPr>
          <w:rFonts w:ascii="Arial" w:hAnsi="Arial" w:cs="Arial"/>
        </w:rPr>
      </w:pPr>
      <m:oMathPara>
        <m:oMath>
          <m:sSub>
            <m:sSubPr>
              <m:ctrlPr>
                <w:rPr>
                  <w:rFonts w:ascii="Cambria Math" w:hAnsi="Cambria Math" w:cs="Arial"/>
                </w:rPr>
              </m:ctrlPr>
            </m:sSubPr>
            <m:e>
              <m:r>
                <w:rPr>
                  <w:rFonts w:ascii="Cambria Math" w:hAnsi="Cambria Math" w:cs="Arial"/>
                </w:rPr>
                <m:t>CE</m:t>
              </m:r>
            </m:e>
            <m:sub>
              <m:r>
                <m:rPr>
                  <m:sty m:val="p"/>
                </m:rPr>
                <w:rPr>
                  <w:rFonts w:ascii="Cambria Math" w:hAnsi="Cambria Math" w:cs="Arial"/>
                </w:rPr>
                <m:t>50</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I</m:t>
              </m:r>
              <m:sSub>
                <m:sSubPr>
                  <m:ctrlPr>
                    <w:rPr>
                      <w:rFonts w:ascii="Cambria Math" w:hAnsi="Cambria Math" w:cs="Arial"/>
                    </w:rPr>
                  </m:ctrlPr>
                </m:sSubPr>
                <m:e>
                  <m:r>
                    <w:rPr>
                      <w:rFonts w:ascii="Cambria Math" w:hAnsi="Cambria Math" w:cs="Arial"/>
                    </w:rPr>
                    <m:t>C</m:t>
                  </m:r>
                </m:e>
                <m:sub>
                  <m:r>
                    <m:rPr>
                      <m:sty m:val="p"/>
                    </m:rPr>
                    <w:rPr>
                      <w:rFonts w:ascii="Cambria Math" w:hAnsi="Cambria Math" w:cs="Arial"/>
                    </w:rPr>
                    <m:t>50</m:t>
                  </m:r>
                </m:sub>
              </m:sSub>
            </m:num>
            <m:den>
              <m:r>
                <m:rPr>
                  <m:sty m:val="p"/>
                </m:rPr>
                <w:rPr>
                  <w:rFonts w:ascii="Cambria Math" w:hAnsi="Cambria Math" w:cs="Arial"/>
                </w:rPr>
                <m:t>Concentration of the DPPH solution</m:t>
              </m:r>
            </m:den>
          </m:f>
          <m:r>
            <m:rPr>
              <m:sty m:val="p"/>
            </m:rPr>
            <w:rPr>
              <w:rFonts w:ascii="Cambria Math" w:hAnsi="Cambria Math" w:cs="Arial"/>
            </w:rPr>
            <m:t xml:space="preserve">            and               PA=1/</m:t>
          </m:r>
          <m:sSub>
            <m:sSubPr>
              <m:ctrlPr>
                <w:rPr>
                  <w:rFonts w:ascii="Cambria Math" w:hAnsi="Cambria Math" w:cs="Arial"/>
                </w:rPr>
              </m:ctrlPr>
            </m:sSubPr>
            <m:e>
              <m:r>
                <w:rPr>
                  <w:rFonts w:ascii="Cambria Math" w:hAnsi="Cambria Math" w:cs="Arial"/>
                </w:rPr>
                <m:t>CE</m:t>
              </m:r>
            </m:e>
            <m:sub>
              <m:r>
                <m:rPr>
                  <m:sty m:val="p"/>
                </m:rPr>
                <w:rPr>
                  <w:rFonts w:ascii="Cambria Math" w:hAnsi="Cambria Math" w:cs="Arial"/>
                </w:rPr>
                <m:t>50</m:t>
              </m:r>
            </m:sub>
          </m:sSub>
        </m:oMath>
      </m:oMathPara>
    </w:p>
    <w:p w14:paraId="3057C193" w14:textId="77777777" w:rsidR="001A5676" w:rsidRPr="001A5676" w:rsidRDefault="001A5676" w:rsidP="001A5676">
      <w:pPr>
        <w:pStyle w:val="Body"/>
        <w:spacing w:after="0"/>
        <w:rPr>
          <w:rFonts w:ascii="Arial" w:hAnsi="Arial" w:cs="Arial"/>
        </w:rPr>
      </w:pPr>
      <w:bookmarkStart w:id="18" w:name="_Toc137924728"/>
    </w:p>
    <w:p w14:paraId="31A9F88C" w14:textId="26DDB4A7" w:rsidR="001A5676" w:rsidRPr="001A5676" w:rsidRDefault="001A5676" w:rsidP="001A5676">
      <w:pPr>
        <w:pStyle w:val="Body"/>
        <w:spacing w:after="0"/>
        <w:rPr>
          <w:rFonts w:ascii="Arial" w:hAnsi="Arial" w:cs="Arial"/>
          <w:b/>
          <w:bCs/>
        </w:rPr>
      </w:pPr>
      <w:r w:rsidRPr="001A5676">
        <w:rPr>
          <w:rFonts w:ascii="Arial" w:hAnsi="Arial" w:cs="Arial"/>
          <w:b/>
          <w:bCs/>
        </w:rPr>
        <w:t>2.5. FRAP Method</w:t>
      </w:r>
      <w:bookmarkEnd w:id="18"/>
    </w:p>
    <w:p w14:paraId="60B0EC06" w14:textId="5F18BDD5" w:rsidR="001A5676" w:rsidRPr="001A5676" w:rsidRDefault="001A5676" w:rsidP="001A5676">
      <w:pPr>
        <w:pStyle w:val="Body"/>
        <w:spacing w:after="0"/>
        <w:rPr>
          <w:rFonts w:ascii="Arial" w:hAnsi="Arial" w:cs="Arial"/>
        </w:rPr>
      </w:pPr>
      <w:r w:rsidRPr="001A5676">
        <w:rPr>
          <w:rFonts w:ascii="Arial" w:hAnsi="Arial" w:cs="Arial"/>
        </w:rPr>
        <w:t xml:space="preserve">The FRAP evaluation is based on the reduction of the ferric ion (Fe³+) to the ferrous ion (Fe²+) by an antioxidant compound. For this method, the ferric ion is complexed with 2,4,6-tripyridyl-s-triazine (TPTZ), and following the reduction of iron, the complex becomes colored. The reaction is revealed by the yellow color change of the ferric iron, which turns blue in the presence of the antioxidant. The antioxidant capacity is determined by a simple measurement of the absorbance at 700 nm </w:t>
      </w:r>
      <w:r w:rsidRPr="001A5676">
        <w:rPr>
          <w:rFonts w:ascii="Arial" w:hAnsi="Arial" w:cs="Arial"/>
        </w:rPr>
        <w:fldChar w:fldCharType="begin"/>
      </w:r>
      <w:r w:rsidR="00CA16D7">
        <w:rPr>
          <w:rFonts w:ascii="Arial" w:hAnsi="Arial" w:cs="Arial"/>
        </w:rPr>
        <w:instrText xml:space="preserve"> ADDIN EN.CITE &lt;EndNote&gt;&lt;Cite&gt;&lt;Author&gt;Ksouri&lt;/Author&gt;&lt;Year&gt;2007&lt;/Year&gt;&lt;RecNum&gt;62&lt;/RecNum&gt;&lt;DisplayText&gt;(Ksouri &amp;amp; Megdiche, 2007)&lt;/DisplayText&gt;&lt;record&gt;&lt;rec-number&gt;62&lt;/rec-number&gt;&lt;foreign-keys&gt;&lt;key app="EN" db-id="xd20ava0ss0z06e9fzmxda9qwp2twsza5092" timestamp="1774870881"&gt;62&lt;/key&gt;&lt;/foreign-keys&gt;&lt;ref-type name="Journal Article"&gt;17&lt;/ref-type&gt;&lt;contributors&gt;&lt;authors&gt;&lt;author&gt;Ksouri, R.&lt;/author&gt;&lt;author&gt;Megdiche, W.&lt;/author&gt;&lt;/authors&gt;&lt;/contributors&gt;&lt;titles&gt;&lt;title&gt;Salinity effects on polyphenol content and antioxidant activities in leaves of the halophyte Cakile maritima&lt;/title&gt;&lt;secondary-title&gt;Plant Physiology Biochemestry&lt;/secondary-title&gt;&lt;/titles&gt;&lt;periodical&gt;&lt;full-title&gt;Plant Physiology Biochemestry&lt;/full-title&gt;&lt;/periodical&gt;&lt;pages&gt;244-249&lt;/pages&gt;&lt;dates&gt;&lt;year&gt;2007&lt;/year&gt;&lt;/dates&gt;&lt;urls&gt;&lt;/urls&gt;&lt;/record&gt;&lt;/Cite&gt;&lt;/EndNote&gt;</w:instrText>
      </w:r>
      <w:r w:rsidRPr="001A5676">
        <w:rPr>
          <w:rFonts w:ascii="Arial" w:hAnsi="Arial" w:cs="Arial"/>
        </w:rPr>
        <w:fldChar w:fldCharType="separate"/>
      </w:r>
      <w:r w:rsidR="00CA16D7">
        <w:rPr>
          <w:rFonts w:ascii="Arial" w:hAnsi="Arial" w:cs="Arial"/>
          <w:noProof/>
        </w:rPr>
        <w:t>(Ksouri &amp; Megdiche, 2007)</w:t>
      </w:r>
      <w:r w:rsidRPr="001A5676">
        <w:rPr>
          <w:rFonts w:ascii="Arial" w:hAnsi="Arial" w:cs="Arial"/>
        </w:rPr>
        <w:fldChar w:fldCharType="end"/>
      </w:r>
      <w:r w:rsidRPr="001A5676">
        <w:rPr>
          <w:rFonts w:ascii="Arial" w:hAnsi="Arial" w:cs="Arial"/>
        </w:rPr>
        <w:t xml:space="preserve">. The reducing power of the extracts is determined according to the protocol described by Oyaizu (1986) [64]. In six dry test tubes, 250 µL of each extract at all concentrations (1000 ppm, 500 ppm, 250 ppm, 125 ppm, 62.5 ppm, 31.5 ppm) was mixed with 625 µL of 0.2 M phosphate buffer solution, pH 6.6, and 625 µL of a 1% potassium ferricyanide (K3[Fe(CN)6]) solution. The mixture was incubated in a water bath at 50°C for 20 minutes, after which 625 µL of 10% trichloroacetic acid (TCA) was added to stop the reaction. The tubes were centrifuged at 3000 rpm for 10 minutes using a SIGMA centrifuge. 625 µL of supernatant are mixed with 625 µL of distilled water and 125 µL of freshly prepared 0.1% iron (III) chloride (FeCl3) solution . The optical densities of the reaction medium were read at 700 nm against a blank similarly prepared by replacing the extract with distilled water </w:t>
      </w:r>
      <w:r w:rsidRPr="001A5676">
        <w:rPr>
          <w:rFonts w:ascii="Arial" w:hAnsi="Arial" w:cs="Arial"/>
        </w:rPr>
        <w:fldChar w:fldCharType="begin"/>
      </w:r>
      <w:r w:rsidR="00CA16D7">
        <w:rPr>
          <w:rFonts w:ascii="Arial" w:hAnsi="Arial" w:cs="Arial"/>
        </w:rPr>
        <w:instrText xml:space="preserve"> ADDIN EN.CITE &lt;EndNote&gt;&lt;Cite&gt;&lt;Author&gt;Valère&lt;/Author&gt;&lt;Year&gt;2022&lt;/Year&gt;&lt;RecNum&gt;86&lt;/RecNum&gt;&lt;DisplayText&gt;(Valère, 2022)&lt;/DisplayText&gt;&lt;record&gt;&lt;rec-number&gt;86&lt;/rec-number&gt;&lt;foreign-keys&gt;&lt;key app="EN" db-id="ppwefpzf5eefwrea9agvzetgp2s0rdew0rw0" timestamp="1777645568"&gt;86&lt;/key&gt;&lt;/foreign-keys&gt;&lt;ref-type name="Thesis"&gt;32&lt;/ref-type&gt;&lt;contributors&gt;&lt;authors&gt;&lt;author&gt;Valère, M.&lt;/author&gt;&lt;/authors&gt;&lt;/contributors&gt;&lt;titles&gt;&lt;title&gt;Evaluation in vitro de l’activité antioxydante et antibactérienne de l’écorce du tronc de canarium schweinfurthii&lt;/title&gt;&lt;/titles&gt;&lt;dates&gt;&lt;year&gt;2022&lt;/year&gt;&lt;/dates&gt;&lt;pub-location&gt;Bangangté&lt;/pub-location&gt;&lt;publisher&gt;Université des Montagnes&lt;/publisher&gt;&lt;urls&gt;&lt;/urls&gt;&lt;/record&gt;&lt;/Cite&gt;&lt;/EndNote&gt;</w:instrText>
      </w:r>
      <w:r w:rsidRPr="001A5676">
        <w:rPr>
          <w:rFonts w:ascii="Arial" w:hAnsi="Arial" w:cs="Arial"/>
        </w:rPr>
        <w:fldChar w:fldCharType="separate"/>
      </w:r>
      <w:r w:rsidR="00CA16D7">
        <w:rPr>
          <w:rFonts w:ascii="Arial" w:hAnsi="Arial" w:cs="Arial"/>
          <w:noProof/>
        </w:rPr>
        <w:t>(Valère, 2022)</w:t>
      </w:r>
      <w:r w:rsidRPr="001A5676">
        <w:rPr>
          <w:rFonts w:ascii="Arial" w:hAnsi="Arial" w:cs="Arial"/>
        </w:rPr>
        <w:fldChar w:fldCharType="end"/>
      </w:r>
    </w:p>
    <w:p w14:paraId="7E5B81DC" w14:textId="77777777" w:rsidR="001A5676" w:rsidRDefault="001A5676" w:rsidP="001A5676">
      <w:pPr>
        <w:pStyle w:val="Body"/>
        <w:spacing w:after="0"/>
        <w:rPr>
          <w:rFonts w:ascii="Arial" w:hAnsi="Arial" w:cs="Arial"/>
        </w:rPr>
      </w:pPr>
      <w:r w:rsidRPr="001A5676">
        <w:rPr>
          <w:rFonts w:ascii="Arial" w:hAnsi="Arial" w:cs="Arial"/>
        </w:rPr>
        <w:t>The percentage of inhibition (PI), IC50 , EC50, and the reducing power (PR) required to reduce 50% of the ferric complex, expressed in mg of antioxidant/g of FeCl3 or in mg of antioxidant/mol , were determined in the same way as befor</w:t>
      </w:r>
      <w:bookmarkStart w:id="19" w:name="_Toc137924729"/>
      <w:r w:rsidRPr="001A5676">
        <w:rPr>
          <w:rFonts w:ascii="Arial" w:hAnsi="Arial" w:cs="Arial"/>
        </w:rPr>
        <w:t>e.</w:t>
      </w:r>
    </w:p>
    <w:p w14:paraId="73E72727" w14:textId="77777777" w:rsidR="001A5676" w:rsidRPr="001A5676" w:rsidRDefault="001A5676" w:rsidP="001A5676">
      <w:pPr>
        <w:pStyle w:val="Body"/>
        <w:spacing w:after="0"/>
        <w:rPr>
          <w:rFonts w:ascii="Arial" w:hAnsi="Arial" w:cs="Arial"/>
        </w:rPr>
      </w:pPr>
    </w:p>
    <w:p w14:paraId="1791D367" w14:textId="13CC12BE" w:rsidR="001A5676" w:rsidRPr="001A5676" w:rsidRDefault="001A5676" w:rsidP="001A5676">
      <w:pPr>
        <w:pStyle w:val="Body"/>
        <w:spacing w:after="0"/>
        <w:rPr>
          <w:rFonts w:ascii="Arial" w:hAnsi="Arial" w:cs="Arial"/>
          <w:b/>
          <w:bCs/>
        </w:rPr>
      </w:pPr>
      <w:r w:rsidRPr="001A5676">
        <w:rPr>
          <w:rFonts w:ascii="Arial" w:hAnsi="Arial" w:cs="Arial"/>
          <w:b/>
          <w:bCs/>
        </w:rPr>
        <w:t xml:space="preserve">2.5. Antibacterial </w:t>
      </w:r>
      <w:bookmarkEnd w:id="19"/>
      <w:r w:rsidRPr="001A5676">
        <w:rPr>
          <w:rFonts w:ascii="Arial" w:hAnsi="Arial" w:cs="Arial"/>
          <w:b/>
          <w:bCs/>
        </w:rPr>
        <w:t>activities</w:t>
      </w:r>
    </w:p>
    <w:p w14:paraId="5067E145" w14:textId="74C1DAED" w:rsidR="001A5676" w:rsidRPr="001A5676" w:rsidRDefault="001A5676" w:rsidP="001A5676">
      <w:pPr>
        <w:pStyle w:val="Body"/>
        <w:spacing w:after="0"/>
        <w:rPr>
          <w:rFonts w:ascii="Arial" w:hAnsi="Arial" w:cs="Arial"/>
          <w:b/>
          <w:bCs/>
        </w:rPr>
      </w:pPr>
      <w:bookmarkStart w:id="20" w:name="_Toc137924732"/>
      <w:r w:rsidRPr="001A5676">
        <w:rPr>
          <w:rFonts w:ascii="Arial" w:hAnsi="Arial" w:cs="Arial"/>
          <w:b/>
          <w:bCs/>
        </w:rPr>
        <w:t>2.5.1. Antibacterial activity test of extracts</w:t>
      </w:r>
      <w:bookmarkEnd w:id="20"/>
      <w:r w:rsidRPr="001A5676">
        <w:rPr>
          <w:rFonts w:ascii="Arial" w:hAnsi="Arial" w:cs="Arial"/>
          <w:b/>
          <w:bCs/>
        </w:rPr>
        <w:t xml:space="preserve"> </w:t>
      </w:r>
    </w:p>
    <w:p w14:paraId="3C39FF84" w14:textId="6C4EBA61" w:rsidR="001A5676" w:rsidRDefault="001A5676" w:rsidP="001A5676">
      <w:pPr>
        <w:pStyle w:val="Body"/>
        <w:spacing w:after="0"/>
        <w:rPr>
          <w:rFonts w:ascii="Arial" w:hAnsi="Arial" w:cs="Arial"/>
          <w:b/>
          <w:bCs/>
        </w:rPr>
      </w:pPr>
      <w:bookmarkStart w:id="21" w:name="_Toc137924733"/>
      <w:r w:rsidRPr="001A5676">
        <w:rPr>
          <w:rFonts w:ascii="Arial" w:hAnsi="Arial" w:cs="Arial"/>
          <w:b/>
          <w:bCs/>
        </w:rPr>
        <w:t>2.5.1.1. Sterility test of the extract</w:t>
      </w:r>
      <w:bookmarkEnd w:id="21"/>
    </w:p>
    <w:p w14:paraId="733A3DB5" w14:textId="77777777" w:rsidR="001A5676" w:rsidRPr="001A5676" w:rsidRDefault="001A5676" w:rsidP="001A5676">
      <w:pPr>
        <w:pStyle w:val="Body"/>
        <w:spacing w:after="0"/>
        <w:rPr>
          <w:rFonts w:ascii="Arial" w:hAnsi="Arial" w:cs="Arial"/>
          <w:b/>
          <w:bCs/>
        </w:rPr>
      </w:pPr>
    </w:p>
    <w:p w14:paraId="180C3090" w14:textId="77777777" w:rsidR="001A5676" w:rsidRPr="001A5676" w:rsidRDefault="001A5676" w:rsidP="001A5676">
      <w:pPr>
        <w:pStyle w:val="Body"/>
        <w:spacing w:after="0"/>
        <w:rPr>
          <w:rFonts w:ascii="Arial" w:hAnsi="Arial" w:cs="Arial"/>
        </w:rPr>
      </w:pPr>
      <w:r w:rsidRPr="001A5676">
        <w:rPr>
          <w:rFonts w:ascii="Arial" w:hAnsi="Arial" w:cs="Arial"/>
        </w:rPr>
        <w:t xml:space="preserve">The purpose of this test was to ensure that the extracts were not contaminated by bacteria that could interfere with the interpretation of the results after incubation. Sterility was verified by inoculation onto Mueller-Hinton agar followed by incubation for 24 hours at 37°C. Extracts </w:t>
      </w:r>
      <w:r w:rsidRPr="001A5676">
        <w:rPr>
          <w:rFonts w:ascii="Arial" w:hAnsi="Arial" w:cs="Arial"/>
        </w:rPr>
        <w:lastRenderedPageBreak/>
        <w:t>were declared sterile if no colonies were visible to the naked eye on the agar at the end of the incubation period.</w:t>
      </w:r>
    </w:p>
    <w:p w14:paraId="26AFD456" w14:textId="77777777" w:rsidR="001A5676" w:rsidRPr="001A5676" w:rsidRDefault="001A5676" w:rsidP="001A5676">
      <w:pPr>
        <w:pStyle w:val="Body"/>
        <w:spacing w:after="0"/>
        <w:rPr>
          <w:rFonts w:ascii="Arial" w:hAnsi="Arial" w:cs="Arial"/>
        </w:rPr>
      </w:pPr>
      <w:bookmarkStart w:id="22" w:name="_Toc137924734"/>
      <w:r w:rsidRPr="001A5676">
        <w:rPr>
          <w:rFonts w:ascii="Arial" w:hAnsi="Arial" w:cs="Arial"/>
        </w:rPr>
        <w:t>II.5.1.2 Antibacterial profile of the study strains</w:t>
      </w:r>
      <w:bookmarkEnd w:id="22"/>
    </w:p>
    <w:p w14:paraId="4271C0C8" w14:textId="77777777" w:rsidR="001A5676" w:rsidRDefault="001A5676" w:rsidP="001A5676">
      <w:pPr>
        <w:pStyle w:val="Body"/>
        <w:spacing w:after="0"/>
        <w:rPr>
          <w:rFonts w:ascii="Arial" w:hAnsi="Arial" w:cs="Arial"/>
        </w:rPr>
      </w:pPr>
      <w:r w:rsidRPr="001A5676">
        <w:rPr>
          <w:rFonts w:ascii="Arial" w:hAnsi="Arial" w:cs="Arial"/>
        </w:rPr>
        <w:t>The antibacterial profile of the study strains was performed to test, in vitro and on culture media, the susceptibility of the bacterial strains to known antibiotics. The antibacterial resistance profile of the strains of interest is recorded in Table 1.</w:t>
      </w:r>
    </w:p>
    <w:p w14:paraId="1CB901DA" w14:textId="77777777" w:rsidR="001A5676" w:rsidRPr="001A5676" w:rsidRDefault="001A5676" w:rsidP="001A5676">
      <w:pPr>
        <w:pStyle w:val="Body"/>
        <w:spacing w:after="0"/>
        <w:rPr>
          <w:rFonts w:ascii="Arial" w:hAnsi="Arial" w:cs="Arial"/>
        </w:rPr>
      </w:pPr>
    </w:p>
    <w:p w14:paraId="20FD94D2" w14:textId="77777777" w:rsidR="001A5676" w:rsidRPr="001A5676" w:rsidRDefault="001A5676" w:rsidP="001A5676">
      <w:pPr>
        <w:pStyle w:val="Body"/>
        <w:spacing w:after="0"/>
        <w:rPr>
          <w:rFonts w:ascii="Arial" w:hAnsi="Arial" w:cs="Arial"/>
          <w:b/>
          <w:bCs/>
        </w:rPr>
      </w:pPr>
      <w:bookmarkStart w:id="23" w:name="_Toc137921293"/>
      <w:bookmarkStart w:id="24" w:name="_Toc137923796"/>
      <w:r w:rsidRPr="001A5676">
        <w:rPr>
          <w:rFonts w:ascii="Arial" w:hAnsi="Arial" w:cs="Arial"/>
          <w:b/>
          <w:bCs/>
        </w:rPr>
        <w:t>Table 1: Antibacterial resistance profile of strains of interest</w:t>
      </w:r>
      <w:bookmarkEnd w:id="23"/>
      <w:bookmarkEnd w:id="24"/>
    </w:p>
    <w:tbl>
      <w:tblPr>
        <w:tblStyle w:val="MediumShading2"/>
        <w:tblW w:w="7624" w:type="dxa"/>
        <w:tblInd w:w="503" w:type="dxa"/>
        <w:tblLook w:val="0600" w:firstRow="0" w:lastRow="0" w:firstColumn="0" w:lastColumn="0" w:noHBand="1" w:noVBand="1"/>
      </w:tblPr>
      <w:tblGrid>
        <w:gridCol w:w="1444"/>
        <w:gridCol w:w="1236"/>
        <w:gridCol w:w="1236"/>
        <w:gridCol w:w="1236"/>
        <w:gridCol w:w="1236"/>
        <w:gridCol w:w="1236"/>
      </w:tblGrid>
      <w:tr w:rsidR="001A5676" w:rsidRPr="001A5676" w14:paraId="7C585370" w14:textId="77777777" w:rsidTr="004A2F47">
        <w:trPr>
          <w:trHeight w:hRule="exact" w:val="548"/>
        </w:trPr>
        <w:tc>
          <w:tcPr>
            <w:tcW w:w="1444" w:type="dxa"/>
            <w:tcBorders>
              <w:top w:val="single" w:sz="18" w:space="0" w:color="auto"/>
              <w:bottom w:val="single" w:sz="4" w:space="0" w:color="auto"/>
            </w:tcBorders>
          </w:tcPr>
          <w:p w14:paraId="3B42FFCD" w14:textId="77777777" w:rsidR="001A5676" w:rsidRPr="001A5676" w:rsidRDefault="001A5676" w:rsidP="001A5676">
            <w:pPr>
              <w:pStyle w:val="Body"/>
              <w:spacing w:after="0"/>
              <w:rPr>
                <w:rFonts w:ascii="Arial" w:eastAsia="Times New Roman" w:hAnsi="Arial" w:cs="Arial"/>
                <w:sz w:val="20"/>
                <w:szCs w:val="20"/>
                <w:lang w:val="en-US"/>
              </w:rPr>
            </w:pPr>
          </w:p>
        </w:tc>
        <w:tc>
          <w:tcPr>
            <w:tcW w:w="1236" w:type="dxa"/>
            <w:tcBorders>
              <w:top w:val="single" w:sz="18" w:space="0" w:color="auto"/>
              <w:bottom w:val="single" w:sz="4" w:space="0" w:color="auto"/>
            </w:tcBorders>
          </w:tcPr>
          <w:p w14:paraId="145C2834"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CIP</w:t>
            </w:r>
          </w:p>
        </w:tc>
        <w:tc>
          <w:tcPr>
            <w:tcW w:w="1236" w:type="dxa"/>
            <w:tcBorders>
              <w:top w:val="single" w:sz="18" w:space="0" w:color="auto"/>
              <w:bottom w:val="single" w:sz="4" w:space="0" w:color="auto"/>
            </w:tcBorders>
          </w:tcPr>
          <w:p w14:paraId="2E7F065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CEF</w:t>
            </w:r>
          </w:p>
        </w:tc>
        <w:tc>
          <w:tcPr>
            <w:tcW w:w="1236" w:type="dxa"/>
            <w:tcBorders>
              <w:top w:val="single" w:sz="18" w:space="0" w:color="auto"/>
              <w:bottom w:val="single" w:sz="4" w:space="0" w:color="auto"/>
            </w:tcBorders>
          </w:tcPr>
          <w:p w14:paraId="5A2415D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CEX</w:t>
            </w:r>
          </w:p>
        </w:tc>
        <w:tc>
          <w:tcPr>
            <w:tcW w:w="1236" w:type="dxa"/>
            <w:tcBorders>
              <w:top w:val="single" w:sz="18" w:space="0" w:color="auto"/>
              <w:bottom w:val="single" w:sz="4" w:space="0" w:color="auto"/>
            </w:tcBorders>
          </w:tcPr>
          <w:p w14:paraId="3565F2A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AZT</w:t>
            </w:r>
          </w:p>
        </w:tc>
        <w:tc>
          <w:tcPr>
            <w:tcW w:w="1236" w:type="dxa"/>
            <w:tcBorders>
              <w:top w:val="single" w:sz="18" w:space="0" w:color="auto"/>
              <w:bottom w:val="single" w:sz="4" w:space="0" w:color="auto"/>
            </w:tcBorders>
          </w:tcPr>
          <w:p w14:paraId="231BCB7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AMC</w:t>
            </w:r>
          </w:p>
        </w:tc>
      </w:tr>
      <w:tr w:rsidR="001A5676" w:rsidRPr="001A5676" w14:paraId="27125EC0" w14:textId="77777777" w:rsidTr="004A2F47">
        <w:trPr>
          <w:trHeight w:hRule="exact" w:val="340"/>
        </w:trPr>
        <w:tc>
          <w:tcPr>
            <w:tcW w:w="1444" w:type="dxa"/>
            <w:tcBorders>
              <w:top w:val="single" w:sz="4" w:space="0" w:color="auto"/>
            </w:tcBorders>
          </w:tcPr>
          <w:p w14:paraId="6385E20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EC</w:t>
            </w:r>
          </w:p>
        </w:tc>
        <w:tc>
          <w:tcPr>
            <w:tcW w:w="1236" w:type="dxa"/>
            <w:tcBorders>
              <w:top w:val="single" w:sz="4" w:space="0" w:color="auto"/>
            </w:tcBorders>
          </w:tcPr>
          <w:p w14:paraId="223D0794"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Borders>
              <w:top w:val="single" w:sz="4" w:space="0" w:color="auto"/>
            </w:tcBorders>
          </w:tcPr>
          <w:p w14:paraId="1A5874D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Borders>
              <w:top w:val="single" w:sz="4" w:space="0" w:color="auto"/>
            </w:tcBorders>
          </w:tcPr>
          <w:p w14:paraId="4E87E95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Borders>
              <w:top w:val="single" w:sz="4" w:space="0" w:color="auto"/>
            </w:tcBorders>
          </w:tcPr>
          <w:p w14:paraId="4F0EE0F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Borders>
              <w:top w:val="single" w:sz="4" w:space="0" w:color="auto"/>
            </w:tcBorders>
          </w:tcPr>
          <w:p w14:paraId="08D9D02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w:t>
            </w:r>
          </w:p>
        </w:tc>
      </w:tr>
      <w:tr w:rsidR="001A5676" w:rsidRPr="001A5676" w14:paraId="062B79CD" w14:textId="77777777" w:rsidTr="004A2F47">
        <w:trPr>
          <w:trHeight w:hRule="exact" w:val="340"/>
        </w:trPr>
        <w:tc>
          <w:tcPr>
            <w:tcW w:w="1444" w:type="dxa"/>
          </w:tcPr>
          <w:p w14:paraId="06C9C0A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EB</w:t>
            </w:r>
          </w:p>
        </w:tc>
        <w:tc>
          <w:tcPr>
            <w:tcW w:w="1236" w:type="dxa"/>
          </w:tcPr>
          <w:p w14:paraId="04F04C11"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11A2DEA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3044622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c>
          <w:tcPr>
            <w:tcW w:w="1236" w:type="dxa"/>
          </w:tcPr>
          <w:p w14:paraId="4A76D99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c>
          <w:tcPr>
            <w:tcW w:w="1236" w:type="dxa"/>
          </w:tcPr>
          <w:p w14:paraId="4C8785F9"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r>
      <w:tr w:rsidR="001A5676" w:rsidRPr="001A5676" w14:paraId="3B543C41" w14:textId="77777777" w:rsidTr="004A2F47">
        <w:trPr>
          <w:trHeight w:hRule="exact" w:val="340"/>
        </w:trPr>
        <w:tc>
          <w:tcPr>
            <w:tcW w:w="1444" w:type="dxa"/>
          </w:tcPr>
          <w:p w14:paraId="4CEC66D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SA</w:t>
            </w:r>
          </w:p>
        </w:tc>
        <w:tc>
          <w:tcPr>
            <w:tcW w:w="1236" w:type="dxa"/>
          </w:tcPr>
          <w:p w14:paraId="243331B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5B07C00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535EB85D"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c>
          <w:tcPr>
            <w:tcW w:w="1236" w:type="dxa"/>
          </w:tcPr>
          <w:p w14:paraId="73D3B03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1B1CCF95"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r>
      <w:tr w:rsidR="001A5676" w:rsidRPr="001A5676" w14:paraId="49C7AD6E" w14:textId="77777777" w:rsidTr="004A2F47">
        <w:trPr>
          <w:trHeight w:hRule="exact" w:val="340"/>
        </w:trPr>
        <w:tc>
          <w:tcPr>
            <w:tcW w:w="1444" w:type="dxa"/>
          </w:tcPr>
          <w:p w14:paraId="29985B23"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PA</w:t>
            </w:r>
          </w:p>
        </w:tc>
        <w:tc>
          <w:tcPr>
            <w:tcW w:w="1236" w:type="dxa"/>
          </w:tcPr>
          <w:p w14:paraId="54ED192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26EB5D1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2E5F065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w:t>
            </w:r>
          </w:p>
        </w:tc>
        <w:tc>
          <w:tcPr>
            <w:tcW w:w="1236" w:type="dxa"/>
          </w:tcPr>
          <w:p w14:paraId="0E83CA7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c>
          <w:tcPr>
            <w:tcW w:w="1236" w:type="dxa"/>
          </w:tcPr>
          <w:p w14:paraId="70FA34C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r>
    </w:tbl>
    <w:p w14:paraId="0C55279C" w14:textId="14A11A47" w:rsidR="001A5676" w:rsidRPr="001A5676" w:rsidRDefault="001A5676" w:rsidP="001A5676">
      <w:pPr>
        <w:pStyle w:val="Body"/>
        <w:spacing w:after="0"/>
        <w:rPr>
          <w:rFonts w:ascii="Arial" w:hAnsi="Arial" w:cs="Arial"/>
          <w:i/>
          <w:iCs/>
        </w:rPr>
      </w:pPr>
      <w:r w:rsidRPr="001A5676">
        <w:rPr>
          <w:rFonts w:ascii="Arial" w:hAnsi="Arial" w:cs="Arial"/>
          <w:i/>
          <w:iCs/>
        </w:rPr>
        <w:t xml:space="preserve">EB : </w:t>
      </w:r>
      <w:r w:rsidR="00CA16D7" w:rsidRPr="00CA16D7">
        <w:rPr>
          <w:rFonts w:ascii="Arial" w:hAnsi="Arial" w:cs="Arial"/>
          <w:i/>
          <w:iCs/>
        </w:rPr>
        <w:t>Enterobacter cloacae</w:t>
      </w:r>
      <w:r w:rsidRPr="001A5676">
        <w:rPr>
          <w:rFonts w:ascii="Arial" w:hAnsi="Arial" w:cs="Arial"/>
          <w:i/>
          <w:iCs/>
        </w:rPr>
        <w:t xml:space="preserve"> ; EC : </w:t>
      </w:r>
      <w:r w:rsidR="00BF0CCB" w:rsidRPr="00BF0CCB">
        <w:rPr>
          <w:rFonts w:ascii="Arial" w:hAnsi="Arial" w:cs="Arial"/>
          <w:i/>
          <w:iCs/>
        </w:rPr>
        <w:t>Escherichia coli</w:t>
      </w:r>
      <w:r w:rsidRPr="001A5676">
        <w:rPr>
          <w:rFonts w:ascii="Arial" w:hAnsi="Arial" w:cs="Arial"/>
          <w:i/>
          <w:iCs/>
        </w:rPr>
        <w:t xml:space="preserve"> ; SA : Staphyloccus aureus ; PA : </w:t>
      </w:r>
      <w:r w:rsidR="00CA16D7" w:rsidRPr="00CA16D7">
        <w:rPr>
          <w:rFonts w:ascii="Arial" w:hAnsi="Arial" w:cs="Arial"/>
          <w:i/>
          <w:iCs/>
        </w:rPr>
        <w:t>Pseudomonas aeruginosa</w:t>
      </w:r>
      <w:r w:rsidRPr="001A5676">
        <w:rPr>
          <w:rFonts w:ascii="Arial" w:hAnsi="Arial" w:cs="Arial"/>
          <w:i/>
          <w:iCs/>
        </w:rPr>
        <w:t xml:space="preserve"> ; CIP : Ciprofloxacin ; CEF : Ceftriaxone ; CEX : Cefixime ; AZT : Azythromycin ; AMC : Amoxicillin/Clavulanic acid ; S : Sensitive ; R : Resistant ; C : Critical</w:t>
      </w:r>
    </w:p>
    <w:p w14:paraId="39DD4C8F" w14:textId="77777777" w:rsidR="001A5676" w:rsidRPr="001A5676" w:rsidRDefault="001A5676" w:rsidP="001A5676">
      <w:pPr>
        <w:pStyle w:val="Body"/>
        <w:spacing w:after="0"/>
        <w:rPr>
          <w:rFonts w:ascii="Arial" w:hAnsi="Arial" w:cs="Arial"/>
        </w:rPr>
      </w:pPr>
    </w:p>
    <w:p w14:paraId="79CEEF53" w14:textId="7BBC960E" w:rsidR="001A5676" w:rsidRPr="001A5676" w:rsidRDefault="001A5676" w:rsidP="001A5676">
      <w:pPr>
        <w:pStyle w:val="Body"/>
        <w:spacing w:after="0"/>
        <w:rPr>
          <w:rFonts w:ascii="Arial" w:hAnsi="Arial" w:cs="Arial"/>
          <w:b/>
          <w:bCs/>
        </w:rPr>
      </w:pPr>
      <w:bookmarkStart w:id="25" w:name="_Toc126860805"/>
      <w:bookmarkStart w:id="26" w:name="_Toc137924735"/>
      <w:r w:rsidRPr="001A5676">
        <w:rPr>
          <w:rFonts w:ascii="Arial" w:hAnsi="Arial" w:cs="Arial"/>
          <w:b/>
          <w:bCs/>
        </w:rPr>
        <w:t xml:space="preserve">2.5.3.3 Determination of Minimum Inhibitory Concentration (MIC) </w:t>
      </w:r>
      <w:bookmarkEnd w:id="25"/>
      <w:r w:rsidRPr="001A5676">
        <w:rPr>
          <w:rFonts w:ascii="Arial" w:hAnsi="Arial" w:cs="Arial"/>
          <w:b/>
          <w:bCs/>
        </w:rPr>
        <w:t>by Broth Microdilution Method</w:t>
      </w:r>
      <w:bookmarkEnd w:id="26"/>
    </w:p>
    <w:p w14:paraId="12C03A24" w14:textId="3D51BE10" w:rsidR="001A5676" w:rsidRPr="001A5676" w:rsidRDefault="001A5676" w:rsidP="001A5676">
      <w:pPr>
        <w:pStyle w:val="Body"/>
        <w:spacing w:after="0"/>
        <w:rPr>
          <w:rFonts w:ascii="Arial" w:hAnsi="Arial" w:cs="Arial"/>
        </w:rPr>
      </w:pPr>
      <w:r w:rsidRPr="001A5676">
        <w:rPr>
          <w:rFonts w:ascii="Arial" w:hAnsi="Arial" w:cs="Arial"/>
        </w:rPr>
        <w:t xml:space="preserve">The protocol used was that described by Valère et al. </w:t>
      </w:r>
      <w:r w:rsidRPr="001A5676">
        <w:rPr>
          <w:rFonts w:ascii="Arial" w:hAnsi="Arial" w:cs="Arial"/>
        </w:rPr>
        <w:fldChar w:fldCharType="begin"/>
      </w:r>
      <w:r w:rsidR="00CA16D7">
        <w:rPr>
          <w:rFonts w:ascii="Arial" w:hAnsi="Arial" w:cs="Arial"/>
        </w:rPr>
        <w:instrText xml:space="preserve"> ADDIN EN.CITE &lt;EndNote&gt;&lt;Cite&gt;&lt;Author&gt;Valère&lt;/Author&gt;&lt;Year&gt;2022&lt;/Year&gt;&lt;RecNum&gt;86&lt;/RecNum&gt;&lt;DisplayText&gt;(Valère, 2022)&lt;/DisplayText&gt;&lt;record&gt;&lt;rec-number&gt;86&lt;/rec-number&gt;&lt;foreign-keys&gt;&lt;key app="EN" db-id="ppwefpzf5eefwrea9agvzetgp2s0rdew0rw0" timestamp="1777645568"&gt;86&lt;/key&gt;&lt;/foreign-keys&gt;&lt;ref-type name="Thesis"&gt;32&lt;/ref-type&gt;&lt;contributors&gt;&lt;authors&gt;&lt;author&gt;Valère, M.&lt;/author&gt;&lt;/authors&gt;&lt;/contributors&gt;&lt;titles&gt;&lt;title&gt;Evaluation in vitro de l’activité antioxydante et antibactérienne de l’écorce du tronc de canarium schweinfurthii&lt;/title&gt;&lt;/titles&gt;&lt;dates&gt;&lt;year&gt;2022&lt;/year&gt;&lt;/dates&gt;&lt;pub-location&gt;Bangangté&lt;/pub-location&gt;&lt;publisher&gt;Université des Montagnes&lt;/publisher&gt;&lt;urls&gt;&lt;/urls&gt;&lt;/record&gt;&lt;/Cite&gt;&lt;/EndNote&gt;</w:instrText>
      </w:r>
      <w:r w:rsidRPr="001A5676">
        <w:rPr>
          <w:rFonts w:ascii="Arial" w:hAnsi="Arial" w:cs="Arial"/>
        </w:rPr>
        <w:fldChar w:fldCharType="separate"/>
      </w:r>
      <w:r w:rsidR="00CA16D7">
        <w:rPr>
          <w:rFonts w:ascii="Arial" w:hAnsi="Arial" w:cs="Arial"/>
          <w:noProof/>
        </w:rPr>
        <w:t>(Valère, 2022)</w:t>
      </w:r>
      <w:r w:rsidRPr="001A5676">
        <w:rPr>
          <w:rFonts w:ascii="Arial" w:hAnsi="Arial" w:cs="Arial"/>
        </w:rPr>
        <w:fldChar w:fldCharType="end"/>
      </w:r>
      <w:r w:rsidRPr="001A5676">
        <w:rPr>
          <w:rFonts w:ascii="Arial" w:hAnsi="Arial" w:cs="Arial"/>
        </w:rPr>
        <w:t>with some minor modifications. A 1 mL volume of Mueller-Hinton broth (MHB) was introduced into a series of ten (10) tubes and maintained at 37°C for each extract. The entire set was sterilized at 121°C for 15 minutes in an autoclave. After sterilization, 400 µL of the stock solution of each extract was introduced into the tubes containing the MHB. Following the arrangement of the tubes, successive serial dilutions in a 2:1 ratio were performed. After introducing the extracts, the tubes were removed from the water bath and then tilted at a 45° angle to create a slope. Five hours later, a calibrated platinum loop was used around a Bunsen burner to aspirate a volume of 0.5 McFarland standard inoculum, which was then used to streak the slope. The tubes were then incubated at 37°C for 24 hours in an incubator [65]. The Minimum Inhibitory Concentration (MIC) of each extract was recorded as the lowest concentration that prevented bacterial growth. Antimicrobial potential was determined according to the scale provided by Kuete. [60], which stipulates that the antimicrobial potential of a plant is considered high when MIC ˂ 100 µg/ml, moderate when 100 µg/ml ≤ MIC  ≤ 625 µg/ml and low when MIC &gt; 625µg/ml.</w:t>
      </w:r>
    </w:p>
    <w:p w14:paraId="73833BA2" w14:textId="77777777" w:rsidR="001A5676" w:rsidRPr="001A5676" w:rsidRDefault="001A5676" w:rsidP="001A5676">
      <w:pPr>
        <w:pStyle w:val="Body"/>
        <w:spacing w:after="0"/>
        <w:rPr>
          <w:rFonts w:ascii="Arial" w:hAnsi="Arial" w:cs="Arial"/>
        </w:rPr>
      </w:pPr>
    </w:p>
    <w:p w14:paraId="0C93BDC6" w14:textId="547F693F" w:rsidR="001A5676" w:rsidRPr="001A5676" w:rsidRDefault="001A5676" w:rsidP="001A5676">
      <w:pPr>
        <w:pStyle w:val="Body"/>
        <w:spacing w:after="0"/>
        <w:rPr>
          <w:rFonts w:ascii="Arial" w:hAnsi="Arial" w:cs="Arial"/>
          <w:b/>
          <w:bCs/>
        </w:rPr>
      </w:pPr>
      <w:bookmarkStart w:id="27" w:name="_Toc126860807"/>
      <w:bookmarkStart w:id="28" w:name="_Toc137924736"/>
      <w:r w:rsidRPr="001A5676">
        <w:rPr>
          <w:rFonts w:ascii="Arial" w:hAnsi="Arial" w:cs="Arial"/>
          <w:b/>
          <w:bCs/>
        </w:rPr>
        <w:t>2.5.3.4 Determination of the Minimum Bactericidal Concentration (MBC)</w:t>
      </w:r>
      <w:bookmarkEnd w:id="27"/>
      <w:bookmarkEnd w:id="28"/>
    </w:p>
    <w:p w14:paraId="1AE41B97" w14:textId="5CC600AC" w:rsidR="001A5676" w:rsidRPr="001A5676" w:rsidRDefault="001A5676" w:rsidP="001A5676">
      <w:pPr>
        <w:pStyle w:val="Body"/>
        <w:spacing w:after="0"/>
        <w:rPr>
          <w:rFonts w:ascii="Arial" w:hAnsi="Arial" w:cs="Arial"/>
        </w:rPr>
      </w:pPr>
      <w:r w:rsidRPr="001A5676">
        <w:rPr>
          <w:rFonts w:ascii="Arial" w:hAnsi="Arial" w:cs="Arial"/>
        </w:rPr>
        <w:t xml:space="preserve">In tubes showing no bacterial growth, 1 mL of sterile MHB was introduced and incubated for 24 hours, after which growth was indicated by turbidity of the broth. CMB was considered to have the lowest extract concentration among tubes without turbidity </w:t>
      </w:r>
      <w:r w:rsidRPr="001A5676">
        <w:rPr>
          <w:rFonts w:ascii="Arial" w:hAnsi="Arial" w:cs="Arial"/>
        </w:rPr>
        <w:fldChar w:fldCharType="begin"/>
      </w:r>
      <w:r w:rsidR="00CA16D7">
        <w:rPr>
          <w:rFonts w:ascii="Arial" w:hAnsi="Arial" w:cs="Arial"/>
        </w:rPr>
        <w:instrText xml:space="preserve"> ADDIN EN.CITE &lt;EndNote&gt;&lt;Cite&gt;&lt;Author&gt;Valère&lt;/Author&gt;&lt;Year&gt;2022&lt;/Year&gt;&lt;RecNum&gt;86&lt;/RecNum&gt;&lt;DisplayText&gt;(Valère, 2022)&lt;/DisplayText&gt;&lt;record&gt;&lt;rec-number&gt;86&lt;/rec-number&gt;&lt;foreign-keys&gt;&lt;key app="EN" db-id="ppwefpzf5eefwrea9agvzetgp2s0rdew0rw0" timestamp="1777645568"&gt;86&lt;/key&gt;&lt;/foreign-keys&gt;&lt;ref-type name="Thesis"&gt;32&lt;/ref-type&gt;&lt;contributors&gt;&lt;authors&gt;&lt;author&gt;Valère, M.&lt;/author&gt;&lt;/authors&gt;&lt;/contributors&gt;&lt;titles&gt;&lt;title&gt;Evaluation in vitro de l’activité antioxydante et antibactérienne de l’écorce du tronc de canarium schweinfurthii&lt;/title&gt;&lt;/titles&gt;&lt;dates&gt;&lt;year&gt;2022&lt;/year&gt;&lt;/dates&gt;&lt;pub-location&gt;Bangangté&lt;/pub-location&gt;&lt;publisher&gt;Université des Montagnes&lt;/publisher&gt;&lt;urls&gt;&lt;/urls&gt;&lt;/record&gt;&lt;/Cite&gt;&lt;/EndNote&gt;</w:instrText>
      </w:r>
      <w:r w:rsidRPr="001A5676">
        <w:rPr>
          <w:rFonts w:ascii="Arial" w:hAnsi="Arial" w:cs="Arial"/>
        </w:rPr>
        <w:fldChar w:fldCharType="separate"/>
      </w:r>
      <w:r w:rsidR="00CA16D7">
        <w:rPr>
          <w:rFonts w:ascii="Arial" w:hAnsi="Arial" w:cs="Arial"/>
          <w:noProof/>
        </w:rPr>
        <w:t>(Valère, 2022)</w:t>
      </w:r>
      <w:r w:rsidRPr="001A5676">
        <w:rPr>
          <w:rFonts w:ascii="Arial" w:hAnsi="Arial" w:cs="Arial"/>
        </w:rPr>
        <w:fldChar w:fldCharType="end"/>
      </w:r>
      <w:r w:rsidRPr="001A5676">
        <w:rPr>
          <w:rFonts w:ascii="Arial" w:hAnsi="Arial" w:cs="Arial"/>
        </w:rPr>
        <w:t>.</w:t>
      </w:r>
    </w:p>
    <w:p w14:paraId="3C032E59" w14:textId="77777777" w:rsidR="001A5676" w:rsidRPr="001A5676" w:rsidRDefault="001A5676" w:rsidP="001A5676">
      <w:pPr>
        <w:pStyle w:val="Body"/>
        <w:spacing w:after="0"/>
        <w:rPr>
          <w:rFonts w:ascii="Arial" w:hAnsi="Arial" w:cs="Arial"/>
        </w:rPr>
      </w:pPr>
      <w:bookmarkStart w:id="29" w:name="_Toc126860808"/>
      <w:bookmarkStart w:id="30" w:name="_Toc137924737"/>
      <w:r w:rsidRPr="001A5676">
        <w:rPr>
          <w:rFonts w:ascii="Arial" w:hAnsi="Arial" w:cs="Arial"/>
        </w:rPr>
        <w:t>II.5.3.5 Evaluation of the CMB/CMI report</w:t>
      </w:r>
      <w:bookmarkEnd w:id="29"/>
      <w:bookmarkEnd w:id="30"/>
    </w:p>
    <w:p w14:paraId="6115D28A" w14:textId="4101B5BB" w:rsidR="001A5676" w:rsidRDefault="001A5676" w:rsidP="001A5676">
      <w:pPr>
        <w:pStyle w:val="Body"/>
        <w:spacing w:after="0"/>
        <w:rPr>
          <w:rFonts w:ascii="Arial" w:hAnsi="Arial" w:cs="Arial"/>
        </w:rPr>
      </w:pPr>
      <w:r w:rsidRPr="001A5676">
        <w:rPr>
          <w:rFonts w:ascii="Arial" w:hAnsi="Arial" w:cs="Arial"/>
        </w:rPr>
        <w:t xml:space="preserve">The CMB/CMI ratio has been used to define the bacteriostatic or bactericidal properties of a substance. A ratio greater than or equal to 4 indicates that the substance is bacteriostatic; if this ratio is less than 4, the substance is said to be bactericidal. If it is equal to 1, then it is said to be "absolutely bactericidal" </w:t>
      </w:r>
      <w:r w:rsidRPr="001A5676">
        <w:rPr>
          <w:rFonts w:ascii="Arial" w:hAnsi="Arial" w:cs="Arial"/>
        </w:rPr>
        <w:fldChar w:fldCharType="begin"/>
      </w:r>
      <w:r w:rsidR="00CA16D7">
        <w:rPr>
          <w:rFonts w:ascii="Arial" w:hAnsi="Arial" w:cs="Arial"/>
        </w:rPr>
        <w:instrText xml:space="preserve"> ADDIN EN.CITE &lt;EndNote&gt;&lt;Cite&gt;&lt;Author&gt;Djeussi&lt;/Author&gt;&lt;Year&gt;2013&lt;/Year&gt;&lt;RecNum&gt;78&lt;/RecNum&gt;&lt;DisplayText&gt;(Djeussi et al., 2013)&lt;/DisplayText&gt;&lt;record&gt;&lt;rec-number&gt;78&lt;/rec-number&gt;&lt;foreign-keys&gt;&lt;key app="EN" db-id="xd20ava0ss0z06e9fzmxda9qwp2twsza5092" timestamp="1774872772"&gt;78&lt;/key&gt;&lt;/foreign-keys&gt;&lt;ref-type name="Journal Article"&gt;17&lt;/ref-type&gt;&lt;contributors&gt;&lt;authors&gt;&lt;author&gt;Djeussi, D. E.&lt;/author&gt;&lt;author&gt;Noumedem, J. A.&lt;/author&gt;&lt;author&gt;Seukep, J. A.&lt;/author&gt;&lt;author&gt;Fankam, A. G.&lt;/author&gt;&lt;author&gt;Voukeng, I. K.&lt;/author&gt;&lt;author&gt;Tankeo, S. B.&lt;/author&gt;&lt;author&gt;Nkuete, A. H. L.&lt;/author&gt;&lt;author&gt;Kuete, V.&lt;/author&gt;&lt;/authors&gt;&lt;/contributors&gt;&lt;titles&gt;&lt;title&gt;Antibacterial activities of selected edible plants extracts against multi-drug resistant Gram-negative bacteria&lt;/title&gt;&lt;secondary-title&gt;BMC Complementary and Alternative Medicine&lt;/secondary-title&gt;&lt;/titles&gt;&lt;periodical&gt;&lt;full-title&gt;BMC Complementary and Alternative Medicine&lt;/full-title&gt;&lt;/periodical&gt;&lt;pages&gt;164&lt;/pages&gt;&lt;volume&gt;13&lt;/volume&gt;&lt;number&gt;1&lt;/number&gt;&lt;dates&gt;&lt;year&gt;2013&lt;/year&gt;&lt;/dates&gt;&lt;isbn&gt;1472-6882&lt;/isbn&gt;&lt;urls&gt;&lt;related-urls&gt;&lt;url&gt;https://doi.org/10.1186/1472-6882-13-164&lt;/url&gt;&lt;/related-urls&gt;&lt;/urls&gt;&lt;/record&gt;&lt;/Cite&gt;&lt;/EndNote&gt;</w:instrText>
      </w:r>
      <w:r w:rsidRPr="001A5676">
        <w:rPr>
          <w:rFonts w:ascii="Arial" w:hAnsi="Arial" w:cs="Arial"/>
        </w:rPr>
        <w:fldChar w:fldCharType="separate"/>
      </w:r>
      <w:r w:rsidR="00CA16D7">
        <w:rPr>
          <w:rFonts w:ascii="Arial" w:hAnsi="Arial" w:cs="Arial"/>
          <w:noProof/>
        </w:rPr>
        <w:t>(Djeussi et al., 2013)</w:t>
      </w:r>
      <w:r w:rsidRPr="001A5676">
        <w:rPr>
          <w:rFonts w:ascii="Arial" w:hAnsi="Arial" w:cs="Arial"/>
        </w:rPr>
        <w:fldChar w:fldCharType="end"/>
      </w:r>
      <w:r w:rsidRPr="001A5676">
        <w:rPr>
          <w:rFonts w:ascii="Arial" w:hAnsi="Arial" w:cs="Arial"/>
        </w:rPr>
        <w:t>.</w:t>
      </w:r>
    </w:p>
    <w:p w14:paraId="30A3E09B" w14:textId="77777777" w:rsidR="001A5676" w:rsidRPr="001A5676" w:rsidRDefault="001A5676" w:rsidP="001A5676">
      <w:pPr>
        <w:pStyle w:val="Body"/>
        <w:spacing w:after="0"/>
        <w:rPr>
          <w:rFonts w:ascii="Arial" w:hAnsi="Arial" w:cs="Arial"/>
        </w:rPr>
      </w:pPr>
    </w:p>
    <w:p w14:paraId="1D3AD98B" w14:textId="61C39E56" w:rsidR="001A5676" w:rsidRDefault="001A5676" w:rsidP="001A5676">
      <w:pPr>
        <w:pStyle w:val="Body"/>
        <w:spacing w:after="0"/>
        <w:rPr>
          <w:rFonts w:ascii="Arial" w:hAnsi="Arial" w:cs="Arial"/>
          <w:b/>
          <w:bCs/>
        </w:rPr>
      </w:pPr>
      <w:bookmarkStart w:id="31" w:name="_Toc137924738"/>
      <w:r w:rsidRPr="001A5676">
        <w:rPr>
          <w:rFonts w:ascii="Arial" w:hAnsi="Arial" w:cs="Arial"/>
          <w:b/>
          <w:bCs/>
        </w:rPr>
        <w:t>2.5.4 Statistical Analysis of Data</w:t>
      </w:r>
      <w:bookmarkEnd w:id="31"/>
      <w:r w:rsidRPr="001A5676">
        <w:rPr>
          <w:rFonts w:ascii="Arial" w:hAnsi="Arial" w:cs="Arial"/>
          <w:b/>
          <w:bCs/>
        </w:rPr>
        <w:t xml:space="preserve"> </w:t>
      </w:r>
    </w:p>
    <w:p w14:paraId="6BCE5699" w14:textId="77777777" w:rsidR="001A5676" w:rsidRPr="001A5676" w:rsidRDefault="001A5676" w:rsidP="001A5676">
      <w:pPr>
        <w:pStyle w:val="Body"/>
        <w:spacing w:after="0"/>
        <w:rPr>
          <w:rFonts w:ascii="Arial" w:hAnsi="Arial" w:cs="Arial"/>
          <w:b/>
          <w:bCs/>
        </w:rPr>
      </w:pPr>
    </w:p>
    <w:p w14:paraId="75B86210" w14:textId="77777777" w:rsidR="001A5676" w:rsidRPr="001A5676" w:rsidRDefault="001A5676" w:rsidP="001A5676">
      <w:pPr>
        <w:pStyle w:val="Body"/>
        <w:spacing w:after="0"/>
        <w:rPr>
          <w:rFonts w:ascii="Arial" w:hAnsi="Arial" w:cs="Arial"/>
        </w:rPr>
      </w:pPr>
      <w:r w:rsidRPr="001A5676">
        <w:rPr>
          <w:rFonts w:ascii="Arial" w:hAnsi="Arial" w:cs="Arial"/>
        </w:rPr>
        <w:t xml:space="preserve">Data were analyzed using SPSS 22 for Windows (SPSS, Inc., Chicago, IL, USA). One-way ANOVA was used to compare the means of more than two groups. Subsequently, Duncan's post-hoc test was used for pairwise comparisons. Analysis of the experimental design data </w:t>
      </w:r>
      <w:r w:rsidRPr="001A5676">
        <w:rPr>
          <w:rFonts w:ascii="Arial" w:hAnsi="Arial" w:cs="Arial"/>
        </w:rPr>
        <w:lastRenderedPageBreak/>
        <w:t>was performed using Mintab 19 Centurion software, version 17.1.8. The significance level was set at p &lt; 0.05.</w:t>
      </w:r>
    </w:p>
    <w:p w14:paraId="1AF48907" w14:textId="77777777" w:rsidR="00790ADA" w:rsidRPr="00502516" w:rsidRDefault="00790ADA" w:rsidP="00441B6F">
      <w:pPr>
        <w:pStyle w:val="Body"/>
        <w:spacing w:after="0"/>
        <w:rPr>
          <w:rFonts w:ascii="Arial" w:hAnsi="Arial" w:cs="Arial"/>
        </w:rPr>
      </w:pPr>
    </w:p>
    <w:p w14:paraId="0DD1911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BB7D7DA" w14:textId="77777777" w:rsidR="00790ADA" w:rsidRPr="00FB3A86" w:rsidRDefault="00790ADA" w:rsidP="00441B6F">
      <w:pPr>
        <w:pStyle w:val="Head1"/>
        <w:spacing w:after="0"/>
        <w:jc w:val="both"/>
        <w:rPr>
          <w:rFonts w:ascii="Arial" w:hAnsi="Arial" w:cs="Arial"/>
        </w:rPr>
      </w:pPr>
    </w:p>
    <w:p w14:paraId="427C8B2B" w14:textId="72A971CE" w:rsidR="001A5676" w:rsidRPr="001A5676" w:rsidRDefault="001A5676" w:rsidP="001A5676">
      <w:pPr>
        <w:pStyle w:val="Body"/>
        <w:spacing w:after="0"/>
        <w:rPr>
          <w:rFonts w:ascii="Arial" w:hAnsi="Arial" w:cs="Arial"/>
          <w:b/>
          <w:bCs/>
        </w:rPr>
      </w:pPr>
      <w:bookmarkStart w:id="32" w:name="_Toc136377198"/>
      <w:bookmarkStart w:id="33" w:name="_Toc137924740"/>
      <w:r w:rsidRPr="001A5676">
        <w:rPr>
          <w:rFonts w:ascii="Arial" w:hAnsi="Arial" w:cs="Arial"/>
          <w:b/>
          <w:bCs/>
        </w:rPr>
        <w:t>3.1 Extraction Yield</w:t>
      </w:r>
      <w:bookmarkEnd w:id="32"/>
      <w:bookmarkEnd w:id="33"/>
    </w:p>
    <w:p w14:paraId="3EF3D9E5" w14:textId="77777777" w:rsidR="001A5676" w:rsidRPr="001A5676" w:rsidRDefault="001A5676" w:rsidP="001A5676">
      <w:pPr>
        <w:pStyle w:val="Body"/>
        <w:spacing w:after="0"/>
        <w:rPr>
          <w:rFonts w:ascii="Arial" w:hAnsi="Arial" w:cs="Arial"/>
        </w:rPr>
      </w:pPr>
      <w:r w:rsidRPr="001A5676">
        <w:rPr>
          <w:rFonts w:ascii="Arial" w:hAnsi="Arial" w:cs="Arial"/>
        </w:rPr>
        <w:t>The yields and characteristics of the different extracts obtained are recorded in Table 2.</w:t>
      </w:r>
    </w:p>
    <w:p w14:paraId="2BFB07E6" w14:textId="780DC1BC" w:rsidR="001A5676" w:rsidRPr="001A5676" w:rsidRDefault="001A5676" w:rsidP="001A5676">
      <w:pPr>
        <w:pStyle w:val="Body"/>
        <w:spacing w:after="0"/>
        <w:rPr>
          <w:rFonts w:ascii="Arial" w:hAnsi="Arial" w:cs="Arial"/>
        </w:rPr>
      </w:pPr>
      <w:bookmarkStart w:id="34" w:name="_Toc137921294"/>
      <w:bookmarkStart w:id="35" w:name="_Toc137923797"/>
      <w:r w:rsidRPr="001A5676">
        <w:rPr>
          <w:rFonts w:ascii="Arial" w:hAnsi="Arial" w:cs="Arial"/>
        </w:rPr>
        <w:t xml:space="preserve">Table 2: Extraction yields </w:t>
      </w:r>
      <w:bookmarkEnd w:id="34"/>
      <w:bookmarkEnd w:id="35"/>
      <w:r w:rsidRPr="001A5676">
        <w:rPr>
          <w:rFonts w:ascii="Arial" w:hAnsi="Arial" w:cs="Arial"/>
        </w:rPr>
        <w:t xml:space="preserve">of </w:t>
      </w:r>
      <w:r w:rsidR="00CA16D7" w:rsidRPr="00CA16D7">
        <w:rPr>
          <w:rFonts w:ascii="Arial" w:hAnsi="Arial" w:cs="Arial"/>
          <w:i/>
          <w:iCs/>
        </w:rPr>
        <w:t xml:space="preserve">Garcinia mangostana </w:t>
      </w:r>
      <w:r w:rsidRPr="001A5676">
        <w:rPr>
          <w:rFonts w:ascii="Arial" w:hAnsi="Arial" w:cs="Arial"/>
        </w:rPr>
        <w:t xml:space="preserve"> L.</w:t>
      </w:r>
    </w:p>
    <w:tbl>
      <w:tblPr>
        <w:tblW w:w="9198" w:type="dxa"/>
        <w:tblBorders>
          <w:top w:val="single" w:sz="4" w:space="0" w:color="auto"/>
          <w:bottom w:val="single" w:sz="4" w:space="0" w:color="auto"/>
        </w:tblBorders>
        <w:tblLook w:val="04A0" w:firstRow="1" w:lastRow="0" w:firstColumn="1" w:lastColumn="0" w:noHBand="0" w:noVBand="1"/>
      </w:tblPr>
      <w:tblGrid>
        <w:gridCol w:w="1098"/>
        <w:gridCol w:w="1890"/>
        <w:gridCol w:w="1515"/>
        <w:gridCol w:w="1455"/>
        <w:gridCol w:w="3240"/>
      </w:tblGrid>
      <w:tr w:rsidR="001A5676" w:rsidRPr="001A5676" w14:paraId="5B414286" w14:textId="77777777" w:rsidTr="004A2F47">
        <w:tc>
          <w:tcPr>
            <w:tcW w:w="1098" w:type="dxa"/>
            <w:tcBorders>
              <w:top w:val="single" w:sz="4" w:space="0" w:color="auto"/>
              <w:bottom w:val="single" w:sz="4" w:space="0" w:color="auto"/>
            </w:tcBorders>
          </w:tcPr>
          <w:p w14:paraId="586AD6FF" w14:textId="77777777" w:rsidR="001A5676" w:rsidRPr="001A5676" w:rsidRDefault="001A5676" w:rsidP="001A5676">
            <w:pPr>
              <w:pStyle w:val="Body"/>
              <w:spacing w:after="0"/>
              <w:rPr>
                <w:rFonts w:ascii="Arial" w:hAnsi="Arial" w:cs="Arial"/>
              </w:rPr>
            </w:pPr>
            <w:r w:rsidRPr="001A5676">
              <w:rPr>
                <w:rFonts w:ascii="Arial" w:hAnsi="Arial" w:cs="Arial"/>
              </w:rPr>
              <w:t>Extracts</w:t>
            </w:r>
          </w:p>
        </w:tc>
        <w:tc>
          <w:tcPr>
            <w:tcW w:w="1890" w:type="dxa"/>
            <w:tcBorders>
              <w:top w:val="single" w:sz="4" w:space="0" w:color="auto"/>
              <w:bottom w:val="single" w:sz="4" w:space="0" w:color="auto"/>
            </w:tcBorders>
          </w:tcPr>
          <w:p w14:paraId="15C6E9AD" w14:textId="77777777" w:rsidR="001A5676" w:rsidRPr="001A5676" w:rsidRDefault="001A5676" w:rsidP="001A5676">
            <w:pPr>
              <w:pStyle w:val="Body"/>
              <w:spacing w:after="0"/>
              <w:rPr>
                <w:rFonts w:ascii="Arial" w:hAnsi="Arial" w:cs="Arial"/>
              </w:rPr>
            </w:pPr>
            <w:r w:rsidRPr="001A5676">
              <w:rPr>
                <w:rFonts w:ascii="Arial" w:hAnsi="Arial" w:cs="Arial"/>
              </w:rPr>
              <w:t>Initial masses</w:t>
            </w:r>
          </w:p>
          <w:p w14:paraId="0AFF610D" w14:textId="77777777" w:rsidR="001A5676" w:rsidRPr="001A5676" w:rsidRDefault="001A5676" w:rsidP="001A5676">
            <w:pPr>
              <w:pStyle w:val="Body"/>
              <w:spacing w:after="0"/>
              <w:rPr>
                <w:rFonts w:ascii="Arial" w:hAnsi="Arial" w:cs="Arial"/>
              </w:rPr>
            </w:pPr>
            <w:r w:rsidRPr="001A5676">
              <w:rPr>
                <w:rFonts w:ascii="Arial" w:hAnsi="Arial" w:cs="Arial"/>
              </w:rPr>
              <w:t>Powders (g)</w:t>
            </w:r>
          </w:p>
        </w:tc>
        <w:tc>
          <w:tcPr>
            <w:tcW w:w="1515" w:type="dxa"/>
            <w:tcBorders>
              <w:top w:val="single" w:sz="4" w:space="0" w:color="auto"/>
              <w:bottom w:val="single" w:sz="4" w:space="0" w:color="auto"/>
            </w:tcBorders>
          </w:tcPr>
          <w:p w14:paraId="023AE2FA" w14:textId="77777777" w:rsidR="001A5676" w:rsidRPr="001A5676" w:rsidRDefault="001A5676" w:rsidP="001A5676">
            <w:pPr>
              <w:pStyle w:val="Body"/>
              <w:spacing w:after="0"/>
              <w:rPr>
                <w:rFonts w:ascii="Arial" w:hAnsi="Arial" w:cs="Arial"/>
              </w:rPr>
            </w:pPr>
            <w:r w:rsidRPr="001A5676">
              <w:rPr>
                <w:rFonts w:ascii="Arial" w:hAnsi="Arial" w:cs="Arial"/>
              </w:rPr>
              <w:t>Mass of extracts (g)</w:t>
            </w:r>
          </w:p>
        </w:tc>
        <w:tc>
          <w:tcPr>
            <w:tcW w:w="1455" w:type="dxa"/>
            <w:tcBorders>
              <w:top w:val="single" w:sz="4" w:space="0" w:color="auto"/>
              <w:bottom w:val="single" w:sz="4" w:space="0" w:color="auto"/>
            </w:tcBorders>
          </w:tcPr>
          <w:p w14:paraId="28224D97" w14:textId="77777777" w:rsidR="001A5676" w:rsidRPr="001A5676" w:rsidRDefault="001A5676" w:rsidP="001A5676">
            <w:pPr>
              <w:pStyle w:val="Body"/>
              <w:spacing w:after="0"/>
              <w:rPr>
                <w:rFonts w:ascii="Arial" w:hAnsi="Arial" w:cs="Arial"/>
              </w:rPr>
            </w:pPr>
            <w:r w:rsidRPr="001A5676">
              <w:rPr>
                <w:rFonts w:ascii="Arial" w:hAnsi="Arial" w:cs="Arial"/>
              </w:rPr>
              <w:t>Yields (%)</w:t>
            </w:r>
          </w:p>
        </w:tc>
        <w:tc>
          <w:tcPr>
            <w:tcW w:w="3240" w:type="dxa"/>
            <w:tcBorders>
              <w:top w:val="single" w:sz="4" w:space="0" w:color="auto"/>
              <w:bottom w:val="single" w:sz="4" w:space="0" w:color="auto"/>
            </w:tcBorders>
          </w:tcPr>
          <w:p w14:paraId="4707593F" w14:textId="77777777" w:rsidR="001A5676" w:rsidRPr="001A5676" w:rsidRDefault="001A5676" w:rsidP="001A5676">
            <w:pPr>
              <w:pStyle w:val="Body"/>
              <w:spacing w:after="0"/>
              <w:rPr>
                <w:rFonts w:ascii="Arial" w:hAnsi="Arial" w:cs="Arial"/>
              </w:rPr>
            </w:pPr>
            <w:r w:rsidRPr="001A5676">
              <w:rPr>
                <w:rFonts w:ascii="Arial" w:hAnsi="Arial" w:cs="Arial"/>
              </w:rPr>
              <w:t>Features</w:t>
            </w:r>
          </w:p>
          <w:p w14:paraId="7FF7A9FD" w14:textId="77777777" w:rsidR="001A5676" w:rsidRPr="001A5676" w:rsidRDefault="001A5676" w:rsidP="001A5676">
            <w:pPr>
              <w:pStyle w:val="Body"/>
              <w:spacing w:after="0"/>
              <w:rPr>
                <w:rFonts w:ascii="Arial" w:hAnsi="Arial" w:cs="Arial"/>
              </w:rPr>
            </w:pPr>
            <w:r w:rsidRPr="001A5676">
              <w:rPr>
                <w:rFonts w:ascii="Arial" w:hAnsi="Arial" w:cs="Arial"/>
              </w:rPr>
              <w:t>Organoleptic characteristics</w:t>
            </w:r>
          </w:p>
        </w:tc>
      </w:tr>
      <w:tr w:rsidR="001A5676" w:rsidRPr="001A5676" w14:paraId="53366534" w14:textId="77777777" w:rsidTr="004A2F47">
        <w:tc>
          <w:tcPr>
            <w:tcW w:w="1098" w:type="dxa"/>
            <w:tcBorders>
              <w:top w:val="single" w:sz="4" w:space="0" w:color="auto"/>
            </w:tcBorders>
          </w:tcPr>
          <w:p w14:paraId="71A1F302" w14:textId="77777777" w:rsidR="001A5676" w:rsidRPr="001A5676" w:rsidRDefault="001A5676" w:rsidP="001A5676">
            <w:pPr>
              <w:pStyle w:val="Body"/>
              <w:spacing w:after="0"/>
              <w:rPr>
                <w:rFonts w:ascii="Arial" w:hAnsi="Arial" w:cs="Arial"/>
              </w:rPr>
            </w:pPr>
            <w:r w:rsidRPr="001A5676">
              <w:rPr>
                <w:rFonts w:ascii="Arial" w:hAnsi="Arial" w:cs="Arial"/>
              </w:rPr>
              <w:t>DAq</w:t>
            </w:r>
          </w:p>
        </w:tc>
        <w:tc>
          <w:tcPr>
            <w:tcW w:w="1890" w:type="dxa"/>
            <w:tcBorders>
              <w:top w:val="single" w:sz="4" w:space="0" w:color="auto"/>
            </w:tcBorders>
          </w:tcPr>
          <w:p w14:paraId="6CF475E1" w14:textId="77777777" w:rsidR="001A5676" w:rsidRPr="001A5676" w:rsidRDefault="001A5676" w:rsidP="001A5676">
            <w:pPr>
              <w:pStyle w:val="Body"/>
              <w:spacing w:after="0"/>
              <w:rPr>
                <w:rFonts w:ascii="Arial" w:hAnsi="Arial" w:cs="Arial"/>
              </w:rPr>
            </w:pPr>
            <w:r w:rsidRPr="001A5676">
              <w:rPr>
                <w:rFonts w:ascii="Arial" w:hAnsi="Arial" w:cs="Arial"/>
              </w:rPr>
              <w:t>100</w:t>
            </w:r>
          </w:p>
        </w:tc>
        <w:tc>
          <w:tcPr>
            <w:tcW w:w="1515" w:type="dxa"/>
            <w:tcBorders>
              <w:top w:val="single" w:sz="4" w:space="0" w:color="auto"/>
            </w:tcBorders>
          </w:tcPr>
          <w:p w14:paraId="795B3724" w14:textId="77777777" w:rsidR="001A5676" w:rsidRPr="001A5676" w:rsidRDefault="001A5676" w:rsidP="001A5676">
            <w:pPr>
              <w:pStyle w:val="Body"/>
              <w:spacing w:after="0"/>
              <w:rPr>
                <w:rFonts w:ascii="Arial" w:hAnsi="Arial" w:cs="Arial"/>
              </w:rPr>
            </w:pPr>
            <w:r w:rsidRPr="001A5676">
              <w:rPr>
                <w:rFonts w:ascii="Arial" w:hAnsi="Arial" w:cs="Arial"/>
              </w:rPr>
              <w:t>1.40</w:t>
            </w:r>
          </w:p>
        </w:tc>
        <w:tc>
          <w:tcPr>
            <w:tcW w:w="1455" w:type="dxa"/>
            <w:tcBorders>
              <w:top w:val="single" w:sz="4" w:space="0" w:color="auto"/>
            </w:tcBorders>
          </w:tcPr>
          <w:p w14:paraId="3B5F4A67" w14:textId="77777777" w:rsidR="001A5676" w:rsidRPr="001A5676" w:rsidRDefault="001A5676" w:rsidP="001A5676">
            <w:pPr>
              <w:pStyle w:val="Body"/>
              <w:spacing w:after="0"/>
              <w:rPr>
                <w:rFonts w:ascii="Arial" w:hAnsi="Arial" w:cs="Arial"/>
              </w:rPr>
            </w:pPr>
            <w:r w:rsidRPr="001A5676">
              <w:rPr>
                <w:rFonts w:ascii="Arial" w:hAnsi="Arial" w:cs="Arial"/>
              </w:rPr>
              <w:t>1.40</w:t>
            </w:r>
          </w:p>
        </w:tc>
        <w:tc>
          <w:tcPr>
            <w:tcW w:w="3240" w:type="dxa"/>
            <w:tcBorders>
              <w:top w:val="single" w:sz="4" w:space="0" w:color="auto"/>
            </w:tcBorders>
          </w:tcPr>
          <w:p w14:paraId="51B621AA" w14:textId="77777777" w:rsidR="001A5676" w:rsidRPr="001A5676" w:rsidRDefault="001A5676" w:rsidP="001A5676">
            <w:pPr>
              <w:pStyle w:val="Body"/>
              <w:spacing w:after="0"/>
              <w:rPr>
                <w:rFonts w:ascii="Arial" w:hAnsi="Arial" w:cs="Arial"/>
              </w:rPr>
            </w:pPr>
            <w:r w:rsidRPr="001A5676">
              <w:rPr>
                <w:rFonts w:ascii="Arial" w:hAnsi="Arial" w:cs="Arial"/>
              </w:rPr>
              <w:t>Chestnut in the form of chips</w:t>
            </w:r>
          </w:p>
        </w:tc>
      </w:tr>
      <w:tr w:rsidR="001A5676" w:rsidRPr="001A5676" w14:paraId="7064A1A9" w14:textId="77777777" w:rsidTr="004A2F47">
        <w:tc>
          <w:tcPr>
            <w:tcW w:w="1098" w:type="dxa"/>
          </w:tcPr>
          <w:p w14:paraId="68D54BB0" w14:textId="77777777" w:rsidR="001A5676" w:rsidRPr="001A5676" w:rsidRDefault="001A5676" w:rsidP="001A5676">
            <w:pPr>
              <w:pStyle w:val="Body"/>
              <w:spacing w:after="0"/>
              <w:rPr>
                <w:rFonts w:ascii="Arial" w:hAnsi="Arial" w:cs="Arial"/>
              </w:rPr>
            </w:pPr>
            <w:r w:rsidRPr="001A5676">
              <w:rPr>
                <w:rFonts w:ascii="Arial" w:hAnsi="Arial" w:cs="Arial"/>
              </w:rPr>
              <w:t>MHe</w:t>
            </w:r>
          </w:p>
        </w:tc>
        <w:tc>
          <w:tcPr>
            <w:tcW w:w="1890" w:type="dxa"/>
          </w:tcPr>
          <w:p w14:paraId="59C589EF" w14:textId="77777777" w:rsidR="001A5676" w:rsidRPr="001A5676" w:rsidRDefault="001A5676" w:rsidP="001A5676">
            <w:pPr>
              <w:pStyle w:val="Body"/>
              <w:spacing w:after="0"/>
              <w:rPr>
                <w:rFonts w:ascii="Arial" w:hAnsi="Arial" w:cs="Arial"/>
              </w:rPr>
            </w:pPr>
            <w:r w:rsidRPr="001A5676">
              <w:rPr>
                <w:rFonts w:ascii="Arial" w:hAnsi="Arial" w:cs="Arial"/>
              </w:rPr>
              <w:t>100</w:t>
            </w:r>
          </w:p>
        </w:tc>
        <w:tc>
          <w:tcPr>
            <w:tcW w:w="1515" w:type="dxa"/>
          </w:tcPr>
          <w:p w14:paraId="0A497E5A" w14:textId="77777777" w:rsidR="001A5676" w:rsidRPr="001A5676" w:rsidRDefault="001A5676" w:rsidP="001A5676">
            <w:pPr>
              <w:pStyle w:val="Body"/>
              <w:spacing w:after="0"/>
              <w:rPr>
                <w:rFonts w:ascii="Arial" w:hAnsi="Arial" w:cs="Arial"/>
              </w:rPr>
            </w:pPr>
            <w:r w:rsidRPr="001A5676">
              <w:rPr>
                <w:rFonts w:ascii="Arial" w:hAnsi="Arial" w:cs="Arial"/>
              </w:rPr>
              <w:t>2.76</w:t>
            </w:r>
          </w:p>
        </w:tc>
        <w:tc>
          <w:tcPr>
            <w:tcW w:w="1455" w:type="dxa"/>
          </w:tcPr>
          <w:p w14:paraId="40810515" w14:textId="77777777" w:rsidR="001A5676" w:rsidRPr="001A5676" w:rsidRDefault="001A5676" w:rsidP="001A5676">
            <w:pPr>
              <w:pStyle w:val="Body"/>
              <w:spacing w:after="0"/>
              <w:rPr>
                <w:rFonts w:ascii="Arial" w:hAnsi="Arial" w:cs="Arial"/>
              </w:rPr>
            </w:pPr>
            <w:r w:rsidRPr="001A5676">
              <w:rPr>
                <w:rFonts w:ascii="Arial" w:hAnsi="Arial" w:cs="Arial"/>
              </w:rPr>
              <w:t>2.76</w:t>
            </w:r>
          </w:p>
        </w:tc>
        <w:tc>
          <w:tcPr>
            <w:tcW w:w="3240" w:type="dxa"/>
          </w:tcPr>
          <w:p w14:paraId="30ACCDEC" w14:textId="77777777" w:rsidR="001A5676" w:rsidRPr="001A5676" w:rsidRDefault="001A5676" w:rsidP="001A5676">
            <w:pPr>
              <w:pStyle w:val="Body"/>
              <w:spacing w:after="0"/>
              <w:rPr>
                <w:rFonts w:ascii="Arial" w:hAnsi="Arial" w:cs="Arial"/>
              </w:rPr>
            </w:pPr>
            <w:r w:rsidRPr="001A5676">
              <w:rPr>
                <w:rFonts w:ascii="Arial" w:hAnsi="Arial" w:cs="Arial"/>
              </w:rPr>
              <w:t>Chestnut in chip form</w:t>
            </w:r>
          </w:p>
        </w:tc>
      </w:tr>
      <w:tr w:rsidR="001A5676" w:rsidRPr="001A5676" w14:paraId="2EFE2F3C" w14:textId="77777777" w:rsidTr="004A2F47">
        <w:tc>
          <w:tcPr>
            <w:tcW w:w="1098" w:type="dxa"/>
          </w:tcPr>
          <w:p w14:paraId="5F9AC2CF" w14:textId="77777777" w:rsidR="001A5676" w:rsidRPr="001A5676" w:rsidRDefault="001A5676" w:rsidP="001A5676">
            <w:pPr>
              <w:pStyle w:val="Body"/>
              <w:spacing w:after="0"/>
              <w:rPr>
                <w:rFonts w:ascii="Arial" w:hAnsi="Arial" w:cs="Arial"/>
              </w:rPr>
            </w:pPr>
            <w:r w:rsidRPr="001A5676">
              <w:rPr>
                <w:rFonts w:ascii="Arial" w:hAnsi="Arial" w:cs="Arial"/>
              </w:rPr>
              <w:t>MAq</w:t>
            </w:r>
          </w:p>
        </w:tc>
        <w:tc>
          <w:tcPr>
            <w:tcW w:w="1890" w:type="dxa"/>
          </w:tcPr>
          <w:p w14:paraId="4F306720" w14:textId="77777777" w:rsidR="001A5676" w:rsidRPr="001A5676" w:rsidRDefault="001A5676" w:rsidP="001A5676">
            <w:pPr>
              <w:pStyle w:val="Body"/>
              <w:spacing w:after="0"/>
              <w:rPr>
                <w:rFonts w:ascii="Arial" w:hAnsi="Arial" w:cs="Arial"/>
              </w:rPr>
            </w:pPr>
            <w:r w:rsidRPr="001A5676">
              <w:rPr>
                <w:rFonts w:ascii="Arial" w:hAnsi="Arial" w:cs="Arial"/>
              </w:rPr>
              <w:t>100</w:t>
            </w:r>
          </w:p>
        </w:tc>
        <w:tc>
          <w:tcPr>
            <w:tcW w:w="1515" w:type="dxa"/>
          </w:tcPr>
          <w:p w14:paraId="0EF10DFF" w14:textId="77777777" w:rsidR="001A5676" w:rsidRPr="001A5676" w:rsidRDefault="001A5676" w:rsidP="001A5676">
            <w:pPr>
              <w:pStyle w:val="Body"/>
              <w:spacing w:after="0"/>
              <w:rPr>
                <w:rFonts w:ascii="Arial" w:hAnsi="Arial" w:cs="Arial"/>
              </w:rPr>
            </w:pPr>
            <w:r w:rsidRPr="001A5676">
              <w:rPr>
                <w:rFonts w:ascii="Arial" w:hAnsi="Arial" w:cs="Arial"/>
              </w:rPr>
              <w:t>1</w:t>
            </w:r>
          </w:p>
        </w:tc>
        <w:tc>
          <w:tcPr>
            <w:tcW w:w="1455" w:type="dxa"/>
          </w:tcPr>
          <w:p w14:paraId="50B29B2B" w14:textId="77777777" w:rsidR="001A5676" w:rsidRPr="001A5676" w:rsidRDefault="001A5676" w:rsidP="001A5676">
            <w:pPr>
              <w:pStyle w:val="Body"/>
              <w:spacing w:after="0"/>
              <w:rPr>
                <w:rFonts w:ascii="Arial" w:hAnsi="Arial" w:cs="Arial"/>
              </w:rPr>
            </w:pPr>
            <w:r w:rsidRPr="001A5676">
              <w:rPr>
                <w:rFonts w:ascii="Arial" w:hAnsi="Arial" w:cs="Arial"/>
              </w:rPr>
              <w:t>1</w:t>
            </w:r>
          </w:p>
        </w:tc>
        <w:tc>
          <w:tcPr>
            <w:tcW w:w="3240" w:type="dxa"/>
          </w:tcPr>
          <w:p w14:paraId="6EF7AEEA" w14:textId="77777777" w:rsidR="001A5676" w:rsidRPr="001A5676" w:rsidRDefault="001A5676" w:rsidP="001A5676">
            <w:pPr>
              <w:pStyle w:val="Body"/>
              <w:spacing w:after="0"/>
              <w:rPr>
                <w:rFonts w:ascii="Arial" w:hAnsi="Arial" w:cs="Arial"/>
              </w:rPr>
            </w:pPr>
            <w:r w:rsidRPr="001A5676">
              <w:rPr>
                <w:rFonts w:ascii="Arial" w:hAnsi="Arial" w:cs="Arial"/>
              </w:rPr>
              <w:t>Brown, sticky, pasty</w:t>
            </w:r>
          </w:p>
        </w:tc>
      </w:tr>
    </w:tbl>
    <w:p w14:paraId="6866DDBF" w14:textId="77777777" w:rsidR="001A5676" w:rsidRPr="001A5676" w:rsidRDefault="001A5676" w:rsidP="001A5676">
      <w:pPr>
        <w:pStyle w:val="Body"/>
        <w:spacing w:after="0"/>
        <w:rPr>
          <w:rFonts w:ascii="Arial" w:hAnsi="Arial" w:cs="Arial"/>
        </w:rPr>
      </w:pPr>
      <w:r w:rsidRPr="001A5676">
        <w:rPr>
          <w:rFonts w:ascii="Arial" w:hAnsi="Arial" w:cs="Arial"/>
        </w:rPr>
        <w:t>DAq : Aqueous Decoction; MHe : Hydro-ethanolic Maceration; MAq : Aqueous Maceration.</w:t>
      </w:r>
    </w:p>
    <w:p w14:paraId="4D55D721" w14:textId="77777777" w:rsidR="001A5676" w:rsidRPr="001A5676" w:rsidRDefault="001A5676" w:rsidP="001A5676">
      <w:pPr>
        <w:pStyle w:val="Body"/>
        <w:spacing w:after="0"/>
        <w:rPr>
          <w:rFonts w:ascii="Arial" w:hAnsi="Arial" w:cs="Arial"/>
        </w:rPr>
      </w:pPr>
      <w:r w:rsidRPr="001A5676">
        <w:rPr>
          <w:rFonts w:ascii="Arial" w:hAnsi="Arial" w:cs="Arial"/>
        </w:rPr>
        <w:t>Table 2 shows that the highest yield was obtained by hydroethanolic maceration of the fruits with a value of 2.76% and the lowest was obtained by aqueous maceration with a value of 1%.</w:t>
      </w:r>
    </w:p>
    <w:p w14:paraId="712AF8A8" w14:textId="7FB225AC" w:rsidR="001A5676" w:rsidRPr="001A5676" w:rsidRDefault="001A5676" w:rsidP="001A5676">
      <w:pPr>
        <w:pStyle w:val="Body"/>
        <w:spacing w:after="0"/>
        <w:rPr>
          <w:rFonts w:ascii="Arial" w:hAnsi="Arial" w:cs="Arial"/>
          <w:b/>
          <w:bCs/>
        </w:rPr>
      </w:pPr>
      <w:bookmarkStart w:id="36" w:name="_Toc136377199"/>
      <w:bookmarkStart w:id="37" w:name="_Toc137924741"/>
      <w:r>
        <w:rPr>
          <w:rFonts w:ascii="Arial" w:hAnsi="Arial" w:cs="Arial"/>
          <w:b/>
          <w:bCs/>
        </w:rPr>
        <w:t>3</w:t>
      </w:r>
      <w:r w:rsidRPr="001A5676">
        <w:rPr>
          <w:rFonts w:ascii="Arial" w:hAnsi="Arial" w:cs="Arial"/>
          <w:b/>
          <w:bCs/>
        </w:rPr>
        <w:t>.2 Phytochemical composition</w:t>
      </w:r>
      <w:bookmarkEnd w:id="36"/>
      <w:bookmarkEnd w:id="37"/>
    </w:p>
    <w:p w14:paraId="189245E9" w14:textId="77777777" w:rsidR="001A5676" w:rsidRPr="001A5676" w:rsidRDefault="001A5676" w:rsidP="001A5676">
      <w:pPr>
        <w:pStyle w:val="Body"/>
        <w:spacing w:after="0"/>
        <w:rPr>
          <w:rFonts w:ascii="Arial" w:hAnsi="Arial" w:cs="Arial"/>
        </w:rPr>
      </w:pPr>
      <w:r w:rsidRPr="001A5676">
        <w:rPr>
          <w:rFonts w:ascii="Arial" w:hAnsi="Arial" w:cs="Arial"/>
        </w:rPr>
        <w:t>The results of the search for the different groups of secondary metabolites and their content in the different extracts are recorded in Tables 3 and 4.</w:t>
      </w:r>
    </w:p>
    <w:p w14:paraId="3E90BF4E" w14:textId="7B996B44" w:rsidR="001A5676" w:rsidRPr="001A5676" w:rsidRDefault="001A5676" w:rsidP="001A5676">
      <w:pPr>
        <w:pStyle w:val="Body"/>
        <w:spacing w:after="0"/>
        <w:rPr>
          <w:rFonts w:ascii="Arial" w:hAnsi="Arial" w:cs="Arial"/>
        </w:rPr>
      </w:pPr>
      <w:bookmarkStart w:id="38" w:name="_Toc130190622"/>
      <w:bookmarkStart w:id="39" w:name="_Toc137921295"/>
      <w:bookmarkStart w:id="40" w:name="_Toc137923798"/>
      <w:r w:rsidRPr="001A5676">
        <w:rPr>
          <w:rFonts w:ascii="Arial" w:hAnsi="Arial" w:cs="Arial"/>
        </w:rPr>
        <w:t xml:space="preserve">Table </w:t>
      </w:r>
      <w:r w:rsidRPr="001A5676">
        <w:rPr>
          <w:rFonts w:ascii="Arial" w:hAnsi="Arial" w:cs="Arial"/>
        </w:rPr>
        <w:fldChar w:fldCharType="begin"/>
      </w:r>
      <w:r w:rsidRPr="001A5676">
        <w:rPr>
          <w:rFonts w:ascii="Arial" w:hAnsi="Arial" w:cs="Arial"/>
        </w:rPr>
        <w:instrText xml:space="preserve"> SEQ Tableau \* ROMAN </w:instrText>
      </w:r>
      <w:r w:rsidRPr="001A5676">
        <w:rPr>
          <w:rFonts w:ascii="Arial" w:hAnsi="Arial" w:cs="Arial"/>
        </w:rPr>
        <w:fldChar w:fldCharType="separate"/>
      </w:r>
      <w:r w:rsidRPr="001A5676">
        <w:rPr>
          <w:rFonts w:ascii="Arial" w:hAnsi="Arial" w:cs="Arial"/>
        </w:rPr>
        <w:t xml:space="preserve">3 </w:t>
      </w:r>
      <w:r w:rsidRPr="001A5676">
        <w:rPr>
          <w:rFonts w:ascii="Arial" w:hAnsi="Arial" w:cs="Arial"/>
        </w:rPr>
        <w:fldChar w:fldCharType="end"/>
      </w:r>
      <w:r w:rsidRPr="001A5676">
        <w:rPr>
          <w:rFonts w:ascii="Arial" w:hAnsi="Arial" w:cs="Arial"/>
        </w:rPr>
        <w:t xml:space="preserve">: </w:t>
      </w:r>
      <w:bookmarkEnd w:id="38"/>
      <w:bookmarkEnd w:id="39"/>
      <w:bookmarkEnd w:id="40"/>
      <w:r w:rsidRPr="001A5676">
        <w:rPr>
          <w:rFonts w:ascii="Arial" w:hAnsi="Arial" w:cs="Arial"/>
        </w:rPr>
        <w:t xml:space="preserve">Composition phytochemicals of </w:t>
      </w:r>
      <w:r w:rsidR="00CA16D7" w:rsidRPr="00CA16D7">
        <w:rPr>
          <w:rFonts w:ascii="Arial" w:hAnsi="Arial" w:cs="Arial"/>
          <w:i/>
          <w:iCs/>
        </w:rPr>
        <w:t xml:space="preserve">Garcinia mangostana </w:t>
      </w:r>
      <w:r w:rsidRPr="001A5676">
        <w:rPr>
          <w:rFonts w:ascii="Arial" w:hAnsi="Arial" w:cs="Arial"/>
        </w:rPr>
        <w:t xml:space="preserve"> L. extracts.</w:t>
      </w:r>
    </w:p>
    <w:tbl>
      <w:tblPr>
        <w:tblW w:w="0" w:type="auto"/>
        <w:tblBorders>
          <w:top w:val="single" w:sz="4" w:space="0" w:color="auto"/>
          <w:bottom w:val="single" w:sz="4" w:space="0" w:color="auto"/>
        </w:tblBorders>
        <w:tblLook w:val="06A0" w:firstRow="1" w:lastRow="0" w:firstColumn="1" w:lastColumn="0" w:noHBand="1" w:noVBand="1"/>
      </w:tblPr>
      <w:tblGrid>
        <w:gridCol w:w="2196"/>
        <w:gridCol w:w="2004"/>
        <w:gridCol w:w="2004"/>
        <w:gridCol w:w="2004"/>
      </w:tblGrid>
      <w:tr w:rsidR="001A5676" w:rsidRPr="001A5676" w14:paraId="06434C80" w14:textId="77777777" w:rsidTr="004A2F47">
        <w:trPr>
          <w:trHeight w:hRule="exact" w:val="579"/>
        </w:trPr>
        <w:tc>
          <w:tcPr>
            <w:tcW w:w="2471" w:type="dxa"/>
            <w:tcBorders>
              <w:top w:val="single" w:sz="4" w:space="0" w:color="auto"/>
              <w:bottom w:val="single" w:sz="4" w:space="0" w:color="auto"/>
            </w:tcBorders>
          </w:tcPr>
          <w:p w14:paraId="5207EE00" w14:textId="77777777" w:rsidR="001A5676" w:rsidRPr="001A5676" w:rsidRDefault="001A5676" w:rsidP="001A5676">
            <w:pPr>
              <w:pStyle w:val="Body"/>
              <w:spacing w:after="0"/>
              <w:rPr>
                <w:rFonts w:ascii="Arial" w:hAnsi="Arial" w:cs="Arial"/>
              </w:rPr>
            </w:pPr>
            <w:r w:rsidRPr="001A5676">
              <w:rPr>
                <w:rFonts w:ascii="Arial" w:hAnsi="Arial" w:cs="Arial"/>
              </w:rPr>
              <w:t>Chemical groups</w:t>
            </w:r>
          </w:p>
        </w:tc>
        <w:tc>
          <w:tcPr>
            <w:tcW w:w="2472" w:type="dxa"/>
            <w:tcBorders>
              <w:top w:val="single" w:sz="4" w:space="0" w:color="auto"/>
              <w:bottom w:val="single" w:sz="4" w:space="0" w:color="auto"/>
            </w:tcBorders>
          </w:tcPr>
          <w:p w14:paraId="1542479A" w14:textId="77777777" w:rsidR="001A5676" w:rsidRPr="001A5676" w:rsidRDefault="001A5676" w:rsidP="001A5676">
            <w:pPr>
              <w:pStyle w:val="Body"/>
              <w:spacing w:after="0"/>
              <w:rPr>
                <w:rFonts w:ascii="Arial" w:hAnsi="Arial" w:cs="Arial"/>
              </w:rPr>
            </w:pPr>
            <w:r w:rsidRPr="001A5676">
              <w:rPr>
                <w:rFonts w:ascii="Arial" w:hAnsi="Arial" w:cs="Arial"/>
              </w:rPr>
              <w:t>DAq</w:t>
            </w:r>
          </w:p>
        </w:tc>
        <w:tc>
          <w:tcPr>
            <w:tcW w:w="2472" w:type="dxa"/>
            <w:tcBorders>
              <w:top w:val="single" w:sz="4" w:space="0" w:color="auto"/>
              <w:bottom w:val="single" w:sz="4" w:space="0" w:color="auto"/>
            </w:tcBorders>
          </w:tcPr>
          <w:p w14:paraId="2AC18B01" w14:textId="77777777" w:rsidR="001A5676" w:rsidRPr="001A5676" w:rsidRDefault="001A5676" w:rsidP="001A5676">
            <w:pPr>
              <w:pStyle w:val="Body"/>
              <w:spacing w:after="0"/>
              <w:rPr>
                <w:rFonts w:ascii="Arial" w:hAnsi="Arial" w:cs="Arial"/>
              </w:rPr>
            </w:pPr>
            <w:r w:rsidRPr="001A5676">
              <w:rPr>
                <w:rFonts w:ascii="Arial" w:hAnsi="Arial" w:cs="Arial"/>
              </w:rPr>
              <w:t>Maq</w:t>
            </w:r>
          </w:p>
        </w:tc>
        <w:tc>
          <w:tcPr>
            <w:tcW w:w="2472" w:type="dxa"/>
            <w:tcBorders>
              <w:top w:val="single" w:sz="4" w:space="0" w:color="auto"/>
              <w:bottom w:val="single" w:sz="4" w:space="0" w:color="auto"/>
            </w:tcBorders>
          </w:tcPr>
          <w:p w14:paraId="5DFE77B5" w14:textId="77777777" w:rsidR="001A5676" w:rsidRPr="001A5676" w:rsidRDefault="001A5676" w:rsidP="001A5676">
            <w:pPr>
              <w:pStyle w:val="Body"/>
              <w:spacing w:after="0"/>
              <w:rPr>
                <w:rFonts w:ascii="Arial" w:hAnsi="Arial" w:cs="Arial"/>
              </w:rPr>
            </w:pPr>
            <w:r w:rsidRPr="001A5676">
              <w:rPr>
                <w:rFonts w:ascii="Arial" w:hAnsi="Arial" w:cs="Arial"/>
              </w:rPr>
              <w:t>MHe</w:t>
            </w:r>
          </w:p>
        </w:tc>
      </w:tr>
      <w:tr w:rsidR="001A5676" w:rsidRPr="001A5676" w14:paraId="12F384C0" w14:textId="77777777" w:rsidTr="004A2F47">
        <w:trPr>
          <w:trHeight w:hRule="exact" w:val="340"/>
        </w:trPr>
        <w:tc>
          <w:tcPr>
            <w:tcW w:w="2471" w:type="dxa"/>
            <w:tcBorders>
              <w:top w:val="single" w:sz="4" w:space="0" w:color="auto"/>
            </w:tcBorders>
          </w:tcPr>
          <w:p w14:paraId="5EDA73A2" w14:textId="77777777" w:rsidR="001A5676" w:rsidRPr="001A5676" w:rsidRDefault="001A5676" w:rsidP="001A5676">
            <w:pPr>
              <w:pStyle w:val="Body"/>
              <w:spacing w:after="0"/>
              <w:rPr>
                <w:rFonts w:ascii="Arial" w:hAnsi="Arial" w:cs="Arial"/>
              </w:rPr>
            </w:pPr>
            <w:r w:rsidRPr="001A5676">
              <w:rPr>
                <w:rFonts w:ascii="Arial" w:hAnsi="Arial" w:cs="Arial"/>
              </w:rPr>
              <w:t>Alkaloids</w:t>
            </w:r>
          </w:p>
        </w:tc>
        <w:tc>
          <w:tcPr>
            <w:tcW w:w="2472" w:type="dxa"/>
            <w:tcBorders>
              <w:top w:val="single" w:sz="4" w:space="0" w:color="auto"/>
            </w:tcBorders>
          </w:tcPr>
          <w:p w14:paraId="7D930356"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Borders>
              <w:top w:val="single" w:sz="4" w:space="0" w:color="auto"/>
            </w:tcBorders>
          </w:tcPr>
          <w:p w14:paraId="0BF3F341"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Borders>
              <w:top w:val="single" w:sz="4" w:space="0" w:color="auto"/>
            </w:tcBorders>
          </w:tcPr>
          <w:p w14:paraId="28C7C594"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6F70CE4B" w14:textId="77777777" w:rsidTr="004A2F47">
        <w:trPr>
          <w:trHeight w:hRule="exact" w:val="340"/>
        </w:trPr>
        <w:tc>
          <w:tcPr>
            <w:tcW w:w="2471" w:type="dxa"/>
          </w:tcPr>
          <w:p w14:paraId="23388641" w14:textId="77777777" w:rsidR="001A5676" w:rsidRPr="001A5676" w:rsidRDefault="001A5676" w:rsidP="001A5676">
            <w:pPr>
              <w:pStyle w:val="Body"/>
              <w:spacing w:after="0"/>
              <w:rPr>
                <w:rFonts w:ascii="Arial" w:hAnsi="Arial" w:cs="Arial"/>
              </w:rPr>
            </w:pPr>
            <w:r w:rsidRPr="001A5676">
              <w:rPr>
                <w:rFonts w:ascii="Arial" w:hAnsi="Arial" w:cs="Arial"/>
              </w:rPr>
              <w:t>Tannins</w:t>
            </w:r>
          </w:p>
        </w:tc>
        <w:tc>
          <w:tcPr>
            <w:tcW w:w="2472" w:type="dxa"/>
          </w:tcPr>
          <w:p w14:paraId="4A83308C"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25EA48E5"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27FB5175"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3148EC66" w14:textId="77777777" w:rsidTr="004A2F47">
        <w:trPr>
          <w:trHeight w:hRule="exact" w:val="340"/>
        </w:trPr>
        <w:tc>
          <w:tcPr>
            <w:tcW w:w="2471" w:type="dxa"/>
          </w:tcPr>
          <w:p w14:paraId="55A6F673" w14:textId="77777777" w:rsidR="001A5676" w:rsidRPr="001A5676" w:rsidRDefault="001A5676" w:rsidP="001A5676">
            <w:pPr>
              <w:pStyle w:val="Body"/>
              <w:spacing w:after="0"/>
              <w:rPr>
                <w:rFonts w:ascii="Arial" w:hAnsi="Arial" w:cs="Arial"/>
              </w:rPr>
            </w:pPr>
            <w:r w:rsidRPr="001A5676">
              <w:rPr>
                <w:rFonts w:ascii="Arial" w:hAnsi="Arial" w:cs="Arial"/>
              </w:rPr>
              <w:t>Flavonoids</w:t>
            </w:r>
          </w:p>
        </w:tc>
        <w:tc>
          <w:tcPr>
            <w:tcW w:w="2472" w:type="dxa"/>
          </w:tcPr>
          <w:p w14:paraId="01498681"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7CB9A57A"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790E3660"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62B559B6" w14:textId="77777777" w:rsidTr="004A2F47">
        <w:trPr>
          <w:trHeight w:hRule="exact" w:val="340"/>
        </w:trPr>
        <w:tc>
          <w:tcPr>
            <w:tcW w:w="2471" w:type="dxa"/>
          </w:tcPr>
          <w:p w14:paraId="55A1D1B5" w14:textId="77777777" w:rsidR="001A5676" w:rsidRPr="001A5676" w:rsidRDefault="001A5676" w:rsidP="001A5676">
            <w:pPr>
              <w:pStyle w:val="Body"/>
              <w:spacing w:after="0"/>
              <w:rPr>
                <w:rFonts w:ascii="Arial" w:hAnsi="Arial" w:cs="Arial"/>
              </w:rPr>
            </w:pPr>
            <w:r w:rsidRPr="001A5676">
              <w:rPr>
                <w:rFonts w:ascii="Arial" w:hAnsi="Arial" w:cs="Arial"/>
              </w:rPr>
              <w:t>Saponins</w:t>
            </w:r>
          </w:p>
        </w:tc>
        <w:tc>
          <w:tcPr>
            <w:tcW w:w="2472" w:type="dxa"/>
          </w:tcPr>
          <w:p w14:paraId="3BF6DFA0"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08EDD2EC"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26C15A63"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2FFA8ED2" w14:textId="77777777" w:rsidTr="004A2F47">
        <w:trPr>
          <w:trHeight w:hRule="exact" w:val="340"/>
        </w:trPr>
        <w:tc>
          <w:tcPr>
            <w:tcW w:w="2471" w:type="dxa"/>
          </w:tcPr>
          <w:p w14:paraId="623F7B79" w14:textId="77777777" w:rsidR="001A5676" w:rsidRPr="001A5676" w:rsidRDefault="001A5676" w:rsidP="001A5676">
            <w:pPr>
              <w:pStyle w:val="Body"/>
              <w:spacing w:after="0"/>
              <w:rPr>
                <w:rFonts w:ascii="Arial" w:hAnsi="Arial" w:cs="Arial"/>
              </w:rPr>
            </w:pPr>
            <w:r w:rsidRPr="001A5676">
              <w:rPr>
                <w:rFonts w:ascii="Arial" w:hAnsi="Arial" w:cs="Arial"/>
              </w:rPr>
              <w:t>Phenols</w:t>
            </w:r>
          </w:p>
        </w:tc>
        <w:tc>
          <w:tcPr>
            <w:tcW w:w="2472" w:type="dxa"/>
          </w:tcPr>
          <w:p w14:paraId="3870C16D"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58B93EB9"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55A82E06"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4F8565AA" w14:textId="77777777" w:rsidTr="004A2F47">
        <w:trPr>
          <w:trHeight w:hRule="exact" w:val="340"/>
        </w:trPr>
        <w:tc>
          <w:tcPr>
            <w:tcW w:w="2471" w:type="dxa"/>
          </w:tcPr>
          <w:p w14:paraId="3A45E4AF" w14:textId="77777777" w:rsidR="001A5676" w:rsidRPr="001A5676" w:rsidRDefault="001A5676" w:rsidP="001A5676">
            <w:pPr>
              <w:pStyle w:val="Body"/>
              <w:spacing w:after="0"/>
              <w:rPr>
                <w:rFonts w:ascii="Arial" w:hAnsi="Arial" w:cs="Arial"/>
              </w:rPr>
            </w:pPr>
            <w:r w:rsidRPr="001A5676">
              <w:rPr>
                <w:rFonts w:ascii="Arial" w:hAnsi="Arial" w:cs="Arial"/>
              </w:rPr>
              <w:t>Anthocyanins</w:t>
            </w:r>
          </w:p>
        </w:tc>
        <w:tc>
          <w:tcPr>
            <w:tcW w:w="2472" w:type="dxa"/>
          </w:tcPr>
          <w:p w14:paraId="2662D19C"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381024D0"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5E6122EA"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1DC646AA" w14:textId="77777777" w:rsidTr="004A2F47">
        <w:trPr>
          <w:trHeight w:hRule="exact" w:val="340"/>
        </w:trPr>
        <w:tc>
          <w:tcPr>
            <w:tcW w:w="2471" w:type="dxa"/>
          </w:tcPr>
          <w:p w14:paraId="4B9A11DC" w14:textId="77777777" w:rsidR="001A5676" w:rsidRPr="001A5676" w:rsidRDefault="001A5676" w:rsidP="001A5676">
            <w:pPr>
              <w:pStyle w:val="Body"/>
              <w:spacing w:after="0"/>
              <w:rPr>
                <w:rFonts w:ascii="Arial" w:hAnsi="Arial" w:cs="Arial"/>
              </w:rPr>
            </w:pPr>
            <w:r w:rsidRPr="001A5676">
              <w:rPr>
                <w:rFonts w:ascii="Arial" w:hAnsi="Arial" w:cs="Arial"/>
              </w:rPr>
              <w:t>Steroids</w:t>
            </w:r>
          </w:p>
        </w:tc>
        <w:tc>
          <w:tcPr>
            <w:tcW w:w="2472" w:type="dxa"/>
          </w:tcPr>
          <w:p w14:paraId="70ABFC5C"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10FD54A7"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61A54EA0" w14:textId="77777777" w:rsidR="001A5676" w:rsidRPr="001A5676" w:rsidRDefault="001A5676" w:rsidP="001A5676">
            <w:pPr>
              <w:pStyle w:val="Body"/>
              <w:spacing w:after="0"/>
              <w:rPr>
                <w:rFonts w:ascii="Arial" w:hAnsi="Arial" w:cs="Arial"/>
              </w:rPr>
            </w:pPr>
            <w:r w:rsidRPr="001A5676">
              <w:rPr>
                <w:rFonts w:ascii="Arial" w:hAnsi="Arial" w:cs="Arial"/>
              </w:rPr>
              <w:t>-</w:t>
            </w:r>
          </w:p>
        </w:tc>
      </w:tr>
    </w:tbl>
    <w:p w14:paraId="5A91A8DF" w14:textId="77777777" w:rsidR="001A5676" w:rsidRPr="001A5676" w:rsidRDefault="001A5676" w:rsidP="001A5676">
      <w:pPr>
        <w:pStyle w:val="Body"/>
        <w:spacing w:after="0"/>
        <w:rPr>
          <w:rFonts w:ascii="Arial" w:hAnsi="Arial" w:cs="Arial"/>
          <w:i/>
          <w:iCs/>
        </w:rPr>
      </w:pPr>
      <w:r w:rsidRPr="001A5676">
        <w:rPr>
          <w:rFonts w:ascii="Arial" w:hAnsi="Arial" w:cs="Arial"/>
          <w:i/>
          <w:iCs/>
        </w:rPr>
        <w:t>- : absent; + : low presence; ++ : moderate presence; +++ : high presence; ++++ : widespread presence;  MAq : Aqueous Maceration; DAq : Aqueous Decoction; MHe : Hydro-ethanolic Maceration.</w:t>
      </w:r>
    </w:p>
    <w:p w14:paraId="210846EF" w14:textId="77777777" w:rsidR="001A5676" w:rsidRPr="001A5676" w:rsidRDefault="001A5676" w:rsidP="001A5676">
      <w:pPr>
        <w:pStyle w:val="Body"/>
        <w:spacing w:after="0"/>
        <w:rPr>
          <w:rFonts w:ascii="Arial" w:hAnsi="Arial" w:cs="Arial"/>
        </w:rPr>
      </w:pPr>
    </w:p>
    <w:p w14:paraId="55960315" w14:textId="77777777" w:rsidR="001A5676" w:rsidRPr="001A5676" w:rsidRDefault="001A5676" w:rsidP="001A5676">
      <w:pPr>
        <w:pStyle w:val="Body"/>
        <w:spacing w:after="0"/>
        <w:rPr>
          <w:rFonts w:ascii="Arial" w:hAnsi="Arial" w:cs="Arial"/>
        </w:rPr>
      </w:pPr>
      <w:r w:rsidRPr="001A5676">
        <w:rPr>
          <w:rFonts w:ascii="Arial" w:hAnsi="Arial" w:cs="Arial"/>
        </w:rPr>
        <w:t>Table 3 shows that alkaloids, flavonoids, phenols, saponins, anthocyanins and tannins are present in all extracts while steroids are absent in all extracts.</w:t>
      </w:r>
      <w:bookmarkStart w:id="41" w:name="_Toc137921296"/>
      <w:bookmarkStart w:id="42" w:name="_Toc137923799"/>
    </w:p>
    <w:p w14:paraId="770128AC" w14:textId="77777777" w:rsidR="001A5676" w:rsidRPr="001A5676" w:rsidRDefault="001A5676" w:rsidP="001A5676">
      <w:pPr>
        <w:pStyle w:val="Body"/>
        <w:spacing w:after="0"/>
        <w:rPr>
          <w:rFonts w:ascii="Arial" w:hAnsi="Arial" w:cs="Arial"/>
        </w:rPr>
      </w:pPr>
    </w:p>
    <w:p w14:paraId="02824BD8" w14:textId="77777777" w:rsidR="001A5676" w:rsidRPr="001A5676" w:rsidRDefault="001A5676" w:rsidP="001A5676">
      <w:pPr>
        <w:pStyle w:val="Body"/>
        <w:spacing w:after="0"/>
        <w:rPr>
          <w:rFonts w:ascii="Arial" w:hAnsi="Arial" w:cs="Arial"/>
        </w:rPr>
      </w:pPr>
    </w:p>
    <w:p w14:paraId="5BA44C99" w14:textId="06C2F962" w:rsidR="001A5676" w:rsidRPr="00EE7F92" w:rsidRDefault="001A5676" w:rsidP="001A5676">
      <w:pPr>
        <w:pStyle w:val="Body"/>
        <w:spacing w:after="0"/>
        <w:rPr>
          <w:rFonts w:ascii="Arial" w:hAnsi="Arial" w:cs="Arial"/>
          <w:b/>
          <w:bCs/>
        </w:rPr>
      </w:pPr>
      <w:r w:rsidRPr="00EE7F92">
        <w:rPr>
          <w:rFonts w:ascii="Arial" w:hAnsi="Arial" w:cs="Arial"/>
          <w:b/>
          <w:bCs/>
        </w:rPr>
        <w:t xml:space="preserve">Table 4 : Quantitative phytochemical composition </w:t>
      </w:r>
      <w:bookmarkEnd w:id="41"/>
      <w:bookmarkEnd w:id="42"/>
      <w:r w:rsidRPr="00EE7F92">
        <w:rPr>
          <w:rFonts w:ascii="Arial" w:hAnsi="Arial" w:cs="Arial"/>
          <w:b/>
          <w:bCs/>
        </w:rPr>
        <w:t xml:space="preserve">of </w:t>
      </w:r>
      <w:r w:rsidR="00CA16D7" w:rsidRPr="00CA16D7">
        <w:rPr>
          <w:rFonts w:ascii="Arial" w:hAnsi="Arial" w:cs="Arial"/>
          <w:b/>
          <w:bCs/>
          <w:i/>
          <w:iCs/>
        </w:rPr>
        <w:t xml:space="preserve">Garcinia mangostana </w:t>
      </w:r>
      <w:r w:rsidRPr="00EE7F92">
        <w:rPr>
          <w:rFonts w:ascii="Arial" w:hAnsi="Arial" w:cs="Arial"/>
          <w:b/>
          <w:bCs/>
        </w:rPr>
        <w:t xml:space="preserve"> L.</w:t>
      </w:r>
    </w:p>
    <w:tbl>
      <w:tblPr>
        <w:tblW w:w="9440" w:type="dxa"/>
        <w:tblBorders>
          <w:top w:val="single" w:sz="4" w:space="0" w:color="auto"/>
          <w:bottom w:val="single" w:sz="4" w:space="0" w:color="auto"/>
        </w:tblBorders>
        <w:tblLook w:val="06A0" w:firstRow="1" w:lastRow="0" w:firstColumn="1" w:lastColumn="0" w:noHBand="1" w:noVBand="1"/>
      </w:tblPr>
      <w:tblGrid>
        <w:gridCol w:w="2977"/>
        <w:gridCol w:w="2151"/>
        <w:gridCol w:w="2157"/>
        <w:gridCol w:w="2155"/>
      </w:tblGrid>
      <w:tr w:rsidR="001A5676" w:rsidRPr="001A5676" w14:paraId="63C1A2B8" w14:textId="77777777" w:rsidTr="004A2F47">
        <w:trPr>
          <w:trHeight w:hRule="exact" w:val="340"/>
        </w:trPr>
        <w:tc>
          <w:tcPr>
            <w:tcW w:w="2977" w:type="dxa"/>
            <w:tcBorders>
              <w:top w:val="single" w:sz="4" w:space="0" w:color="auto"/>
              <w:bottom w:val="single" w:sz="4" w:space="0" w:color="auto"/>
            </w:tcBorders>
          </w:tcPr>
          <w:p w14:paraId="491B6D17" w14:textId="77777777" w:rsidR="001A5676" w:rsidRPr="001A5676" w:rsidRDefault="001A5676" w:rsidP="001A5676">
            <w:pPr>
              <w:pStyle w:val="Body"/>
              <w:spacing w:after="0"/>
              <w:rPr>
                <w:rFonts w:ascii="Arial" w:hAnsi="Arial" w:cs="Arial"/>
              </w:rPr>
            </w:pPr>
            <w:r w:rsidRPr="001A5676">
              <w:rPr>
                <w:rFonts w:ascii="Arial" w:hAnsi="Arial" w:cs="Arial"/>
              </w:rPr>
              <w:t>Chemical groups</w:t>
            </w:r>
          </w:p>
        </w:tc>
        <w:tc>
          <w:tcPr>
            <w:tcW w:w="2151" w:type="dxa"/>
            <w:tcBorders>
              <w:top w:val="single" w:sz="4" w:space="0" w:color="auto"/>
              <w:bottom w:val="single" w:sz="4" w:space="0" w:color="auto"/>
            </w:tcBorders>
          </w:tcPr>
          <w:p w14:paraId="3C34DE3A" w14:textId="77777777" w:rsidR="001A5676" w:rsidRPr="001A5676" w:rsidRDefault="001A5676" w:rsidP="001A5676">
            <w:pPr>
              <w:pStyle w:val="Body"/>
              <w:spacing w:after="0"/>
              <w:rPr>
                <w:rFonts w:ascii="Arial" w:hAnsi="Arial" w:cs="Arial"/>
              </w:rPr>
            </w:pPr>
            <w:r w:rsidRPr="001A5676">
              <w:rPr>
                <w:rFonts w:ascii="Arial" w:hAnsi="Arial" w:cs="Arial"/>
              </w:rPr>
              <w:t>Daq (mg/ml)</w:t>
            </w:r>
          </w:p>
        </w:tc>
        <w:tc>
          <w:tcPr>
            <w:tcW w:w="2157" w:type="dxa"/>
            <w:tcBorders>
              <w:top w:val="single" w:sz="4" w:space="0" w:color="auto"/>
              <w:bottom w:val="single" w:sz="4" w:space="0" w:color="auto"/>
            </w:tcBorders>
          </w:tcPr>
          <w:p w14:paraId="533E2CDD" w14:textId="77777777" w:rsidR="001A5676" w:rsidRPr="001A5676" w:rsidRDefault="001A5676" w:rsidP="001A5676">
            <w:pPr>
              <w:pStyle w:val="Body"/>
              <w:spacing w:after="0"/>
              <w:rPr>
                <w:rFonts w:ascii="Arial" w:hAnsi="Arial" w:cs="Arial"/>
              </w:rPr>
            </w:pPr>
            <w:r w:rsidRPr="001A5676">
              <w:rPr>
                <w:rFonts w:ascii="Arial" w:hAnsi="Arial" w:cs="Arial"/>
              </w:rPr>
              <w:t>MAq(mg/ml)</w:t>
            </w:r>
          </w:p>
        </w:tc>
        <w:tc>
          <w:tcPr>
            <w:tcW w:w="2155" w:type="dxa"/>
            <w:tcBorders>
              <w:top w:val="single" w:sz="4" w:space="0" w:color="auto"/>
              <w:bottom w:val="single" w:sz="4" w:space="0" w:color="auto"/>
            </w:tcBorders>
          </w:tcPr>
          <w:p w14:paraId="134BF34E" w14:textId="77777777" w:rsidR="001A5676" w:rsidRPr="001A5676" w:rsidRDefault="001A5676" w:rsidP="001A5676">
            <w:pPr>
              <w:pStyle w:val="Body"/>
              <w:spacing w:after="0"/>
              <w:rPr>
                <w:rFonts w:ascii="Arial" w:hAnsi="Arial" w:cs="Arial"/>
              </w:rPr>
            </w:pPr>
            <w:r w:rsidRPr="001A5676">
              <w:rPr>
                <w:rFonts w:ascii="Arial" w:hAnsi="Arial" w:cs="Arial"/>
              </w:rPr>
              <w:t>MHe (mg/ml)</w:t>
            </w:r>
          </w:p>
        </w:tc>
      </w:tr>
      <w:tr w:rsidR="001A5676" w:rsidRPr="001A5676" w14:paraId="4F539DAC" w14:textId="77777777" w:rsidTr="004A2F47">
        <w:trPr>
          <w:trHeight w:hRule="exact" w:val="340"/>
        </w:trPr>
        <w:tc>
          <w:tcPr>
            <w:tcW w:w="2977" w:type="dxa"/>
            <w:tcBorders>
              <w:top w:val="single" w:sz="4" w:space="0" w:color="auto"/>
            </w:tcBorders>
          </w:tcPr>
          <w:p w14:paraId="168C4D34" w14:textId="77777777" w:rsidR="001A5676" w:rsidRPr="001A5676" w:rsidRDefault="001A5676" w:rsidP="001A5676">
            <w:pPr>
              <w:pStyle w:val="Body"/>
              <w:spacing w:after="0"/>
              <w:rPr>
                <w:rFonts w:ascii="Arial" w:hAnsi="Arial" w:cs="Arial"/>
              </w:rPr>
            </w:pPr>
            <w:r w:rsidRPr="001A5676">
              <w:rPr>
                <w:rFonts w:ascii="Arial" w:hAnsi="Arial" w:cs="Arial"/>
              </w:rPr>
              <w:t>Phenols (GAE)</w:t>
            </w:r>
          </w:p>
        </w:tc>
        <w:tc>
          <w:tcPr>
            <w:tcW w:w="2151" w:type="dxa"/>
            <w:tcBorders>
              <w:top w:val="single" w:sz="4" w:space="0" w:color="auto"/>
            </w:tcBorders>
          </w:tcPr>
          <w:p w14:paraId="1F7A8DFF" w14:textId="77777777" w:rsidR="001A5676" w:rsidRPr="001A5676" w:rsidRDefault="001A5676" w:rsidP="001A5676">
            <w:pPr>
              <w:pStyle w:val="Body"/>
              <w:spacing w:after="0"/>
              <w:rPr>
                <w:rFonts w:ascii="Arial" w:hAnsi="Arial" w:cs="Arial"/>
              </w:rPr>
            </w:pPr>
            <w:r w:rsidRPr="001A5676">
              <w:rPr>
                <w:rFonts w:ascii="Arial" w:hAnsi="Arial" w:cs="Arial"/>
              </w:rPr>
              <w:t>1.48</w:t>
            </w:r>
          </w:p>
        </w:tc>
        <w:tc>
          <w:tcPr>
            <w:tcW w:w="2157" w:type="dxa"/>
            <w:tcBorders>
              <w:top w:val="single" w:sz="4" w:space="0" w:color="auto"/>
            </w:tcBorders>
          </w:tcPr>
          <w:p w14:paraId="3BA63BC4" w14:textId="77777777" w:rsidR="001A5676" w:rsidRPr="001A5676" w:rsidRDefault="001A5676" w:rsidP="001A5676">
            <w:pPr>
              <w:pStyle w:val="Body"/>
              <w:spacing w:after="0"/>
              <w:rPr>
                <w:rFonts w:ascii="Arial" w:hAnsi="Arial" w:cs="Arial"/>
              </w:rPr>
            </w:pPr>
            <w:r w:rsidRPr="001A5676">
              <w:rPr>
                <w:rFonts w:ascii="Arial" w:hAnsi="Arial" w:cs="Arial"/>
              </w:rPr>
              <w:t>1.16</w:t>
            </w:r>
          </w:p>
        </w:tc>
        <w:tc>
          <w:tcPr>
            <w:tcW w:w="2155" w:type="dxa"/>
            <w:tcBorders>
              <w:top w:val="single" w:sz="4" w:space="0" w:color="auto"/>
            </w:tcBorders>
          </w:tcPr>
          <w:p w14:paraId="734F96A8" w14:textId="77777777" w:rsidR="001A5676" w:rsidRPr="001A5676" w:rsidRDefault="001A5676" w:rsidP="001A5676">
            <w:pPr>
              <w:pStyle w:val="Body"/>
              <w:spacing w:after="0"/>
              <w:rPr>
                <w:rFonts w:ascii="Arial" w:hAnsi="Arial" w:cs="Arial"/>
              </w:rPr>
            </w:pPr>
            <w:r w:rsidRPr="001A5676">
              <w:rPr>
                <w:rFonts w:ascii="Arial" w:hAnsi="Arial" w:cs="Arial"/>
              </w:rPr>
              <w:t>1.85</w:t>
            </w:r>
          </w:p>
        </w:tc>
      </w:tr>
      <w:tr w:rsidR="001A5676" w:rsidRPr="001A5676" w14:paraId="3B4DEC39" w14:textId="77777777" w:rsidTr="004A2F47">
        <w:trPr>
          <w:trHeight w:hRule="exact" w:val="340"/>
        </w:trPr>
        <w:tc>
          <w:tcPr>
            <w:tcW w:w="2977" w:type="dxa"/>
          </w:tcPr>
          <w:p w14:paraId="55D4A607" w14:textId="77777777" w:rsidR="001A5676" w:rsidRPr="001A5676" w:rsidRDefault="001A5676" w:rsidP="001A5676">
            <w:pPr>
              <w:pStyle w:val="Body"/>
              <w:spacing w:after="0"/>
              <w:rPr>
                <w:rFonts w:ascii="Arial" w:hAnsi="Arial" w:cs="Arial"/>
              </w:rPr>
            </w:pPr>
            <w:r w:rsidRPr="001A5676">
              <w:rPr>
                <w:rFonts w:ascii="Arial" w:hAnsi="Arial" w:cs="Arial"/>
              </w:rPr>
              <w:t>Flavonoids QE</w:t>
            </w:r>
          </w:p>
        </w:tc>
        <w:tc>
          <w:tcPr>
            <w:tcW w:w="2151" w:type="dxa"/>
          </w:tcPr>
          <w:p w14:paraId="59F22C83" w14:textId="77777777" w:rsidR="001A5676" w:rsidRPr="001A5676" w:rsidRDefault="001A5676" w:rsidP="001A5676">
            <w:pPr>
              <w:pStyle w:val="Body"/>
              <w:spacing w:after="0"/>
              <w:rPr>
                <w:rFonts w:ascii="Arial" w:hAnsi="Arial" w:cs="Arial"/>
              </w:rPr>
            </w:pPr>
            <w:r w:rsidRPr="001A5676">
              <w:rPr>
                <w:rFonts w:ascii="Arial" w:hAnsi="Arial" w:cs="Arial"/>
              </w:rPr>
              <w:t>0.31</w:t>
            </w:r>
          </w:p>
        </w:tc>
        <w:tc>
          <w:tcPr>
            <w:tcW w:w="2157" w:type="dxa"/>
          </w:tcPr>
          <w:p w14:paraId="3AA292DA" w14:textId="77777777" w:rsidR="001A5676" w:rsidRPr="001A5676" w:rsidRDefault="001A5676" w:rsidP="001A5676">
            <w:pPr>
              <w:pStyle w:val="Body"/>
              <w:spacing w:after="0"/>
              <w:rPr>
                <w:rFonts w:ascii="Arial" w:hAnsi="Arial" w:cs="Arial"/>
              </w:rPr>
            </w:pPr>
            <w:r w:rsidRPr="001A5676">
              <w:rPr>
                <w:rFonts w:ascii="Arial" w:hAnsi="Arial" w:cs="Arial"/>
              </w:rPr>
              <w:t>0.25</w:t>
            </w:r>
          </w:p>
        </w:tc>
        <w:tc>
          <w:tcPr>
            <w:tcW w:w="2155" w:type="dxa"/>
          </w:tcPr>
          <w:p w14:paraId="09E8994E" w14:textId="77777777" w:rsidR="001A5676" w:rsidRPr="001A5676" w:rsidRDefault="001A5676" w:rsidP="001A5676">
            <w:pPr>
              <w:pStyle w:val="Body"/>
              <w:spacing w:after="0"/>
              <w:rPr>
                <w:rFonts w:ascii="Arial" w:hAnsi="Arial" w:cs="Arial"/>
              </w:rPr>
            </w:pPr>
            <w:r w:rsidRPr="001A5676">
              <w:rPr>
                <w:rFonts w:ascii="Arial" w:hAnsi="Arial" w:cs="Arial"/>
              </w:rPr>
              <w:t>0.47</w:t>
            </w:r>
          </w:p>
        </w:tc>
      </w:tr>
      <w:tr w:rsidR="001A5676" w:rsidRPr="001A5676" w14:paraId="71882548" w14:textId="77777777" w:rsidTr="004A2F47">
        <w:trPr>
          <w:trHeight w:hRule="exact" w:val="340"/>
        </w:trPr>
        <w:tc>
          <w:tcPr>
            <w:tcW w:w="2977" w:type="dxa"/>
          </w:tcPr>
          <w:p w14:paraId="376C2AF6" w14:textId="77777777" w:rsidR="001A5676" w:rsidRPr="001A5676" w:rsidRDefault="001A5676" w:rsidP="001A5676">
            <w:pPr>
              <w:pStyle w:val="Body"/>
              <w:spacing w:after="0"/>
              <w:rPr>
                <w:rFonts w:ascii="Arial" w:hAnsi="Arial" w:cs="Arial"/>
              </w:rPr>
            </w:pPr>
            <w:r w:rsidRPr="001A5676">
              <w:rPr>
                <w:rFonts w:ascii="Arial" w:hAnsi="Arial" w:cs="Arial"/>
              </w:rPr>
              <w:t>Tannins</w:t>
            </w:r>
            <w:r w:rsidRPr="001A5676">
              <w:rPr>
                <w:rFonts w:ascii="Arial" w:hAnsi="Arial" w:cs="Arial"/>
              </w:rPr>
              <w:tab/>
              <w:t>CE</w:t>
            </w:r>
          </w:p>
        </w:tc>
        <w:tc>
          <w:tcPr>
            <w:tcW w:w="2151" w:type="dxa"/>
          </w:tcPr>
          <w:p w14:paraId="4BB8FA8E" w14:textId="77777777" w:rsidR="001A5676" w:rsidRPr="001A5676" w:rsidRDefault="001A5676" w:rsidP="001A5676">
            <w:pPr>
              <w:pStyle w:val="Body"/>
              <w:spacing w:after="0"/>
              <w:rPr>
                <w:rFonts w:ascii="Arial" w:hAnsi="Arial" w:cs="Arial"/>
              </w:rPr>
            </w:pPr>
            <w:r w:rsidRPr="001A5676">
              <w:rPr>
                <w:rFonts w:ascii="Arial" w:hAnsi="Arial" w:cs="Arial"/>
              </w:rPr>
              <w:t>0.13</w:t>
            </w:r>
          </w:p>
        </w:tc>
        <w:tc>
          <w:tcPr>
            <w:tcW w:w="2157" w:type="dxa"/>
          </w:tcPr>
          <w:p w14:paraId="1270F59A" w14:textId="77777777" w:rsidR="001A5676" w:rsidRPr="001A5676" w:rsidRDefault="001A5676" w:rsidP="001A5676">
            <w:pPr>
              <w:pStyle w:val="Body"/>
              <w:spacing w:after="0"/>
              <w:rPr>
                <w:rFonts w:ascii="Arial" w:hAnsi="Arial" w:cs="Arial"/>
              </w:rPr>
            </w:pPr>
            <w:r w:rsidRPr="001A5676">
              <w:rPr>
                <w:rFonts w:ascii="Arial" w:hAnsi="Arial" w:cs="Arial"/>
              </w:rPr>
              <w:t>0.11</w:t>
            </w:r>
          </w:p>
        </w:tc>
        <w:tc>
          <w:tcPr>
            <w:tcW w:w="2155" w:type="dxa"/>
          </w:tcPr>
          <w:p w14:paraId="128ACA86" w14:textId="77777777" w:rsidR="001A5676" w:rsidRPr="001A5676" w:rsidRDefault="001A5676" w:rsidP="001A5676">
            <w:pPr>
              <w:pStyle w:val="Body"/>
              <w:spacing w:after="0"/>
              <w:rPr>
                <w:rFonts w:ascii="Arial" w:hAnsi="Arial" w:cs="Arial"/>
              </w:rPr>
            </w:pPr>
            <w:r w:rsidRPr="001A5676">
              <w:rPr>
                <w:rFonts w:ascii="Arial" w:hAnsi="Arial" w:cs="Arial"/>
              </w:rPr>
              <w:t>0.16</w:t>
            </w:r>
          </w:p>
        </w:tc>
      </w:tr>
    </w:tbl>
    <w:p w14:paraId="0F0B3A9D" w14:textId="77777777" w:rsidR="001A5676" w:rsidRPr="001A5676" w:rsidRDefault="001A5676" w:rsidP="001A5676">
      <w:pPr>
        <w:pStyle w:val="Body"/>
        <w:spacing w:after="0"/>
        <w:rPr>
          <w:rFonts w:ascii="Arial" w:hAnsi="Arial" w:cs="Arial"/>
          <w:i/>
          <w:iCs/>
        </w:rPr>
      </w:pPr>
      <w:r w:rsidRPr="001A5676">
        <w:rPr>
          <w:rFonts w:ascii="Arial" w:hAnsi="Arial" w:cs="Arial"/>
          <w:i/>
          <w:iCs/>
        </w:rPr>
        <w:t>Daq : Aqueous decoction;  Maq : Aqueous maceration;  MHe : Hydroethanolic maceration; GAE: mg/g gallic acid equivalent; QE: mg/g quercetin equivalent; CE: mg/g catechin equivalent ()</w:t>
      </w:r>
    </w:p>
    <w:p w14:paraId="3CD44B76" w14:textId="77777777" w:rsidR="001A5676" w:rsidRPr="001A5676" w:rsidRDefault="001A5676" w:rsidP="001A5676">
      <w:pPr>
        <w:pStyle w:val="Body"/>
        <w:spacing w:after="0"/>
        <w:rPr>
          <w:rFonts w:ascii="Arial" w:hAnsi="Arial" w:cs="Arial"/>
        </w:rPr>
      </w:pPr>
      <w:r w:rsidRPr="001A5676">
        <w:rPr>
          <w:rFonts w:ascii="Arial" w:hAnsi="Arial" w:cs="Arial"/>
        </w:rPr>
        <w:lastRenderedPageBreak/>
        <w:t>The aqueous extract obtained by decoction had a phenol concentration of 1.48 GAE, a flavonoid concentration of 0.31 QE, and a tannin concentration of 0.13 CE. The aqueous extract obtained by maceration had a phenol concentration of 1.16 mg/mL, a flavonoid concentration of 0.25 mg/mL, and a tannin concentration of 0.11 mg/mL. The hydroethanolic extract had a phenol concentration of 1.85 mg/mL, a flavonoid concentration of 0.47 mg/mL, and a tannin concentration of 0.16 mg/mL.</w:t>
      </w:r>
    </w:p>
    <w:p w14:paraId="375FD113" w14:textId="77777777" w:rsidR="001A5676" w:rsidRPr="001A5676" w:rsidRDefault="001A5676" w:rsidP="001A5676">
      <w:pPr>
        <w:pStyle w:val="Body"/>
        <w:spacing w:after="0"/>
        <w:rPr>
          <w:rFonts w:ascii="Arial" w:hAnsi="Arial" w:cs="Arial"/>
        </w:rPr>
      </w:pPr>
    </w:p>
    <w:p w14:paraId="71E48C42" w14:textId="7EEA76C3" w:rsidR="001A5676" w:rsidRPr="00EE7F92" w:rsidRDefault="00EE7F92" w:rsidP="001A5676">
      <w:pPr>
        <w:pStyle w:val="Body"/>
        <w:spacing w:after="0"/>
        <w:rPr>
          <w:rFonts w:ascii="Arial" w:hAnsi="Arial" w:cs="Arial"/>
          <w:b/>
          <w:bCs/>
        </w:rPr>
      </w:pPr>
      <w:bookmarkStart w:id="43" w:name="_Toc136377200"/>
      <w:bookmarkStart w:id="44" w:name="_Toc137924742"/>
      <w:r w:rsidRPr="00EE7F92">
        <w:rPr>
          <w:rFonts w:ascii="Arial" w:hAnsi="Arial" w:cs="Arial"/>
          <w:b/>
          <w:bCs/>
        </w:rPr>
        <w:t>3</w:t>
      </w:r>
      <w:r w:rsidR="001A5676" w:rsidRPr="00EE7F92">
        <w:rPr>
          <w:rFonts w:ascii="Arial" w:hAnsi="Arial" w:cs="Arial"/>
          <w:b/>
          <w:bCs/>
        </w:rPr>
        <w:t xml:space="preserve">.3 Antioxidant </w:t>
      </w:r>
      <w:bookmarkEnd w:id="43"/>
      <w:bookmarkEnd w:id="44"/>
      <w:r w:rsidR="001A5676" w:rsidRPr="00EE7F92">
        <w:rPr>
          <w:rFonts w:ascii="Arial" w:hAnsi="Arial" w:cs="Arial"/>
          <w:b/>
          <w:bCs/>
        </w:rPr>
        <w:t>activities</w:t>
      </w:r>
    </w:p>
    <w:p w14:paraId="67E5AF51" w14:textId="77777777" w:rsidR="001A5676" w:rsidRDefault="001A5676" w:rsidP="001A5676">
      <w:pPr>
        <w:pStyle w:val="Body"/>
        <w:spacing w:after="0"/>
        <w:rPr>
          <w:rFonts w:ascii="Arial" w:hAnsi="Arial" w:cs="Arial"/>
        </w:rPr>
      </w:pPr>
      <w:r w:rsidRPr="001A5676">
        <w:rPr>
          <w:rFonts w:ascii="Arial" w:hAnsi="Arial" w:cs="Arial"/>
        </w:rPr>
        <w:t>The antioxidant activity of the extracts was evaluated by the DPPH test, the FRAP method and expressed as IC50 .</w:t>
      </w:r>
    </w:p>
    <w:p w14:paraId="23B9610D" w14:textId="77777777" w:rsidR="00EE7F92" w:rsidRPr="001A5676" w:rsidRDefault="00EE7F92" w:rsidP="001A5676">
      <w:pPr>
        <w:pStyle w:val="Body"/>
        <w:spacing w:after="0"/>
        <w:rPr>
          <w:rFonts w:ascii="Arial" w:hAnsi="Arial" w:cs="Arial"/>
        </w:rPr>
      </w:pPr>
    </w:p>
    <w:p w14:paraId="7183B3A1" w14:textId="15463D9D" w:rsidR="001A5676" w:rsidRPr="00EE7F92" w:rsidRDefault="00EE7F92" w:rsidP="001A5676">
      <w:pPr>
        <w:pStyle w:val="Body"/>
        <w:spacing w:after="0"/>
        <w:rPr>
          <w:rFonts w:ascii="Arial" w:hAnsi="Arial" w:cs="Arial"/>
          <w:b/>
          <w:bCs/>
        </w:rPr>
      </w:pPr>
      <w:bookmarkStart w:id="45" w:name="_Toc137924743"/>
      <w:r>
        <w:rPr>
          <w:rFonts w:ascii="Arial" w:hAnsi="Arial" w:cs="Arial"/>
          <w:b/>
          <w:bCs/>
        </w:rPr>
        <w:t>3</w:t>
      </w:r>
      <w:r w:rsidR="001A5676" w:rsidRPr="00EE7F92">
        <w:rPr>
          <w:rFonts w:ascii="Arial" w:hAnsi="Arial" w:cs="Arial"/>
          <w:b/>
          <w:bCs/>
        </w:rPr>
        <w:t>.3.1 FRAP (Ferric Reducing Antioxidant Power) Method</w:t>
      </w:r>
      <w:bookmarkEnd w:id="45"/>
    </w:p>
    <w:p w14:paraId="648F1555" w14:textId="0BAB9900" w:rsidR="001A5676" w:rsidRPr="001A5676" w:rsidRDefault="001A5676" w:rsidP="001A5676">
      <w:pPr>
        <w:pStyle w:val="Body"/>
        <w:spacing w:after="0"/>
        <w:rPr>
          <w:rFonts w:ascii="Arial" w:hAnsi="Arial" w:cs="Arial"/>
        </w:rPr>
      </w:pPr>
      <w:r w:rsidRPr="001A5676">
        <w:rPr>
          <w:rFonts w:ascii="Arial" w:hAnsi="Arial" w:cs="Arial"/>
        </w:rPr>
        <w:t>The presence of molecules capable of reducing ferric iron (Fe</w:t>
      </w:r>
      <w:r w:rsidR="004514DD">
        <w:rPr>
          <w:rFonts w:ascii="Arial" w:hAnsi="Arial" w:cs="Arial"/>
        </w:rPr>
        <w:t xml:space="preserve"> </w:t>
      </w:r>
      <w:r w:rsidRPr="001A5676">
        <w:rPr>
          <w:rFonts w:ascii="Arial" w:hAnsi="Arial" w:cs="Arial"/>
        </w:rPr>
        <w:t>3+) to ferrous iron (Fe2+) is indicated by a blue color change. Absorbance curves as a function of extract, BHT, and vitamin C concentration are summarized in Figure 1.</w:t>
      </w:r>
    </w:p>
    <w:p w14:paraId="603242CE" w14:textId="77777777" w:rsidR="001A5676" w:rsidRPr="001A5676" w:rsidRDefault="001A5676" w:rsidP="001A5676">
      <w:pPr>
        <w:pStyle w:val="Body"/>
        <w:spacing w:after="0"/>
        <w:rPr>
          <w:rFonts w:ascii="Arial" w:hAnsi="Arial" w:cs="Arial"/>
        </w:rPr>
      </w:pPr>
      <w:r w:rsidRPr="001A5676">
        <w:rPr>
          <w:rFonts w:ascii="Arial" w:hAnsi="Arial" w:cs="Arial"/>
          <w:noProof/>
        </w:rPr>
        <w:drawing>
          <wp:inline distT="0" distB="0" distL="0" distR="0" wp14:anchorId="091AB513" wp14:editId="60A15E63">
            <wp:extent cx="4661210" cy="2412008"/>
            <wp:effectExtent l="0" t="0" r="6350" b="7620"/>
            <wp:docPr id="30" name="Graphique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39CC61" w14:textId="0A800162" w:rsidR="001A5676" w:rsidRPr="00EE7F92" w:rsidRDefault="001A5676" w:rsidP="001A5676">
      <w:pPr>
        <w:pStyle w:val="Body"/>
        <w:spacing w:after="0"/>
        <w:rPr>
          <w:rFonts w:ascii="Arial" w:hAnsi="Arial" w:cs="Arial"/>
          <w:b/>
          <w:bCs/>
          <w:i/>
          <w:iCs/>
        </w:rPr>
      </w:pPr>
      <w:bookmarkStart w:id="46" w:name="_Toc138056793"/>
      <w:r w:rsidRPr="00EE7F92">
        <w:rPr>
          <w:rFonts w:ascii="Arial" w:hAnsi="Arial" w:cs="Arial"/>
          <w:b/>
          <w:bCs/>
          <w:i/>
          <w:iCs/>
        </w:rPr>
        <w:t xml:space="preserve">Figure 1: Variation in the percentage reduction of </w:t>
      </w:r>
      <w:r w:rsidR="00CA16D7" w:rsidRPr="00CA16D7">
        <w:rPr>
          <w:rFonts w:ascii="Arial" w:hAnsi="Arial" w:cs="Arial"/>
          <w:b/>
          <w:bCs/>
          <w:i/>
          <w:iCs/>
        </w:rPr>
        <w:t xml:space="preserve">Garcinia mangostana </w:t>
      </w:r>
      <w:r w:rsidRPr="00EE7F92">
        <w:rPr>
          <w:rFonts w:ascii="Arial" w:hAnsi="Arial" w:cs="Arial"/>
          <w:b/>
          <w:bCs/>
          <w:i/>
          <w:iCs/>
        </w:rPr>
        <w:t xml:space="preserve"> L. extracts , vitamin C, and BHT with respect to iron (Fr 3+ ) as a function of concentration</w:t>
      </w:r>
      <w:bookmarkEnd w:id="46"/>
    </w:p>
    <w:p w14:paraId="5B625C29" w14:textId="77777777" w:rsidR="001A5676" w:rsidRDefault="001A5676" w:rsidP="001A5676">
      <w:pPr>
        <w:pStyle w:val="Body"/>
        <w:spacing w:after="0"/>
        <w:rPr>
          <w:rFonts w:ascii="Arial" w:hAnsi="Arial" w:cs="Arial"/>
          <w:i/>
          <w:iCs/>
        </w:rPr>
      </w:pPr>
      <w:r w:rsidRPr="001A5676">
        <w:rPr>
          <w:rFonts w:ascii="Arial" w:hAnsi="Arial" w:cs="Arial"/>
          <w:i/>
          <w:iCs/>
        </w:rPr>
        <w:t>Dec ED : Aqueous decoction; Mac ED : Aqueous maceration; ED+AC : Hydroethanolic maceration; Vit C : Vitamin C; BHT : Butyl Hydroxy Toluene.</w:t>
      </w:r>
    </w:p>
    <w:p w14:paraId="163BD972" w14:textId="77777777" w:rsidR="001A5676" w:rsidRPr="001A5676" w:rsidRDefault="001A5676" w:rsidP="001A5676">
      <w:pPr>
        <w:pStyle w:val="Body"/>
        <w:spacing w:after="0"/>
        <w:rPr>
          <w:rFonts w:ascii="Arial" w:hAnsi="Arial" w:cs="Arial"/>
          <w:i/>
          <w:iCs/>
        </w:rPr>
      </w:pPr>
    </w:p>
    <w:p w14:paraId="67767034" w14:textId="2AE98D83" w:rsidR="001A5676" w:rsidRPr="001A5676" w:rsidRDefault="001A5676" w:rsidP="001A5676">
      <w:pPr>
        <w:pStyle w:val="Body"/>
        <w:spacing w:after="0"/>
        <w:rPr>
          <w:rFonts w:ascii="Arial" w:hAnsi="Arial" w:cs="Arial"/>
        </w:rPr>
      </w:pPr>
      <w:r w:rsidRPr="001A5676">
        <w:rPr>
          <w:rFonts w:ascii="Arial" w:hAnsi="Arial" w:cs="Arial"/>
        </w:rPr>
        <w:t xml:space="preserve">From Figure 1, we can see that the trapping percentages increase with extract concentrations. These percentages allowed us to obtain the IC50, EC50, and PA values, which are shown in Table </w:t>
      </w:r>
      <w:r w:rsidR="007C29E0">
        <w:rPr>
          <w:rFonts w:ascii="Arial" w:hAnsi="Arial" w:cs="Arial"/>
        </w:rPr>
        <w:t>5</w:t>
      </w:r>
      <w:r w:rsidRPr="001A5676">
        <w:rPr>
          <w:rFonts w:ascii="Arial" w:hAnsi="Arial" w:cs="Arial"/>
        </w:rPr>
        <w:t xml:space="preserve"> below.</w:t>
      </w:r>
    </w:p>
    <w:p w14:paraId="45BB6D88" w14:textId="77777777" w:rsidR="001A5676" w:rsidRPr="001A5676" w:rsidRDefault="001A5676" w:rsidP="001A5676">
      <w:pPr>
        <w:pStyle w:val="Body"/>
        <w:spacing w:after="0"/>
        <w:rPr>
          <w:rFonts w:ascii="Arial" w:hAnsi="Arial" w:cs="Arial"/>
        </w:rPr>
      </w:pPr>
      <w:bookmarkStart w:id="47" w:name="_Toc137923800"/>
    </w:p>
    <w:p w14:paraId="4265D0CC" w14:textId="049EE92C" w:rsidR="001A5676" w:rsidRPr="00EE7F92" w:rsidRDefault="001A5676" w:rsidP="001A5676">
      <w:pPr>
        <w:pStyle w:val="Body"/>
        <w:spacing w:after="0"/>
        <w:rPr>
          <w:rFonts w:ascii="Arial" w:hAnsi="Arial" w:cs="Arial"/>
          <w:b/>
          <w:bCs/>
        </w:rPr>
      </w:pPr>
      <w:r w:rsidRPr="00EE7F92">
        <w:rPr>
          <w:rFonts w:ascii="Arial" w:hAnsi="Arial" w:cs="Arial"/>
          <w:b/>
          <w:bCs/>
        </w:rPr>
        <w:t xml:space="preserve">Table 5: Antioxidant activities of </w:t>
      </w:r>
      <w:r w:rsidR="00CA16D7" w:rsidRPr="00CA16D7">
        <w:rPr>
          <w:rFonts w:ascii="Arial" w:hAnsi="Arial" w:cs="Arial"/>
          <w:b/>
          <w:bCs/>
          <w:i/>
          <w:iCs/>
        </w:rPr>
        <w:t xml:space="preserve">Garcinia mangostana </w:t>
      </w:r>
      <w:r w:rsidRPr="00EE7F92">
        <w:rPr>
          <w:rFonts w:ascii="Arial" w:hAnsi="Arial" w:cs="Arial"/>
          <w:b/>
          <w:bCs/>
        </w:rPr>
        <w:t xml:space="preserve"> L. extracts : IC</w:t>
      </w:r>
      <w:commentRangeStart w:id="48"/>
      <w:r w:rsidRPr="00EE7F92">
        <w:rPr>
          <w:rFonts w:ascii="Arial" w:hAnsi="Arial" w:cs="Arial"/>
          <w:b/>
          <w:bCs/>
        </w:rPr>
        <w:t>50</w:t>
      </w:r>
      <w:commentRangeEnd w:id="48"/>
      <w:r w:rsidR="004514DD" w:rsidRPr="00EE7F92">
        <w:rPr>
          <w:rStyle w:val="CommentReference"/>
          <w:rFonts w:ascii="Arial" w:hAnsi="Arial" w:cs="Arial"/>
          <w:b/>
          <w:bCs/>
          <w:sz w:val="20"/>
          <w:szCs w:val="20"/>
        </w:rPr>
        <w:commentReference w:id="48"/>
      </w:r>
      <w:r w:rsidRPr="00EE7F92">
        <w:rPr>
          <w:rFonts w:ascii="Arial" w:hAnsi="Arial" w:cs="Arial"/>
          <w:b/>
          <w:bCs/>
        </w:rPr>
        <w:t xml:space="preserve"> , EC50 and PA values obtained by the FRAP method</w:t>
      </w:r>
      <w:bookmarkEnd w:id="47"/>
    </w:p>
    <w:tbl>
      <w:tblPr>
        <w:tblW w:w="0" w:type="auto"/>
        <w:tblBorders>
          <w:top w:val="single" w:sz="4" w:space="0" w:color="auto"/>
          <w:bottom w:val="single" w:sz="4" w:space="0" w:color="auto"/>
        </w:tblBorders>
        <w:tblLook w:val="04A0" w:firstRow="1" w:lastRow="0" w:firstColumn="1" w:lastColumn="0" w:noHBand="0" w:noVBand="1"/>
      </w:tblPr>
      <w:tblGrid>
        <w:gridCol w:w="2070"/>
        <w:gridCol w:w="2050"/>
        <w:gridCol w:w="2060"/>
        <w:gridCol w:w="2028"/>
      </w:tblGrid>
      <w:tr w:rsidR="001A5676" w:rsidRPr="001A5676" w14:paraId="5CF77173" w14:textId="77777777" w:rsidTr="004A2F47">
        <w:trPr>
          <w:trHeight w:hRule="exact" w:val="447"/>
        </w:trPr>
        <w:tc>
          <w:tcPr>
            <w:tcW w:w="2224" w:type="dxa"/>
            <w:tcBorders>
              <w:top w:val="single" w:sz="4" w:space="0" w:color="auto"/>
              <w:bottom w:val="single" w:sz="4" w:space="0" w:color="auto"/>
            </w:tcBorders>
          </w:tcPr>
          <w:p w14:paraId="57080C82" w14:textId="77777777" w:rsidR="001A5676" w:rsidRPr="001A5676" w:rsidRDefault="001A5676" w:rsidP="001A5676">
            <w:pPr>
              <w:pStyle w:val="Body"/>
              <w:spacing w:after="0"/>
              <w:rPr>
                <w:rFonts w:ascii="Arial" w:hAnsi="Arial" w:cs="Arial"/>
              </w:rPr>
            </w:pPr>
            <w:r w:rsidRPr="001A5676">
              <w:rPr>
                <w:rFonts w:ascii="Arial" w:hAnsi="Arial" w:cs="Arial"/>
              </w:rPr>
              <w:t>Extract</w:t>
            </w:r>
          </w:p>
        </w:tc>
        <w:tc>
          <w:tcPr>
            <w:tcW w:w="2202" w:type="dxa"/>
            <w:tcBorders>
              <w:top w:val="single" w:sz="4" w:space="0" w:color="auto"/>
              <w:bottom w:val="single" w:sz="4" w:space="0" w:color="auto"/>
            </w:tcBorders>
          </w:tcPr>
          <w:p w14:paraId="6AD4AE5E" w14:textId="77777777" w:rsidR="001A5676" w:rsidRPr="001A5676" w:rsidRDefault="001A5676" w:rsidP="001A5676">
            <w:pPr>
              <w:pStyle w:val="Body"/>
              <w:spacing w:after="0"/>
              <w:rPr>
                <w:rFonts w:ascii="Arial" w:hAnsi="Arial" w:cs="Arial"/>
              </w:rPr>
            </w:pPr>
            <w:r w:rsidRPr="001A5676">
              <w:rPr>
                <w:rFonts w:ascii="Arial" w:hAnsi="Arial" w:cs="Arial"/>
              </w:rPr>
              <w:t>IC 50 (µg/ml)</w:t>
            </w:r>
          </w:p>
        </w:tc>
        <w:tc>
          <w:tcPr>
            <w:tcW w:w="2199" w:type="dxa"/>
            <w:tcBorders>
              <w:top w:val="single" w:sz="4" w:space="0" w:color="auto"/>
              <w:bottom w:val="single" w:sz="4" w:space="0" w:color="auto"/>
            </w:tcBorders>
          </w:tcPr>
          <w:p w14:paraId="7C322F80" w14:textId="77777777" w:rsidR="001A5676" w:rsidRPr="001A5676" w:rsidRDefault="001A5676" w:rsidP="001A5676">
            <w:pPr>
              <w:pStyle w:val="Body"/>
              <w:spacing w:after="0"/>
              <w:rPr>
                <w:rFonts w:ascii="Arial" w:hAnsi="Arial" w:cs="Arial"/>
              </w:rPr>
            </w:pPr>
            <w:r w:rsidRPr="001A5676">
              <w:rPr>
                <w:rFonts w:ascii="Arial" w:hAnsi="Arial" w:cs="Arial"/>
              </w:rPr>
              <w:t>EC 50 (µg/mol)</w:t>
            </w:r>
          </w:p>
        </w:tc>
        <w:tc>
          <w:tcPr>
            <w:tcW w:w="2163" w:type="dxa"/>
            <w:tcBorders>
              <w:top w:val="single" w:sz="4" w:space="0" w:color="auto"/>
              <w:bottom w:val="single" w:sz="4" w:space="0" w:color="auto"/>
            </w:tcBorders>
          </w:tcPr>
          <w:p w14:paraId="2C553C4F" w14:textId="77777777" w:rsidR="001A5676" w:rsidRPr="001A5676" w:rsidRDefault="001A5676" w:rsidP="001A5676">
            <w:pPr>
              <w:pStyle w:val="Body"/>
              <w:spacing w:after="0"/>
              <w:rPr>
                <w:rFonts w:ascii="Arial" w:hAnsi="Arial" w:cs="Arial"/>
              </w:rPr>
            </w:pPr>
            <w:r w:rsidRPr="001A5676">
              <w:rPr>
                <w:rFonts w:ascii="Arial" w:hAnsi="Arial" w:cs="Arial"/>
              </w:rPr>
              <w:t>PA (mol/µg)</w:t>
            </w:r>
          </w:p>
        </w:tc>
      </w:tr>
      <w:tr w:rsidR="001A5676" w:rsidRPr="001A5676" w14:paraId="029CEA9D" w14:textId="77777777" w:rsidTr="004A2F47">
        <w:trPr>
          <w:trHeight w:hRule="exact" w:val="340"/>
        </w:trPr>
        <w:tc>
          <w:tcPr>
            <w:tcW w:w="2224" w:type="dxa"/>
            <w:tcBorders>
              <w:top w:val="single" w:sz="4" w:space="0" w:color="auto"/>
            </w:tcBorders>
          </w:tcPr>
          <w:p w14:paraId="1BC81EF3" w14:textId="77777777" w:rsidR="001A5676" w:rsidRPr="001A5676" w:rsidRDefault="001A5676" w:rsidP="001A5676">
            <w:pPr>
              <w:pStyle w:val="Body"/>
              <w:spacing w:after="0"/>
              <w:rPr>
                <w:rFonts w:ascii="Arial" w:hAnsi="Arial" w:cs="Arial"/>
              </w:rPr>
            </w:pPr>
            <w:r w:rsidRPr="001A5676">
              <w:rPr>
                <w:rFonts w:ascii="Arial" w:hAnsi="Arial" w:cs="Arial"/>
              </w:rPr>
              <w:t>DAq</w:t>
            </w:r>
          </w:p>
        </w:tc>
        <w:tc>
          <w:tcPr>
            <w:tcW w:w="2202" w:type="dxa"/>
            <w:tcBorders>
              <w:top w:val="single" w:sz="4" w:space="0" w:color="auto"/>
            </w:tcBorders>
          </w:tcPr>
          <w:p w14:paraId="6757FF68" w14:textId="77777777" w:rsidR="001A5676" w:rsidRPr="001A5676" w:rsidRDefault="001A5676" w:rsidP="001A5676">
            <w:pPr>
              <w:pStyle w:val="Body"/>
              <w:spacing w:after="0"/>
              <w:rPr>
                <w:rFonts w:ascii="Arial" w:hAnsi="Arial" w:cs="Arial"/>
              </w:rPr>
            </w:pPr>
            <w:r w:rsidRPr="001A5676">
              <w:rPr>
                <w:rFonts w:ascii="Arial" w:hAnsi="Arial" w:cs="Arial"/>
              </w:rPr>
              <w:t>22,48</w:t>
            </w:r>
          </w:p>
        </w:tc>
        <w:tc>
          <w:tcPr>
            <w:tcW w:w="2199" w:type="dxa"/>
            <w:tcBorders>
              <w:top w:val="single" w:sz="4" w:space="0" w:color="auto"/>
            </w:tcBorders>
          </w:tcPr>
          <w:p w14:paraId="35EE1C49" w14:textId="77777777" w:rsidR="001A5676" w:rsidRPr="001A5676" w:rsidRDefault="001A5676" w:rsidP="001A5676">
            <w:pPr>
              <w:pStyle w:val="Body"/>
              <w:spacing w:after="0"/>
              <w:rPr>
                <w:rFonts w:ascii="Arial" w:hAnsi="Arial" w:cs="Arial"/>
              </w:rPr>
            </w:pPr>
            <w:r w:rsidRPr="001A5676">
              <w:rPr>
                <w:rFonts w:ascii="Arial" w:hAnsi="Arial" w:cs="Arial"/>
              </w:rPr>
              <w:t>2248</w:t>
            </w:r>
          </w:p>
        </w:tc>
        <w:tc>
          <w:tcPr>
            <w:tcW w:w="2163" w:type="dxa"/>
            <w:tcBorders>
              <w:top w:val="single" w:sz="4" w:space="0" w:color="auto"/>
            </w:tcBorders>
          </w:tcPr>
          <w:p w14:paraId="0ABFFEC1" w14:textId="77777777" w:rsidR="001A5676" w:rsidRPr="001A5676" w:rsidRDefault="001A5676" w:rsidP="001A5676">
            <w:pPr>
              <w:pStyle w:val="Body"/>
              <w:spacing w:after="0"/>
              <w:rPr>
                <w:rFonts w:ascii="Arial" w:hAnsi="Arial" w:cs="Arial"/>
              </w:rPr>
            </w:pPr>
            <w:r w:rsidRPr="001A5676">
              <w:rPr>
                <w:rFonts w:ascii="Arial" w:hAnsi="Arial" w:cs="Arial"/>
              </w:rPr>
              <w:t>4,4 × 10-4</w:t>
            </w:r>
          </w:p>
        </w:tc>
      </w:tr>
      <w:tr w:rsidR="001A5676" w:rsidRPr="001A5676" w14:paraId="160DE4F7" w14:textId="77777777" w:rsidTr="004A2F47">
        <w:trPr>
          <w:trHeight w:hRule="exact" w:val="340"/>
        </w:trPr>
        <w:tc>
          <w:tcPr>
            <w:tcW w:w="2224" w:type="dxa"/>
          </w:tcPr>
          <w:p w14:paraId="58E13ADC" w14:textId="77777777" w:rsidR="001A5676" w:rsidRPr="001A5676" w:rsidRDefault="001A5676" w:rsidP="001A5676">
            <w:pPr>
              <w:pStyle w:val="Body"/>
              <w:spacing w:after="0"/>
              <w:rPr>
                <w:rFonts w:ascii="Arial" w:hAnsi="Arial" w:cs="Arial"/>
              </w:rPr>
            </w:pPr>
            <w:r w:rsidRPr="001A5676">
              <w:rPr>
                <w:rFonts w:ascii="Arial" w:hAnsi="Arial" w:cs="Arial"/>
              </w:rPr>
              <w:t>MAq</w:t>
            </w:r>
          </w:p>
        </w:tc>
        <w:tc>
          <w:tcPr>
            <w:tcW w:w="2202" w:type="dxa"/>
          </w:tcPr>
          <w:p w14:paraId="539C021C" w14:textId="77777777" w:rsidR="001A5676" w:rsidRPr="001A5676" w:rsidRDefault="001A5676" w:rsidP="001A5676">
            <w:pPr>
              <w:pStyle w:val="Body"/>
              <w:spacing w:after="0"/>
              <w:rPr>
                <w:rFonts w:ascii="Arial" w:hAnsi="Arial" w:cs="Arial"/>
              </w:rPr>
            </w:pPr>
            <w:r w:rsidRPr="001A5676">
              <w:rPr>
                <w:rFonts w:ascii="Arial" w:hAnsi="Arial" w:cs="Arial"/>
              </w:rPr>
              <w:t>21,25</w:t>
            </w:r>
          </w:p>
        </w:tc>
        <w:tc>
          <w:tcPr>
            <w:tcW w:w="2199" w:type="dxa"/>
          </w:tcPr>
          <w:p w14:paraId="2309C424" w14:textId="77777777" w:rsidR="001A5676" w:rsidRPr="001A5676" w:rsidRDefault="001A5676" w:rsidP="001A5676">
            <w:pPr>
              <w:pStyle w:val="Body"/>
              <w:spacing w:after="0"/>
              <w:rPr>
                <w:rFonts w:ascii="Arial" w:hAnsi="Arial" w:cs="Arial"/>
              </w:rPr>
            </w:pPr>
            <w:r w:rsidRPr="001A5676">
              <w:rPr>
                <w:rFonts w:ascii="Arial" w:hAnsi="Arial" w:cs="Arial"/>
              </w:rPr>
              <w:t>2125</w:t>
            </w:r>
          </w:p>
        </w:tc>
        <w:tc>
          <w:tcPr>
            <w:tcW w:w="2163" w:type="dxa"/>
          </w:tcPr>
          <w:p w14:paraId="48B655FF" w14:textId="77777777" w:rsidR="001A5676" w:rsidRPr="001A5676" w:rsidRDefault="001A5676" w:rsidP="001A5676">
            <w:pPr>
              <w:pStyle w:val="Body"/>
              <w:spacing w:after="0"/>
              <w:rPr>
                <w:rFonts w:ascii="Arial" w:hAnsi="Arial" w:cs="Arial"/>
              </w:rPr>
            </w:pPr>
            <w:r w:rsidRPr="001A5676">
              <w:rPr>
                <w:rFonts w:ascii="Arial" w:hAnsi="Arial" w:cs="Arial"/>
              </w:rPr>
              <w:t>4,7 × 10-4</w:t>
            </w:r>
          </w:p>
        </w:tc>
      </w:tr>
      <w:tr w:rsidR="001A5676" w:rsidRPr="001A5676" w14:paraId="65D07593" w14:textId="77777777" w:rsidTr="004A2F47">
        <w:trPr>
          <w:trHeight w:hRule="exact" w:val="340"/>
        </w:trPr>
        <w:tc>
          <w:tcPr>
            <w:tcW w:w="2224" w:type="dxa"/>
          </w:tcPr>
          <w:p w14:paraId="2E159C97" w14:textId="77777777" w:rsidR="001A5676" w:rsidRPr="001A5676" w:rsidRDefault="001A5676" w:rsidP="001A5676">
            <w:pPr>
              <w:pStyle w:val="Body"/>
              <w:spacing w:after="0"/>
              <w:rPr>
                <w:rFonts w:ascii="Arial" w:hAnsi="Arial" w:cs="Arial"/>
              </w:rPr>
            </w:pPr>
            <w:r w:rsidRPr="001A5676">
              <w:rPr>
                <w:rFonts w:ascii="Arial" w:hAnsi="Arial" w:cs="Arial"/>
              </w:rPr>
              <w:t>MHe</w:t>
            </w:r>
          </w:p>
        </w:tc>
        <w:tc>
          <w:tcPr>
            <w:tcW w:w="2202" w:type="dxa"/>
          </w:tcPr>
          <w:p w14:paraId="0E2523ED" w14:textId="77777777" w:rsidR="001A5676" w:rsidRPr="001A5676" w:rsidRDefault="001A5676" w:rsidP="001A5676">
            <w:pPr>
              <w:pStyle w:val="Body"/>
              <w:spacing w:after="0"/>
              <w:rPr>
                <w:rFonts w:ascii="Arial" w:hAnsi="Arial" w:cs="Arial"/>
              </w:rPr>
            </w:pPr>
            <w:r w:rsidRPr="001A5676">
              <w:rPr>
                <w:rFonts w:ascii="Arial" w:hAnsi="Arial" w:cs="Arial"/>
              </w:rPr>
              <w:t>18,97</w:t>
            </w:r>
          </w:p>
        </w:tc>
        <w:tc>
          <w:tcPr>
            <w:tcW w:w="2199" w:type="dxa"/>
          </w:tcPr>
          <w:p w14:paraId="41DFF11F" w14:textId="77777777" w:rsidR="001A5676" w:rsidRPr="001A5676" w:rsidRDefault="001A5676" w:rsidP="001A5676">
            <w:pPr>
              <w:pStyle w:val="Body"/>
              <w:spacing w:after="0"/>
              <w:rPr>
                <w:rFonts w:ascii="Arial" w:hAnsi="Arial" w:cs="Arial"/>
              </w:rPr>
            </w:pPr>
            <w:r w:rsidRPr="001A5676">
              <w:rPr>
                <w:rFonts w:ascii="Arial" w:hAnsi="Arial" w:cs="Arial"/>
              </w:rPr>
              <w:t>1897</w:t>
            </w:r>
          </w:p>
        </w:tc>
        <w:tc>
          <w:tcPr>
            <w:tcW w:w="2163" w:type="dxa"/>
          </w:tcPr>
          <w:p w14:paraId="47320AAD" w14:textId="77777777" w:rsidR="001A5676" w:rsidRPr="001A5676" w:rsidRDefault="001A5676" w:rsidP="001A5676">
            <w:pPr>
              <w:pStyle w:val="Body"/>
              <w:spacing w:after="0"/>
              <w:rPr>
                <w:rFonts w:ascii="Arial" w:hAnsi="Arial" w:cs="Arial"/>
              </w:rPr>
            </w:pPr>
            <w:r w:rsidRPr="001A5676">
              <w:rPr>
                <w:rFonts w:ascii="Arial" w:hAnsi="Arial" w:cs="Arial"/>
              </w:rPr>
              <w:t>5,2 × 10-4</w:t>
            </w:r>
          </w:p>
        </w:tc>
      </w:tr>
      <w:tr w:rsidR="001A5676" w:rsidRPr="001A5676" w14:paraId="288313DA" w14:textId="77777777" w:rsidTr="004A2F47">
        <w:trPr>
          <w:trHeight w:hRule="exact" w:val="340"/>
        </w:trPr>
        <w:tc>
          <w:tcPr>
            <w:tcW w:w="2224" w:type="dxa"/>
          </w:tcPr>
          <w:p w14:paraId="093B635E" w14:textId="77777777" w:rsidR="001A5676" w:rsidRPr="001A5676" w:rsidRDefault="001A5676" w:rsidP="001A5676">
            <w:pPr>
              <w:pStyle w:val="Body"/>
              <w:spacing w:after="0"/>
              <w:rPr>
                <w:rFonts w:ascii="Arial" w:hAnsi="Arial" w:cs="Arial"/>
              </w:rPr>
            </w:pPr>
            <w:r w:rsidRPr="001A5676">
              <w:rPr>
                <w:rFonts w:ascii="Arial" w:hAnsi="Arial" w:cs="Arial"/>
              </w:rPr>
              <w:t>BHT</w:t>
            </w:r>
          </w:p>
        </w:tc>
        <w:tc>
          <w:tcPr>
            <w:tcW w:w="2202" w:type="dxa"/>
          </w:tcPr>
          <w:p w14:paraId="465FD441" w14:textId="77777777" w:rsidR="001A5676" w:rsidRPr="001A5676" w:rsidRDefault="001A5676" w:rsidP="001A5676">
            <w:pPr>
              <w:pStyle w:val="Body"/>
              <w:spacing w:after="0"/>
              <w:rPr>
                <w:rFonts w:ascii="Arial" w:hAnsi="Arial" w:cs="Arial"/>
              </w:rPr>
            </w:pPr>
            <w:r w:rsidRPr="001A5676">
              <w:rPr>
                <w:rFonts w:ascii="Arial" w:hAnsi="Arial" w:cs="Arial"/>
              </w:rPr>
              <w:t>15,82</w:t>
            </w:r>
          </w:p>
        </w:tc>
        <w:tc>
          <w:tcPr>
            <w:tcW w:w="2199" w:type="dxa"/>
          </w:tcPr>
          <w:p w14:paraId="655EA9E9" w14:textId="77777777" w:rsidR="001A5676" w:rsidRPr="001A5676" w:rsidRDefault="001A5676" w:rsidP="001A5676">
            <w:pPr>
              <w:pStyle w:val="Body"/>
              <w:spacing w:after="0"/>
              <w:rPr>
                <w:rFonts w:ascii="Arial" w:hAnsi="Arial" w:cs="Arial"/>
              </w:rPr>
            </w:pPr>
            <w:r w:rsidRPr="001A5676">
              <w:rPr>
                <w:rFonts w:ascii="Arial" w:hAnsi="Arial" w:cs="Arial"/>
              </w:rPr>
              <w:t>1582</w:t>
            </w:r>
          </w:p>
        </w:tc>
        <w:tc>
          <w:tcPr>
            <w:tcW w:w="2163" w:type="dxa"/>
          </w:tcPr>
          <w:p w14:paraId="7BA949D9" w14:textId="77777777" w:rsidR="001A5676" w:rsidRPr="001A5676" w:rsidRDefault="001A5676" w:rsidP="001A5676">
            <w:pPr>
              <w:pStyle w:val="Body"/>
              <w:spacing w:after="0"/>
              <w:rPr>
                <w:rFonts w:ascii="Arial" w:hAnsi="Arial" w:cs="Arial"/>
              </w:rPr>
            </w:pPr>
            <w:r w:rsidRPr="001A5676">
              <w:rPr>
                <w:rFonts w:ascii="Arial" w:hAnsi="Arial" w:cs="Arial"/>
              </w:rPr>
              <w:t>6,3 × 10-4</w:t>
            </w:r>
          </w:p>
        </w:tc>
      </w:tr>
      <w:tr w:rsidR="001A5676" w:rsidRPr="001A5676" w14:paraId="4EC1A6B0" w14:textId="77777777" w:rsidTr="004A2F47">
        <w:trPr>
          <w:trHeight w:hRule="exact" w:val="340"/>
        </w:trPr>
        <w:tc>
          <w:tcPr>
            <w:tcW w:w="2224" w:type="dxa"/>
          </w:tcPr>
          <w:p w14:paraId="479D5C26" w14:textId="77777777" w:rsidR="001A5676" w:rsidRPr="001A5676" w:rsidRDefault="001A5676" w:rsidP="001A5676">
            <w:pPr>
              <w:pStyle w:val="Body"/>
              <w:spacing w:after="0"/>
              <w:rPr>
                <w:rFonts w:ascii="Arial" w:hAnsi="Arial" w:cs="Arial"/>
              </w:rPr>
            </w:pPr>
            <w:r w:rsidRPr="001A5676">
              <w:rPr>
                <w:rFonts w:ascii="Arial" w:hAnsi="Arial" w:cs="Arial"/>
              </w:rPr>
              <w:t>Vit c</w:t>
            </w:r>
          </w:p>
        </w:tc>
        <w:tc>
          <w:tcPr>
            <w:tcW w:w="2202" w:type="dxa"/>
          </w:tcPr>
          <w:p w14:paraId="7AE5025B" w14:textId="77777777" w:rsidR="001A5676" w:rsidRPr="001A5676" w:rsidRDefault="001A5676" w:rsidP="001A5676">
            <w:pPr>
              <w:pStyle w:val="Body"/>
              <w:spacing w:after="0"/>
              <w:rPr>
                <w:rFonts w:ascii="Arial" w:hAnsi="Arial" w:cs="Arial"/>
              </w:rPr>
            </w:pPr>
            <w:r w:rsidRPr="001A5676">
              <w:rPr>
                <w:rFonts w:ascii="Arial" w:hAnsi="Arial" w:cs="Arial"/>
              </w:rPr>
              <w:t>13,23</w:t>
            </w:r>
          </w:p>
        </w:tc>
        <w:tc>
          <w:tcPr>
            <w:tcW w:w="2199" w:type="dxa"/>
          </w:tcPr>
          <w:p w14:paraId="3E98541F" w14:textId="77777777" w:rsidR="001A5676" w:rsidRPr="001A5676" w:rsidRDefault="001A5676" w:rsidP="001A5676">
            <w:pPr>
              <w:pStyle w:val="Body"/>
              <w:spacing w:after="0"/>
              <w:rPr>
                <w:rFonts w:ascii="Arial" w:hAnsi="Arial" w:cs="Arial"/>
              </w:rPr>
            </w:pPr>
            <w:r w:rsidRPr="001A5676">
              <w:rPr>
                <w:rFonts w:ascii="Arial" w:hAnsi="Arial" w:cs="Arial"/>
              </w:rPr>
              <w:t>1323</w:t>
            </w:r>
          </w:p>
        </w:tc>
        <w:tc>
          <w:tcPr>
            <w:tcW w:w="2163" w:type="dxa"/>
          </w:tcPr>
          <w:p w14:paraId="74DFF4DD" w14:textId="77777777" w:rsidR="001A5676" w:rsidRPr="001A5676" w:rsidRDefault="001A5676" w:rsidP="001A5676">
            <w:pPr>
              <w:pStyle w:val="Body"/>
              <w:spacing w:after="0"/>
              <w:rPr>
                <w:rFonts w:ascii="Arial" w:hAnsi="Arial" w:cs="Arial"/>
              </w:rPr>
            </w:pPr>
            <w:r w:rsidRPr="001A5676">
              <w:rPr>
                <w:rFonts w:ascii="Arial" w:hAnsi="Arial" w:cs="Arial"/>
              </w:rPr>
              <w:t>7,5 × 10-4</w:t>
            </w:r>
          </w:p>
        </w:tc>
      </w:tr>
    </w:tbl>
    <w:p w14:paraId="7624970F" w14:textId="77777777" w:rsidR="001A5676" w:rsidRDefault="001A5676" w:rsidP="001A5676">
      <w:pPr>
        <w:pStyle w:val="Body"/>
        <w:spacing w:after="0"/>
        <w:rPr>
          <w:rFonts w:ascii="Arial" w:hAnsi="Arial" w:cs="Arial"/>
          <w:i/>
          <w:iCs/>
        </w:rPr>
      </w:pPr>
      <w:r w:rsidRPr="00EE7F92">
        <w:rPr>
          <w:rFonts w:ascii="Arial" w:hAnsi="Arial" w:cs="Arial"/>
          <w:i/>
          <w:iCs/>
        </w:rPr>
        <w:lastRenderedPageBreak/>
        <w:t>Dec ED : Aqueous decoction; Mac ED : Aqueous maceration; ED+AC : Hydroethanolic maceration; Vit C : Vitamin C; BHT : Butyl Hydroxy Toluene.</w:t>
      </w:r>
    </w:p>
    <w:p w14:paraId="418D46D0" w14:textId="77777777" w:rsidR="00EE7F92" w:rsidRPr="00EE7F92" w:rsidRDefault="00EE7F92" w:rsidP="001A5676">
      <w:pPr>
        <w:pStyle w:val="Body"/>
        <w:spacing w:after="0"/>
        <w:rPr>
          <w:rFonts w:ascii="Arial" w:hAnsi="Arial" w:cs="Arial"/>
          <w:i/>
          <w:iCs/>
        </w:rPr>
      </w:pPr>
    </w:p>
    <w:p w14:paraId="74C41494" w14:textId="77777777" w:rsidR="001A5676" w:rsidRDefault="001A5676" w:rsidP="001A5676">
      <w:pPr>
        <w:pStyle w:val="Body"/>
        <w:spacing w:after="0"/>
        <w:rPr>
          <w:rFonts w:ascii="Arial" w:hAnsi="Arial" w:cs="Arial"/>
        </w:rPr>
      </w:pPr>
      <w:r w:rsidRPr="001A5676">
        <w:rPr>
          <w:rFonts w:ascii="Arial" w:hAnsi="Arial" w:cs="Arial"/>
        </w:rPr>
        <w:t>According to Table 5, the hydroethanolic extract with an IC50 &lt; 20 µg/ml exhibits strong antioxidant activity. Aqueous extracts with IC50 &lt; 20 µg/ml, on the other hand, have moderate activity. The hydroethanolic extract demonstrates the best inhibition with an IC50 of 18.97 µg/ml compared to aqueous extracts including aqueous decoction (IC50 of 22.48) and aqueous maceration (IC50 of 21.25) respectively. Its free radical scavenging capacity is 1.18 times greater than that of the extract obtained by aqueous decoction and 1.12 times greater than that of the extract obtained by aqueous maceration. The hydroethanolic extract exhibits superior free radical scavenging activity compared to aqueous extracts. Since vitamin C and BHT are reference compounds, the free radical scavenging capacity of the hydroethanolic extract is closer to that of BHT.</w:t>
      </w:r>
    </w:p>
    <w:p w14:paraId="66A90AAF" w14:textId="77777777" w:rsidR="00EE7F92" w:rsidRPr="001A5676" w:rsidRDefault="00EE7F92" w:rsidP="001A5676">
      <w:pPr>
        <w:pStyle w:val="Body"/>
        <w:spacing w:after="0"/>
        <w:rPr>
          <w:rFonts w:ascii="Arial" w:hAnsi="Arial" w:cs="Arial"/>
        </w:rPr>
      </w:pPr>
    </w:p>
    <w:p w14:paraId="215674F8" w14:textId="4B7BDEEE" w:rsidR="001A5676" w:rsidRPr="00EE7F92" w:rsidRDefault="00EE7F92" w:rsidP="001A5676">
      <w:pPr>
        <w:pStyle w:val="Body"/>
        <w:spacing w:after="0"/>
        <w:rPr>
          <w:rFonts w:ascii="Arial" w:hAnsi="Arial" w:cs="Arial"/>
          <w:b/>
          <w:bCs/>
        </w:rPr>
      </w:pPr>
      <w:bookmarkStart w:id="49" w:name="_Toc137924744"/>
      <w:r>
        <w:rPr>
          <w:rFonts w:ascii="Arial" w:hAnsi="Arial" w:cs="Arial"/>
          <w:b/>
          <w:bCs/>
        </w:rPr>
        <w:t>3</w:t>
      </w:r>
      <w:r w:rsidR="001A5676" w:rsidRPr="00EE7F92">
        <w:rPr>
          <w:rFonts w:ascii="Arial" w:hAnsi="Arial" w:cs="Arial"/>
          <w:b/>
          <w:bCs/>
        </w:rPr>
        <w:t>.3.2. DPPH (1,1-diphenyl-2-picrylhydrazyl) radical trapping</w:t>
      </w:r>
      <w:bookmarkEnd w:id="49"/>
    </w:p>
    <w:p w14:paraId="0CD203AC" w14:textId="77777777" w:rsidR="001A5676" w:rsidRPr="001A5676" w:rsidRDefault="001A5676" w:rsidP="001A5676">
      <w:pPr>
        <w:pStyle w:val="Body"/>
        <w:spacing w:after="0"/>
        <w:rPr>
          <w:rFonts w:ascii="Arial" w:hAnsi="Arial" w:cs="Arial"/>
        </w:rPr>
      </w:pPr>
      <w:r w:rsidRPr="001A5676">
        <w:rPr>
          <w:rFonts w:ascii="Arial" w:hAnsi="Arial" w:cs="Arial"/>
        </w:rPr>
        <w:t>The free radical scavenging activity was determined by evaluating the percentages of DPPH scavenging as a function of different extract concentrations and references (vitamin C, BHT). The results obtained are shown in the figure below:</w:t>
      </w:r>
    </w:p>
    <w:p w14:paraId="6FE38C16" w14:textId="77777777" w:rsidR="001A5676" w:rsidRPr="001A5676" w:rsidRDefault="001A5676" w:rsidP="001A5676">
      <w:pPr>
        <w:pStyle w:val="Body"/>
        <w:spacing w:after="0"/>
        <w:rPr>
          <w:rFonts w:ascii="Arial" w:hAnsi="Arial" w:cs="Arial"/>
        </w:rPr>
      </w:pPr>
      <w:r w:rsidRPr="001A5676">
        <w:rPr>
          <w:rFonts w:ascii="Arial" w:hAnsi="Arial" w:cs="Arial"/>
          <w:noProof/>
        </w:rPr>
        <w:drawing>
          <wp:inline distT="0" distB="0" distL="0" distR="0" wp14:anchorId="29AED68E" wp14:editId="3369D037">
            <wp:extent cx="5280454" cy="2767330"/>
            <wp:effectExtent l="0" t="0" r="15875" b="13970"/>
            <wp:docPr id="31" name="Graphique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7822773" w14:textId="1A29183A" w:rsidR="001A5676" w:rsidRPr="00EE7F92" w:rsidRDefault="001A5676" w:rsidP="001A5676">
      <w:pPr>
        <w:pStyle w:val="Body"/>
        <w:spacing w:after="0"/>
        <w:rPr>
          <w:rFonts w:ascii="Arial" w:hAnsi="Arial" w:cs="Arial"/>
          <w:b/>
          <w:bCs/>
          <w:i/>
          <w:iCs/>
        </w:rPr>
      </w:pPr>
      <w:bookmarkStart w:id="50" w:name="_Toc138056794"/>
      <w:r w:rsidRPr="00EE7F92">
        <w:rPr>
          <w:rFonts w:ascii="Arial" w:hAnsi="Arial" w:cs="Arial"/>
          <w:b/>
          <w:bCs/>
          <w:i/>
          <w:iCs/>
        </w:rPr>
        <w:t xml:space="preserve">Figure 2: Variation in the percentage of DPPH scavenging as a function of the concentration of </w:t>
      </w:r>
      <w:r w:rsidR="00CA16D7" w:rsidRPr="00CA16D7">
        <w:rPr>
          <w:rFonts w:ascii="Arial" w:hAnsi="Arial" w:cs="Arial"/>
          <w:b/>
          <w:bCs/>
          <w:i/>
          <w:iCs/>
        </w:rPr>
        <w:t xml:space="preserve">Garcinia mangostana </w:t>
      </w:r>
      <w:r w:rsidRPr="00EE7F92">
        <w:rPr>
          <w:rFonts w:ascii="Arial" w:hAnsi="Arial" w:cs="Arial"/>
          <w:b/>
          <w:bCs/>
          <w:i/>
          <w:iCs/>
        </w:rPr>
        <w:t xml:space="preserve"> L. extracts , Vit C and BHT</w:t>
      </w:r>
      <w:bookmarkEnd w:id="50"/>
    </w:p>
    <w:p w14:paraId="27301935" w14:textId="77777777" w:rsidR="001A5676" w:rsidRPr="00EE7F92" w:rsidRDefault="001A5676" w:rsidP="001A5676">
      <w:pPr>
        <w:pStyle w:val="Body"/>
        <w:spacing w:after="0"/>
        <w:rPr>
          <w:rFonts w:ascii="Arial" w:hAnsi="Arial" w:cs="Arial"/>
          <w:i/>
          <w:iCs/>
        </w:rPr>
      </w:pPr>
      <w:r w:rsidRPr="00EE7F92">
        <w:rPr>
          <w:rFonts w:ascii="Arial" w:hAnsi="Arial" w:cs="Arial"/>
          <w:i/>
          <w:iCs/>
        </w:rPr>
        <w:t>Dec ED : Aqueous decoction; Mac ED : Aqueous maceration; ED+AC : Hydroethanolic maceration; Vit C : Vitamin C; BHT : Butyl Hydroxy Toluene.</w:t>
      </w:r>
    </w:p>
    <w:p w14:paraId="7B43C318" w14:textId="77777777" w:rsidR="001A5676" w:rsidRDefault="001A5676" w:rsidP="001A5676">
      <w:pPr>
        <w:pStyle w:val="Body"/>
        <w:spacing w:after="0"/>
        <w:rPr>
          <w:rFonts w:ascii="Arial" w:hAnsi="Arial" w:cs="Arial"/>
        </w:rPr>
      </w:pPr>
      <w:r w:rsidRPr="001A5676">
        <w:rPr>
          <w:rFonts w:ascii="Arial" w:hAnsi="Arial" w:cs="Arial"/>
        </w:rPr>
        <w:t>Figure 2 shows that the trapping percentages increase with extract concentrations. These inhibition percentages yielded the IC50, EC50, and PA values shown in Table 6.</w:t>
      </w:r>
    </w:p>
    <w:p w14:paraId="167F93B7" w14:textId="77777777" w:rsidR="00EE7F92" w:rsidRPr="001A5676" w:rsidRDefault="00EE7F92" w:rsidP="001A5676">
      <w:pPr>
        <w:pStyle w:val="Body"/>
        <w:spacing w:after="0"/>
        <w:rPr>
          <w:rFonts w:ascii="Arial" w:hAnsi="Arial" w:cs="Arial"/>
        </w:rPr>
      </w:pPr>
    </w:p>
    <w:p w14:paraId="3007241B" w14:textId="77777777" w:rsidR="001A5676" w:rsidRPr="00EE7F92" w:rsidRDefault="001A5676" w:rsidP="001A5676">
      <w:pPr>
        <w:pStyle w:val="Body"/>
        <w:spacing w:after="0"/>
        <w:rPr>
          <w:rFonts w:ascii="Arial" w:hAnsi="Arial" w:cs="Arial"/>
          <w:b/>
          <w:bCs/>
          <w:i/>
          <w:iCs/>
        </w:rPr>
      </w:pPr>
      <w:bookmarkStart w:id="51" w:name="_Toc137921297"/>
      <w:bookmarkStart w:id="52" w:name="_Toc137923801"/>
      <w:r w:rsidRPr="00EE7F92">
        <w:rPr>
          <w:rFonts w:ascii="Arial" w:hAnsi="Arial" w:cs="Arial"/>
          <w:b/>
          <w:bCs/>
          <w:i/>
          <w:iCs/>
        </w:rPr>
        <w:t>Table 6: IC50, EC50 and PA values obtained by the DPPH method</w:t>
      </w:r>
      <w:bookmarkEnd w:id="51"/>
      <w:bookmarkEnd w:id="52"/>
    </w:p>
    <w:tbl>
      <w:tblPr>
        <w:tblW w:w="0" w:type="auto"/>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045"/>
        <w:gridCol w:w="2035"/>
        <w:gridCol w:w="2064"/>
        <w:gridCol w:w="2064"/>
      </w:tblGrid>
      <w:tr w:rsidR="001A5676" w:rsidRPr="001A5676" w14:paraId="22FDA869" w14:textId="77777777" w:rsidTr="004A2F47">
        <w:trPr>
          <w:trHeight w:val="308"/>
        </w:trPr>
        <w:tc>
          <w:tcPr>
            <w:tcW w:w="2471" w:type="dxa"/>
            <w:tcBorders>
              <w:top w:val="single" w:sz="4" w:space="0" w:color="auto"/>
              <w:bottom w:val="single" w:sz="4" w:space="0" w:color="auto"/>
            </w:tcBorders>
            <w:shd w:val="clear" w:color="auto" w:fill="FFFFFF" w:themeFill="background1"/>
          </w:tcPr>
          <w:p w14:paraId="1D00FD8C" w14:textId="77777777" w:rsidR="001A5676" w:rsidRPr="001A5676" w:rsidRDefault="001A5676" w:rsidP="001A5676">
            <w:pPr>
              <w:pStyle w:val="Body"/>
              <w:spacing w:after="0"/>
              <w:rPr>
                <w:rFonts w:ascii="Arial" w:hAnsi="Arial" w:cs="Arial"/>
              </w:rPr>
            </w:pPr>
            <w:r w:rsidRPr="001A5676">
              <w:rPr>
                <w:rFonts w:ascii="Arial" w:hAnsi="Arial" w:cs="Arial"/>
              </w:rPr>
              <w:t>Extract</w:t>
            </w:r>
          </w:p>
        </w:tc>
        <w:tc>
          <w:tcPr>
            <w:tcW w:w="2472" w:type="dxa"/>
            <w:tcBorders>
              <w:top w:val="single" w:sz="4" w:space="0" w:color="auto"/>
              <w:bottom w:val="single" w:sz="4" w:space="0" w:color="auto"/>
            </w:tcBorders>
            <w:shd w:val="clear" w:color="auto" w:fill="FFFFFF" w:themeFill="background1"/>
          </w:tcPr>
          <w:p w14:paraId="4A0BA040" w14:textId="77777777" w:rsidR="001A5676" w:rsidRPr="001A5676" w:rsidRDefault="001A5676" w:rsidP="001A5676">
            <w:pPr>
              <w:pStyle w:val="Body"/>
              <w:spacing w:after="0"/>
              <w:rPr>
                <w:rFonts w:ascii="Arial" w:hAnsi="Arial" w:cs="Arial"/>
              </w:rPr>
            </w:pPr>
            <w:r w:rsidRPr="001A5676">
              <w:rPr>
                <w:rFonts w:ascii="Arial" w:hAnsi="Arial" w:cs="Arial"/>
              </w:rPr>
              <w:t>IC 50 (µg/ml)</w:t>
            </w:r>
          </w:p>
        </w:tc>
        <w:tc>
          <w:tcPr>
            <w:tcW w:w="2472" w:type="dxa"/>
            <w:tcBorders>
              <w:top w:val="single" w:sz="4" w:space="0" w:color="auto"/>
              <w:bottom w:val="single" w:sz="4" w:space="0" w:color="auto"/>
            </w:tcBorders>
            <w:shd w:val="clear" w:color="auto" w:fill="FFFFFF" w:themeFill="background1"/>
          </w:tcPr>
          <w:p w14:paraId="3B0FA086" w14:textId="77777777" w:rsidR="001A5676" w:rsidRPr="001A5676" w:rsidRDefault="001A5676" w:rsidP="001A5676">
            <w:pPr>
              <w:pStyle w:val="Body"/>
              <w:spacing w:after="0"/>
              <w:rPr>
                <w:rFonts w:ascii="Arial" w:hAnsi="Arial" w:cs="Arial"/>
              </w:rPr>
            </w:pPr>
            <w:r w:rsidRPr="001A5676">
              <w:rPr>
                <w:rFonts w:ascii="Arial" w:hAnsi="Arial" w:cs="Arial"/>
              </w:rPr>
              <w:t>EC 50 (µg/mol)</w:t>
            </w:r>
          </w:p>
        </w:tc>
        <w:tc>
          <w:tcPr>
            <w:tcW w:w="2472" w:type="dxa"/>
            <w:tcBorders>
              <w:top w:val="single" w:sz="4" w:space="0" w:color="auto"/>
              <w:bottom w:val="single" w:sz="4" w:space="0" w:color="auto"/>
            </w:tcBorders>
            <w:shd w:val="clear" w:color="auto" w:fill="FFFFFF" w:themeFill="background1"/>
          </w:tcPr>
          <w:p w14:paraId="618E1662" w14:textId="77777777" w:rsidR="001A5676" w:rsidRPr="001A5676" w:rsidRDefault="001A5676" w:rsidP="001A5676">
            <w:pPr>
              <w:pStyle w:val="Body"/>
              <w:spacing w:after="0"/>
              <w:rPr>
                <w:rFonts w:ascii="Arial" w:hAnsi="Arial" w:cs="Arial"/>
              </w:rPr>
            </w:pPr>
            <w:r w:rsidRPr="001A5676">
              <w:rPr>
                <w:rFonts w:ascii="Arial" w:hAnsi="Arial" w:cs="Arial"/>
              </w:rPr>
              <w:t>PA (mol/µg)</w:t>
            </w:r>
          </w:p>
        </w:tc>
      </w:tr>
      <w:tr w:rsidR="001A5676" w:rsidRPr="001A5676" w14:paraId="0F60BD59" w14:textId="77777777" w:rsidTr="004A2F47">
        <w:tc>
          <w:tcPr>
            <w:tcW w:w="2471" w:type="dxa"/>
            <w:tcBorders>
              <w:top w:val="single" w:sz="4" w:space="0" w:color="auto"/>
            </w:tcBorders>
            <w:shd w:val="clear" w:color="auto" w:fill="FFFFFF" w:themeFill="background1"/>
          </w:tcPr>
          <w:p w14:paraId="783292D1" w14:textId="77777777" w:rsidR="001A5676" w:rsidRPr="001A5676" w:rsidRDefault="001A5676" w:rsidP="001A5676">
            <w:pPr>
              <w:pStyle w:val="Body"/>
              <w:spacing w:after="0"/>
              <w:rPr>
                <w:rFonts w:ascii="Arial" w:hAnsi="Arial" w:cs="Arial"/>
              </w:rPr>
            </w:pPr>
            <w:r w:rsidRPr="001A5676">
              <w:rPr>
                <w:rFonts w:ascii="Arial" w:hAnsi="Arial" w:cs="Arial"/>
              </w:rPr>
              <w:t>DAq</w:t>
            </w:r>
          </w:p>
        </w:tc>
        <w:tc>
          <w:tcPr>
            <w:tcW w:w="2472" w:type="dxa"/>
            <w:tcBorders>
              <w:top w:val="single" w:sz="4" w:space="0" w:color="auto"/>
            </w:tcBorders>
            <w:shd w:val="clear" w:color="auto" w:fill="FFFFFF" w:themeFill="background1"/>
          </w:tcPr>
          <w:p w14:paraId="4737517D" w14:textId="77777777" w:rsidR="001A5676" w:rsidRPr="001A5676" w:rsidRDefault="001A5676" w:rsidP="001A5676">
            <w:pPr>
              <w:pStyle w:val="Body"/>
              <w:spacing w:after="0"/>
              <w:rPr>
                <w:rFonts w:ascii="Arial" w:hAnsi="Arial" w:cs="Arial"/>
              </w:rPr>
            </w:pPr>
            <w:r w:rsidRPr="001A5676">
              <w:rPr>
                <w:rFonts w:ascii="Arial" w:hAnsi="Arial" w:cs="Arial"/>
              </w:rPr>
              <w:t>17.12</w:t>
            </w:r>
          </w:p>
        </w:tc>
        <w:tc>
          <w:tcPr>
            <w:tcW w:w="2472" w:type="dxa"/>
            <w:tcBorders>
              <w:top w:val="single" w:sz="4" w:space="0" w:color="auto"/>
            </w:tcBorders>
            <w:shd w:val="clear" w:color="auto" w:fill="FFFFFF" w:themeFill="background1"/>
          </w:tcPr>
          <w:p w14:paraId="303E021A" w14:textId="77777777" w:rsidR="001A5676" w:rsidRPr="001A5676" w:rsidRDefault="001A5676" w:rsidP="001A5676">
            <w:pPr>
              <w:pStyle w:val="Body"/>
              <w:spacing w:after="0"/>
              <w:rPr>
                <w:rFonts w:ascii="Arial" w:hAnsi="Arial" w:cs="Arial"/>
              </w:rPr>
            </w:pPr>
            <w:r w:rsidRPr="001A5676">
              <w:rPr>
                <w:rFonts w:ascii="Arial" w:hAnsi="Arial" w:cs="Arial"/>
              </w:rPr>
              <w:t>488</w:t>
            </w:r>
          </w:p>
        </w:tc>
        <w:tc>
          <w:tcPr>
            <w:tcW w:w="2472" w:type="dxa"/>
            <w:tcBorders>
              <w:top w:val="single" w:sz="4" w:space="0" w:color="auto"/>
            </w:tcBorders>
            <w:shd w:val="clear" w:color="auto" w:fill="FFFFFF" w:themeFill="background1"/>
          </w:tcPr>
          <w:p w14:paraId="55E3632E" w14:textId="77777777" w:rsidR="001A5676" w:rsidRPr="001A5676" w:rsidRDefault="001A5676" w:rsidP="001A5676">
            <w:pPr>
              <w:pStyle w:val="Body"/>
              <w:spacing w:after="0"/>
              <w:rPr>
                <w:rFonts w:ascii="Arial" w:hAnsi="Arial" w:cs="Arial"/>
              </w:rPr>
            </w:pPr>
            <w:r w:rsidRPr="001A5676">
              <w:rPr>
                <w:rFonts w:ascii="Arial" w:hAnsi="Arial" w:cs="Arial"/>
              </w:rPr>
              <w:t>2.3 × 10</w:t>
            </w:r>
            <w:r w:rsidRPr="001A5676">
              <w:rPr>
                <w:rFonts w:ascii="Cambria Math" w:hAnsi="Cambria Math" w:cs="Cambria Math"/>
              </w:rPr>
              <w:t>⁻</w:t>
            </w:r>
            <w:r w:rsidRPr="001A5676">
              <w:rPr>
                <w:rFonts w:ascii="Arial" w:hAnsi="Arial" w:cs="Arial"/>
              </w:rPr>
              <w:t>³</w:t>
            </w:r>
          </w:p>
        </w:tc>
      </w:tr>
      <w:tr w:rsidR="001A5676" w:rsidRPr="001A5676" w14:paraId="3B98C2CF" w14:textId="77777777" w:rsidTr="004A2F47">
        <w:tc>
          <w:tcPr>
            <w:tcW w:w="2471" w:type="dxa"/>
            <w:shd w:val="clear" w:color="auto" w:fill="FFFFFF" w:themeFill="background1"/>
          </w:tcPr>
          <w:p w14:paraId="0D4CA673" w14:textId="77777777" w:rsidR="001A5676" w:rsidRPr="001A5676" w:rsidRDefault="001A5676" w:rsidP="001A5676">
            <w:pPr>
              <w:pStyle w:val="Body"/>
              <w:spacing w:after="0"/>
              <w:rPr>
                <w:rFonts w:ascii="Arial" w:hAnsi="Arial" w:cs="Arial"/>
              </w:rPr>
            </w:pPr>
            <w:r w:rsidRPr="001A5676">
              <w:rPr>
                <w:rFonts w:ascii="Arial" w:hAnsi="Arial" w:cs="Arial"/>
              </w:rPr>
              <w:t>MAq</w:t>
            </w:r>
          </w:p>
        </w:tc>
        <w:tc>
          <w:tcPr>
            <w:tcW w:w="2472" w:type="dxa"/>
            <w:shd w:val="clear" w:color="auto" w:fill="FFFFFF" w:themeFill="background1"/>
          </w:tcPr>
          <w:p w14:paraId="509A3636" w14:textId="77777777" w:rsidR="001A5676" w:rsidRPr="001A5676" w:rsidRDefault="001A5676" w:rsidP="001A5676">
            <w:pPr>
              <w:pStyle w:val="Body"/>
              <w:spacing w:after="0"/>
              <w:rPr>
                <w:rFonts w:ascii="Arial" w:hAnsi="Arial" w:cs="Arial"/>
              </w:rPr>
            </w:pPr>
            <w:r w:rsidRPr="001A5676">
              <w:rPr>
                <w:rFonts w:ascii="Arial" w:hAnsi="Arial" w:cs="Arial"/>
              </w:rPr>
              <w:t>19.97</w:t>
            </w:r>
          </w:p>
        </w:tc>
        <w:tc>
          <w:tcPr>
            <w:tcW w:w="2472" w:type="dxa"/>
            <w:shd w:val="clear" w:color="auto" w:fill="FFFFFF" w:themeFill="background1"/>
          </w:tcPr>
          <w:p w14:paraId="471E8471" w14:textId="77777777" w:rsidR="001A5676" w:rsidRPr="001A5676" w:rsidRDefault="001A5676" w:rsidP="001A5676">
            <w:pPr>
              <w:pStyle w:val="Body"/>
              <w:spacing w:after="0"/>
              <w:rPr>
                <w:rFonts w:ascii="Arial" w:hAnsi="Arial" w:cs="Arial"/>
              </w:rPr>
            </w:pPr>
            <w:r w:rsidRPr="001A5676">
              <w:rPr>
                <w:rFonts w:ascii="Arial" w:hAnsi="Arial" w:cs="Arial"/>
              </w:rPr>
              <w:t>499.25</w:t>
            </w:r>
          </w:p>
        </w:tc>
        <w:tc>
          <w:tcPr>
            <w:tcW w:w="2472" w:type="dxa"/>
            <w:shd w:val="clear" w:color="auto" w:fill="FFFFFF" w:themeFill="background1"/>
          </w:tcPr>
          <w:p w14:paraId="78CBC02F" w14:textId="77777777" w:rsidR="001A5676" w:rsidRPr="001A5676" w:rsidRDefault="001A5676" w:rsidP="001A5676">
            <w:pPr>
              <w:pStyle w:val="Body"/>
              <w:spacing w:after="0"/>
              <w:rPr>
                <w:rFonts w:ascii="Arial" w:hAnsi="Arial" w:cs="Arial"/>
              </w:rPr>
            </w:pPr>
            <w:r w:rsidRPr="001A5676">
              <w:rPr>
                <w:rFonts w:ascii="Arial" w:hAnsi="Arial" w:cs="Arial"/>
              </w:rPr>
              <w:t>2 × 10</w:t>
            </w:r>
            <w:r w:rsidRPr="001A5676">
              <w:rPr>
                <w:rFonts w:ascii="Cambria Math" w:hAnsi="Cambria Math" w:cs="Cambria Math"/>
              </w:rPr>
              <w:t>⁻</w:t>
            </w:r>
            <w:r w:rsidRPr="001A5676">
              <w:rPr>
                <w:rFonts w:ascii="Arial" w:hAnsi="Arial" w:cs="Arial"/>
              </w:rPr>
              <w:t>³</w:t>
            </w:r>
          </w:p>
        </w:tc>
      </w:tr>
      <w:tr w:rsidR="001A5676" w:rsidRPr="001A5676" w14:paraId="650543D3" w14:textId="77777777" w:rsidTr="004A2F47">
        <w:tc>
          <w:tcPr>
            <w:tcW w:w="2471" w:type="dxa"/>
            <w:shd w:val="clear" w:color="auto" w:fill="FFFFFF" w:themeFill="background1"/>
          </w:tcPr>
          <w:p w14:paraId="6E76633A" w14:textId="77777777" w:rsidR="001A5676" w:rsidRPr="001A5676" w:rsidRDefault="001A5676" w:rsidP="001A5676">
            <w:pPr>
              <w:pStyle w:val="Body"/>
              <w:spacing w:after="0"/>
              <w:rPr>
                <w:rFonts w:ascii="Arial" w:hAnsi="Arial" w:cs="Arial"/>
              </w:rPr>
            </w:pPr>
            <w:r w:rsidRPr="001A5676">
              <w:rPr>
                <w:rFonts w:ascii="Arial" w:hAnsi="Arial" w:cs="Arial"/>
              </w:rPr>
              <w:t>MHe</w:t>
            </w:r>
          </w:p>
        </w:tc>
        <w:tc>
          <w:tcPr>
            <w:tcW w:w="2472" w:type="dxa"/>
            <w:shd w:val="clear" w:color="auto" w:fill="FFFFFF" w:themeFill="background1"/>
          </w:tcPr>
          <w:p w14:paraId="4EC994B7" w14:textId="77777777" w:rsidR="001A5676" w:rsidRPr="001A5676" w:rsidRDefault="001A5676" w:rsidP="001A5676">
            <w:pPr>
              <w:pStyle w:val="Body"/>
              <w:spacing w:after="0"/>
              <w:rPr>
                <w:rFonts w:ascii="Arial" w:hAnsi="Arial" w:cs="Arial"/>
              </w:rPr>
            </w:pPr>
            <w:r w:rsidRPr="001A5676">
              <w:rPr>
                <w:rFonts w:ascii="Arial" w:hAnsi="Arial" w:cs="Arial"/>
              </w:rPr>
              <w:t>15.71</w:t>
            </w:r>
          </w:p>
        </w:tc>
        <w:tc>
          <w:tcPr>
            <w:tcW w:w="2472" w:type="dxa"/>
            <w:shd w:val="clear" w:color="auto" w:fill="FFFFFF" w:themeFill="background1"/>
          </w:tcPr>
          <w:p w14:paraId="265B1902" w14:textId="77777777" w:rsidR="001A5676" w:rsidRPr="001A5676" w:rsidRDefault="001A5676" w:rsidP="001A5676">
            <w:pPr>
              <w:pStyle w:val="Body"/>
              <w:spacing w:after="0"/>
              <w:rPr>
                <w:rFonts w:ascii="Arial" w:hAnsi="Arial" w:cs="Arial"/>
              </w:rPr>
            </w:pPr>
            <w:r w:rsidRPr="001A5676">
              <w:rPr>
                <w:rFonts w:ascii="Arial" w:hAnsi="Arial" w:cs="Arial"/>
              </w:rPr>
              <w:t>392.75</w:t>
            </w:r>
          </w:p>
        </w:tc>
        <w:tc>
          <w:tcPr>
            <w:tcW w:w="2472" w:type="dxa"/>
            <w:shd w:val="clear" w:color="auto" w:fill="FFFFFF" w:themeFill="background1"/>
          </w:tcPr>
          <w:p w14:paraId="0FDB241E" w14:textId="77777777" w:rsidR="001A5676" w:rsidRPr="001A5676" w:rsidRDefault="001A5676" w:rsidP="001A5676">
            <w:pPr>
              <w:pStyle w:val="Body"/>
              <w:spacing w:after="0"/>
              <w:rPr>
                <w:rFonts w:ascii="Arial" w:hAnsi="Arial" w:cs="Arial"/>
              </w:rPr>
            </w:pPr>
            <w:r w:rsidRPr="001A5676">
              <w:rPr>
                <w:rFonts w:ascii="Arial" w:hAnsi="Arial" w:cs="Arial"/>
              </w:rPr>
              <w:t>2.5 × 10</w:t>
            </w:r>
            <w:r w:rsidRPr="001A5676">
              <w:rPr>
                <w:rFonts w:ascii="Cambria Math" w:hAnsi="Cambria Math" w:cs="Cambria Math"/>
              </w:rPr>
              <w:t>⁻</w:t>
            </w:r>
            <w:r w:rsidRPr="001A5676">
              <w:rPr>
                <w:rFonts w:ascii="Arial" w:hAnsi="Arial" w:cs="Arial"/>
              </w:rPr>
              <w:t>³</w:t>
            </w:r>
          </w:p>
        </w:tc>
      </w:tr>
      <w:tr w:rsidR="001A5676" w:rsidRPr="001A5676" w14:paraId="5A97B922" w14:textId="77777777" w:rsidTr="004A2F47">
        <w:tc>
          <w:tcPr>
            <w:tcW w:w="2471" w:type="dxa"/>
            <w:shd w:val="clear" w:color="auto" w:fill="FFFFFF" w:themeFill="background1"/>
          </w:tcPr>
          <w:p w14:paraId="1607E6F2" w14:textId="77777777" w:rsidR="001A5676" w:rsidRPr="001A5676" w:rsidRDefault="001A5676" w:rsidP="001A5676">
            <w:pPr>
              <w:pStyle w:val="Body"/>
              <w:spacing w:after="0"/>
              <w:rPr>
                <w:rFonts w:ascii="Arial" w:hAnsi="Arial" w:cs="Arial"/>
              </w:rPr>
            </w:pPr>
            <w:r w:rsidRPr="001A5676">
              <w:rPr>
                <w:rFonts w:ascii="Arial" w:hAnsi="Arial" w:cs="Arial"/>
              </w:rPr>
              <w:t>BHT</w:t>
            </w:r>
          </w:p>
        </w:tc>
        <w:tc>
          <w:tcPr>
            <w:tcW w:w="2472" w:type="dxa"/>
            <w:shd w:val="clear" w:color="auto" w:fill="FFFFFF" w:themeFill="background1"/>
          </w:tcPr>
          <w:p w14:paraId="48339DF7" w14:textId="77777777" w:rsidR="001A5676" w:rsidRPr="001A5676" w:rsidRDefault="001A5676" w:rsidP="001A5676">
            <w:pPr>
              <w:pStyle w:val="Body"/>
              <w:spacing w:after="0"/>
              <w:rPr>
                <w:rFonts w:ascii="Arial" w:hAnsi="Arial" w:cs="Arial"/>
              </w:rPr>
            </w:pPr>
            <w:r w:rsidRPr="001A5676">
              <w:rPr>
                <w:rFonts w:ascii="Arial" w:hAnsi="Arial" w:cs="Arial"/>
              </w:rPr>
              <w:t>17.91</w:t>
            </w:r>
          </w:p>
        </w:tc>
        <w:tc>
          <w:tcPr>
            <w:tcW w:w="2472" w:type="dxa"/>
            <w:shd w:val="clear" w:color="auto" w:fill="FFFFFF" w:themeFill="background1"/>
          </w:tcPr>
          <w:p w14:paraId="7F3FF494" w14:textId="77777777" w:rsidR="001A5676" w:rsidRPr="001A5676" w:rsidRDefault="001A5676" w:rsidP="001A5676">
            <w:pPr>
              <w:pStyle w:val="Body"/>
              <w:spacing w:after="0"/>
              <w:rPr>
                <w:rFonts w:ascii="Arial" w:hAnsi="Arial" w:cs="Arial"/>
              </w:rPr>
            </w:pPr>
            <w:r w:rsidRPr="001A5676">
              <w:rPr>
                <w:rFonts w:ascii="Arial" w:hAnsi="Arial" w:cs="Arial"/>
              </w:rPr>
              <w:t>447.75</w:t>
            </w:r>
          </w:p>
        </w:tc>
        <w:tc>
          <w:tcPr>
            <w:tcW w:w="2472" w:type="dxa"/>
            <w:shd w:val="clear" w:color="auto" w:fill="FFFFFF" w:themeFill="background1"/>
          </w:tcPr>
          <w:p w14:paraId="5396C887" w14:textId="77777777" w:rsidR="001A5676" w:rsidRPr="001A5676" w:rsidRDefault="001A5676" w:rsidP="001A5676">
            <w:pPr>
              <w:pStyle w:val="Body"/>
              <w:spacing w:after="0"/>
              <w:rPr>
                <w:rFonts w:ascii="Arial" w:hAnsi="Arial" w:cs="Arial"/>
              </w:rPr>
            </w:pPr>
            <w:r w:rsidRPr="001A5676">
              <w:rPr>
                <w:rFonts w:ascii="Arial" w:hAnsi="Arial" w:cs="Arial"/>
              </w:rPr>
              <w:t>2.2 × 10</w:t>
            </w:r>
            <w:r w:rsidRPr="001A5676">
              <w:rPr>
                <w:rFonts w:ascii="Cambria Math" w:hAnsi="Cambria Math" w:cs="Cambria Math"/>
              </w:rPr>
              <w:t>⁻</w:t>
            </w:r>
            <w:r w:rsidRPr="001A5676">
              <w:rPr>
                <w:rFonts w:ascii="Arial" w:hAnsi="Arial" w:cs="Arial"/>
              </w:rPr>
              <w:t>³</w:t>
            </w:r>
          </w:p>
        </w:tc>
      </w:tr>
      <w:tr w:rsidR="001A5676" w:rsidRPr="001A5676" w14:paraId="4A2EB8E9" w14:textId="77777777" w:rsidTr="004A2F47">
        <w:tc>
          <w:tcPr>
            <w:tcW w:w="2471" w:type="dxa"/>
            <w:shd w:val="clear" w:color="auto" w:fill="FFFFFF" w:themeFill="background1"/>
          </w:tcPr>
          <w:p w14:paraId="09A6423E" w14:textId="77777777" w:rsidR="001A5676" w:rsidRPr="001A5676" w:rsidRDefault="001A5676" w:rsidP="001A5676">
            <w:pPr>
              <w:pStyle w:val="Body"/>
              <w:spacing w:after="0"/>
              <w:rPr>
                <w:rFonts w:ascii="Arial" w:hAnsi="Arial" w:cs="Arial"/>
              </w:rPr>
            </w:pPr>
            <w:r w:rsidRPr="001A5676">
              <w:rPr>
                <w:rFonts w:ascii="Arial" w:hAnsi="Arial" w:cs="Arial"/>
              </w:rPr>
              <w:t>Vitamin C</w:t>
            </w:r>
            <w:r w:rsidRPr="001A5676">
              <w:rPr>
                <w:rFonts w:ascii="Arial" w:hAnsi="Arial" w:cs="Arial"/>
              </w:rPr>
              <w:tab/>
            </w:r>
          </w:p>
        </w:tc>
        <w:tc>
          <w:tcPr>
            <w:tcW w:w="2472" w:type="dxa"/>
            <w:shd w:val="clear" w:color="auto" w:fill="FFFFFF" w:themeFill="background1"/>
          </w:tcPr>
          <w:p w14:paraId="4A4805C9" w14:textId="77777777" w:rsidR="001A5676" w:rsidRPr="001A5676" w:rsidRDefault="001A5676" w:rsidP="001A5676">
            <w:pPr>
              <w:pStyle w:val="Body"/>
              <w:spacing w:after="0"/>
              <w:rPr>
                <w:rFonts w:ascii="Arial" w:hAnsi="Arial" w:cs="Arial"/>
              </w:rPr>
            </w:pPr>
            <w:r w:rsidRPr="001A5676">
              <w:rPr>
                <w:rFonts w:ascii="Arial" w:hAnsi="Arial" w:cs="Arial"/>
              </w:rPr>
              <w:t>2.63</w:t>
            </w:r>
          </w:p>
        </w:tc>
        <w:tc>
          <w:tcPr>
            <w:tcW w:w="2472" w:type="dxa"/>
            <w:shd w:val="clear" w:color="auto" w:fill="FFFFFF" w:themeFill="background1"/>
          </w:tcPr>
          <w:p w14:paraId="4812D1E0" w14:textId="77777777" w:rsidR="001A5676" w:rsidRPr="001A5676" w:rsidRDefault="001A5676" w:rsidP="001A5676">
            <w:pPr>
              <w:pStyle w:val="Body"/>
              <w:spacing w:after="0"/>
              <w:rPr>
                <w:rFonts w:ascii="Arial" w:hAnsi="Arial" w:cs="Arial"/>
              </w:rPr>
            </w:pPr>
            <w:r w:rsidRPr="001A5676">
              <w:rPr>
                <w:rFonts w:ascii="Arial" w:hAnsi="Arial" w:cs="Arial"/>
              </w:rPr>
              <w:t>65.75</w:t>
            </w:r>
          </w:p>
        </w:tc>
        <w:tc>
          <w:tcPr>
            <w:tcW w:w="2472" w:type="dxa"/>
            <w:shd w:val="clear" w:color="auto" w:fill="FFFFFF" w:themeFill="background1"/>
          </w:tcPr>
          <w:p w14:paraId="150A60C2" w14:textId="77777777" w:rsidR="001A5676" w:rsidRPr="001A5676" w:rsidRDefault="001A5676" w:rsidP="001A5676">
            <w:pPr>
              <w:pStyle w:val="Body"/>
              <w:spacing w:after="0"/>
              <w:rPr>
                <w:rFonts w:ascii="Arial" w:hAnsi="Arial" w:cs="Arial"/>
              </w:rPr>
            </w:pPr>
            <w:r w:rsidRPr="001A5676">
              <w:rPr>
                <w:rFonts w:ascii="Arial" w:hAnsi="Arial" w:cs="Arial"/>
              </w:rPr>
              <w:t>1.5 × 10</w:t>
            </w:r>
            <w:r w:rsidRPr="001A5676">
              <w:rPr>
                <w:rFonts w:ascii="Cambria Math" w:hAnsi="Cambria Math" w:cs="Cambria Math"/>
              </w:rPr>
              <w:t>⁻</w:t>
            </w:r>
            <w:r w:rsidRPr="001A5676">
              <w:rPr>
                <w:rFonts w:ascii="Arial" w:hAnsi="Arial" w:cs="Arial"/>
              </w:rPr>
              <w:t>³</w:t>
            </w:r>
          </w:p>
        </w:tc>
      </w:tr>
    </w:tbl>
    <w:p w14:paraId="7D789297" w14:textId="77777777" w:rsidR="001A5676" w:rsidRDefault="001A5676" w:rsidP="001A5676">
      <w:pPr>
        <w:pStyle w:val="Body"/>
        <w:spacing w:after="0"/>
        <w:rPr>
          <w:rFonts w:ascii="Arial" w:hAnsi="Arial" w:cs="Arial"/>
          <w:i/>
          <w:iCs/>
        </w:rPr>
      </w:pPr>
      <w:r w:rsidRPr="00EE7F92">
        <w:rPr>
          <w:rFonts w:ascii="Arial" w:hAnsi="Arial" w:cs="Arial"/>
          <w:i/>
          <w:iCs/>
        </w:rPr>
        <w:t xml:space="preserve"> DAq : Aqueous Decoction; MAq : Aqueous Maceration ; MHe : Hydroethanolic Maceration; BHT : Butyl Hydroxytoluene; Vit C : Vitamin C</w:t>
      </w:r>
    </w:p>
    <w:p w14:paraId="60109366" w14:textId="77777777" w:rsidR="00EE7F92" w:rsidRPr="00EE7F92" w:rsidRDefault="00EE7F92" w:rsidP="001A5676">
      <w:pPr>
        <w:pStyle w:val="Body"/>
        <w:spacing w:after="0"/>
        <w:rPr>
          <w:rFonts w:ascii="Arial" w:hAnsi="Arial" w:cs="Arial"/>
          <w:i/>
          <w:iCs/>
        </w:rPr>
      </w:pPr>
    </w:p>
    <w:p w14:paraId="159CA3CB" w14:textId="77777777" w:rsidR="001A5676" w:rsidRPr="001A5676" w:rsidRDefault="001A5676" w:rsidP="001A5676">
      <w:pPr>
        <w:pStyle w:val="Body"/>
        <w:spacing w:after="0"/>
        <w:rPr>
          <w:rFonts w:ascii="Arial" w:hAnsi="Arial" w:cs="Arial"/>
        </w:rPr>
      </w:pPr>
      <w:r w:rsidRPr="001A5676">
        <w:rPr>
          <w:rFonts w:ascii="Arial" w:hAnsi="Arial" w:cs="Arial"/>
        </w:rPr>
        <w:t>Table 6 shows that all extracts with an IC50 &lt;20 µg/ml exhibit strong antioxydant activity. The hydroethanolic extract, with an IC50 of 15.71 µg/ml, demonstrates the best inhibition. Its free radical scavenging capacity is 1.08 times greater than that of the extract obtained by aqueous decoction and 1.25 times greater than that of the extract obtained by aqueous maceration. The hydroethanolic extract thus exhibits superior free radical scavenging activity compared to the other extracts.</w:t>
      </w:r>
    </w:p>
    <w:p w14:paraId="35445CD1" w14:textId="77777777" w:rsidR="001A5676" w:rsidRDefault="001A5676" w:rsidP="001A5676">
      <w:pPr>
        <w:pStyle w:val="Body"/>
        <w:spacing w:after="0"/>
        <w:rPr>
          <w:rFonts w:ascii="Arial" w:hAnsi="Arial" w:cs="Arial"/>
        </w:rPr>
      </w:pPr>
      <w:r w:rsidRPr="001A5676">
        <w:rPr>
          <w:rFonts w:ascii="Arial" w:hAnsi="Arial" w:cs="Arial"/>
        </w:rPr>
        <w:t>Since vitamin C and BHT are references, the hydroethanolic extract has an IC50 lower than that of BHT but higher than that of Vit C.</w:t>
      </w:r>
    </w:p>
    <w:p w14:paraId="0E031CA2" w14:textId="77777777" w:rsidR="00EE7F92" w:rsidRPr="001A5676" w:rsidRDefault="00EE7F92" w:rsidP="001A5676">
      <w:pPr>
        <w:pStyle w:val="Body"/>
        <w:spacing w:after="0"/>
        <w:rPr>
          <w:rFonts w:ascii="Arial" w:hAnsi="Arial" w:cs="Arial"/>
        </w:rPr>
      </w:pPr>
    </w:p>
    <w:p w14:paraId="1AA98F00" w14:textId="77C13508" w:rsidR="001A5676" w:rsidRPr="00EE7F92" w:rsidRDefault="00EE7F92" w:rsidP="001A5676">
      <w:pPr>
        <w:pStyle w:val="Body"/>
        <w:spacing w:after="0"/>
        <w:rPr>
          <w:rFonts w:ascii="Arial" w:hAnsi="Arial" w:cs="Arial"/>
          <w:b/>
          <w:bCs/>
        </w:rPr>
      </w:pPr>
      <w:bookmarkStart w:id="53" w:name="_Toc136377201"/>
      <w:bookmarkStart w:id="54" w:name="_Toc137924745"/>
      <w:r w:rsidRPr="00EE7F92">
        <w:rPr>
          <w:rFonts w:ascii="Arial" w:hAnsi="Arial" w:cs="Arial"/>
          <w:b/>
          <w:bCs/>
        </w:rPr>
        <w:t>3</w:t>
      </w:r>
      <w:r w:rsidR="001A5676" w:rsidRPr="00EE7F92">
        <w:rPr>
          <w:rFonts w:ascii="Arial" w:hAnsi="Arial" w:cs="Arial"/>
          <w:b/>
          <w:bCs/>
        </w:rPr>
        <w:t xml:space="preserve">.4 </w:t>
      </w:r>
      <w:bookmarkEnd w:id="53"/>
      <w:bookmarkEnd w:id="54"/>
      <w:r w:rsidR="001A5676" w:rsidRPr="00EE7F92">
        <w:rPr>
          <w:rFonts w:ascii="Arial" w:hAnsi="Arial" w:cs="Arial"/>
          <w:b/>
          <w:bCs/>
        </w:rPr>
        <w:t>Antibacterial Activity</w:t>
      </w:r>
    </w:p>
    <w:p w14:paraId="75DFBB01" w14:textId="2066EF82" w:rsidR="001A5676" w:rsidRPr="00EE7F92" w:rsidRDefault="00EE7F92" w:rsidP="001A5676">
      <w:pPr>
        <w:pStyle w:val="Body"/>
        <w:spacing w:after="0"/>
        <w:rPr>
          <w:rFonts w:ascii="Arial" w:hAnsi="Arial" w:cs="Arial"/>
          <w:b/>
          <w:bCs/>
        </w:rPr>
      </w:pPr>
      <w:bookmarkStart w:id="55" w:name="_Toc137924746"/>
      <w:r w:rsidRPr="00EE7F92">
        <w:rPr>
          <w:rFonts w:ascii="Arial" w:hAnsi="Arial" w:cs="Arial"/>
          <w:b/>
          <w:bCs/>
        </w:rPr>
        <w:t>3</w:t>
      </w:r>
      <w:r w:rsidR="001A5676" w:rsidRPr="00EE7F92">
        <w:rPr>
          <w:rFonts w:ascii="Arial" w:hAnsi="Arial" w:cs="Arial"/>
          <w:b/>
          <w:bCs/>
        </w:rPr>
        <w:t xml:space="preserve">.4.1 Study of the antibacterial activity of </w:t>
      </w:r>
      <w:r w:rsidR="00CA16D7" w:rsidRPr="00CA16D7">
        <w:rPr>
          <w:rFonts w:ascii="Arial" w:hAnsi="Arial" w:cs="Arial"/>
          <w:b/>
          <w:bCs/>
          <w:i/>
          <w:iCs/>
        </w:rPr>
        <w:t xml:space="preserve">G. mangostana </w:t>
      </w:r>
      <w:r w:rsidR="001A5676" w:rsidRPr="00EE7F92">
        <w:rPr>
          <w:rFonts w:ascii="Arial" w:hAnsi="Arial" w:cs="Arial"/>
          <w:b/>
          <w:bCs/>
        </w:rPr>
        <w:t xml:space="preserve"> extracts</w:t>
      </w:r>
      <w:bookmarkEnd w:id="55"/>
    </w:p>
    <w:p w14:paraId="2316048F" w14:textId="261BC1FF" w:rsidR="001A5676" w:rsidRPr="001A5676" w:rsidRDefault="001A5676" w:rsidP="001A5676">
      <w:pPr>
        <w:pStyle w:val="Body"/>
        <w:spacing w:after="0"/>
        <w:rPr>
          <w:rFonts w:ascii="Arial" w:hAnsi="Arial" w:cs="Arial"/>
        </w:rPr>
      </w:pPr>
      <w:r w:rsidRPr="001A5676">
        <w:rPr>
          <w:rFonts w:ascii="Arial" w:hAnsi="Arial" w:cs="Arial"/>
        </w:rPr>
        <w:t xml:space="preserve">The results of the search for the different minimum inhibitory concentrations of the tested extracts are recorded in Table </w:t>
      </w:r>
      <w:r w:rsidR="007C29E0">
        <w:rPr>
          <w:rFonts w:ascii="Arial" w:hAnsi="Arial" w:cs="Arial"/>
        </w:rPr>
        <w:t>7</w:t>
      </w:r>
      <w:r w:rsidRPr="001A5676">
        <w:rPr>
          <w:rFonts w:ascii="Arial" w:hAnsi="Arial" w:cs="Arial"/>
        </w:rPr>
        <w:t>.</w:t>
      </w:r>
    </w:p>
    <w:p w14:paraId="1EB9AAB5" w14:textId="6C4A0406" w:rsidR="001A5676" w:rsidRPr="00EE7F92" w:rsidRDefault="001A5676" w:rsidP="001A5676">
      <w:pPr>
        <w:pStyle w:val="Body"/>
        <w:spacing w:after="0"/>
        <w:rPr>
          <w:rFonts w:ascii="Arial" w:hAnsi="Arial" w:cs="Arial"/>
          <w:b/>
          <w:bCs/>
          <w:i/>
          <w:iCs/>
        </w:rPr>
      </w:pPr>
      <w:bookmarkStart w:id="56" w:name="_Toc137923802"/>
      <w:r w:rsidRPr="00EE7F92">
        <w:rPr>
          <w:rFonts w:ascii="Arial" w:hAnsi="Arial" w:cs="Arial"/>
          <w:b/>
          <w:bCs/>
          <w:i/>
          <w:iCs/>
        </w:rPr>
        <w:t xml:space="preserve">Table 7: Antibacterial activities of </w:t>
      </w:r>
      <w:r w:rsidR="00CA16D7" w:rsidRPr="00CA16D7">
        <w:rPr>
          <w:rFonts w:ascii="Arial" w:hAnsi="Arial" w:cs="Arial"/>
          <w:b/>
          <w:bCs/>
          <w:i/>
          <w:iCs/>
        </w:rPr>
        <w:t xml:space="preserve">Garcinia mangostana </w:t>
      </w:r>
      <w:r w:rsidRPr="00EE7F92">
        <w:rPr>
          <w:rFonts w:ascii="Arial" w:hAnsi="Arial" w:cs="Arial"/>
          <w:b/>
          <w:bCs/>
          <w:i/>
          <w:iCs/>
        </w:rPr>
        <w:t xml:space="preserve"> L. extracts : MIC, MBC, and MBC/MIC ratios of each extract</w:t>
      </w:r>
      <w:bookmarkEnd w:id="56"/>
    </w:p>
    <w:tbl>
      <w:tblPr>
        <w:tblStyle w:val="MediumShading2"/>
        <w:tblW w:w="9774" w:type="dxa"/>
        <w:tblInd w:w="-576" w:type="dxa"/>
        <w:tblBorders>
          <w:top w:val="none" w:sz="0" w:space="0" w:color="auto"/>
          <w:bottom w:val="single" w:sz="4" w:space="0" w:color="auto"/>
        </w:tblBorders>
        <w:tblLayout w:type="fixed"/>
        <w:tblLook w:val="0600" w:firstRow="0" w:lastRow="0" w:firstColumn="0" w:lastColumn="0" w:noHBand="1" w:noVBand="1"/>
      </w:tblPr>
      <w:tblGrid>
        <w:gridCol w:w="684"/>
        <w:gridCol w:w="990"/>
        <w:gridCol w:w="900"/>
        <w:gridCol w:w="1260"/>
        <w:gridCol w:w="990"/>
        <w:gridCol w:w="810"/>
        <w:gridCol w:w="1260"/>
        <w:gridCol w:w="810"/>
        <w:gridCol w:w="810"/>
        <w:gridCol w:w="1260"/>
      </w:tblGrid>
      <w:tr w:rsidR="001A5676" w:rsidRPr="001A5676" w14:paraId="276F9059" w14:textId="77777777" w:rsidTr="004A2F47">
        <w:trPr>
          <w:trHeight w:val="327"/>
        </w:trPr>
        <w:tc>
          <w:tcPr>
            <w:tcW w:w="684" w:type="dxa"/>
            <w:tcBorders>
              <w:top w:val="single" w:sz="4" w:space="0" w:color="auto"/>
              <w:bottom w:val="single" w:sz="4" w:space="0" w:color="auto"/>
            </w:tcBorders>
            <w:vAlign w:val="center"/>
          </w:tcPr>
          <w:p w14:paraId="53D6A38A" w14:textId="77777777" w:rsidR="001A5676" w:rsidRPr="001A5676" w:rsidRDefault="001A5676" w:rsidP="001A5676">
            <w:pPr>
              <w:pStyle w:val="Body"/>
              <w:spacing w:after="0"/>
              <w:rPr>
                <w:rFonts w:ascii="Arial" w:eastAsia="Times New Roman" w:hAnsi="Arial" w:cs="Arial"/>
                <w:sz w:val="20"/>
                <w:szCs w:val="20"/>
                <w:lang w:val="en-US"/>
              </w:rPr>
            </w:pPr>
          </w:p>
        </w:tc>
        <w:tc>
          <w:tcPr>
            <w:tcW w:w="3150" w:type="dxa"/>
            <w:gridSpan w:val="3"/>
            <w:tcBorders>
              <w:top w:val="single" w:sz="4" w:space="0" w:color="auto"/>
              <w:bottom w:val="single" w:sz="4" w:space="0" w:color="auto"/>
            </w:tcBorders>
            <w:vAlign w:val="center"/>
          </w:tcPr>
          <w:p w14:paraId="6C4CD16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DAQ</w:t>
            </w:r>
          </w:p>
        </w:tc>
        <w:tc>
          <w:tcPr>
            <w:tcW w:w="3060" w:type="dxa"/>
            <w:gridSpan w:val="3"/>
            <w:tcBorders>
              <w:top w:val="single" w:sz="4" w:space="0" w:color="auto"/>
              <w:bottom w:val="single" w:sz="4" w:space="0" w:color="auto"/>
            </w:tcBorders>
            <w:vAlign w:val="center"/>
          </w:tcPr>
          <w:p w14:paraId="5A0A485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MAQ</w:t>
            </w:r>
          </w:p>
        </w:tc>
        <w:tc>
          <w:tcPr>
            <w:tcW w:w="2880" w:type="dxa"/>
            <w:gridSpan w:val="3"/>
            <w:tcBorders>
              <w:top w:val="single" w:sz="4" w:space="0" w:color="auto"/>
              <w:bottom w:val="single" w:sz="4" w:space="0" w:color="auto"/>
            </w:tcBorders>
            <w:vAlign w:val="center"/>
          </w:tcPr>
          <w:p w14:paraId="5785147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MHE</w:t>
            </w:r>
          </w:p>
        </w:tc>
      </w:tr>
      <w:tr w:rsidR="001A5676" w:rsidRPr="001A5676" w14:paraId="37BF29BF" w14:textId="77777777" w:rsidTr="004A2F47">
        <w:trPr>
          <w:trHeight w:val="363"/>
        </w:trPr>
        <w:tc>
          <w:tcPr>
            <w:tcW w:w="684" w:type="dxa"/>
            <w:tcBorders>
              <w:top w:val="single" w:sz="4" w:space="0" w:color="auto"/>
              <w:bottom w:val="single" w:sz="4" w:space="0" w:color="auto"/>
            </w:tcBorders>
            <w:vAlign w:val="center"/>
          </w:tcPr>
          <w:p w14:paraId="7E015BC1" w14:textId="77777777" w:rsidR="001A5676" w:rsidRPr="001A5676" w:rsidRDefault="001A5676" w:rsidP="001A5676">
            <w:pPr>
              <w:pStyle w:val="Body"/>
              <w:spacing w:after="0"/>
              <w:rPr>
                <w:rFonts w:ascii="Arial" w:eastAsia="Times New Roman" w:hAnsi="Arial" w:cs="Arial"/>
                <w:sz w:val="20"/>
                <w:szCs w:val="20"/>
                <w:lang w:val="en-US"/>
              </w:rPr>
            </w:pPr>
          </w:p>
        </w:tc>
        <w:tc>
          <w:tcPr>
            <w:tcW w:w="990" w:type="dxa"/>
            <w:tcBorders>
              <w:top w:val="single" w:sz="4" w:space="0" w:color="auto"/>
              <w:bottom w:val="single" w:sz="4" w:space="0" w:color="auto"/>
            </w:tcBorders>
            <w:vAlign w:val="center"/>
          </w:tcPr>
          <w:p w14:paraId="1529E883"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MIC</w:t>
            </w:r>
          </w:p>
          <w:p w14:paraId="03C9A49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(µg/mL)</w:t>
            </w:r>
          </w:p>
        </w:tc>
        <w:tc>
          <w:tcPr>
            <w:tcW w:w="900" w:type="dxa"/>
            <w:tcBorders>
              <w:top w:val="single" w:sz="4" w:space="0" w:color="auto"/>
              <w:bottom w:val="single" w:sz="4" w:space="0" w:color="auto"/>
            </w:tcBorders>
            <w:vAlign w:val="center"/>
          </w:tcPr>
          <w:p w14:paraId="69BAD9E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 (µg/mL)</w:t>
            </w:r>
          </w:p>
        </w:tc>
        <w:tc>
          <w:tcPr>
            <w:tcW w:w="1260" w:type="dxa"/>
            <w:tcBorders>
              <w:top w:val="single" w:sz="4" w:space="0" w:color="auto"/>
              <w:bottom w:val="single" w:sz="4" w:space="0" w:color="auto"/>
            </w:tcBorders>
            <w:vAlign w:val="center"/>
          </w:tcPr>
          <w:p w14:paraId="4046C94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 MIC</w:t>
            </w:r>
          </w:p>
          <w:p w14:paraId="76A4E935" w14:textId="77777777" w:rsidR="001A5676" w:rsidRPr="001A5676" w:rsidRDefault="001A5676" w:rsidP="001A5676">
            <w:pPr>
              <w:pStyle w:val="Body"/>
              <w:spacing w:after="0"/>
              <w:rPr>
                <w:rFonts w:ascii="Arial" w:eastAsia="Times New Roman" w:hAnsi="Arial" w:cs="Arial"/>
                <w:sz w:val="20"/>
                <w:szCs w:val="20"/>
                <w:lang w:val="en-US"/>
              </w:rPr>
            </w:pPr>
          </w:p>
        </w:tc>
        <w:tc>
          <w:tcPr>
            <w:tcW w:w="990" w:type="dxa"/>
            <w:tcBorders>
              <w:top w:val="single" w:sz="4" w:space="0" w:color="auto"/>
              <w:bottom w:val="single" w:sz="4" w:space="0" w:color="auto"/>
            </w:tcBorders>
            <w:vAlign w:val="center"/>
          </w:tcPr>
          <w:p w14:paraId="2F93817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MIC</w:t>
            </w:r>
          </w:p>
          <w:p w14:paraId="48DAFC7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 xml:space="preserve"> (µg/mL)</w:t>
            </w:r>
          </w:p>
        </w:tc>
        <w:tc>
          <w:tcPr>
            <w:tcW w:w="810" w:type="dxa"/>
            <w:tcBorders>
              <w:top w:val="single" w:sz="4" w:space="0" w:color="auto"/>
              <w:bottom w:val="single" w:sz="4" w:space="0" w:color="auto"/>
            </w:tcBorders>
            <w:vAlign w:val="center"/>
          </w:tcPr>
          <w:p w14:paraId="14141E3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w:t>
            </w:r>
          </w:p>
          <w:p w14:paraId="62D8450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(µg/mL)</w:t>
            </w:r>
          </w:p>
        </w:tc>
        <w:tc>
          <w:tcPr>
            <w:tcW w:w="1260" w:type="dxa"/>
            <w:tcBorders>
              <w:top w:val="single" w:sz="4" w:space="0" w:color="auto"/>
              <w:bottom w:val="single" w:sz="4" w:space="0" w:color="auto"/>
            </w:tcBorders>
            <w:vAlign w:val="center"/>
          </w:tcPr>
          <w:p w14:paraId="1DDBF81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 MIC</w:t>
            </w:r>
          </w:p>
          <w:p w14:paraId="1AC9D4E4" w14:textId="77777777" w:rsidR="001A5676" w:rsidRPr="001A5676" w:rsidRDefault="001A5676" w:rsidP="001A5676">
            <w:pPr>
              <w:pStyle w:val="Body"/>
              <w:spacing w:after="0"/>
              <w:rPr>
                <w:rFonts w:ascii="Arial" w:eastAsia="Times New Roman" w:hAnsi="Arial" w:cs="Arial"/>
                <w:sz w:val="20"/>
                <w:szCs w:val="20"/>
                <w:lang w:val="en-US"/>
              </w:rPr>
            </w:pPr>
          </w:p>
        </w:tc>
        <w:tc>
          <w:tcPr>
            <w:tcW w:w="810" w:type="dxa"/>
            <w:tcBorders>
              <w:top w:val="single" w:sz="4" w:space="0" w:color="auto"/>
              <w:bottom w:val="single" w:sz="4" w:space="0" w:color="auto"/>
            </w:tcBorders>
            <w:vAlign w:val="center"/>
          </w:tcPr>
          <w:p w14:paraId="4BF8E154"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MIC</w:t>
            </w:r>
          </w:p>
          <w:p w14:paraId="25E93DB1"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(µg/mL)</w:t>
            </w:r>
          </w:p>
        </w:tc>
        <w:tc>
          <w:tcPr>
            <w:tcW w:w="810" w:type="dxa"/>
            <w:tcBorders>
              <w:top w:val="single" w:sz="4" w:space="0" w:color="auto"/>
              <w:bottom w:val="single" w:sz="4" w:space="0" w:color="auto"/>
            </w:tcBorders>
            <w:vAlign w:val="center"/>
          </w:tcPr>
          <w:p w14:paraId="7FF07189"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w:t>
            </w:r>
          </w:p>
          <w:p w14:paraId="4640847D"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(µg/mL)</w:t>
            </w:r>
          </w:p>
        </w:tc>
        <w:tc>
          <w:tcPr>
            <w:tcW w:w="1260" w:type="dxa"/>
            <w:tcBorders>
              <w:top w:val="single" w:sz="4" w:space="0" w:color="auto"/>
              <w:bottom w:val="single" w:sz="4" w:space="0" w:color="auto"/>
            </w:tcBorders>
            <w:vAlign w:val="center"/>
          </w:tcPr>
          <w:p w14:paraId="342782A8"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 MIC</w:t>
            </w:r>
          </w:p>
          <w:p w14:paraId="6ACC394D" w14:textId="77777777" w:rsidR="001A5676" w:rsidRPr="001A5676" w:rsidRDefault="001A5676" w:rsidP="001A5676">
            <w:pPr>
              <w:pStyle w:val="Body"/>
              <w:spacing w:after="0"/>
              <w:rPr>
                <w:rFonts w:ascii="Arial" w:eastAsia="Times New Roman" w:hAnsi="Arial" w:cs="Arial"/>
                <w:sz w:val="20"/>
                <w:szCs w:val="20"/>
                <w:lang w:val="en-US"/>
              </w:rPr>
            </w:pPr>
          </w:p>
        </w:tc>
      </w:tr>
      <w:tr w:rsidR="001A5676" w:rsidRPr="001A5676" w14:paraId="121DCC54" w14:textId="77777777" w:rsidTr="004A2F47">
        <w:trPr>
          <w:trHeight w:val="497"/>
        </w:trPr>
        <w:tc>
          <w:tcPr>
            <w:tcW w:w="684" w:type="dxa"/>
            <w:tcBorders>
              <w:top w:val="single" w:sz="4" w:space="0" w:color="auto"/>
            </w:tcBorders>
            <w:vAlign w:val="center"/>
          </w:tcPr>
          <w:p w14:paraId="3BB15815"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EB</w:t>
            </w:r>
          </w:p>
        </w:tc>
        <w:tc>
          <w:tcPr>
            <w:tcW w:w="990" w:type="dxa"/>
            <w:tcBorders>
              <w:top w:val="single" w:sz="4" w:space="0" w:color="auto"/>
            </w:tcBorders>
            <w:vAlign w:val="center"/>
          </w:tcPr>
          <w:p w14:paraId="1D8CF359"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900" w:type="dxa"/>
            <w:tcBorders>
              <w:top w:val="single" w:sz="4" w:space="0" w:color="auto"/>
            </w:tcBorders>
            <w:vAlign w:val="center"/>
          </w:tcPr>
          <w:p w14:paraId="43606F61"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62.5</w:t>
            </w:r>
          </w:p>
        </w:tc>
        <w:tc>
          <w:tcPr>
            <w:tcW w:w="1260" w:type="dxa"/>
            <w:tcBorders>
              <w:top w:val="single" w:sz="4" w:space="0" w:color="auto"/>
            </w:tcBorders>
            <w:vAlign w:val="center"/>
          </w:tcPr>
          <w:p w14:paraId="659DB21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990" w:type="dxa"/>
            <w:tcBorders>
              <w:top w:val="single" w:sz="4" w:space="0" w:color="auto"/>
            </w:tcBorders>
            <w:vAlign w:val="center"/>
          </w:tcPr>
          <w:p w14:paraId="6DC695C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3,90</w:t>
            </w:r>
          </w:p>
        </w:tc>
        <w:tc>
          <w:tcPr>
            <w:tcW w:w="810" w:type="dxa"/>
            <w:tcBorders>
              <w:top w:val="single" w:sz="4" w:space="0" w:color="auto"/>
            </w:tcBorders>
            <w:vAlign w:val="center"/>
          </w:tcPr>
          <w:p w14:paraId="766D5A5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7,81</w:t>
            </w:r>
          </w:p>
        </w:tc>
        <w:tc>
          <w:tcPr>
            <w:tcW w:w="1260" w:type="dxa"/>
            <w:tcBorders>
              <w:top w:val="single" w:sz="4" w:space="0" w:color="auto"/>
            </w:tcBorders>
            <w:vAlign w:val="center"/>
          </w:tcPr>
          <w:p w14:paraId="5C30CF3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810" w:type="dxa"/>
            <w:tcBorders>
              <w:top w:val="single" w:sz="4" w:space="0" w:color="auto"/>
            </w:tcBorders>
            <w:vAlign w:val="center"/>
          </w:tcPr>
          <w:p w14:paraId="578B6A8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0,16</w:t>
            </w:r>
          </w:p>
        </w:tc>
        <w:tc>
          <w:tcPr>
            <w:tcW w:w="810" w:type="dxa"/>
            <w:tcBorders>
              <w:top w:val="single" w:sz="4" w:space="0" w:color="auto"/>
            </w:tcBorders>
            <w:vAlign w:val="center"/>
          </w:tcPr>
          <w:p w14:paraId="1A833B5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0,16</w:t>
            </w:r>
          </w:p>
        </w:tc>
        <w:tc>
          <w:tcPr>
            <w:tcW w:w="1260" w:type="dxa"/>
            <w:tcBorders>
              <w:top w:val="single" w:sz="4" w:space="0" w:color="auto"/>
            </w:tcBorders>
            <w:vAlign w:val="center"/>
          </w:tcPr>
          <w:p w14:paraId="3788B1E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r>
      <w:tr w:rsidR="001A5676" w:rsidRPr="001A5676" w14:paraId="54A1AC75" w14:textId="77777777" w:rsidTr="004A2F47">
        <w:tc>
          <w:tcPr>
            <w:tcW w:w="684" w:type="dxa"/>
            <w:vAlign w:val="center"/>
          </w:tcPr>
          <w:p w14:paraId="1C346B1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PA</w:t>
            </w:r>
          </w:p>
        </w:tc>
        <w:tc>
          <w:tcPr>
            <w:tcW w:w="990" w:type="dxa"/>
            <w:vAlign w:val="center"/>
          </w:tcPr>
          <w:p w14:paraId="21FD0A2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0,24</w:t>
            </w:r>
          </w:p>
        </w:tc>
        <w:tc>
          <w:tcPr>
            <w:tcW w:w="900" w:type="dxa"/>
            <w:vAlign w:val="center"/>
          </w:tcPr>
          <w:p w14:paraId="037B47D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0,24</w:t>
            </w:r>
          </w:p>
        </w:tc>
        <w:tc>
          <w:tcPr>
            <w:tcW w:w="1260" w:type="dxa"/>
            <w:vAlign w:val="center"/>
          </w:tcPr>
          <w:p w14:paraId="2B80F75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c>
          <w:tcPr>
            <w:tcW w:w="990" w:type="dxa"/>
            <w:vAlign w:val="center"/>
          </w:tcPr>
          <w:p w14:paraId="0D9DFA29"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810" w:type="dxa"/>
            <w:vAlign w:val="center"/>
          </w:tcPr>
          <w:p w14:paraId="0092AEC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1260" w:type="dxa"/>
            <w:vAlign w:val="center"/>
          </w:tcPr>
          <w:p w14:paraId="1648688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c>
          <w:tcPr>
            <w:tcW w:w="810" w:type="dxa"/>
            <w:vAlign w:val="center"/>
          </w:tcPr>
          <w:p w14:paraId="72DFDC03"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2,57</w:t>
            </w:r>
          </w:p>
        </w:tc>
        <w:tc>
          <w:tcPr>
            <w:tcW w:w="810" w:type="dxa"/>
            <w:vAlign w:val="center"/>
          </w:tcPr>
          <w:p w14:paraId="11084EE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10,31</w:t>
            </w:r>
          </w:p>
        </w:tc>
        <w:tc>
          <w:tcPr>
            <w:tcW w:w="1260" w:type="dxa"/>
            <w:vAlign w:val="center"/>
          </w:tcPr>
          <w:p w14:paraId="06C87E4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4</w:t>
            </w:r>
          </w:p>
        </w:tc>
      </w:tr>
      <w:tr w:rsidR="001A5676" w:rsidRPr="001A5676" w14:paraId="3010827F" w14:textId="77777777" w:rsidTr="004A2F47">
        <w:trPr>
          <w:trHeight w:val="260"/>
        </w:trPr>
        <w:tc>
          <w:tcPr>
            <w:tcW w:w="684" w:type="dxa"/>
            <w:vAlign w:val="center"/>
          </w:tcPr>
          <w:p w14:paraId="5961DA98"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SA</w:t>
            </w:r>
          </w:p>
        </w:tc>
        <w:tc>
          <w:tcPr>
            <w:tcW w:w="990" w:type="dxa"/>
            <w:vAlign w:val="center"/>
          </w:tcPr>
          <w:p w14:paraId="1A0BEE1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15,62</w:t>
            </w:r>
          </w:p>
        </w:tc>
        <w:tc>
          <w:tcPr>
            <w:tcW w:w="900" w:type="dxa"/>
            <w:vAlign w:val="center"/>
          </w:tcPr>
          <w:p w14:paraId="56BA696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1260" w:type="dxa"/>
            <w:vAlign w:val="center"/>
          </w:tcPr>
          <w:p w14:paraId="486BA92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990" w:type="dxa"/>
            <w:vAlign w:val="center"/>
          </w:tcPr>
          <w:p w14:paraId="65462C1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15,62</w:t>
            </w:r>
          </w:p>
        </w:tc>
        <w:tc>
          <w:tcPr>
            <w:tcW w:w="810" w:type="dxa"/>
            <w:vAlign w:val="center"/>
          </w:tcPr>
          <w:p w14:paraId="50165B2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15,62</w:t>
            </w:r>
          </w:p>
        </w:tc>
        <w:tc>
          <w:tcPr>
            <w:tcW w:w="1260" w:type="dxa"/>
            <w:vAlign w:val="center"/>
          </w:tcPr>
          <w:p w14:paraId="04B3B71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c>
          <w:tcPr>
            <w:tcW w:w="810" w:type="dxa"/>
            <w:vAlign w:val="center"/>
          </w:tcPr>
          <w:p w14:paraId="7D84CC7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0,32</w:t>
            </w:r>
          </w:p>
        </w:tc>
        <w:tc>
          <w:tcPr>
            <w:tcW w:w="810" w:type="dxa"/>
            <w:vAlign w:val="center"/>
          </w:tcPr>
          <w:p w14:paraId="6AA4F7E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0,64</w:t>
            </w:r>
          </w:p>
        </w:tc>
        <w:tc>
          <w:tcPr>
            <w:tcW w:w="1260" w:type="dxa"/>
            <w:vAlign w:val="center"/>
          </w:tcPr>
          <w:p w14:paraId="55C635F3"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r>
      <w:tr w:rsidR="001A5676" w:rsidRPr="001A5676" w14:paraId="73FE8C94" w14:textId="77777777" w:rsidTr="004A2F47">
        <w:trPr>
          <w:trHeight w:val="449"/>
        </w:trPr>
        <w:tc>
          <w:tcPr>
            <w:tcW w:w="684" w:type="dxa"/>
            <w:vAlign w:val="center"/>
          </w:tcPr>
          <w:p w14:paraId="046B061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EC</w:t>
            </w:r>
          </w:p>
        </w:tc>
        <w:tc>
          <w:tcPr>
            <w:tcW w:w="990" w:type="dxa"/>
            <w:vAlign w:val="center"/>
          </w:tcPr>
          <w:p w14:paraId="18D5BD4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3,90</w:t>
            </w:r>
          </w:p>
        </w:tc>
        <w:tc>
          <w:tcPr>
            <w:tcW w:w="900" w:type="dxa"/>
            <w:vAlign w:val="center"/>
          </w:tcPr>
          <w:p w14:paraId="5ACA4E1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7,81</w:t>
            </w:r>
          </w:p>
        </w:tc>
        <w:tc>
          <w:tcPr>
            <w:tcW w:w="1260" w:type="dxa"/>
            <w:vAlign w:val="center"/>
          </w:tcPr>
          <w:p w14:paraId="1E229C4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990" w:type="dxa"/>
            <w:vAlign w:val="center"/>
          </w:tcPr>
          <w:p w14:paraId="30D2140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810" w:type="dxa"/>
            <w:vAlign w:val="center"/>
          </w:tcPr>
          <w:p w14:paraId="065822C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62,5</w:t>
            </w:r>
          </w:p>
        </w:tc>
        <w:tc>
          <w:tcPr>
            <w:tcW w:w="1260" w:type="dxa"/>
            <w:vAlign w:val="center"/>
          </w:tcPr>
          <w:p w14:paraId="7E3AB68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810" w:type="dxa"/>
            <w:vAlign w:val="center"/>
          </w:tcPr>
          <w:p w14:paraId="2D7A615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0.64</w:t>
            </w:r>
          </w:p>
        </w:tc>
        <w:tc>
          <w:tcPr>
            <w:tcW w:w="810" w:type="dxa"/>
            <w:vAlign w:val="center"/>
          </w:tcPr>
          <w:p w14:paraId="4AF62FA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0.64</w:t>
            </w:r>
          </w:p>
        </w:tc>
        <w:tc>
          <w:tcPr>
            <w:tcW w:w="1260" w:type="dxa"/>
            <w:vAlign w:val="center"/>
          </w:tcPr>
          <w:p w14:paraId="619032ED"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r>
    </w:tbl>
    <w:p w14:paraId="07640BD8" w14:textId="71E630D7" w:rsidR="001A5676" w:rsidRDefault="001A5676" w:rsidP="001A5676">
      <w:pPr>
        <w:pStyle w:val="Body"/>
        <w:spacing w:after="0"/>
        <w:rPr>
          <w:rFonts w:ascii="Arial" w:hAnsi="Arial" w:cs="Arial"/>
        </w:rPr>
      </w:pPr>
      <w:r w:rsidRPr="001A5676">
        <w:rPr>
          <w:rFonts w:ascii="Arial" w:hAnsi="Arial" w:cs="Arial"/>
        </w:rPr>
        <w:t xml:space="preserve">EB : </w:t>
      </w:r>
      <w:r w:rsidR="00CA16D7" w:rsidRPr="00CA16D7">
        <w:rPr>
          <w:rFonts w:ascii="Arial" w:hAnsi="Arial" w:cs="Arial"/>
          <w:i/>
          <w:iCs/>
        </w:rPr>
        <w:t>Enterobacter cloacae</w:t>
      </w:r>
      <w:r w:rsidRPr="001A5676">
        <w:rPr>
          <w:rFonts w:ascii="Arial" w:hAnsi="Arial" w:cs="Arial"/>
        </w:rPr>
        <w:t xml:space="preserve"> ; EC : </w:t>
      </w:r>
      <w:r w:rsidR="00BF0CCB" w:rsidRPr="00BF0CCB">
        <w:rPr>
          <w:rFonts w:ascii="Arial" w:hAnsi="Arial" w:cs="Arial"/>
          <w:i/>
          <w:iCs/>
        </w:rPr>
        <w:t>Escherichia coli</w:t>
      </w:r>
      <w:r w:rsidRPr="001A5676">
        <w:rPr>
          <w:rFonts w:ascii="Arial" w:hAnsi="Arial" w:cs="Arial"/>
        </w:rPr>
        <w:t xml:space="preserve"> ; SA : Staphyloccus aureus ; PA : </w:t>
      </w:r>
      <w:r w:rsidR="00CA16D7" w:rsidRPr="00CA16D7">
        <w:rPr>
          <w:rFonts w:ascii="Arial" w:hAnsi="Arial" w:cs="Arial"/>
          <w:i/>
          <w:iCs/>
        </w:rPr>
        <w:t>Pseudomonas aeruginosa</w:t>
      </w:r>
      <w:r w:rsidRPr="001A5676">
        <w:rPr>
          <w:rFonts w:ascii="Arial" w:hAnsi="Arial" w:cs="Arial"/>
        </w:rPr>
        <w:t xml:space="preserve"> MAQ : Aqueous maceration ; DAQ : Aqueous decoction; MHE : Hydroethanolic maceration</w:t>
      </w:r>
    </w:p>
    <w:p w14:paraId="05C07B68" w14:textId="77777777" w:rsidR="00EE7F92" w:rsidRPr="001A5676" w:rsidRDefault="00EE7F92" w:rsidP="001A5676">
      <w:pPr>
        <w:pStyle w:val="Body"/>
        <w:spacing w:after="0"/>
        <w:rPr>
          <w:rFonts w:ascii="Arial" w:hAnsi="Arial" w:cs="Arial"/>
        </w:rPr>
      </w:pPr>
    </w:p>
    <w:p w14:paraId="24271D89" w14:textId="5D838D28" w:rsidR="001A5676" w:rsidRDefault="001A5676" w:rsidP="001A5676">
      <w:pPr>
        <w:pStyle w:val="Body"/>
        <w:spacing w:after="0"/>
        <w:rPr>
          <w:rFonts w:ascii="Arial" w:hAnsi="Arial" w:cs="Arial"/>
        </w:rPr>
      </w:pPr>
      <w:r w:rsidRPr="001A5676">
        <w:rPr>
          <w:rFonts w:ascii="Arial" w:hAnsi="Arial" w:cs="Arial"/>
        </w:rPr>
        <w:t xml:space="preserve">According to Table 7, the hydroethanolic extract had a strong inhibitory effect on </w:t>
      </w:r>
      <w:r w:rsidR="00CA16D7" w:rsidRPr="00CA16D7">
        <w:rPr>
          <w:rFonts w:ascii="Arial" w:hAnsi="Arial" w:cs="Arial"/>
          <w:i/>
          <w:iCs/>
        </w:rPr>
        <w:t>Enterobacter cloacae</w:t>
      </w:r>
      <w:r w:rsidRPr="001A5676">
        <w:rPr>
          <w:rFonts w:ascii="Arial" w:hAnsi="Arial" w:cs="Arial"/>
        </w:rPr>
        <w:t xml:space="preserve"> (MIC of 0.16µg/ml), </w:t>
      </w:r>
      <w:r w:rsidR="00CA16D7" w:rsidRPr="00CA16D7">
        <w:rPr>
          <w:rFonts w:ascii="Arial" w:hAnsi="Arial" w:cs="Arial"/>
          <w:i/>
          <w:iCs/>
        </w:rPr>
        <w:t>S. aureus</w:t>
      </w:r>
      <w:r w:rsidRPr="001A5676">
        <w:rPr>
          <w:rFonts w:ascii="Arial" w:hAnsi="Arial" w:cs="Arial"/>
        </w:rPr>
        <w:t xml:space="preserve"> (0.32µg/ml), </w:t>
      </w:r>
      <w:r w:rsidR="00BF0CCB" w:rsidRPr="00BF0CCB">
        <w:rPr>
          <w:rFonts w:ascii="Arial" w:hAnsi="Arial" w:cs="Arial"/>
          <w:i/>
          <w:iCs/>
        </w:rPr>
        <w:t>Escherichia coli</w:t>
      </w:r>
      <w:r w:rsidRPr="001A5676">
        <w:rPr>
          <w:rFonts w:ascii="Arial" w:hAnsi="Arial" w:cs="Arial"/>
        </w:rPr>
        <w:t xml:space="preserve"> (0.64µg/ml ) </w:t>
      </w:r>
      <w:r w:rsidR="00CA16D7" w:rsidRPr="00CA16D7">
        <w:rPr>
          <w:rFonts w:ascii="Arial" w:hAnsi="Arial" w:cs="Arial"/>
          <w:i/>
          <w:iCs/>
        </w:rPr>
        <w:t>Pseudomonas aeruginosa</w:t>
      </w:r>
      <w:r w:rsidRPr="001A5676">
        <w:rPr>
          <w:rFonts w:ascii="Arial" w:hAnsi="Arial" w:cs="Arial"/>
        </w:rPr>
        <w:t xml:space="preserve"> (0.24 µg/ml) was inhibited with a lower concentration of aqueous decoction compared to the other extracts. With MICs ranging from 0.16 to 31.25 µg/ml, all are below 100 µg/ml, thus demonstrating the high antibacterial activity of each extract.</w:t>
      </w:r>
    </w:p>
    <w:p w14:paraId="6241E064" w14:textId="77777777" w:rsidR="00EE7F92" w:rsidRDefault="00EE7F92" w:rsidP="001A5676">
      <w:pPr>
        <w:pStyle w:val="Body"/>
        <w:spacing w:after="0"/>
        <w:rPr>
          <w:rFonts w:ascii="Arial" w:hAnsi="Arial" w:cs="Arial"/>
        </w:rPr>
      </w:pPr>
    </w:p>
    <w:p w14:paraId="177E8C21" w14:textId="77777777" w:rsidR="00EE7F92" w:rsidRPr="001A5676" w:rsidRDefault="00EE7F92" w:rsidP="001A5676">
      <w:pPr>
        <w:pStyle w:val="Body"/>
        <w:spacing w:after="0"/>
        <w:rPr>
          <w:rFonts w:ascii="Arial" w:hAnsi="Arial" w:cs="Arial"/>
        </w:rPr>
      </w:pPr>
    </w:p>
    <w:p w14:paraId="0BA4CFDD" w14:textId="77777777" w:rsidR="001A5676" w:rsidRPr="001A5676" w:rsidRDefault="001A5676" w:rsidP="001A5676">
      <w:pPr>
        <w:pStyle w:val="Body"/>
        <w:spacing w:after="0"/>
        <w:rPr>
          <w:rFonts w:ascii="Arial" w:hAnsi="Arial" w:cs="Arial"/>
        </w:rPr>
      </w:pPr>
    </w:p>
    <w:p w14:paraId="4CC70283" w14:textId="22C55CBC" w:rsidR="001A5676" w:rsidRPr="00EE7F92" w:rsidRDefault="001A5676" w:rsidP="001A5676">
      <w:pPr>
        <w:pStyle w:val="Body"/>
        <w:spacing w:after="0"/>
        <w:rPr>
          <w:rFonts w:ascii="Arial" w:hAnsi="Arial" w:cs="Arial"/>
          <w:b/>
          <w:bCs/>
          <w:i/>
          <w:iCs/>
        </w:rPr>
      </w:pPr>
      <w:bookmarkStart w:id="57" w:name="_Toc137923803"/>
      <w:r w:rsidRPr="00EE7F92">
        <w:rPr>
          <w:rFonts w:ascii="Arial" w:hAnsi="Arial" w:cs="Arial"/>
          <w:b/>
          <w:bCs/>
          <w:i/>
          <w:iCs/>
        </w:rPr>
        <w:t xml:space="preserve">Table 8 : Effect of </w:t>
      </w:r>
      <w:r w:rsidR="00CA16D7" w:rsidRPr="00CA16D7">
        <w:rPr>
          <w:rFonts w:ascii="Arial" w:hAnsi="Arial" w:cs="Arial"/>
          <w:b/>
          <w:bCs/>
          <w:i/>
          <w:iCs/>
        </w:rPr>
        <w:t xml:space="preserve">Garcinia mangostana </w:t>
      </w:r>
      <w:r w:rsidRPr="00EE7F92">
        <w:rPr>
          <w:rFonts w:ascii="Arial" w:hAnsi="Arial" w:cs="Arial"/>
          <w:b/>
          <w:bCs/>
          <w:i/>
          <w:iCs/>
        </w:rPr>
        <w:t xml:space="preserve"> L. extracts on the organism of interest as a function of the CMB/MIC ratio</w:t>
      </w:r>
      <w:bookmarkEnd w:id="57"/>
    </w:p>
    <w:tbl>
      <w:tblPr>
        <w:tblStyle w:val="MediumShading2"/>
        <w:tblW w:w="0" w:type="auto"/>
        <w:tblLook w:val="0600" w:firstRow="0" w:lastRow="0" w:firstColumn="0" w:lastColumn="0" w:noHBand="1" w:noVBand="1"/>
      </w:tblPr>
      <w:tblGrid>
        <w:gridCol w:w="1880"/>
        <w:gridCol w:w="2088"/>
        <w:gridCol w:w="2088"/>
        <w:gridCol w:w="2152"/>
      </w:tblGrid>
      <w:tr w:rsidR="001A5676" w:rsidRPr="001A5676" w14:paraId="5CAE7A27" w14:textId="77777777" w:rsidTr="004A2F47">
        <w:tc>
          <w:tcPr>
            <w:tcW w:w="2471" w:type="dxa"/>
            <w:tcBorders>
              <w:top w:val="single" w:sz="18" w:space="0" w:color="auto"/>
              <w:bottom w:val="single" w:sz="4" w:space="0" w:color="auto"/>
            </w:tcBorders>
          </w:tcPr>
          <w:p w14:paraId="09B84265" w14:textId="77777777" w:rsidR="001A5676" w:rsidRPr="001A5676" w:rsidRDefault="001A5676" w:rsidP="001A5676">
            <w:pPr>
              <w:pStyle w:val="Body"/>
              <w:spacing w:after="0"/>
              <w:rPr>
                <w:rFonts w:ascii="Arial" w:eastAsia="Times New Roman" w:hAnsi="Arial" w:cs="Arial"/>
                <w:sz w:val="20"/>
                <w:szCs w:val="20"/>
                <w:lang w:val="en-US"/>
              </w:rPr>
            </w:pPr>
          </w:p>
        </w:tc>
        <w:tc>
          <w:tcPr>
            <w:tcW w:w="2472" w:type="dxa"/>
            <w:tcBorders>
              <w:top w:val="single" w:sz="18" w:space="0" w:color="auto"/>
              <w:bottom w:val="single" w:sz="4" w:space="0" w:color="auto"/>
            </w:tcBorders>
          </w:tcPr>
          <w:p w14:paraId="7CD7D84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DAQ</w:t>
            </w:r>
          </w:p>
        </w:tc>
        <w:tc>
          <w:tcPr>
            <w:tcW w:w="2472" w:type="dxa"/>
            <w:tcBorders>
              <w:top w:val="single" w:sz="18" w:space="0" w:color="auto"/>
              <w:bottom w:val="single" w:sz="4" w:space="0" w:color="auto"/>
            </w:tcBorders>
          </w:tcPr>
          <w:p w14:paraId="7F90455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MAQ</w:t>
            </w:r>
          </w:p>
        </w:tc>
        <w:tc>
          <w:tcPr>
            <w:tcW w:w="2472" w:type="dxa"/>
            <w:tcBorders>
              <w:top w:val="single" w:sz="18" w:space="0" w:color="auto"/>
              <w:bottom w:val="single" w:sz="4" w:space="0" w:color="auto"/>
            </w:tcBorders>
          </w:tcPr>
          <w:p w14:paraId="5CC069F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MHE</w:t>
            </w:r>
          </w:p>
        </w:tc>
      </w:tr>
      <w:tr w:rsidR="001A5676" w:rsidRPr="001A5676" w14:paraId="231CACDA" w14:textId="77777777" w:rsidTr="004A2F47">
        <w:tc>
          <w:tcPr>
            <w:tcW w:w="2471" w:type="dxa"/>
            <w:tcBorders>
              <w:top w:val="single" w:sz="4" w:space="0" w:color="auto"/>
            </w:tcBorders>
          </w:tcPr>
          <w:p w14:paraId="2C911E4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EB</w:t>
            </w:r>
          </w:p>
        </w:tc>
        <w:tc>
          <w:tcPr>
            <w:tcW w:w="2472" w:type="dxa"/>
            <w:tcBorders>
              <w:top w:val="single" w:sz="4" w:space="0" w:color="auto"/>
            </w:tcBorders>
          </w:tcPr>
          <w:p w14:paraId="56448501"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Borders>
              <w:top w:val="single" w:sz="4" w:space="0" w:color="auto"/>
            </w:tcBorders>
          </w:tcPr>
          <w:p w14:paraId="1DAF5C1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Borders>
              <w:top w:val="single" w:sz="4" w:space="0" w:color="auto"/>
            </w:tcBorders>
          </w:tcPr>
          <w:p w14:paraId="6B6BD6C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r>
      <w:tr w:rsidR="001A5676" w:rsidRPr="001A5676" w14:paraId="62838342" w14:textId="77777777" w:rsidTr="004A2F47">
        <w:tc>
          <w:tcPr>
            <w:tcW w:w="2471" w:type="dxa"/>
          </w:tcPr>
          <w:p w14:paraId="1E1FDF2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PA</w:t>
            </w:r>
          </w:p>
        </w:tc>
        <w:tc>
          <w:tcPr>
            <w:tcW w:w="2472" w:type="dxa"/>
          </w:tcPr>
          <w:p w14:paraId="47C1426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c>
          <w:tcPr>
            <w:tcW w:w="2472" w:type="dxa"/>
          </w:tcPr>
          <w:p w14:paraId="5C1D0B5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c>
          <w:tcPr>
            <w:tcW w:w="2472" w:type="dxa"/>
          </w:tcPr>
          <w:p w14:paraId="6149AD2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Bacteriostatic</w:t>
            </w:r>
          </w:p>
        </w:tc>
      </w:tr>
      <w:tr w:rsidR="001A5676" w:rsidRPr="001A5676" w14:paraId="676A3E30" w14:textId="77777777" w:rsidTr="004A2F47">
        <w:tc>
          <w:tcPr>
            <w:tcW w:w="2471" w:type="dxa"/>
          </w:tcPr>
          <w:p w14:paraId="6A4F64A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ITS</w:t>
            </w:r>
          </w:p>
        </w:tc>
        <w:tc>
          <w:tcPr>
            <w:tcW w:w="2472" w:type="dxa"/>
          </w:tcPr>
          <w:p w14:paraId="02D42C5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Pr>
          <w:p w14:paraId="20B4B8E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c>
          <w:tcPr>
            <w:tcW w:w="2472" w:type="dxa"/>
          </w:tcPr>
          <w:p w14:paraId="50264678"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r>
      <w:tr w:rsidR="001A5676" w:rsidRPr="001A5676" w14:paraId="4B040535" w14:textId="77777777" w:rsidTr="004A2F47">
        <w:tc>
          <w:tcPr>
            <w:tcW w:w="2471" w:type="dxa"/>
          </w:tcPr>
          <w:p w14:paraId="71E0940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EC</w:t>
            </w:r>
          </w:p>
        </w:tc>
        <w:tc>
          <w:tcPr>
            <w:tcW w:w="2472" w:type="dxa"/>
          </w:tcPr>
          <w:p w14:paraId="4F9C7DA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Pr>
          <w:p w14:paraId="418E56A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Pr>
          <w:p w14:paraId="0C9F015D"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r>
    </w:tbl>
    <w:p w14:paraId="0A1DE52D" w14:textId="77777777" w:rsidR="00EE7F92" w:rsidRDefault="00EE7F92" w:rsidP="001A5676">
      <w:pPr>
        <w:pStyle w:val="Body"/>
        <w:spacing w:after="0"/>
        <w:rPr>
          <w:rFonts w:ascii="Arial" w:hAnsi="Arial" w:cs="Arial"/>
        </w:rPr>
      </w:pPr>
    </w:p>
    <w:p w14:paraId="74489379" w14:textId="7B801A04" w:rsidR="001A5676" w:rsidRPr="001A5676" w:rsidRDefault="001A5676" w:rsidP="001A5676">
      <w:pPr>
        <w:pStyle w:val="Body"/>
        <w:spacing w:after="0"/>
        <w:rPr>
          <w:rFonts w:ascii="Arial" w:hAnsi="Arial" w:cs="Arial"/>
        </w:rPr>
      </w:pPr>
      <w:r w:rsidRPr="001A5676">
        <w:rPr>
          <w:rFonts w:ascii="Arial" w:hAnsi="Arial" w:cs="Arial"/>
        </w:rPr>
        <w:t xml:space="preserve">Table 8 shows that </w:t>
      </w:r>
      <w:r w:rsidR="00CA16D7" w:rsidRPr="00CA16D7">
        <w:rPr>
          <w:rFonts w:ascii="Arial" w:hAnsi="Arial" w:cs="Arial"/>
          <w:i/>
          <w:iCs/>
        </w:rPr>
        <w:t xml:space="preserve">G. mangostana </w:t>
      </w:r>
      <w:r w:rsidRPr="001A5676">
        <w:rPr>
          <w:rFonts w:ascii="Arial" w:hAnsi="Arial" w:cs="Arial"/>
        </w:rPr>
        <w:t xml:space="preserve"> extracts have antimicrobial power against </w:t>
      </w:r>
      <w:r w:rsidR="00BF0CCB" w:rsidRPr="00BF0CCB">
        <w:rPr>
          <w:rFonts w:ascii="Arial" w:hAnsi="Arial" w:cs="Arial"/>
          <w:i/>
          <w:iCs/>
        </w:rPr>
        <w:t>Escherichia coli</w:t>
      </w:r>
      <w:r w:rsidRPr="001A5676">
        <w:rPr>
          <w:rFonts w:ascii="Arial" w:hAnsi="Arial" w:cs="Arial"/>
        </w:rPr>
        <w:t xml:space="preserve">, </w:t>
      </w:r>
      <w:r w:rsidR="00CA16D7" w:rsidRPr="00CA16D7">
        <w:rPr>
          <w:rFonts w:ascii="Arial" w:hAnsi="Arial" w:cs="Arial"/>
          <w:i/>
          <w:iCs/>
        </w:rPr>
        <w:t>S. aureus</w:t>
      </w:r>
      <w:r w:rsidRPr="001A5676">
        <w:rPr>
          <w:rFonts w:ascii="Arial" w:hAnsi="Arial" w:cs="Arial"/>
        </w:rPr>
        <w:t xml:space="preserve">, </w:t>
      </w:r>
      <w:r w:rsidR="00CA16D7" w:rsidRPr="00CA16D7">
        <w:rPr>
          <w:rFonts w:ascii="Arial" w:hAnsi="Arial" w:cs="Arial"/>
          <w:i/>
          <w:iCs/>
        </w:rPr>
        <w:t>Pseudomonas aeruginosa</w:t>
      </w:r>
      <w:r w:rsidRPr="001A5676">
        <w:rPr>
          <w:rFonts w:ascii="Arial" w:hAnsi="Arial" w:cs="Arial"/>
        </w:rPr>
        <w:t xml:space="preserve"> and </w:t>
      </w:r>
      <w:r w:rsidR="00CA16D7" w:rsidRPr="00CA16D7">
        <w:rPr>
          <w:rFonts w:ascii="Arial" w:hAnsi="Arial" w:cs="Arial"/>
          <w:i/>
          <w:iCs/>
        </w:rPr>
        <w:t>Enterobacter cloacae</w:t>
      </w:r>
      <w:r w:rsidRPr="001A5676">
        <w:rPr>
          <w:rFonts w:ascii="Arial" w:hAnsi="Arial" w:cs="Arial"/>
        </w:rPr>
        <w:t xml:space="preserve"> and can be bactericidal/bacteriostatic depending on the extraction method and the germ, except for aqueous maceration which was bactericidal against all germs and in particular absolute bactericidal against </w:t>
      </w:r>
      <w:r w:rsidR="00CA16D7" w:rsidRPr="00CA16D7">
        <w:rPr>
          <w:rFonts w:ascii="Arial" w:hAnsi="Arial" w:cs="Arial"/>
          <w:i/>
          <w:iCs/>
        </w:rPr>
        <w:t>S. aureus</w:t>
      </w:r>
      <w:r w:rsidRPr="001A5676">
        <w:rPr>
          <w:rFonts w:ascii="Arial" w:hAnsi="Arial" w:cs="Arial"/>
        </w:rPr>
        <w:t xml:space="preserve"> and </w:t>
      </w:r>
      <w:r w:rsidR="00CA16D7" w:rsidRPr="00CA16D7">
        <w:rPr>
          <w:rFonts w:ascii="Arial" w:hAnsi="Arial" w:cs="Arial"/>
          <w:i/>
          <w:iCs/>
        </w:rPr>
        <w:t>Pseudomonas aeruginosa</w:t>
      </w:r>
      <w:r w:rsidRPr="001A5676">
        <w:rPr>
          <w:rFonts w:ascii="Arial" w:hAnsi="Arial" w:cs="Arial"/>
        </w:rPr>
        <w:t>.</w:t>
      </w:r>
    </w:p>
    <w:p w14:paraId="74BF93EB" w14:textId="77777777" w:rsidR="00EE7F92" w:rsidRDefault="00EE7F92" w:rsidP="001A5676">
      <w:pPr>
        <w:pStyle w:val="Body"/>
        <w:spacing w:after="0"/>
        <w:rPr>
          <w:rFonts w:ascii="Arial" w:hAnsi="Arial" w:cs="Arial"/>
        </w:rPr>
      </w:pPr>
      <w:bookmarkStart w:id="58" w:name="_Toc137924747"/>
    </w:p>
    <w:p w14:paraId="225B425E" w14:textId="24DFAED5" w:rsidR="001A5676" w:rsidRPr="00EE7F92" w:rsidRDefault="00EE7F92" w:rsidP="001A5676">
      <w:pPr>
        <w:pStyle w:val="Body"/>
        <w:spacing w:after="0"/>
        <w:rPr>
          <w:rFonts w:ascii="Arial" w:hAnsi="Arial" w:cs="Arial"/>
          <w:b/>
          <w:bCs/>
        </w:rPr>
      </w:pPr>
      <w:r>
        <w:rPr>
          <w:rFonts w:ascii="Arial" w:hAnsi="Arial" w:cs="Arial"/>
          <w:b/>
          <w:bCs/>
        </w:rPr>
        <w:lastRenderedPageBreak/>
        <w:t xml:space="preserve">3.5. </w:t>
      </w:r>
      <w:r w:rsidR="001A5676" w:rsidRPr="00EE7F92">
        <w:rPr>
          <w:rFonts w:ascii="Arial" w:hAnsi="Arial" w:cs="Arial"/>
          <w:b/>
          <w:bCs/>
        </w:rPr>
        <w:t>DISCUSSION</w:t>
      </w:r>
      <w:bookmarkEnd w:id="58"/>
    </w:p>
    <w:p w14:paraId="220DE0A0" w14:textId="2535BFD8" w:rsidR="001A5676" w:rsidRPr="001A5676" w:rsidRDefault="001A5676" w:rsidP="001A5676">
      <w:pPr>
        <w:pStyle w:val="Body"/>
        <w:spacing w:after="0"/>
        <w:rPr>
          <w:rFonts w:ascii="Arial" w:hAnsi="Arial" w:cs="Arial"/>
        </w:rPr>
      </w:pPr>
      <w:r w:rsidRPr="001A5676">
        <w:rPr>
          <w:rFonts w:ascii="Arial" w:hAnsi="Arial" w:cs="Arial"/>
        </w:rPr>
        <w:t xml:space="preserve">This study investigated the antioxidant and antibacterial activities of the pericarp of </w:t>
      </w:r>
      <w:r w:rsidR="00CA16D7" w:rsidRPr="00CA16D7">
        <w:rPr>
          <w:rFonts w:ascii="Arial" w:hAnsi="Arial" w:cs="Arial"/>
          <w:i/>
          <w:iCs/>
        </w:rPr>
        <w:t xml:space="preserve">G. mangostana </w:t>
      </w:r>
      <w:r w:rsidRPr="001A5676">
        <w:rPr>
          <w:rFonts w:ascii="Arial" w:hAnsi="Arial" w:cs="Arial"/>
        </w:rPr>
        <w:t xml:space="preserve"> fruit . The plant material consisted of the fruit pericarp because this part is reported to have a high concentration of secondary metabolites with antioxidant and antibacterial potential </w:t>
      </w:r>
      <w:r w:rsidRPr="001A5676">
        <w:rPr>
          <w:rFonts w:ascii="Arial" w:hAnsi="Arial" w:cs="Arial"/>
        </w:rPr>
        <w:fldChar w:fldCharType="begin"/>
      </w:r>
      <w:r w:rsidR="00CA16D7">
        <w:rPr>
          <w:rFonts w:ascii="Arial" w:hAnsi="Arial" w:cs="Arial"/>
        </w:rPr>
        <w:instrText xml:space="preserve"> ADDIN EN.CITE &lt;EndNote&gt;&lt;Cite&gt;&lt;Author&gt;Trease&lt;/Author&gt;&lt;Year&gt;2002&lt;/Year&gt;&lt;RecNum&gt;66&lt;/RecNum&gt;&lt;DisplayText&gt;(Trease &amp;amp; Evans, 2002)&lt;/DisplayText&gt;&lt;record&gt;&lt;rec-number&gt;66&lt;/rec-number&gt;&lt;foreign-keys&gt;&lt;key app="EN" db-id="xd20ava0ss0z06e9fzmxda9qwp2twsza5092" timestamp="1774870881"&gt;66&lt;/key&gt;&lt;/foreign-keys&gt;&lt;ref-type name="Journal Article"&gt;17&lt;/ref-type&gt;&lt;contributors&gt;&lt;authors&gt;&lt;author&gt;Trease, G.&lt;/author&gt;&lt;author&gt;Evans, W.&lt;/author&gt;&lt;/authors&gt;&lt;/contributors&gt;&lt;titles&gt;&lt;title&gt;Chemistry and biochemistru of dietary polyphenols&lt;/title&gt;&lt;secondary-title&gt;Journal of Pharmacognosy&lt;/secondary-title&gt;&lt;/titles&gt;&lt;periodical&gt;&lt;full-title&gt;Journal of Pharmacognosy&lt;/full-title&gt;&lt;/periodical&gt;&lt;pages&gt;391-393&lt;/pages&gt;&lt;dates&gt;&lt;year&gt;2002&lt;/year&gt;&lt;/dates&gt;&lt;urls&gt;&lt;/urls&gt;&lt;/record&gt;&lt;/Cite&gt;&lt;/EndNote&gt;</w:instrText>
      </w:r>
      <w:r w:rsidRPr="001A5676">
        <w:rPr>
          <w:rFonts w:ascii="Arial" w:hAnsi="Arial" w:cs="Arial"/>
        </w:rPr>
        <w:fldChar w:fldCharType="separate"/>
      </w:r>
      <w:r w:rsidR="00CA16D7">
        <w:rPr>
          <w:rFonts w:ascii="Arial" w:hAnsi="Arial" w:cs="Arial"/>
          <w:noProof/>
        </w:rPr>
        <w:t>(Trease &amp; Evans, 2002)</w:t>
      </w:r>
      <w:r w:rsidRPr="001A5676">
        <w:rPr>
          <w:rFonts w:ascii="Arial" w:hAnsi="Arial" w:cs="Arial"/>
        </w:rPr>
        <w:fldChar w:fldCharType="end"/>
      </w:r>
      <w:r w:rsidRPr="001A5676">
        <w:rPr>
          <w:rFonts w:ascii="Arial" w:hAnsi="Arial" w:cs="Arial"/>
        </w:rPr>
        <w:t xml:space="preserve">. To carry out this work, extraction from the dry powder of the pericarp was performed using solvents of different polarities: distilled water, ethanol, and an ethanol/ water mixture in a 70/30 (v/v) ratio. The extraction yields were 2.76%, 1.40%, and 1% for the extracts obtained by hydroethanolic maceration, aqueous decoction, and aqueous maceration, respectively. The hydroethanolic maceration, which showed the highest yield, demonstrates its greater extraction capacity compared to maceration and aqueous decoction. Our results are consistent with those reported in the literature and can be explained by the fact that using solvents with different polarities allows the compounds in the crude extract to be separated according to their degree of solubility in the extraction solvent. This method, carried out at room temperature, allows for the extraction of the maximum number of compounds and prevents their denaturation or probable modification due to high temperatures </w:t>
      </w:r>
      <w:r w:rsidRPr="001A5676">
        <w:rPr>
          <w:rFonts w:ascii="Arial" w:hAnsi="Arial" w:cs="Arial"/>
        </w:rPr>
        <w:fldChar w:fldCharType="begin"/>
      </w:r>
      <w:r w:rsidR="00CA16D7">
        <w:rPr>
          <w:rFonts w:ascii="Arial" w:hAnsi="Arial" w:cs="Arial"/>
        </w:rPr>
        <w:instrText xml:space="preserve"> ADDIN EN.CITE &lt;EndNote&gt;&lt;Cite&gt;&lt;Author&gt;Bourgou&lt;/Author&gt;&lt;Year&gt;2009&lt;/Year&gt;&lt;RecNum&gt;67&lt;/RecNum&gt;&lt;DisplayText&gt;(A. Bourgou &amp;amp; Cheng-Wu, 2009)&lt;/DisplayText&gt;&lt;record&gt;&lt;rec-number&gt;67&lt;/rec-number&gt;&lt;foreign-keys&gt;&lt;key app="EN" db-id="xd20ava0ss0z06e9fzmxda9qwp2twsza5092" timestamp="1774870881"&gt;67&lt;/key&gt;&lt;/foreign-keys&gt;&lt;ref-type name="Journal Article"&gt;17&lt;/ref-type&gt;&lt;contributors&gt;&lt;authors&gt;&lt;author&gt;Bourgou, A.&lt;/author&gt;&lt;author&gt;Cheng-Wu, Jin&lt;/author&gt;&lt;/authors&gt;&lt;/contributors&gt;&lt;titles&gt;&lt;title&gt;Antioxidant activity and quantitative estimation of azadirachtin and nimbin in Azadirachta Indica. Grown in foothills of Nepal&lt;/title&gt;&lt;/titles&gt;&lt;pages&gt;384-391&lt;/pages&gt;&lt;volume&gt;8&lt;/volume&gt;&lt;number&gt;13&lt;/number&gt;&lt;dates&gt;&lt;year&gt;2009&lt;/year&gt;&lt;/dates&gt;&lt;urls&gt;&lt;/urls&gt;&lt;/record&gt;&lt;/Cite&gt;&lt;/EndNote&gt;</w:instrText>
      </w:r>
      <w:r w:rsidRPr="001A5676">
        <w:rPr>
          <w:rFonts w:ascii="Arial" w:hAnsi="Arial" w:cs="Arial"/>
        </w:rPr>
        <w:fldChar w:fldCharType="separate"/>
      </w:r>
      <w:r w:rsidR="00CA16D7">
        <w:rPr>
          <w:rFonts w:ascii="Arial" w:hAnsi="Arial" w:cs="Arial"/>
          <w:noProof/>
        </w:rPr>
        <w:t>(A. Bourgou &amp; Cheng-Wu, 2009)</w:t>
      </w:r>
      <w:r w:rsidRPr="001A5676">
        <w:rPr>
          <w:rFonts w:ascii="Arial" w:hAnsi="Arial" w:cs="Arial"/>
        </w:rPr>
        <w:fldChar w:fldCharType="end"/>
      </w:r>
      <w:r w:rsidRPr="001A5676">
        <w:rPr>
          <w:rFonts w:ascii="Arial" w:hAnsi="Arial" w:cs="Arial"/>
        </w:rPr>
        <w:t xml:space="preserve">. According to the results of Bourgou et al . </w:t>
      </w:r>
      <w:r w:rsidRPr="001A5676">
        <w:rPr>
          <w:rFonts w:ascii="Arial" w:hAnsi="Arial" w:cs="Arial"/>
        </w:rPr>
        <w:fldChar w:fldCharType="begin"/>
      </w:r>
      <w:r w:rsidR="00CA16D7">
        <w:rPr>
          <w:rFonts w:ascii="Arial" w:hAnsi="Arial" w:cs="Arial"/>
        </w:rPr>
        <w:instrText xml:space="preserve"> ADDIN EN.CITE &lt;EndNote&gt;&lt;Cite&gt;&lt;Author&gt;Bourgou&lt;/Author&gt;&lt;Year&gt;2016&lt;/Year&gt;&lt;RecNum&gt;82&lt;/RecNum&gt;&lt;DisplayText&gt;(S. Bourgou, Beji, Medini, &amp;amp; Ksouri, 2016)&lt;/DisplayText&gt;&lt;record&gt;&lt;rec-number&gt;82&lt;/rec-number&gt;&lt;foreign-keys&gt;&lt;key app="EN" db-id="xd20ava0ss0z06e9fzmxda9qwp2twsza5092" timestamp="1774874021"&gt;82&lt;/key&gt;&lt;/foreign-keys&gt;&lt;ref-type name="Journal Article"&gt;17&lt;/ref-type&gt;&lt;contributors&gt;&lt;authors&gt;&lt;author&gt;Bourgou, S.&lt;/author&gt;&lt;author&gt;Beji, R. S.&lt;/author&gt;&lt;author&gt;Medini, F.&lt;/author&gt;&lt;author&gt;Ksouri, R.&lt;/author&gt;&lt;/authors&gt;&lt;/contributors&gt;&lt;titles&gt;&lt;title&gt;Effet du solvant et de la méthode d&amp;apos;extraction sur la teneur en composés phénoliques et les potentialités antioxydantes d&amp;apos;Euphorbia helioscopia&lt;/title&gt;&lt;secondary-title&gt;Journal of New Sciences, Agriculture and Biotechnology&lt;/secondary-title&gt;&lt;/titles&gt;&lt;periodical&gt;&lt;full-title&gt;Journal of New Sciences, Agriculture and Biotechnology&lt;/full-title&gt;&lt;/periodical&gt;&lt;pages&gt;1649-1655&lt;/pages&gt;&lt;volume&gt;28&lt;/volume&gt;&lt;number&gt;12&lt;/number&gt;&lt;dates&gt;&lt;year&gt;2016&lt;/year&gt;&lt;/dates&gt;&lt;isbn&gt;2286-5314&lt;/isbn&gt;&lt;urls&gt;&lt;/urls&gt;&lt;/record&gt;&lt;/Cite&gt;&lt;/EndNote&gt;</w:instrText>
      </w:r>
      <w:r w:rsidRPr="001A5676">
        <w:rPr>
          <w:rFonts w:ascii="Arial" w:hAnsi="Arial" w:cs="Arial"/>
        </w:rPr>
        <w:fldChar w:fldCharType="separate"/>
      </w:r>
      <w:r w:rsidR="00CA16D7">
        <w:rPr>
          <w:rFonts w:ascii="Arial" w:hAnsi="Arial" w:cs="Arial"/>
          <w:noProof/>
        </w:rPr>
        <w:t>(S. Bourgou, Beji, Medini, &amp; Ksouri, 2016)</w:t>
      </w:r>
      <w:r w:rsidRPr="001A5676">
        <w:rPr>
          <w:rFonts w:ascii="Arial" w:hAnsi="Arial" w:cs="Arial"/>
        </w:rPr>
        <w:fldChar w:fldCharType="end"/>
      </w:r>
      <w:r w:rsidRPr="001A5676">
        <w:rPr>
          <w:rFonts w:ascii="Arial" w:hAnsi="Arial" w:cs="Arial"/>
        </w:rPr>
        <w:t xml:space="preserve">, the extraction power of the solvent significantly influences the yield; the mixed solvent proves to be particularly effective. Subsequently, extracts of </w:t>
      </w:r>
      <w:r w:rsidR="00CA16D7" w:rsidRPr="00CA16D7">
        <w:rPr>
          <w:rFonts w:ascii="Arial" w:hAnsi="Arial" w:cs="Arial"/>
          <w:i/>
          <w:iCs/>
        </w:rPr>
        <w:t xml:space="preserve">G. mangostana </w:t>
      </w:r>
      <w:r w:rsidRPr="001A5676">
        <w:rPr>
          <w:rFonts w:ascii="Arial" w:hAnsi="Arial" w:cs="Arial"/>
        </w:rPr>
        <w:t xml:space="preserve"> underwent phytochemical analysis tailored to the desired activities. This allowed for the qualitative and quantitative determination, through colorimetric tests and assays, of the different groups of secondary metabolites present in the plant, as well as their concentrations. The primary reason for identifying these metabolites lies in the fact that the majority of the plant's pharmacological effects are attributed to them. The results confirm the richness of the </w:t>
      </w:r>
      <w:r w:rsidR="00CA16D7" w:rsidRPr="00CA16D7">
        <w:rPr>
          <w:rFonts w:ascii="Arial" w:hAnsi="Arial" w:cs="Arial"/>
          <w:i/>
          <w:iCs/>
        </w:rPr>
        <w:t xml:space="preserve">G. mangostana </w:t>
      </w:r>
      <w:r w:rsidRPr="001A5676">
        <w:rPr>
          <w:rFonts w:ascii="Arial" w:hAnsi="Arial" w:cs="Arial"/>
        </w:rPr>
        <w:t xml:space="preserve"> fruit. Mangostana contains bioactive substances such as phenols, alkaloids, anthocyanins, saponins, flavonoids, and tannins, while steroids are absent in all extracts. Observation of the assay results reveals a variation in the levels of total phenols, total flavonoids, and total tannins depending on the solvent used, ranging from 1.16 to 1.85 mg/ml for total phenols, 0.25 to 0.47 mg/ml for total flavonoids, and 0.11 to 0.16 mg/ml for total tannins, with a higher concentration in each case in the hydroethanolic extract. These results are consistent with the work conducted by Shela et al. </w:t>
      </w:r>
      <w:r w:rsidRPr="001A5676">
        <w:rPr>
          <w:rFonts w:ascii="Arial" w:hAnsi="Arial" w:cs="Arial"/>
        </w:rPr>
        <w:fldChar w:fldCharType="begin"/>
      </w:r>
      <w:r w:rsidR="00CA16D7">
        <w:rPr>
          <w:rFonts w:ascii="Arial" w:hAnsi="Arial" w:cs="Arial"/>
        </w:rPr>
        <w:instrText xml:space="preserve"> ADDIN EN.CITE &lt;EndNote&gt;&lt;Cite&gt;&lt;Author&gt;Shela&lt;/Author&gt;&lt;Year&gt;2011&lt;/Year&gt;&lt;RecNum&gt;83&lt;/RecNum&gt;&lt;DisplayText&gt;(Shela, Mamta, &amp;amp; Shiwani, 2011)&lt;/DisplayText&gt;&lt;record&gt;&lt;rec-number&gt;83&lt;/rec-number&gt;&lt;foreign-keys&gt;&lt;key app="EN" db-id="xd20ava0ss0z06e9fzmxda9qwp2twsza5092" timestamp="1774874258"&gt;83&lt;/key&gt;&lt;/foreign-keys&gt;&lt;ref-type name="Journal Article"&gt;17&lt;/ref-type&gt;&lt;contributors&gt;&lt;authors&gt;&lt;author&gt;Shela, G.&lt;/author&gt;&lt;author&gt;Mamta, S.&lt;/author&gt;&lt;author&gt;Shiwani, G.&lt;/author&gt;&lt;/authors&gt;&lt;/contributors&gt;&lt;titles&gt;&lt;title&gt;Phytochemical screening and antioxidant activity of Cassia fistula L. leaf extracts&lt;/title&gt;&lt;secondary-title&gt;Journal of Chemical and Pharmaceutical Research&lt;/secondary-title&gt;&lt;/titles&gt;&lt;periodical&gt;&lt;full-title&gt;Journal of Chemical and Pharmaceutical Research&lt;/full-title&gt;&lt;/periodical&gt;&lt;pages&gt;194-199&lt;/pages&gt;&lt;volume&gt;3&lt;/volume&gt;&lt;number&gt;6&lt;/number&gt;&lt;dates&gt;&lt;year&gt;2011&lt;/year&gt;&lt;/dates&gt;&lt;urls&gt;&lt;/urls&gt;&lt;/record&gt;&lt;/Cite&gt;&lt;/EndNote&gt;</w:instrText>
      </w:r>
      <w:r w:rsidRPr="001A5676">
        <w:rPr>
          <w:rFonts w:ascii="Arial" w:hAnsi="Arial" w:cs="Arial"/>
        </w:rPr>
        <w:fldChar w:fldCharType="separate"/>
      </w:r>
      <w:r w:rsidR="00CA16D7">
        <w:rPr>
          <w:rFonts w:ascii="Arial" w:hAnsi="Arial" w:cs="Arial"/>
          <w:noProof/>
        </w:rPr>
        <w:t>(Shela, Mamta, &amp; Shiwani, 2011)</w:t>
      </w:r>
      <w:r w:rsidRPr="001A5676">
        <w:rPr>
          <w:rFonts w:ascii="Arial" w:hAnsi="Arial" w:cs="Arial"/>
        </w:rPr>
        <w:fldChar w:fldCharType="end"/>
      </w:r>
      <w:r w:rsidRPr="001A5676">
        <w:rPr>
          <w:rFonts w:ascii="Arial" w:hAnsi="Arial" w:cs="Arial"/>
        </w:rPr>
        <w:t xml:space="preserve">who obtained a higher total polyphenol content in the hydroethanolic extract than in the other extracts. However, our results contradict in some respects those of the study by Assemian et al . </w:t>
      </w:r>
      <w:r w:rsidRPr="001A5676">
        <w:rPr>
          <w:rFonts w:ascii="Arial" w:hAnsi="Arial" w:cs="Arial"/>
        </w:rPr>
        <w:fldChar w:fldCharType="begin"/>
      </w:r>
      <w:r w:rsidR="00CA16D7">
        <w:rPr>
          <w:rFonts w:ascii="Arial" w:hAnsi="Arial" w:cs="Arial"/>
        </w:rPr>
        <w:instrText xml:space="preserve"> ADDIN EN.CITE &lt;EndNote&gt;&lt;Cite&gt;&lt;Author&gt;Assemian&lt;/Author&gt;&lt;Year&gt;2022&lt;/Year&gt;&lt;RecNum&gt;84&lt;/RecNum&gt;&lt;DisplayText&gt;(Assemian, Guessennd, Adou, &amp;amp; Dosso, 2022)&lt;/DisplayText&gt;&lt;record&gt;&lt;rec-number&gt;84&lt;/rec-number&gt;&lt;foreign-keys&gt;&lt;key app="EN" db-id="xd20ava0ss0z06e9fzmxda9qwp2twsza5092" timestamp="1774874258"&gt;84&lt;/key&gt;&lt;/foreign-keys&gt;&lt;ref-type name="Journal Article"&gt;17&lt;/ref-type&gt;&lt;contributors&gt;&lt;authors&gt;&lt;author&gt;Assemian, A. S.&lt;/author&gt;&lt;author&gt;Guessennd, N. K.&lt;/author&gt;&lt;author&gt;Adou, K. F.&lt;/author&gt;&lt;author&gt;Dosso, M.&lt;/author&gt;&lt;/authors&gt;&lt;/contributors&gt;&lt;titles&gt;&lt;title&gt;Étude phytochimique et activité antibactérienne des extraits de Crateva adansonii DC (Capparaceae) sur les souches de Staphylococcus aureus et Pseudomonas aeruginosa&lt;/title&gt;&lt;secondary-title&gt;Journal of Applied Biosciences&lt;/secondary-title&gt;&lt;/titles&gt;&lt;periodical&gt;&lt;full-title&gt;Journal of Applied Biosciences&lt;/full-title&gt;&lt;/periodical&gt;&lt;pages&gt;17891-17904&lt;/pages&gt;&lt;volume&gt;172&lt;/volume&gt;&lt;dates&gt;&lt;year&gt;2022&lt;/year&gt;&lt;/dates&gt;&lt;urls&gt;&lt;/urls&gt;&lt;/record&gt;&lt;/Cite&gt;&lt;/EndNote&gt;</w:instrText>
      </w:r>
      <w:r w:rsidRPr="001A5676">
        <w:rPr>
          <w:rFonts w:ascii="Arial" w:hAnsi="Arial" w:cs="Arial"/>
        </w:rPr>
        <w:fldChar w:fldCharType="separate"/>
      </w:r>
      <w:r w:rsidR="00CA16D7">
        <w:rPr>
          <w:rFonts w:ascii="Arial" w:hAnsi="Arial" w:cs="Arial"/>
          <w:noProof/>
        </w:rPr>
        <w:t>(Assemian, Guessennd, Adou, &amp; Dosso, 2022)</w:t>
      </w:r>
      <w:r w:rsidRPr="001A5676">
        <w:rPr>
          <w:rFonts w:ascii="Arial" w:hAnsi="Arial" w:cs="Arial"/>
        </w:rPr>
        <w:fldChar w:fldCharType="end"/>
      </w:r>
      <w:r w:rsidRPr="001A5676">
        <w:rPr>
          <w:rFonts w:ascii="Arial" w:hAnsi="Arial" w:cs="Arial"/>
        </w:rPr>
        <w:t xml:space="preserve">who noted the presence of steroids in the hydroethanolic extract during the staining tests. Furthermore, according to the work of Monrudee et al. in 2011 , total tannins have a higher content than total flavonoids in all extracts, which is not the case in the present study. Indeed, the synthesis and accumulation of secondary metabolites vary according to biotic factors (related to the plant itself) and abiotic factors (related to the environment in which the plant grows). Biotic factors include the part of the plant used, the age of the plant at harvest or the stage of development while abiotic factors are climate, season, time and place of harvest, application of fertilizers, crop density </w:t>
      </w:r>
      <w:r w:rsidRPr="001A5676">
        <w:rPr>
          <w:rFonts w:ascii="Arial" w:hAnsi="Arial" w:cs="Arial"/>
        </w:rPr>
        <w:fldChar w:fldCharType="begin"/>
      </w:r>
      <w:r w:rsidR="00CA16D7">
        <w:rPr>
          <w:rFonts w:ascii="Arial" w:hAnsi="Arial" w:cs="Arial"/>
        </w:rPr>
        <w:instrText xml:space="preserve"> ADDIN EN.CITE &lt;EndNote&gt;&lt;Cite&gt;&lt;Author&gt;Monrudee&lt;/Author&gt;&lt;Year&gt;2011&lt;/Year&gt;&lt;RecNum&gt;69&lt;/RecNum&gt;&lt;DisplayText&gt;(Monrudee &amp;amp; Tanasait, 2011)&lt;/DisplayText&gt;&lt;record&gt;&lt;rec-number&gt;69&lt;/rec-number&gt;&lt;foreign-keys&gt;&lt;key app="EN" db-id="xd20ava0ss0z06e9fzmxda9qwp2twsza5092" timestamp="1774870881"&gt;69&lt;/key&gt;&lt;/foreign-keys&gt;&lt;ref-type name="Journal Article"&gt;17&lt;/ref-type&gt;&lt;contributors&gt;&lt;authors&gt;&lt;author&gt;Monrudee, S.&lt;/author&gt;&lt;author&gt;Tanasait, N.&lt;/author&gt;&lt;/authors&gt;&lt;/contributors&gt;&lt;titles&gt;&lt;title&gt;Antioxydant properties of squeezed mangosteen juice&lt;/title&gt;&lt;secondary-title&gt;Thai Journal Pharmaceutical Sciences&lt;/secondary-title&gt;&lt;/titles&gt;&lt;periodical&gt;&lt;full-title&gt;Thai Journal Pharmaceutical Sciences&lt;/full-title&gt;&lt;/periodical&gt;&lt;pages&gt;176-187&lt;/pages&gt;&lt;dates&gt;&lt;year&gt;2011&lt;/year&gt;&lt;/dates&gt;&lt;urls&gt;&lt;/urls&gt;&lt;/record&gt;&lt;/Cite&gt;&lt;/EndNote&gt;</w:instrText>
      </w:r>
      <w:r w:rsidRPr="001A5676">
        <w:rPr>
          <w:rFonts w:ascii="Arial" w:hAnsi="Arial" w:cs="Arial"/>
        </w:rPr>
        <w:fldChar w:fldCharType="separate"/>
      </w:r>
      <w:r w:rsidR="00CA16D7">
        <w:rPr>
          <w:rFonts w:ascii="Arial" w:hAnsi="Arial" w:cs="Arial"/>
          <w:noProof/>
        </w:rPr>
        <w:t>(Monrudee &amp; Tanasait, 2011)</w:t>
      </w:r>
      <w:r w:rsidRPr="001A5676">
        <w:rPr>
          <w:rFonts w:ascii="Arial" w:hAnsi="Arial" w:cs="Arial"/>
        </w:rPr>
        <w:fldChar w:fldCharType="end"/>
      </w:r>
      <w:r w:rsidRPr="001A5676">
        <w:rPr>
          <w:rFonts w:ascii="Arial" w:hAnsi="Arial" w:cs="Arial"/>
        </w:rPr>
        <w:t>.</w:t>
      </w:r>
    </w:p>
    <w:p w14:paraId="096F10C0" w14:textId="00C35DA2" w:rsidR="001A5676" w:rsidRPr="001A5676" w:rsidRDefault="001A5676" w:rsidP="001A5676">
      <w:pPr>
        <w:pStyle w:val="Body"/>
        <w:spacing w:after="0"/>
        <w:rPr>
          <w:rFonts w:ascii="Arial" w:hAnsi="Arial" w:cs="Arial"/>
        </w:rPr>
      </w:pPr>
      <w:r w:rsidRPr="001A5676">
        <w:rPr>
          <w:rFonts w:ascii="Arial" w:hAnsi="Arial" w:cs="Arial"/>
        </w:rPr>
        <w:t xml:space="preserve">Regarding antioxidant activity, several methods can be used in vitro . The methods applied in our study are DPPH free radical scavenging and the FRAP method. These methods were chosen due to their simplicity, speed, sensitivity, and reproducibility. Using the DPPH radical scavenging method, the IC50 values are approximately 19.97 µg/ml for the aqueous extract obtained by maceration, 17.12 µg/ml for the aqueous decoction extract, and 15.71 µg/ml for the hydroethanolic extract. The higher the IC50 , the lower the free radical scavenging capacity and therefore the lower the antioxidant activity, as it represents the amount of antioxidant required to reduce the free radical concentration by 50%. That said, the hydroethanolic extract has a higher antioxidant capacity than the other extracts and the reference antioxidant (BHT), which has an IC50 of 17.91. These results are close to those of Abdul et al. </w:t>
      </w:r>
      <w:r w:rsidRPr="001A5676">
        <w:rPr>
          <w:rFonts w:ascii="Arial" w:hAnsi="Arial" w:cs="Arial"/>
        </w:rPr>
        <w:fldChar w:fldCharType="begin"/>
      </w:r>
      <w:r w:rsidR="00CA16D7">
        <w:rPr>
          <w:rFonts w:ascii="Arial" w:hAnsi="Arial" w:cs="Arial"/>
        </w:rPr>
        <w:instrText xml:space="preserve"> ADDIN EN.CITE &lt;EndNote&gt;&lt;Cite&gt;&lt;Author&gt;Abdul&lt;/Author&gt;&lt;Year&gt;2019&lt;/Year&gt;&lt;RecNum&gt;71&lt;/RecNum&gt;&lt;DisplayText&gt;(Abdul &amp;amp; Sophie, 2019)&lt;/DisplayText&gt;&lt;record&gt;&lt;rec-number&gt;71&lt;/rec-number&gt;&lt;foreign-keys&gt;&lt;key app="EN" db-id="xd20ava0ss0z06e9fzmxda9qwp2twsza5092" timestamp="1774870881"&gt;71&lt;/key&gt;&lt;/foreign-keys&gt;&lt;ref-type name="Journal Article"&gt;17&lt;/ref-type&gt;&lt;contributors&gt;&lt;authors&gt;&lt;author&gt;Abdul, Y.&lt;/author&gt;&lt;author&gt;Sophie, R.&lt;/author&gt;&lt;/authors&gt;&lt;/contributors&gt;&lt;titles&gt;&lt;title&gt;Metabolites Secondaires, Activites Antibacterienne Et Antiradicalaire Des Extraits De Lecorce De Tronc De Acacia Polyacantha Recoltee Au Benin&lt;/title&gt;&lt;secondary-title&gt;Int J Adv Res&lt;/secondary-title&gt;&lt;/titles&gt;&lt;periodical&gt;&lt;full-title&gt;Int J Adv Res&lt;/full-title&gt;&lt;/periodical&gt;&lt;pages&gt;1087-1092&lt;/pages&gt;&lt;volume&gt;7&lt;/volume&gt;&lt;number&gt;10&lt;/number&gt;&lt;dates&gt;&lt;year&gt;2019&lt;/year&gt;&lt;/dates&gt;&lt;urls&gt;&lt;/urls&gt;&lt;/record&gt;&lt;/Cite&gt;&lt;/EndNote&gt;</w:instrText>
      </w:r>
      <w:r w:rsidRPr="001A5676">
        <w:rPr>
          <w:rFonts w:ascii="Arial" w:hAnsi="Arial" w:cs="Arial"/>
        </w:rPr>
        <w:fldChar w:fldCharType="separate"/>
      </w:r>
      <w:r w:rsidR="00CA16D7">
        <w:rPr>
          <w:rFonts w:ascii="Arial" w:hAnsi="Arial" w:cs="Arial"/>
          <w:noProof/>
        </w:rPr>
        <w:t>(Abdul &amp; Sophie, 2019)</w:t>
      </w:r>
      <w:r w:rsidRPr="001A5676">
        <w:rPr>
          <w:rFonts w:ascii="Arial" w:hAnsi="Arial" w:cs="Arial"/>
        </w:rPr>
        <w:fldChar w:fldCharType="end"/>
      </w:r>
      <w:r w:rsidRPr="001A5676">
        <w:rPr>
          <w:rFonts w:ascii="Arial" w:hAnsi="Arial" w:cs="Arial"/>
        </w:rPr>
        <w:t xml:space="preserve">who obtained an IC50 of 18.81 µg/ml with the hydroethanolic extract and different from </w:t>
      </w:r>
      <w:r w:rsidRPr="001A5676">
        <w:rPr>
          <w:rFonts w:ascii="Arial" w:hAnsi="Arial" w:cs="Arial"/>
        </w:rPr>
        <w:lastRenderedPageBreak/>
        <w:t xml:space="preserve">those of Nuttavut et al in 2007 who obtained for the hydroethanolic extract an IC50 of 11.40 µg/ml </w:t>
      </w:r>
      <w:r w:rsidRPr="001A5676">
        <w:rPr>
          <w:rFonts w:ascii="Arial" w:hAnsi="Arial" w:cs="Arial"/>
        </w:rPr>
        <w:fldChar w:fldCharType="begin"/>
      </w:r>
      <w:r w:rsidR="00CA16D7">
        <w:rPr>
          <w:rFonts w:ascii="Arial" w:hAnsi="Arial" w:cs="Arial"/>
        </w:rPr>
        <w:instrText xml:space="preserve"> ADDIN EN.CITE &lt;EndNote&gt;&lt;Cite&gt;&lt;Author&gt;Nuttavet&lt;/Author&gt;&lt;Year&gt;2007&lt;/Year&gt;&lt;RecNum&gt;86&lt;/RecNum&gt;&lt;DisplayText&gt;(Nuttavet, Youn-Hee, &amp;amp; Primchanien, 2007)&lt;/DisplayText&gt;&lt;record&gt;&lt;rec-number&gt;86&lt;/rec-number&gt;&lt;foreign-keys&gt;&lt;key app="EN" db-id="xd20ava0ss0z06e9fzmxda9qwp2twsza5092" timestamp="1774897292"&gt;86&lt;/key&gt;&lt;/foreign-keys&gt;&lt;ref-type name="Journal Article"&gt;17&lt;/ref-type&gt;&lt;contributors&gt;&lt;authors&gt;&lt;author&gt;Nuttavet, K.&lt;/author&gt;&lt;author&gt;Youn-Hee, H.&lt;/author&gt;&lt;author&gt;Primchanien, M.&lt;/author&gt;&lt;/authors&gt;&lt;/contributors&gt;&lt;titles&gt;&lt;title&gt;Antioxidant and cytoprotective activities of methanolic extract from the fruit hull of Garcinia mangostana&lt;/title&gt;&lt;secondary-title&gt;Science Asia&lt;/secondary-title&gt;&lt;/titles&gt;&lt;periodical&gt;&lt;full-title&gt;Science Asia&lt;/full-title&gt;&lt;/periodical&gt;&lt;pages&gt;283-292&lt;/pages&gt;&lt;volume&gt;33&lt;/volume&gt;&lt;number&gt;1&lt;/number&gt;&lt;dates&gt;&lt;year&gt;2007&lt;/year&gt;&lt;/dates&gt;&lt;urls&gt;&lt;/urls&gt;&lt;/record&gt;&lt;/Cite&gt;&lt;/EndNote&gt;</w:instrText>
      </w:r>
      <w:r w:rsidRPr="001A5676">
        <w:rPr>
          <w:rFonts w:ascii="Arial" w:hAnsi="Arial" w:cs="Arial"/>
        </w:rPr>
        <w:fldChar w:fldCharType="separate"/>
      </w:r>
      <w:r w:rsidR="00CA16D7">
        <w:rPr>
          <w:rFonts w:ascii="Arial" w:hAnsi="Arial" w:cs="Arial"/>
          <w:noProof/>
        </w:rPr>
        <w:t>(Nuttavet, Youn-Hee, &amp; Primchanien, 2007)</w:t>
      </w:r>
      <w:r w:rsidRPr="001A5676">
        <w:rPr>
          <w:rFonts w:ascii="Arial" w:hAnsi="Arial" w:cs="Arial"/>
        </w:rPr>
        <w:fldChar w:fldCharType="end"/>
      </w:r>
      <w:r w:rsidRPr="001A5676">
        <w:rPr>
          <w:rFonts w:ascii="Arial" w:hAnsi="Arial" w:cs="Arial"/>
        </w:rPr>
        <w:t>.</w:t>
      </w:r>
    </w:p>
    <w:p w14:paraId="04E25930" w14:textId="77777777" w:rsidR="001A5676" w:rsidRPr="001A5676" w:rsidRDefault="001A5676" w:rsidP="001A5676">
      <w:pPr>
        <w:pStyle w:val="Body"/>
        <w:spacing w:after="0"/>
        <w:rPr>
          <w:rFonts w:ascii="Arial" w:hAnsi="Arial" w:cs="Arial"/>
        </w:rPr>
      </w:pPr>
      <w:r w:rsidRPr="001A5676">
        <w:rPr>
          <w:rFonts w:ascii="Arial" w:hAnsi="Arial" w:cs="Arial"/>
        </w:rPr>
        <w:t>Regarding FRAP, according to the IC50 parameter, the hydroethanolic extract was once again the most active (18.97 µg/ml), followed by the aqueous extract obtained by maceration (21.25 µg/ml) and finally the aqueous extract obtained by decoction (22.42 µg/ml), all lower than those of the vitamin C and BHT references. According to the work conducted by Tanasit et al. (2010), the extract obtained by aqueous maceration had better antioxidant activity than the hydroethanolic extract; these results differ from those of the present study.</w:t>
      </w:r>
    </w:p>
    <w:p w14:paraId="7A844C31" w14:textId="66E26907" w:rsidR="001A5676" w:rsidRPr="001A5676" w:rsidRDefault="001A5676" w:rsidP="001A5676">
      <w:pPr>
        <w:pStyle w:val="Body"/>
        <w:spacing w:after="0"/>
        <w:rPr>
          <w:rFonts w:ascii="Arial" w:hAnsi="Arial" w:cs="Arial"/>
        </w:rPr>
      </w:pPr>
      <w:r w:rsidRPr="001A5676">
        <w:rPr>
          <w:rFonts w:ascii="Arial" w:hAnsi="Arial" w:cs="Arial"/>
        </w:rPr>
        <w:t xml:space="preserve">The different activities observed could be due to the diversity of secondary metabolites. The free radical scavenging effect of flavonoids depends on the presence of free OH groups, specifically the C2-C3 double bond </w:t>
      </w:r>
      <w:r w:rsidRPr="001A5676">
        <w:rPr>
          <w:rFonts w:ascii="Arial" w:hAnsi="Arial" w:cs="Arial"/>
        </w:rPr>
        <w:fldChar w:fldCharType="begin"/>
      </w:r>
      <w:r w:rsidR="00CA16D7">
        <w:rPr>
          <w:rFonts w:ascii="Arial" w:hAnsi="Arial" w:cs="Arial"/>
        </w:rPr>
        <w:instrText xml:space="preserve"> ADDIN EN.CITE &lt;EndNote&gt;&lt;Cite&gt;&lt;Author&gt;Neha&lt;/Author&gt;&lt;Year&gt;2022&lt;/Year&gt;&lt;RecNum&gt;48&lt;/RecNum&gt;&lt;DisplayText&gt;(Neha &amp;amp; Soumya, 2022)&lt;/DisplayText&gt;&lt;record&gt;&lt;rec-number&gt;48&lt;/rec-number&gt;&lt;foreign-keys&gt;&lt;key app="EN" db-id="xd20ava0ss0z06e9fzmxda9qwp2twsza5092" timestamp="1774870881"&gt;48&lt;/key&gt;&lt;/foreign-keys&gt;&lt;ref-type name="Journal Article"&gt;17&lt;/ref-type&gt;&lt;contributors&gt;&lt;authors&gt;&lt;author&gt;Neha, V.&lt;/author&gt;&lt;author&gt;Soumya, P.&lt;/author&gt;&lt;/authors&gt;&lt;/contributors&gt;&lt;titles&gt;&lt;title&gt;Mise à jour récente sur les molécules biologiques actives dans la génération du potentiel thérapeutique anticancéreux de Garcinia mangostana&lt;/title&gt;&lt;secondary-title&gt;Biochimie appliquée et biotechnologie&lt;/secondary-title&gt;&lt;/titles&gt;&lt;periodical&gt;&lt;full-title&gt;Biochimie appliquée et biotechnologie&lt;/full-title&gt;&lt;/periodical&gt;&lt;pages&gt;1-22&lt;/pages&gt;&lt;dates&gt;&lt;year&gt;2022&lt;/year&gt;&lt;/dates&gt;&lt;urls&gt;&lt;/urls&gt;&lt;/record&gt;&lt;/Cite&gt;&lt;/EndNote&gt;</w:instrText>
      </w:r>
      <w:r w:rsidRPr="001A5676">
        <w:rPr>
          <w:rFonts w:ascii="Arial" w:hAnsi="Arial" w:cs="Arial"/>
        </w:rPr>
        <w:fldChar w:fldCharType="separate"/>
      </w:r>
      <w:r w:rsidR="00CA16D7">
        <w:rPr>
          <w:rFonts w:ascii="Arial" w:hAnsi="Arial" w:cs="Arial"/>
          <w:noProof/>
        </w:rPr>
        <w:t>(Neha &amp; Soumya, 2022)</w:t>
      </w:r>
      <w:r w:rsidRPr="001A5676">
        <w:rPr>
          <w:rFonts w:ascii="Arial" w:hAnsi="Arial" w:cs="Arial"/>
        </w:rPr>
        <w:fldChar w:fldCharType="end"/>
      </w:r>
      <w:r w:rsidRPr="001A5676">
        <w:rPr>
          <w:rFonts w:ascii="Arial" w:hAnsi="Arial" w:cs="Arial"/>
        </w:rPr>
        <w:t xml:space="preserve">. Furthermore, phenolic compounds, terpenoids, and ascorbic acid are potent antioxidants and free radical scavengers (ROS, hydroxyl radicals, and nitric oxide) that can act as electron donors, reducing agents, and metal chelators. In addition, polyphenols have been shown to possess very interesting lipid peroxidation inhibition properties, as well as free radical scavenging properties against superoxide anions </w:t>
      </w:r>
      <w:r w:rsidRPr="001A5676">
        <w:rPr>
          <w:rFonts w:ascii="Arial" w:hAnsi="Arial" w:cs="Arial"/>
        </w:rPr>
        <w:fldChar w:fldCharType="begin"/>
      </w:r>
      <w:r w:rsidR="00CA16D7">
        <w:rPr>
          <w:rFonts w:ascii="Arial" w:hAnsi="Arial" w:cs="Arial"/>
        </w:rPr>
        <w:instrText xml:space="preserve"> ADDIN EN.CITE &lt;EndNote&gt;&lt;Cite&gt;&lt;Author&gt;Neha&lt;/Author&gt;&lt;Year&gt;2022&lt;/Year&gt;&lt;RecNum&gt;48&lt;/RecNum&gt;&lt;DisplayText&gt;(Neha &amp;amp; Soumya, 2022)&lt;/DisplayText&gt;&lt;record&gt;&lt;rec-number&gt;48&lt;/rec-number&gt;&lt;foreign-keys&gt;&lt;key app="EN" db-id="xd20ava0ss0z06e9fzmxda9qwp2twsza5092" timestamp="1774870881"&gt;48&lt;/key&gt;&lt;/foreign-keys&gt;&lt;ref-type name="Journal Article"&gt;17&lt;/ref-type&gt;&lt;contributors&gt;&lt;authors&gt;&lt;author&gt;Neha, V.&lt;/author&gt;&lt;author&gt;Soumya, P.&lt;/author&gt;&lt;/authors&gt;&lt;/contributors&gt;&lt;titles&gt;&lt;title&gt;Mise à jour récente sur les molécules biologiques actives dans la génération du potentiel thérapeutique anticancéreux de Garcinia mangostana&lt;/title&gt;&lt;secondary-title&gt;Biochimie appliquée et biotechnologie&lt;/secondary-title&gt;&lt;/titles&gt;&lt;periodical&gt;&lt;full-title&gt;Biochimie appliquée et biotechnologie&lt;/full-title&gt;&lt;/periodical&gt;&lt;pages&gt;1-22&lt;/pages&gt;&lt;dates&gt;&lt;year&gt;2022&lt;/year&gt;&lt;/dates&gt;&lt;urls&gt;&lt;/urls&gt;&lt;/record&gt;&lt;/Cite&gt;&lt;/EndNote&gt;</w:instrText>
      </w:r>
      <w:r w:rsidRPr="001A5676">
        <w:rPr>
          <w:rFonts w:ascii="Arial" w:hAnsi="Arial" w:cs="Arial"/>
        </w:rPr>
        <w:fldChar w:fldCharType="separate"/>
      </w:r>
      <w:r w:rsidR="00CA16D7">
        <w:rPr>
          <w:rFonts w:ascii="Arial" w:hAnsi="Arial" w:cs="Arial"/>
          <w:noProof/>
        </w:rPr>
        <w:t>(Neha &amp; Soumya, 2022)</w:t>
      </w:r>
      <w:r w:rsidRPr="001A5676">
        <w:rPr>
          <w:rFonts w:ascii="Arial" w:hAnsi="Arial" w:cs="Arial"/>
        </w:rPr>
        <w:fldChar w:fldCharType="end"/>
      </w:r>
      <w:r w:rsidRPr="001A5676">
        <w:rPr>
          <w:rFonts w:ascii="Arial" w:hAnsi="Arial" w:cs="Arial"/>
        </w:rPr>
        <w:t>. Thus, the hydroethanolic extract, being richer in total polyphenols, exhibits more significant antioxidant activity.</w:t>
      </w:r>
    </w:p>
    <w:p w14:paraId="57656BBF" w14:textId="0C1A64E0" w:rsidR="00790ADA" w:rsidRDefault="001A5676" w:rsidP="00EE7F92">
      <w:pPr>
        <w:pStyle w:val="Body"/>
        <w:spacing w:after="0"/>
        <w:rPr>
          <w:rFonts w:ascii="Arial" w:hAnsi="Arial" w:cs="Arial"/>
        </w:rPr>
      </w:pPr>
      <w:r w:rsidRPr="001A5676">
        <w:rPr>
          <w:rFonts w:ascii="Arial" w:hAnsi="Arial" w:cs="Arial"/>
        </w:rPr>
        <w:t xml:space="preserve">Finally, the antibacterial activity of our extracts was demonstrated by the solid-state dilution method against four bacterial strains: </w:t>
      </w:r>
      <w:r w:rsidR="00CA16D7" w:rsidRPr="00CA16D7">
        <w:rPr>
          <w:rFonts w:ascii="Arial" w:hAnsi="Arial" w:cs="Arial"/>
          <w:i/>
          <w:iCs/>
        </w:rPr>
        <w:t>S. aureus</w:t>
      </w:r>
      <w:r w:rsidRPr="001A5676">
        <w:rPr>
          <w:rFonts w:ascii="Arial" w:hAnsi="Arial" w:cs="Arial"/>
        </w:rPr>
        <w:t xml:space="preserve">, </w:t>
      </w:r>
      <w:r w:rsidR="00BF0CCB" w:rsidRPr="00BF0CCB">
        <w:rPr>
          <w:rFonts w:ascii="Arial" w:hAnsi="Arial" w:cs="Arial"/>
          <w:i/>
          <w:iCs/>
        </w:rPr>
        <w:t>Escherichia coli</w:t>
      </w:r>
      <w:r w:rsidRPr="001A5676">
        <w:rPr>
          <w:rFonts w:ascii="Arial" w:hAnsi="Arial" w:cs="Arial"/>
        </w:rPr>
        <w:t xml:space="preserve">, </w:t>
      </w:r>
      <w:r w:rsidR="00CA16D7" w:rsidRPr="00CA16D7">
        <w:rPr>
          <w:rFonts w:ascii="Arial" w:hAnsi="Arial" w:cs="Arial"/>
          <w:i/>
          <w:iCs/>
        </w:rPr>
        <w:t>Pseudomonas aeruginosa</w:t>
      </w:r>
      <w:r w:rsidRPr="001A5676">
        <w:rPr>
          <w:rFonts w:ascii="Arial" w:hAnsi="Arial" w:cs="Arial"/>
        </w:rPr>
        <w:t xml:space="preserve"> , and </w:t>
      </w:r>
      <w:r w:rsidR="00CA16D7" w:rsidRPr="00CA16D7">
        <w:rPr>
          <w:rFonts w:ascii="Arial" w:hAnsi="Arial" w:cs="Arial"/>
          <w:i/>
          <w:iCs/>
        </w:rPr>
        <w:t>Enterobacter cloacae</w:t>
      </w:r>
      <w:r w:rsidRPr="001A5676">
        <w:rPr>
          <w:rFonts w:ascii="Arial" w:hAnsi="Arial" w:cs="Arial"/>
        </w:rPr>
        <w:t xml:space="preserve">. The hydroethanolic extract exhibited strong inhibitory activity against </w:t>
      </w:r>
      <w:r w:rsidR="00CA16D7" w:rsidRPr="00CA16D7">
        <w:rPr>
          <w:rFonts w:ascii="Arial" w:hAnsi="Arial" w:cs="Arial"/>
          <w:i/>
          <w:iCs/>
        </w:rPr>
        <w:t>Enterobacter cloacae</w:t>
      </w:r>
      <w:r w:rsidRPr="001A5676">
        <w:rPr>
          <w:rFonts w:ascii="Arial" w:hAnsi="Arial" w:cs="Arial"/>
        </w:rPr>
        <w:t xml:space="preserve"> (MIC of 0.16 µg/ml), </w:t>
      </w:r>
      <w:r w:rsidR="00CA16D7" w:rsidRPr="00CA16D7">
        <w:rPr>
          <w:rFonts w:ascii="Arial" w:hAnsi="Arial" w:cs="Arial"/>
          <w:i/>
          <w:iCs/>
        </w:rPr>
        <w:t>S. aureus</w:t>
      </w:r>
      <w:r w:rsidRPr="001A5676">
        <w:rPr>
          <w:rFonts w:ascii="Arial" w:hAnsi="Arial" w:cs="Arial"/>
        </w:rPr>
        <w:t xml:space="preserve"> (0.32 µg/ml), and </w:t>
      </w:r>
      <w:r w:rsidR="00BF0CCB" w:rsidRPr="00BF0CCB">
        <w:rPr>
          <w:rFonts w:ascii="Arial" w:hAnsi="Arial" w:cs="Arial"/>
          <w:i/>
          <w:iCs/>
        </w:rPr>
        <w:t>Escherichia coli</w:t>
      </w:r>
      <w:r w:rsidRPr="001A5676">
        <w:rPr>
          <w:rFonts w:ascii="Arial" w:hAnsi="Arial" w:cs="Arial"/>
        </w:rPr>
        <w:t xml:space="preserve"> (0.64 µg/ml). </w:t>
      </w:r>
      <w:r w:rsidR="00CA16D7" w:rsidRPr="00CA16D7">
        <w:rPr>
          <w:rFonts w:ascii="Arial" w:hAnsi="Arial" w:cs="Arial"/>
          <w:i/>
          <w:iCs/>
        </w:rPr>
        <w:t>Pseudomonas aeruginosa</w:t>
      </w:r>
      <w:r w:rsidRPr="001A5676">
        <w:rPr>
          <w:rFonts w:ascii="Arial" w:hAnsi="Arial" w:cs="Arial"/>
        </w:rPr>
        <w:t xml:space="preserve"> (0.24 µg/ml) was inhibited with a lower concentration of aqueous decoction compared to the other extracts. Our MICs ranged from 0.16 µg/ml to 31.25 µg/ml. According to Kuete's (2010) classification, since all MICs were below 100 µg/ml, each extract demonstrated strong antibacterial activity. However, in general, the lowest MIC was that of the hydroethanolic extract , which also had a greater effect on most of the bacteria. This extract proved superior to the others. These results are consistent with a previous study that demonstrated the antimicrobial effect of the hydroethanolic extract on </w:t>
      </w:r>
      <w:r w:rsidR="00BF0CCB" w:rsidRPr="00BF0CCB">
        <w:rPr>
          <w:rFonts w:ascii="Arial" w:hAnsi="Arial" w:cs="Arial"/>
          <w:i/>
          <w:iCs/>
        </w:rPr>
        <w:t>Escherichia coli</w:t>
      </w:r>
      <w:r w:rsidRPr="001A5676">
        <w:rPr>
          <w:rFonts w:ascii="Arial" w:hAnsi="Arial" w:cs="Arial"/>
        </w:rPr>
        <w:t xml:space="preserve"> </w:t>
      </w:r>
      <w:r w:rsidRPr="001A5676">
        <w:rPr>
          <w:rFonts w:ascii="Arial" w:hAnsi="Arial" w:cs="Arial"/>
        </w:rPr>
        <w:fldChar w:fldCharType="begin"/>
      </w:r>
      <w:r w:rsidR="00CA16D7">
        <w:rPr>
          <w:rFonts w:ascii="Arial" w:hAnsi="Arial" w:cs="Arial"/>
        </w:rPr>
        <w:instrText xml:space="preserve"> ADDIN EN.CITE &lt;EndNote&gt;&lt;Cite&gt;&lt;Author&gt;Valère&lt;/Author&gt;&lt;Year&gt;2022&lt;/Year&gt;&lt;RecNum&gt;86&lt;/RecNum&gt;&lt;DisplayText&gt;(Valère, 2022)&lt;/DisplayText&gt;&lt;record&gt;&lt;rec-number&gt;86&lt;/rec-number&gt;&lt;foreign-keys&gt;&lt;key app="EN" db-id="ppwefpzf5eefwrea9agvzetgp2s0rdew0rw0" timestamp="1777645568"&gt;86&lt;/key&gt;&lt;/foreign-keys&gt;&lt;ref-type name="Thesis"&gt;32&lt;/ref-type&gt;&lt;contributors&gt;&lt;authors&gt;&lt;author&gt;Valère, M.&lt;/author&gt;&lt;/authors&gt;&lt;/contributors&gt;&lt;titles&gt;&lt;title&gt;Evaluation in vitro de l’activité antioxydante et antibactérienne de l’écorce du tronc de canarium schweinfurthii&lt;/title&gt;&lt;/titles&gt;&lt;dates&gt;&lt;year&gt;2022&lt;/year&gt;&lt;/dates&gt;&lt;pub-location&gt;Bangangté&lt;/pub-location&gt;&lt;publisher&gt;Université des Montagnes&lt;/publisher&gt;&lt;urls&gt;&lt;/urls&gt;&lt;/record&gt;&lt;/Cite&gt;&lt;/EndNote&gt;</w:instrText>
      </w:r>
      <w:r w:rsidRPr="001A5676">
        <w:rPr>
          <w:rFonts w:ascii="Arial" w:hAnsi="Arial" w:cs="Arial"/>
        </w:rPr>
        <w:fldChar w:fldCharType="separate"/>
      </w:r>
      <w:r w:rsidR="00CA16D7">
        <w:rPr>
          <w:rFonts w:ascii="Arial" w:hAnsi="Arial" w:cs="Arial"/>
          <w:noProof/>
        </w:rPr>
        <w:t>(Valère, 2022)</w:t>
      </w:r>
      <w:r w:rsidRPr="001A5676">
        <w:rPr>
          <w:rFonts w:ascii="Arial" w:hAnsi="Arial" w:cs="Arial"/>
        </w:rPr>
        <w:fldChar w:fldCharType="end"/>
      </w:r>
      <w:r w:rsidRPr="001A5676">
        <w:rPr>
          <w:rFonts w:ascii="Arial" w:hAnsi="Arial" w:cs="Arial"/>
        </w:rPr>
        <w:t xml:space="preserve">. Similarly, Yin SZE et al. </w:t>
      </w:r>
      <w:r w:rsidRPr="001A5676">
        <w:rPr>
          <w:rFonts w:ascii="Arial" w:hAnsi="Arial" w:cs="Arial"/>
        </w:rPr>
        <w:fldChar w:fldCharType="begin"/>
      </w:r>
      <w:r w:rsidR="00CA16D7">
        <w:rPr>
          <w:rFonts w:ascii="Arial" w:hAnsi="Arial" w:cs="Arial"/>
        </w:rPr>
        <w:instrText xml:space="preserve"> ADDIN EN.CITE &lt;EndNote&gt;&lt;Cite&gt;&lt;Author&gt;Yin&lt;/Author&gt;&lt;Year&gt;2013&lt;/Year&gt;&lt;RecNum&gt;74&lt;/RecNum&gt;&lt;DisplayText&gt;(Yin &amp;amp; Stefanie, 2013)&lt;/DisplayText&gt;&lt;record&gt;&lt;rec-number&gt;74&lt;/rec-number&gt;&lt;foreign-keys&gt;&lt;key app="EN" db-id="xd20ava0ss0z06e9fzmxda9qwp2twsza5092" timestamp="1774870881"&gt;74&lt;/key&gt;&lt;/foreign-keys&gt;&lt;ref-type name="Journal Article"&gt;17&lt;/ref-type&gt;&lt;contributors&gt;&lt;authors&gt;&lt;author&gt;Yin, S.&lt;/author&gt;&lt;author&gt;Stefanie, S.&lt;/author&gt;&lt;/authors&gt;&lt;/contributors&gt;&lt;titles&gt;&lt;title&gt;Antioxydant capacity and antibacterial activity of differents parts pf mangoosteen (Garcinia mangostana Linn.) extracts&lt;/title&gt;&lt;secondary-title&gt;EDP sciences&lt;/secondary-title&gt;&lt;/titles&gt;&lt;periodical&gt;&lt;full-title&gt;EDP sciences&lt;/full-title&gt;&lt;/periodical&gt;&lt;dates&gt;&lt;year&gt;2013&lt;/year&gt;&lt;/dates&gt;&lt;urls&gt;&lt;/urls&gt;&lt;/record&gt;&lt;/Cite&gt;&lt;/EndNote&gt;</w:instrText>
      </w:r>
      <w:r w:rsidRPr="001A5676">
        <w:rPr>
          <w:rFonts w:ascii="Arial" w:hAnsi="Arial" w:cs="Arial"/>
        </w:rPr>
        <w:fldChar w:fldCharType="separate"/>
      </w:r>
      <w:r w:rsidR="00CA16D7">
        <w:rPr>
          <w:rFonts w:ascii="Arial" w:hAnsi="Arial" w:cs="Arial"/>
          <w:noProof/>
        </w:rPr>
        <w:t>(Yin &amp; Stefanie, 2013)</w:t>
      </w:r>
      <w:r w:rsidRPr="001A5676">
        <w:rPr>
          <w:rFonts w:ascii="Arial" w:hAnsi="Arial" w:cs="Arial"/>
        </w:rPr>
        <w:fldChar w:fldCharType="end"/>
      </w:r>
      <w:r w:rsidRPr="001A5676">
        <w:rPr>
          <w:rFonts w:ascii="Arial" w:hAnsi="Arial" w:cs="Arial"/>
        </w:rPr>
        <w:t xml:space="preserve">proved that </w:t>
      </w:r>
      <w:r w:rsidR="00CA16D7" w:rsidRPr="00CA16D7">
        <w:rPr>
          <w:rFonts w:ascii="Arial" w:hAnsi="Arial" w:cs="Arial"/>
          <w:i/>
          <w:iCs/>
        </w:rPr>
        <w:t>Pseudomonas aeruginosa</w:t>
      </w:r>
      <w:r w:rsidRPr="001A5676">
        <w:rPr>
          <w:rFonts w:ascii="Arial" w:hAnsi="Arial" w:cs="Arial"/>
        </w:rPr>
        <w:t xml:space="preserve"> was more sensitive to the aqueous decoction extract, as obtained in our results. These activities could be explained by the presence of phenolic compounds. The different classes of polyphenols, primarily tannins and flavonoids, can increase the toxicity of extracts towards microorganisms. This toxicity depends on the site and number of hydroxyl groups present on the phenolic compound. Furthermore, it is evident that increased hydroxylation leads to increased toxicity. The antimicrobial effect of these phenols can be explained by the inhibition of bacterial growth following their adsorption onto cell membranes, interaction with enzymes and effectors, or deprivation of substrates and metal ions. According to the work of Cushnie et al . </w:t>
      </w:r>
      <w:r w:rsidRPr="001A5676">
        <w:rPr>
          <w:rFonts w:ascii="Arial" w:hAnsi="Arial" w:cs="Arial"/>
        </w:rPr>
        <w:fldChar w:fldCharType="begin"/>
      </w:r>
      <w:r w:rsidR="00CA16D7">
        <w:rPr>
          <w:rFonts w:ascii="Arial" w:hAnsi="Arial" w:cs="Arial"/>
        </w:rPr>
        <w:instrText xml:space="preserve"> ADDIN EN.CITE &lt;EndNote&gt;&lt;Cite&gt;&lt;Author&gt;Cushnie&lt;/Author&gt;&lt;Year&gt;2011&lt;/Year&gt;&lt;RecNum&gt;75&lt;/RecNum&gt;&lt;DisplayText&gt;(Cushnie &amp;amp; Lamb, 2011)&lt;/DisplayText&gt;&lt;record&gt;&lt;rec-number&gt;75&lt;/rec-number&gt;&lt;foreign-keys&gt;&lt;key app="EN" db-id="xd20ava0ss0z06e9fzmxda9qwp2twsza5092" timestamp="1774870881"&gt;75&lt;/key&gt;&lt;/foreign-keys&gt;&lt;ref-type name="Journal Article"&gt;17&lt;/ref-type&gt;&lt;contributors&gt;&lt;authors&gt;&lt;author&gt;Cushnie, T.&lt;/author&gt;&lt;author&gt;Lamb, A.&lt;/author&gt;&lt;/authors&gt;&lt;/contributors&gt;&lt;titles&gt;&lt;title&gt;Recent advances in understanding the antibacterial properties of flavonoids&lt;/title&gt;&lt;secondary-title&gt;International Journal of Antimicrobial Agents&lt;/secondary-title&gt;&lt;/titles&gt;&lt;periodical&gt;&lt;full-title&gt;International Journal of Antimicrobial Agents&lt;/full-title&gt;&lt;/periodical&gt;&lt;pages&gt;99-107&lt;/pages&gt;&lt;volume&gt;38&lt;/volume&gt;&lt;number&gt;2&lt;/number&gt;&lt;dates&gt;&lt;year&gt;2011&lt;/year&gt;&lt;/dates&gt;&lt;urls&gt;&lt;/urls&gt;&lt;/record&gt;&lt;/Cite&gt;&lt;/EndNote&gt;</w:instrText>
      </w:r>
      <w:r w:rsidRPr="001A5676">
        <w:rPr>
          <w:rFonts w:ascii="Arial" w:hAnsi="Arial" w:cs="Arial"/>
        </w:rPr>
        <w:fldChar w:fldCharType="separate"/>
      </w:r>
      <w:r w:rsidR="00CA16D7">
        <w:rPr>
          <w:rFonts w:ascii="Arial" w:hAnsi="Arial" w:cs="Arial"/>
          <w:noProof/>
        </w:rPr>
        <w:t>(Cushnie &amp; Lamb, 2011)</w:t>
      </w:r>
      <w:r w:rsidRPr="001A5676">
        <w:rPr>
          <w:rFonts w:ascii="Arial" w:hAnsi="Arial" w:cs="Arial"/>
        </w:rPr>
        <w:fldChar w:fldCharType="end"/>
      </w:r>
      <w:r w:rsidRPr="001A5676">
        <w:rPr>
          <w:rFonts w:ascii="Arial" w:hAnsi="Arial" w:cs="Arial"/>
        </w:rPr>
        <w:t xml:space="preserve">, flavonoids act through various mechanisms such as: inhibition of topoisomerase synthesis; Inhibition of bacterial cell wall synthesis and inhibition by perforation of the plasma membrane. Furthermore, Ngoupayo and Fouaguim </w:t>
      </w:r>
      <w:r w:rsidRPr="001A5676">
        <w:rPr>
          <w:rFonts w:ascii="Arial" w:hAnsi="Arial" w:cs="Arial"/>
        </w:rPr>
        <w:fldChar w:fldCharType="begin"/>
      </w:r>
      <w:r w:rsidR="00CA16D7">
        <w:rPr>
          <w:rFonts w:ascii="Arial" w:hAnsi="Arial" w:cs="Arial"/>
        </w:rPr>
        <w:instrText xml:space="preserve"> ADDIN EN.CITE &lt;EndNote&gt;&lt;Cite&gt;&lt;Author&gt;Ngoupayo&lt;/Author&gt;&lt;Year&gt;2016&lt;/Year&gt;&lt;RecNum&gt;76&lt;/RecNum&gt;&lt;DisplayText&gt;(Ngoupayo &amp;amp; Fouaguim, 2016)&lt;/DisplayText&gt;&lt;record&gt;&lt;rec-number&gt;76&lt;/rec-number&gt;&lt;foreign-keys&gt;&lt;key app="EN" db-id="xd20ava0ss0z06e9fzmxda9qwp2twsza5092" timestamp="1774870881"&gt;76&lt;/key&gt;&lt;/foreign-keys&gt;&lt;ref-type name="Journal Article"&gt;17&lt;/ref-type&gt;&lt;contributors&gt;&lt;authors&gt;&lt;author&gt;Ngoupayo, J.&lt;/author&gt;&lt;author&gt;Fouaguim, A.&lt;/author&gt;&lt;/authors&gt;&lt;/contributors&gt;&lt;titles&gt;&lt;title&gt;Evaluation of the antimicrobial activity of tannin extracted from the barks of Erythrophleum guineensis (Caesalpiniaceae )&lt;/title&gt;&lt;/titles&gt;&lt;pages&gt;287-291&lt;/pages&gt;&lt;dates&gt;&lt;year&gt;2016&lt;/year&gt;&lt;/dates&gt;&lt;urls&gt;&lt;/urls&gt;&lt;/record&gt;&lt;/Cite&gt;&lt;/EndNote&gt;</w:instrText>
      </w:r>
      <w:r w:rsidRPr="001A5676">
        <w:rPr>
          <w:rFonts w:ascii="Arial" w:hAnsi="Arial" w:cs="Arial"/>
        </w:rPr>
        <w:fldChar w:fldCharType="separate"/>
      </w:r>
      <w:r w:rsidR="00CA16D7">
        <w:rPr>
          <w:rFonts w:ascii="Arial" w:hAnsi="Arial" w:cs="Arial"/>
          <w:noProof/>
        </w:rPr>
        <w:t>(Ngoupayo &amp; Fouaguim, 2016)</w:t>
      </w:r>
      <w:r w:rsidRPr="001A5676">
        <w:rPr>
          <w:rFonts w:ascii="Arial" w:hAnsi="Arial" w:cs="Arial"/>
        </w:rPr>
        <w:fldChar w:fldCharType="end"/>
      </w:r>
      <w:r w:rsidRPr="001A5676">
        <w:rPr>
          <w:rFonts w:ascii="Arial" w:hAnsi="Arial" w:cs="Arial"/>
        </w:rPr>
        <w:t>reported that tannins inhibit bacterial growth by complexing enzymes (permeases) and proteins of the outer membrane of bacteria; inhibition of these enzymes disrupts the vital functions of microorganisms</w:t>
      </w:r>
    </w:p>
    <w:p w14:paraId="1E44DCB7" w14:textId="77777777" w:rsidR="00EE7F92" w:rsidRPr="00FB3A86" w:rsidRDefault="00EE7F92" w:rsidP="00EE7F92">
      <w:pPr>
        <w:pStyle w:val="Body"/>
        <w:spacing w:after="0"/>
        <w:rPr>
          <w:rFonts w:ascii="Arial" w:hAnsi="Arial" w:cs="Arial"/>
        </w:rPr>
      </w:pPr>
    </w:p>
    <w:p w14:paraId="68E3553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5CDDA2" w14:textId="7D0CD125" w:rsidR="00EE7F92" w:rsidRPr="00EE7F92" w:rsidRDefault="00EE7F92" w:rsidP="00EE7F92">
      <w:pPr>
        <w:pStyle w:val="Body"/>
        <w:spacing w:after="0"/>
        <w:rPr>
          <w:rFonts w:ascii="Arial" w:hAnsi="Arial" w:cs="Arial"/>
        </w:rPr>
      </w:pPr>
      <w:r w:rsidRPr="00EE7F92">
        <w:rPr>
          <w:rFonts w:ascii="Arial" w:hAnsi="Arial" w:cs="Arial"/>
        </w:rPr>
        <w:t xml:space="preserve">In summary, our work confirms that the pericarp of </w:t>
      </w:r>
      <w:r w:rsidR="00CA16D7" w:rsidRPr="00CA16D7">
        <w:rPr>
          <w:rFonts w:ascii="Arial" w:hAnsi="Arial" w:cs="Arial"/>
          <w:i/>
          <w:iCs/>
        </w:rPr>
        <w:t xml:space="preserve">Garcinia mangostana </w:t>
      </w:r>
      <w:r w:rsidRPr="00EE7F92">
        <w:rPr>
          <w:rFonts w:ascii="Arial" w:hAnsi="Arial" w:cs="Arial"/>
        </w:rPr>
        <w:t xml:space="preserve"> is much more than a simple agricultural byproduct: it is a veritable reservoir of protective molecules, particularly polyphenols. The hydroethanolic extract proved particularly effective, exhibiting remarkable antioxidant activity and concrete antibacterial efficacy. These results provide a solid scientific basis for the traditional use of the plant and open up encouraging prospects for the development of natural solutions to the current challenges of antibiotic resistance.</w:t>
      </w:r>
    </w:p>
    <w:p w14:paraId="74497FEA" w14:textId="77777777" w:rsidR="00790ADA" w:rsidRPr="00FB3A86" w:rsidRDefault="00790ADA" w:rsidP="00441B6F">
      <w:pPr>
        <w:pStyle w:val="ConcHead"/>
        <w:spacing w:after="0"/>
        <w:jc w:val="both"/>
        <w:rPr>
          <w:rFonts w:ascii="Arial" w:hAnsi="Arial" w:cs="Arial"/>
        </w:rPr>
      </w:pPr>
    </w:p>
    <w:p w14:paraId="6B6CBCB2" w14:textId="77777777" w:rsidR="00790ADA" w:rsidRPr="00FB3A86" w:rsidRDefault="00790ADA" w:rsidP="00441B6F">
      <w:pPr>
        <w:pStyle w:val="Body"/>
        <w:spacing w:after="0"/>
        <w:rPr>
          <w:rFonts w:ascii="Arial" w:hAnsi="Arial" w:cs="Arial"/>
        </w:rPr>
      </w:pPr>
    </w:p>
    <w:p w14:paraId="03831D1F" w14:textId="6838EB64"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5800D30D" w14:textId="77777777" w:rsidR="002B685A" w:rsidRPr="002B685A" w:rsidRDefault="002B685A" w:rsidP="00441B6F">
      <w:pPr>
        <w:pStyle w:val="ReferHead"/>
        <w:spacing w:after="0"/>
        <w:jc w:val="both"/>
        <w:rPr>
          <w:rFonts w:ascii="Arial" w:hAnsi="Arial" w:cs="Arial"/>
          <w:bCs/>
        </w:rPr>
      </w:pPr>
    </w:p>
    <w:p w14:paraId="3BA823C9" w14:textId="1F000678" w:rsidR="001A29D8" w:rsidRPr="00F469F0" w:rsidRDefault="00C33EC5" w:rsidP="00C33EC5">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3C71A2AD" w14:textId="77777777" w:rsidR="001A29D8" w:rsidRDefault="001A29D8" w:rsidP="00441B6F">
      <w:pPr>
        <w:pStyle w:val="ReferHead"/>
        <w:spacing w:after="0"/>
        <w:jc w:val="both"/>
        <w:rPr>
          <w:rFonts w:ascii="Arial" w:hAnsi="Arial" w:cs="Arial"/>
          <w:b w:val="0"/>
          <w:caps w:val="0"/>
          <w:sz w:val="20"/>
        </w:rPr>
      </w:pPr>
    </w:p>
    <w:p w14:paraId="6E7A8A5B" w14:textId="77777777" w:rsidR="005C784C" w:rsidRDefault="005C784C" w:rsidP="00441B6F">
      <w:pPr>
        <w:pStyle w:val="ReferHead"/>
        <w:spacing w:after="0"/>
        <w:jc w:val="both"/>
        <w:rPr>
          <w:rFonts w:ascii="Arial" w:hAnsi="Arial" w:cs="Arial"/>
          <w:b w:val="0"/>
          <w:caps w:val="0"/>
          <w:sz w:val="20"/>
        </w:rPr>
      </w:pPr>
    </w:p>
    <w:p w14:paraId="6E1AB825" w14:textId="2218ADC2"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21763A6" w14:textId="77777777" w:rsidR="005C784C" w:rsidRPr="002B685A" w:rsidRDefault="005C784C" w:rsidP="00441B6F">
      <w:pPr>
        <w:pStyle w:val="ReferHead"/>
        <w:spacing w:after="0"/>
        <w:jc w:val="both"/>
        <w:rPr>
          <w:rFonts w:ascii="Arial" w:hAnsi="Arial" w:cs="Arial"/>
          <w:bCs/>
        </w:rPr>
      </w:pPr>
    </w:p>
    <w:p w14:paraId="31839F6F" w14:textId="2683862C" w:rsidR="00860000" w:rsidRDefault="00CA16D7"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74F58FE2" w14:textId="77777777" w:rsidR="001133FF" w:rsidRDefault="001133FF" w:rsidP="00441B6F">
      <w:pPr>
        <w:pStyle w:val="ReferHead"/>
        <w:spacing w:after="0"/>
        <w:jc w:val="both"/>
        <w:rPr>
          <w:rFonts w:ascii="Arial" w:hAnsi="Arial" w:cs="Arial"/>
          <w:b w:val="0"/>
          <w:caps w:val="0"/>
          <w:sz w:val="20"/>
        </w:rPr>
      </w:pPr>
    </w:p>
    <w:p w14:paraId="7377A165" w14:textId="77777777" w:rsidR="001133FF" w:rsidRDefault="001133FF" w:rsidP="001133FF">
      <w:pPr>
        <w:pStyle w:val="DefAcrHead"/>
        <w:spacing w:after="0"/>
        <w:jc w:val="both"/>
        <w:rPr>
          <w:rFonts w:ascii="Arial" w:hAnsi="Arial" w:cs="Arial"/>
        </w:rPr>
      </w:pPr>
      <w:r w:rsidRPr="00FB3A86">
        <w:rPr>
          <w:rFonts w:ascii="Arial" w:hAnsi="Arial" w:cs="Arial"/>
        </w:rPr>
        <w:t>Abbreviations</w:t>
      </w:r>
    </w:p>
    <w:p w14:paraId="4F77A5BD" w14:textId="77777777" w:rsidR="001133FF" w:rsidRDefault="001133FF" w:rsidP="001133FF">
      <w:r>
        <w:t>AMC: Amoxicillin/Clavulanic acid</w:t>
      </w:r>
    </w:p>
    <w:p w14:paraId="3C1E1BDA" w14:textId="77777777" w:rsidR="001133FF" w:rsidRDefault="001133FF" w:rsidP="001133FF">
      <w:r>
        <w:t>AZT: Azithromycin</w:t>
      </w:r>
    </w:p>
    <w:p w14:paraId="6A1F4C04" w14:textId="77777777" w:rsidR="001133FF" w:rsidRDefault="001133FF" w:rsidP="001133FF">
      <w:r>
        <w:t>BHT: Butylated hydroxytoluene</w:t>
      </w:r>
    </w:p>
    <w:p w14:paraId="4DB41CC7" w14:textId="77777777" w:rsidR="001133FF" w:rsidRDefault="001133FF" w:rsidP="001133FF">
      <w:r>
        <w:t>CE: Catechin equivalent</w:t>
      </w:r>
    </w:p>
    <w:p w14:paraId="11C0EAA4" w14:textId="77777777" w:rsidR="001133FF" w:rsidRDefault="001133FF" w:rsidP="001133FF">
      <w:r>
        <w:t>CEF: Ceftriaxone</w:t>
      </w:r>
    </w:p>
    <w:p w14:paraId="30F66215" w14:textId="77777777" w:rsidR="001133FF" w:rsidRDefault="001133FF" w:rsidP="001133FF">
      <w:r>
        <w:t>CEX: Cefixime</w:t>
      </w:r>
    </w:p>
    <w:p w14:paraId="771D848F" w14:textId="77777777" w:rsidR="001133FF" w:rsidRDefault="001133FF" w:rsidP="001133FF">
      <w:r>
        <w:t>CIP: Ciprofloxacin</w:t>
      </w:r>
    </w:p>
    <w:p w14:paraId="42736659" w14:textId="77777777" w:rsidR="001133FF" w:rsidRDefault="001133FF" w:rsidP="001133FF">
      <w:r>
        <w:t>DAq: Aqueous Decoction</w:t>
      </w:r>
    </w:p>
    <w:p w14:paraId="602A3CAC" w14:textId="77777777" w:rsidR="001133FF" w:rsidRDefault="001133FF" w:rsidP="001133FF">
      <w:r>
        <w:t>DPPH: 2,2-diphenyl-1-picrylhydrazyl</w:t>
      </w:r>
    </w:p>
    <w:p w14:paraId="4F66723E" w14:textId="77777777" w:rsidR="001133FF" w:rsidRDefault="001133FF" w:rsidP="001133FF">
      <w:r>
        <w:t xml:space="preserve">EB: </w:t>
      </w:r>
      <w:r w:rsidRPr="00CA16D7">
        <w:rPr>
          <w:i/>
          <w:iCs/>
        </w:rPr>
        <w:t>Enterobacter cloacae</w:t>
      </w:r>
    </w:p>
    <w:p w14:paraId="2839939C" w14:textId="77777777" w:rsidR="001133FF" w:rsidRDefault="001133FF" w:rsidP="001133FF">
      <w:r>
        <w:t xml:space="preserve">EC: </w:t>
      </w:r>
      <w:r w:rsidRPr="00BF0CCB">
        <w:rPr>
          <w:i/>
          <w:iCs/>
        </w:rPr>
        <w:t>Escherichia coli</w:t>
      </w:r>
    </w:p>
    <w:p w14:paraId="43E08E67" w14:textId="77777777" w:rsidR="001133FF" w:rsidRDefault="001133FF" w:rsidP="001133FF">
      <w:r>
        <w:t>EC50: Effective concentration 50%</w:t>
      </w:r>
    </w:p>
    <w:p w14:paraId="18C3F13E" w14:textId="77777777" w:rsidR="001133FF" w:rsidRDefault="001133FF" w:rsidP="001133FF">
      <w:r>
        <w:t>FRAP: Ferric Reducing Antioxidant Power</w:t>
      </w:r>
    </w:p>
    <w:p w14:paraId="300A999D" w14:textId="77777777" w:rsidR="001133FF" w:rsidRDefault="001133FF" w:rsidP="001133FF">
      <w:r>
        <w:t>GAE: Gallic acid equivalent</w:t>
      </w:r>
    </w:p>
    <w:p w14:paraId="21B3D775" w14:textId="77777777" w:rsidR="001133FF" w:rsidRDefault="001133FF" w:rsidP="001133FF">
      <w:r>
        <w:t>IC50: Half-maximal inhibitory concentration</w:t>
      </w:r>
    </w:p>
    <w:p w14:paraId="0B5D588F" w14:textId="77777777" w:rsidR="001133FF" w:rsidRDefault="001133FF" w:rsidP="001133FF">
      <w:r>
        <w:t>MAq: Aqueous Maceration</w:t>
      </w:r>
    </w:p>
    <w:p w14:paraId="171B0A24" w14:textId="77777777" w:rsidR="001133FF" w:rsidRDefault="001133FF" w:rsidP="001133FF">
      <w:r>
        <w:t>MBC: Minimum Bactericidal Concentration</w:t>
      </w:r>
    </w:p>
    <w:p w14:paraId="0360D6A8" w14:textId="77777777" w:rsidR="001133FF" w:rsidRDefault="001133FF" w:rsidP="001133FF">
      <w:r>
        <w:t>MHB: Mueller-Hinton broth</w:t>
      </w:r>
    </w:p>
    <w:p w14:paraId="35179AC3" w14:textId="77777777" w:rsidR="001133FF" w:rsidRDefault="001133FF" w:rsidP="001133FF">
      <w:r>
        <w:t>MHe: Hydroethanolic Maceration</w:t>
      </w:r>
    </w:p>
    <w:p w14:paraId="6598F95D" w14:textId="77777777" w:rsidR="001133FF" w:rsidRDefault="001133FF" w:rsidP="001133FF">
      <w:r>
        <w:t>MIC: Minimum Inhibitory Concentration</w:t>
      </w:r>
    </w:p>
    <w:p w14:paraId="38A34C69" w14:textId="77777777" w:rsidR="001133FF" w:rsidRDefault="001133FF" w:rsidP="001133FF">
      <w:r>
        <w:t xml:space="preserve">PA: </w:t>
      </w:r>
      <w:r w:rsidRPr="00CA16D7">
        <w:rPr>
          <w:i/>
          <w:iCs/>
        </w:rPr>
        <w:t>Pseudomonas aeruginosa</w:t>
      </w:r>
    </w:p>
    <w:p w14:paraId="6BB73A00" w14:textId="77777777" w:rsidR="001133FF" w:rsidRDefault="001133FF" w:rsidP="001133FF">
      <w:r>
        <w:t>QE: Quercetin equivalent</w:t>
      </w:r>
    </w:p>
    <w:p w14:paraId="6F38F461" w14:textId="77777777" w:rsidR="001133FF" w:rsidRDefault="001133FF" w:rsidP="001133FF">
      <w:r>
        <w:t xml:space="preserve">SA: </w:t>
      </w:r>
      <w:r w:rsidRPr="00CA16D7">
        <w:rPr>
          <w:i/>
          <w:iCs/>
        </w:rPr>
        <w:t>S. aureus</w:t>
      </w:r>
    </w:p>
    <w:p w14:paraId="372FDEDF" w14:textId="77777777" w:rsidR="001133FF" w:rsidRDefault="001133FF" w:rsidP="00441B6F">
      <w:pPr>
        <w:pStyle w:val="ReferHead"/>
        <w:spacing w:after="0"/>
        <w:jc w:val="both"/>
        <w:rPr>
          <w:rFonts w:ascii="Arial" w:hAnsi="Arial" w:cs="Arial"/>
        </w:rPr>
      </w:pPr>
    </w:p>
    <w:p w14:paraId="218840E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32E1CF6" w14:textId="77777777" w:rsidR="00790ADA" w:rsidRPr="00FB3A86" w:rsidRDefault="00790ADA" w:rsidP="00441B6F">
      <w:pPr>
        <w:pStyle w:val="ReferHead"/>
        <w:spacing w:after="0"/>
        <w:jc w:val="both"/>
        <w:rPr>
          <w:rFonts w:ascii="Arial" w:hAnsi="Arial" w:cs="Arial"/>
        </w:rPr>
      </w:pPr>
    </w:p>
    <w:p w14:paraId="7E90CD01" w14:textId="77777777" w:rsidR="00CA16D7" w:rsidRDefault="00CA16D7" w:rsidP="00441B6F">
      <w:pPr>
        <w:pStyle w:val="Body"/>
        <w:spacing w:after="0"/>
      </w:pPr>
    </w:p>
    <w:p w14:paraId="5A5EFFF1" w14:textId="77777777" w:rsidR="00B84C17" w:rsidRDefault="00BF0CCB" w:rsidP="00BF0CCB">
      <w:pPr>
        <w:pStyle w:val="EndNoteBibliography"/>
        <w:ind w:left="720" w:hanging="720"/>
      </w:pPr>
      <w:r>
        <w:rPr>
          <w:rFonts w:ascii="Arial" w:hAnsi="Arial" w:cs="Arial"/>
          <w:b/>
        </w:rPr>
        <w:fldChar w:fldCharType="begin"/>
      </w:r>
      <w:r>
        <w:rPr>
          <w:rFonts w:ascii="Arial" w:hAnsi="Arial" w:cs="Arial"/>
          <w:b/>
        </w:rPr>
        <w:instrText xml:space="preserve"> ADDIN EN.REFLIST </w:instrText>
      </w:r>
      <w:r>
        <w:rPr>
          <w:rFonts w:ascii="Arial" w:hAnsi="Arial" w:cs="Arial"/>
          <w:b/>
        </w:rPr>
        <w:fldChar w:fldCharType="separate"/>
      </w:r>
      <w:r w:rsidR="00B84C17" w:rsidRPr="00B84C17">
        <w:t xml:space="preserve"> Abdul, Y., &amp; Sophie, R. (2019). Secondary Metabolites, Antibacterial and Antiradical Activities of Trunk Bark Extracts of *Acacia polyacantha* Collected in Benin. Int J Adv Res, 7(10), 1087-1092.</w:t>
      </w:r>
    </w:p>
    <w:p w14:paraId="07900015" w14:textId="77777777" w:rsidR="00B84C17" w:rsidRPr="00B84C17" w:rsidRDefault="00B84C17" w:rsidP="00B84C17">
      <w:pPr>
        <w:pStyle w:val="EndNoteBibliography"/>
        <w:ind w:left="720" w:hanging="720"/>
        <w:rPr>
          <w:lang w:val="pt-PT"/>
        </w:rPr>
      </w:pPr>
      <w:r w:rsidRPr="00B84C17">
        <w:rPr>
          <w:lang w:val="pt-PT"/>
        </w:rPr>
        <w:t>Assemian, A. S., Guessennd, N. K., Adou, K. F., &amp; Dosso, M. (2022). Phytochemical study and antibacterial activity of *Crateva adansonii* DC (Capparaceae) extracts against *S. aureus* and *Pseudomonas aeruginosa* strains. *Journal of Applied Biosciences*, 172, 17891-17904.</w:t>
      </w:r>
    </w:p>
    <w:p w14:paraId="3A5FE0D3" w14:textId="77777777" w:rsidR="00B84C17" w:rsidRPr="00B84C17" w:rsidRDefault="00B84C17" w:rsidP="00B84C17">
      <w:pPr>
        <w:pStyle w:val="EndNoteBibliography"/>
        <w:ind w:left="720" w:hanging="720"/>
        <w:rPr>
          <w:lang w:val="pt-PT"/>
        </w:rPr>
      </w:pPr>
      <w:r w:rsidRPr="00B84C17">
        <w:rPr>
          <w:lang w:val="pt-PT"/>
        </w:rPr>
        <w:t>Augustin, C. (1947). Medicinal products provided by plants of the Guttiferae family found in the French colonies. *Journal d’agriculture traditionnelle et de botanique appliquée*, 20, 88-97.</w:t>
      </w:r>
    </w:p>
    <w:p w14:paraId="07255404" w14:textId="77777777" w:rsidR="00B84C17" w:rsidRDefault="00B84C17" w:rsidP="00B84C17">
      <w:pPr>
        <w:pStyle w:val="EndNoteBibliography"/>
        <w:ind w:left="720" w:hanging="720"/>
        <w:rPr>
          <w:lang w:val="pt-PT"/>
        </w:rPr>
      </w:pPr>
      <w:r w:rsidRPr="00B84C17">
        <w:rPr>
          <w:lang w:val="pt-PT"/>
        </w:rPr>
        <w:t>Blé Marcel, Y. (2010). The role of the anthropologist in the revitalization of traditional African medicine. *Recherches qualitatives*, 29(2), 57-67.</w:t>
      </w:r>
    </w:p>
    <w:p w14:paraId="557D7D51" w14:textId="216DAA27" w:rsidR="00BF0CCB" w:rsidRPr="00CA16D7" w:rsidRDefault="00BF0CCB" w:rsidP="00B84C17">
      <w:pPr>
        <w:pStyle w:val="EndNoteBibliography"/>
        <w:ind w:left="720" w:hanging="720"/>
      </w:pPr>
      <w:r w:rsidRPr="00CA16D7">
        <w:t xml:space="preserve"> </w:t>
      </w:r>
    </w:p>
    <w:p w14:paraId="4A3D6344" w14:textId="77777777" w:rsidR="00BF0CCB" w:rsidRPr="00BF0CCB" w:rsidRDefault="00BF0CCB" w:rsidP="00BF0CCB">
      <w:pPr>
        <w:pStyle w:val="EndNoteBibliography"/>
        <w:ind w:left="720" w:hanging="720"/>
        <w:rPr>
          <w:lang w:val="fr-FR"/>
        </w:rPr>
      </w:pPr>
      <w:r w:rsidRPr="00CA16D7">
        <w:lastRenderedPageBreak/>
        <w:t>Bourgou, A., &amp; Cheng-Wu, J. (2009). Antioxidant activity and quantitative estimation of azadirachtin and nimbin in Azadirachta Indica. Grown in foothills of Nepal.</w:t>
      </w:r>
      <w:r w:rsidRPr="00CA16D7">
        <w:rPr>
          <w:i/>
        </w:rPr>
        <w:t xml:space="preserve"> </w:t>
      </w:r>
      <w:r w:rsidRPr="00BF0CCB">
        <w:rPr>
          <w:i/>
          <w:lang w:val="fr-FR"/>
        </w:rPr>
        <w:t>8</w:t>
      </w:r>
      <w:r w:rsidRPr="00BF0CCB">
        <w:rPr>
          <w:lang w:val="fr-FR"/>
        </w:rPr>
        <w:t xml:space="preserve">(13), 384-391. </w:t>
      </w:r>
    </w:p>
    <w:p w14:paraId="3016158D" w14:textId="135E81EC" w:rsidR="00BF0CCB" w:rsidRPr="00CA16D7" w:rsidRDefault="00B84C17" w:rsidP="00BF0CCB">
      <w:pPr>
        <w:pStyle w:val="EndNoteBibliography"/>
        <w:ind w:left="720" w:hanging="720"/>
      </w:pPr>
      <w:r w:rsidRPr="00B84C17">
        <w:rPr>
          <w:lang w:val="fr-FR"/>
        </w:rPr>
        <w:t>Bourgou, S., Beji, R. S., Medini, F., &amp; Ksouri, R. (2016). Effect of solvent and extraction method on the phenolic compound content and antioxidant potential of *Euphorbia helioscopia*. Journal of New Sciences, Agriculture and Biotechnology, 28(12), 1649–1655.</w:t>
      </w:r>
      <w:r w:rsidR="00BF0CCB" w:rsidRPr="00CA16D7">
        <w:t xml:space="preserve">. </w:t>
      </w:r>
    </w:p>
    <w:p w14:paraId="5A4580A3" w14:textId="77777777" w:rsidR="00BF0CCB" w:rsidRPr="00CA16D7" w:rsidRDefault="00BF0CCB" w:rsidP="00BF0CCB">
      <w:pPr>
        <w:pStyle w:val="EndNoteBibliography"/>
        <w:ind w:left="720" w:hanging="720"/>
      </w:pPr>
      <w:r w:rsidRPr="00CA16D7">
        <w:t xml:space="preserve">Cushnie, T., &amp; Lamb, A. (2011). Recent advances in understanding the antibacterial properties of flavonoids. </w:t>
      </w:r>
      <w:r w:rsidRPr="00CA16D7">
        <w:rPr>
          <w:i/>
        </w:rPr>
        <w:t>International Journal of Antimicrobial Agents, 38</w:t>
      </w:r>
      <w:r w:rsidRPr="00CA16D7">
        <w:t xml:space="preserve">(2), 99-107. </w:t>
      </w:r>
    </w:p>
    <w:p w14:paraId="3764D2D2" w14:textId="77777777" w:rsidR="00BF0CCB" w:rsidRPr="00BF0CCB" w:rsidRDefault="00BF0CCB" w:rsidP="00BF0CCB">
      <w:pPr>
        <w:pStyle w:val="EndNoteBibliography"/>
        <w:ind w:left="720" w:hanging="720"/>
        <w:rPr>
          <w:lang w:val="fr-FR"/>
        </w:rPr>
      </w:pPr>
      <w:r w:rsidRPr="00CA16D7">
        <w:t xml:space="preserve">Djeussi, D. E., Noumedem, J. A., Seukep, J. A., Fankam, A. G., Voukeng, I. K., Tankeo, S. B., . . . Kuete, V. (2013). Antibacterial activities of selected edible plants extracts against multi-drug resistant Gram-negative bacteria. </w:t>
      </w:r>
      <w:r w:rsidRPr="00BF0CCB">
        <w:rPr>
          <w:i/>
          <w:lang w:val="fr-FR"/>
        </w:rPr>
        <w:t>BMC Complementary and Alternative Medicine, 13</w:t>
      </w:r>
      <w:r w:rsidRPr="00BF0CCB">
        <w:rPr>
          <w:lang w:val="fr-FR"/>
        </w:rPr>
        <w:t xml:space="preserve">(1), 164. </w:t>
      </w:r>
    </w:p>
    <w:p w14:paraId="31F88174" w14:textId="77777777" w:rsidR="00BF0CCB" w:rsidRPr="00BF0CCB" w:rsidRDefault="00BF0CCB" w:rsidP="00BF0CCB">
      <w:pPr>
        <w:pStyle w:val="EndNoteBibliography"/>
        <w:ind w:left="720" w:hanging="720"/>
        <w:rPr>
          <w:lang w:val="fr-FR"/>
        </w:rPr>
      </w:pPr>
      <w:r w:rsidRPr="00BF0CCB">
        <w:rPr>
          <w:lang w:val="fr-FR"/>
        </w:rPr>
        <w:t xml:space="preserve">Favier, A. (2003). Stress oxydant et pathologies humaines. </w:t>
      </w:r>
      <w:r w:rsidRPr="00BF0CCB">
        <w:rPr>
          <w:i/>
          <w:lang w:val="fr-FR"/>
        </w:rPr>
        <w:t>Annales Pharmaceutiques Françaises, 64</w:t>
      </w:r>
      <w:r w:rsidRPr="00BF0CCB">
        <w:rPr>
          <w:lang w:val="fr-FR"/>
        </w:rPr>
        <w:t xml:space="preserve">, 390-396. </w:t>
      </w:r>
    </w:p>
    <w:p w14:paraId="258B1DB4" w14:textId="77777777" w:rsidR="00BF0CCB" w:rsidRPr="00CA16D7" w:rsidRDefault="00BF0CCB" w:rsidP="00BF0CCB">
      <w:pPr>
        <w:pStyle w:val="EndNoteBibliography"/>
        <w:ind w:left="720" w:hanging="720"/>
      </w:pPr>
      <w:r w:rsidRPr="00CA16D7">
        <w:t xml:space="preserve">Ksouri, R., &amp; Megdiche, W. (2007). Salinity effects on polyphenol content and antioxidant activities in leaves of the halophyte Cakile maritima. </w:t>
      </w:r>
      <w:r w:rsidRPr="00CA16D7">
        <w:rPr>
          <w:i/>
        </w:rPr>
        <w:t>Plant Physiology Biochemestry</w:t>
      </w:r>
      <w:r w:rsidRPr="00CA16D7">
        <w:t xml:space="preserve">, 244-249. </w:t>
      </w:r>
    </w:p>
    <w:p w14:paraId="64FF3EB5" w14:textId="77777777" w:rsidR="00BF0CCB" w:rsidRPr="00CA16D7" w:rsidRDefault="00BF0CCB" w:rsidP="00BF0CCB">
      <w:pPr>
        <w:pStyle w:val="EndNoteBibliography"/>
        <w:ind w:left="720" w:hanging="720"/>
      </w:pPr>
      <w:r w:rsidRPr="00CA16D7">
        <w:t xml:space="preserve">Molyneux. (2004). The use of stable free radical diphenylpicryl-hydrazyl (DPPH) for estimating antioxidant activity Songklanakarin. </w:t>
      </w:r>
      <w:r w:rsidRPr="00CA16D7">
        <w:rPr>
          <w:i/>
        </w:rPr>
        <w:t>Journal Science Technology, 26</w:t>
      </w:r>
      <w:r w:rsidRPr="00CA16D7">
        <w:t xml:space="preserve">(2), 211-219. </w:t>
      </w:r>
    </w:p>
    <w:p w14:paraId="2F158810" w14:textId="77777777" w:rsidR="00BF0CCB" w:rsidRPr="00CA16D7" w:rsidRDefault="00BF0CCB" w:rsidP="00BF0CCB">
      <w:pPr>
        <w:pStyle w:val="EndNoteBibliography"/>
        <w:ind w:left="720" w:hanging="720"/>
      </w:pPr>
      <w:r w:rsidRPr="00CA16D7">
        <w:t xml:space="preserve">Monrudee, S., &amp; Tanasait, N. (2011). Antioxydant properties of squeezed mangosteen juice. </w:t>
      </w:r>
      <w:r w:rsidRPr="00CA16D7">
        <w:rPr>
          <w:i/>
        </w:rPr>
        <w:t>Thai Journal Pharmaceutical Sciences</w:t>
      </w:r>
      <w:r w:rsidRPr="00CA16D7">
        <w:t xml:space="preserve">, 176-187. </w:t>
      </w:r>
    </w:p>
    <w:p w14:paraId="68118D46" w14:textId="77777777" w:rsidR="00BF0CCB" w:rsidRPr="00BF0CCB" w:rsidRDefault="00BF0CCB" w:rsidP="00BF0CCB">
      <w:pPr>
        <w:pStyle w:val="EndNoteBibliography"/>
        <w:ind w:left="720" w:hanging="720"/>
        <w:rPr>
          <w:lang w:val="fr-FR"/>
        </w:rPr>
      </w:pPr>
      <w:r w:rsidRPr="00BF0CCB">
        <w:rPr>
          <w:lang w:val="pt-PT"/>
        </w:rPr>
        <w:t xml:space="preserve">Nakagawa, Y., Tayama, K., Nakao, T., &amp; Hiraga, K. (1984). </w:t>
      </w:r>
      <w:r w:rsidRPr="00CA16D7">
        <w:t xml:space="preserve">On the mechanism of butylated hydroxytoluene-induced hepatic toxicity in rats. </w:t>
      </w:r>
      <w:r w:rsidRPr="00BF0CCB">
        <w:rPr>
          <w:i/>
          <w:lang w:val="fr-FR"/>
        </w:rPr>
        <w:t>Biochemical pharmacology, 33</w:t>
      </w:r>
      <w:r w:rsidRPr="00BF0CCB">
        <w:rPr>
          <w:lang w:val="fr-FR"/>
        </w:rPr>
        <w:t xml:space="preserve">(16), 2669-2674. </w:t>
      </w:r>
    </w:p>
    <w:p w14:paraId="0B86C282" w14:textId="77777777" w:rsidR="00B84C17" w:rsidRDefault="00B84C17" w:rsidP="00BF0CCB">
      <w:pPr>
        <w:pStyle w:val="EndNoteBibliography"/>
        <w:ind w:left="720" w:hanging="720"/>
        <w:rPr>
          <w:lang w:val="fr-FR"/>
        </w:rPr>
      </w:pPr>
      <w:r w:rsidRPr="00B84C17">
        <w:rPr>
          <w:lang w:val="fr-FR"/>
        </w:rPr>
        <w:t>Neha, V., &amp; Soumya, P. (2022). Recent Update on Biologically Active Molecules in Generating the Anticancer Therapeutic Potential of *Garcinia mangostana*. Applied Biochemistry and Biotechnology, 1–22.</w:t>
      </w:r>
    </w:p>
    <w:p w14:paraId="0465B0DE" w14:textId="61D38AF5" w:rsidR="00BF0CCB" w:rsidRPr="00CA16D7" w:rsidRDefault="00BF0CCB" w:rsidP="00BF0CCB">
      <w:pPr>
        <w:pStyle w:val="EndNoteBibliography"/>
        <w:ind w:left="720" w:hanging="720"/>
      </w:pPr>
      <w:r w:rsidRPr="00CA16D7">
        <w:t xml:space="preserve"> </w:t>
      </w:r>
    </w:p>
    <w:p w14:paraId="4C3EE07B" w14:textId="77777777" w:rsidR="00BF0CCB" w:rsidRPr="00CA16D7" w:rsidRDefault="00BF0CCB" w:rsidP="00BF0CCB">
      <w:pPr>
        <w:pStyle w:val="EndNoteBibliography"/>
        <w:ind w:left="720" w:hanging="720"/>
      </w:pPr>
      <w:r w:rsidRPr="00CA16D7">
        <w:t xml:space="preserve">Ngoupayo, J., &amp; Fouaguim, A. (2016). Evaluation of the antimicrobial activity of tannin extracted from the barks of Erythrophleum guineensis (Caesalpiniaceae ). 287-291. </w:t>
      </w:r>
    </w:p>
    <w:p w14:paraId="2336B27D" w14:textId="77777777" w:rsidR="00BF0CCB" w:rsidRPr="00BF0CCB" w:rsidRDefault="00BF0CCB" w:rsidP="00BF0CCB">
      <w:pPr>
        <w:pStyle w:val="EndNoteBibliography"/>
        <w:ind w:left="720" w:hanging="720"/>
        <w:rPr>
          <w:lang w:val="fr-FR"/>
        </w:rPr>
      </w:pPr>
      <w:r w:rsidRPr="00CA16D7">
        <w:t xml:space="preserve">Nuttavet, K., Youn-Hee, H., &amp; Primchanien, M. (2007). Antioxidant and cytoprotective activities of methanolic extract from the fruit hull of </w:t>
      </w:r>
      <w:r w:rsidRPr="00CA16D7">
        <w:rPr>
          <w:i/>
          <w:iCs/>
        </w:rPr>
        <w:t xml:space="preserve">Garcinia mangostana </w:t>
      </w:r>
      <w:r w:rsidRPr="00CA16D7">
        <w:t xml:space="preserve">. </w:t>
      </w:r>
      <w:r w:rsidRPr="00BF0CCB">
        <w:rPr>
          <w:i/>
          <w:lang w:val="fr-FR"/>
        </w:rPr>
        <w:t>Science Asia, 33</w:t>
      </w:r>
      <w:r w:rsidRPr="00BF0CCB">
        <w:rPr>
          <w:lang w:val="fr-FR"/>
        </w:rPr>
        <w:t xml:space="preserve">(1), 283-292. </w:t>
      </w:r>
    </w:p>
    <w:p w14:paraId="65717D13" w14:textId="77777777" w:rsidR="00B84C17" w:rsidRDefault="00B84C17" w:rsidP="00BF0CCB">
      <w:pPr>
        <w:pStyle w:val="EndNoteBibliography"/>
        <w:ind w:left="720" w:hanging="720"/>
        <w:rPr>
          <w:lang w:val="fr-FR"/>
        </w:rPr>
      </w:pPr>
      <w:r w:rsidRPr="00B84C17">
        <w:rPr>
          <w:lang w:val="fr-FR"/>
        </w:rPr>
        <w:t>Nyegue, M. (2006). Chemical and Biological Properties of Essential Oils from Selected Aromatic and/or Medicinal Plants of Cameroon: Evaluation of Their Free Radical Scavenging, Anti-inflammatory, and Antibacterial Activities. University of Montpellier II and Yaoundé I.</w:t>
      </w:r>
    </w:p>
    <w:p w14:paraId="46B54CBB" w14:textId="77777777" w:rsidR="00B84C17" w:rsidRDefault="00B84C17" w:rsidP="00BF0CCB">
      <w:pPr>
        <w:pStyle w:val="EndNoteBibliography"/>
        <w:ind w:left="720" w:hanging="720"/>
        <w:rPr>
          <w:lang w:val="fr-FR"/>
        </w:rPr>
      </w:pPr>
      <w:r w:rsidRPr="00B84C17">
        <w:rPr>
          <w:lang w:val="fr-FR"/>
        </w:rPr>
        <w:t>Omer Sheriff, S., &amp; Haresh Kumar, K. (2022). The Potential of α-Mangostin from *Garcinia mangostana* as an Effective Antibacterial Agent—A Systematic Review and Meta-Analysis. *Antibiotics*, 11(6), 717.</w:t>
      </w:r>
    </w:p>
    <w:p w14:paraId="098E32EE" w14:textId="77777777" w:rsidR="00B84C17" w:rsidRPr="00B84C17" w:rsidRDefault="00B84C17" w:rsidP="00B84C17">
      <w:pPr>
        <w:pStyle w:val="EndNoteBibliography"/>
        <w:ind w:left="720" w:hanging="720"/>
        <w:rPr>
          <w:lang w:val="fr-FR"/>
        </w:rPr>
      </w:pPr>
      <w:r w:rsidRPr="00B84C17">
        <w:rPr>
          <w:lang w:val="fr-FR"/>
        </w:rPr>
        <w:t>Radia, L. (2014). In vitro evaluation of the antioxidant and anti-inflammatory activities of the essential oils of *Origanum glandulosum* and *Rosmarinus officinalis*, alone and in combination. Abderrahmane Mira University of Béjaia, Algeria.</w:t>
      </w:r>
    </w:p>
    <w:p w14:paraId="3311B240" w14:textId="2F449520" w:rsidR="00BF0CCB" w:rsidRPr="00CA16D7" w:rsidRDefault="00B84C17" w:rsidP="00B84C17">
      <w:pPr>
        <w:pStyle w:val="EndNoteBibliography"/>
        <w:ind w:left="720" w:hanging="720"/>
      </w:pPr>
      <w:r w:rsidRPr="00B84C17">
        <w:rPr>
          <w:lang w:val="fr-FR"/>
        </w:rPr>
        <w:lastRenderedPageBreak/>
        <w:t>Ribereau-Gayon, P., &amp; Stonestreet, E. (1996). Plant Chemistry. *Annales de Chimie*, 188–196.</w:t>
      </w:r>
      <w:r w:rsidR="00BF0CCB" w:rsidRPr="00CA16D7">
        <w:t xml:space="preserve"> </w:t>
      </w:r>
    </w:p>
    <w:p w14:paraId="48F0037D" w14:textId="77777777" w:rsidR="00BF0CCB" w:rsidRPr="00CA16D7" w:rsidRDefault="00BF0CCB" w:rsidP="00BF0CCB">
      <w:pPr>
        <w:pStyle w:val="EndNoteBibliography"/>
        <w:ind w:left="720" w:hanging="720"/>
      </w:pPr>
      <w:r w:rsidRPr="00CA16D7">
        <w:t xml:space="preserve">Roersch, C. (2010). Piper umbellatum L. A comparative cross-cultural analysis of its medicinal uses and an ethnopharmacological evaluation. </w:t>
      </w:r>
      <w:r w:rsidRPr="00CA16D7">
        <w:rPr>
          <w:i/>
        </w:rPr>
        <w:t>Journal of ethnopharmacology, 131</w:t>
      </w:r>
      <w:r w:rsidRPr="00CA16D7">
        <w:t xml:space="preserve">(2), 522-537. </w:t>
      </w:r>
    </w:p>
    <w:p w14:paraId="7716AABA" w14:textId="77777777" w:rsidR="00B84C17" w:rsidRDefault="00B84C17" w:rsidP="00BF0CCB">
      <w:pPr>
        <w:pStyle w:val="EndNoteBibliography"/>
        <w:ind w:left="720" w:hanging="720"/>
      </w:pPr>
      <w:r w:rsidRPr="00B84C17">
        <w:t>Rolland, Y. (2004). Natural Plant Antioxidants. Oilseeds and Fats, Crops and Lipids, 11(6), 41.</w:t>
      </w:r>
    </w:p>
    <w:p w14:paraId="56DE815F" w14:textId="6D83DF33" w:rsidR="00BF0CCB" w:rsidRPr="00CA16D7" w:rsidRDefault="00BF0CCB" w:rsidP="00BF0CCB">
      <w:pPr>
        <w:pStyle w:val="EndNoteBibliography"/>
        <w:ind w:left="720" w:hanging="720"/>
      </w:pPr>
      <w:r w:rsidRPr="00CA16D7">
        <w:t xml:space="preserve">Shela, G., Mamta, S., &amp; Shiwani, G. (2011). Phytochemical screening and antioxidant activity of Cassia fistula L. leaf extracts. </w:t>
      </w:r>
      <w:r w:rsidRPr="00CA16D7">
        <w:rPr>
          <w:i/>
        </w:rPr>
        <w:t>Journal of Chemical and Pharmaceutical Research, 3</w:t>
      </w:r>
      <w:r w:rsidRPr="00CA16D7">
        <w:t xml:space="preserve">(6), 194-199. </w:t>
      </w:r>
    </w:p>
    <w:p w14:paraId="31160B2E" w14:textId="77777777" w:rsidR="00BF0CCB" w:rsidRPr="00CA16D7" w:rsidRDefault="00BF0CCB" w:rsidP="00BF0CCB">
      <w:pPr>
        <w:pStyle w:val="EndNoteBibliography"/>
        <w:ind w:left="720" w:hanging="720"/>
      </w:pPr>
      <w:r w:rsidRPr="00CA16D7">
        <w:t xml:space="preserve">Siddiqui, N., &amp; Abdur, R. (2017). Secondary metabolits in plants. </w:t>
      </w:r>
      <w:r w:rsidRPr="00CA16D7">
        <w:rPr>
          <w:i/>
        </w:rPr>
        <w:t>Journal of Taibah University Medical Sciences, 12</w:t>
      </w:r>
      <w:r w:rsidRPr="00CA16D7">
        <w:t xml:space="preserve">(4), 360-363. </w:t>
      </w:r>
    </w:p>
    <w:p w14:paraId="1950CEB0" w14:textId="77777777" w:rsidR="00B84C17" w:rsidRDefault="00B84C17" w:rsidP="00BF0CCB">
      <w:pPr>
        <w:pStyle w:val="EndNoteBibliography"/>
        <w:ind w:left="720" w:hanging="720"/>
        <w:rPr>
          <w:lang w:val="fr-FR"/>
        </w:rPr>
      </w:pPr>
      <w:r w:rsidRPr="00B84C17">
        <w:rPr>
          <w:lang w:val="fr-FR"/>
        </w:rPr>
        <w:t>Souris, J. S. (2002). Evaluation of the antioxidant activity of plant extracts. Catholic University of Louvain, Louvain.</w:t>
      </w:r>
    </w:p>
    <w:p w14:paraId="625799C4" w14:textId="239D5FD8" w:rsidR="00BF0CCB" w:rsidRPr="00CA16D7" w:rsidRDefault="00B84C17" w:rsidP="00BF0CCB">
      <w:pPr>
        <w:pStyle w:val="EndNoteBibliography"/>
        <w:ind w:left="720" w:hanging="720"/>
      </w:pPr>
      <w:r w:rsidRPr="00B84C17">
        <w:rPr>
          <w:lang w:val="fr-FR"/>
        </w:rPr>
        <w:t>Talbi, H. (2014). Evaluation of the antioxidant activity and physicochemical composition of methanolic and aqueous extracts of *Nigella sativa*. 6(4), 1111-1117.</w:t>
      </w:r>
      <w:r w:rsidR="00BF0CCB" w:rsidRPr="00CA16D7">
        <w:t xml:space="preserve"> </w:t>
      </w:r>
    </w:p>
    <w:p w14:paraId="55B2ECD6" w14:textId="77777777" w:rsidR="00BF0CCB" w:rsidRPr="00BF0CCB" w:rsidRDefault="00BF0CCB" w:rsidP="00BF0CCB">
      <w:pPr>
        <w:pStyle w:val="EndNoteBibliography"/>
        <w:ind w:left="720" w:hanging="720"/>
        <w:rPr>
          <w:lang w:val="fr-FR"/>
        </w:rPr>
      </w:pPr>
      <w:r w:rsidRPr="00CA16D7">
        <w:t xml:space="preserve">Trease, G., &amp; Evans, W. (2002). Chemistry and biochemistru of dietary polyphenols. </w:t>
      </w:r>
      <w:r w:rsidRPr="00BF0CCB">
        <w:rPr>
          <w:i/>
          <w:lang w:val="fr-FR"/>
        </w:rPr>
        <w:t>Journal of Pharmacognosy</w:t>
      </w:r>
      <w:r w:rsidRPr="00BF0CCB">
        <w:rPr>
          <w:lang w:val="fr-FR"/>
        </w:rPr>
        <w:t xml:space="preserve">, 391-393. </w:t>
      </w:r>
    </w:p>
    <w:p w14:paraId="43B9D52B" w14:textId="77777777" w:rsidR="00B84C17" w:rsidRDefault="00B84C17" w:rsidP="00BF0CCB">
      <w:pPr>
        <w:pStyle w:val="EndNoteBibliography"/>
        <w:ind w:left="720" w:hanging="720"/>
        <w:rPr>
          <w:lang w:val="fr-FR"/>
        </w:rPr>
      </w:pPr>
      <w:r w:rsidRPr="00B84C17">
        <w:rPr>
          <w:lang w:val="fr-FR"/>
        </w:rPr>
        <w:t>Valère, M. (2022). In Vitro Evaluation of the Antioxidant and Antibacterial Activity of *Canarium schweinfurthii* Trunk Bark. Université des Montagnes, Bangangté.</w:t>
      </w:r>
    </w:p>
    <w:p w14:paraId="1D977393" w14:textId="6797C051" w:rsidR="00BF0CCB" w:rsidRPr="00CA16D7" w:rsidRDefault="00BF0CCB" w:rsidP="00BF0CCB">
      <w:pPr>
        <w:pStyle w:val="EndNoteBibliography"/>
        <w:ind w:left="720" w:hanging="720"/>
      </w:pPr>
      <w:r w:rsidRPr="00BF0CCB">
        <w:rPr>
          <w:lang w:val="fr-FR"/>
        </w:rPr>
        <w:t>Yin, S., &amp; Stefanie, S. (2013). Antioxydant capacity and antibacterial activity of differents parts pf mangoosteen (</w:t>
      </w:r>
      <w:r w:rsidRPr="00BF0CCB">
        <w:rPr>
          <w:i/>
          <w:iCs/>
          <w:lang w:val="fr-FR"/>
        </w:rPr>
        <w:t xml:space="preserve">Garcinia mangostana </w:t>
      </w:r>
      <w:r w:rsidRPr="00BF0CCB">
        <w:rPr>
          <w:lang w:val="fr-FR"/>
        </w:rPr>
        <w:t xml:space="preserve"> Linn.) extracts. </w:t>
      </w:r>
      <w:r w:rsidRPr="00CA16D7">
        <w:rPr>
          <w:i/>
        </w:rPr>
        <w:t>EDP sciences</w:t>
      </w:r>
      <w:r w:rsidRPr="00CA16D7">
        <w:t xml:space="preserve">. </w:t>
      </w:r>
    </w:p>
    <w:p w14:paraId="08818ED4" w14:textId="56399D27" w:rsidR="00441B6F" w:rsidRDefault="00BF0CCB" w:rsidP="00BF0CCB">
      <w:pPr>
        <w:pStyle w:val="Body"/>
        <w:spacing w:after="0"/>
      </w:pPr>
      <w:r>
        <w:rPr>
          <w:rFonts w:ascii="Arial" w:hAnsi="Arial" w:cs="Arial"/>
          <w:b/>
        </w:rPr>
        <w:fldChar w:fldCharType="end"/>
      </w:r>
    </w:p>
    <w:p w14:paraId="688ED690" w14:textId="77777777" w:rsidR="00790ADA" w:rsidRPr="00FB3A86" w:rsidRDefault="00790ADA" w:rsidP="00441B6F">
      <w:pPr>
        <w:pStyle w:val="Body"/>
        <w:spacing w:after="0"/>
        <w:rPr>
          <w:rFonts w:ascii="Arial" w:hAnsi="Arial" w:cs="Arial"/>
        </w:rPr>
      </w:pPr>
    </w:p>
    <w:p w14:paraId="3EE6A559" w14:textId="77777777" w:rsidR="00C33EC5" w:rsidRDefault="00C33EC5" w:rsidP="00C33EC5">
      <w:pPr>
        <w:pStyle w:val="Appendix"/>
        <w:spacing w:after="0"/>
        <w:jc w:val="both"/>
        <w:rPr>
          <w:rFonts w:ascii="Arial" w:hAnsi="Arial" w:cs="Arial"/>
        </w:rPr>
      </w:pPr>
    </w:p>
    <w:p w14:paraId="0DFE3D06" w14:textId="77777777" w:rsidR="00C33EC5" w:rsidRDefault="00C33EC5" w:rsidP="00C33EC5">
      <w:pPr>
        <w:pStyle w:val="Appendix"/>
        <w:spacing w:after="0"/>
        <w:jc w:val="both"/>
        <w:rPr>
          <w:rFonts w:ascii="Arial" w:hAnsi="Arial" w:cs="Arial"/>
        </w:rPr>
      </w:pPr>
    </w:p>
    <w:p w14:paraId="4ACA3D3C" w14:textId="6395F2D5" w:rsidR="00C33EC5" w:rsidRPr="00C33EC5" w:rsidRDefault="00C33EC5" w:rsidP="00C33EC5">
      <w:pPr>
        <w:pStyle w:val="Appendix"/>
        <w:spacing w:after="0"/>
        <w:jc w:val="both"/>
        <w:rPr>
          <w:rFonts w:ascii="Arial" w:hAnsi="Arial" w:cs="Arial"/>
        </w:rPr>
        <w:sectPr w:rsidR="00C33EC5" w:rsidRPr="00C33EC5" w:rsidSect="007502A8">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156DBE73" w14:textId="77777777" w:rsidR="00CA16D7" w:rsidRDefault="00CA16D7" w:rsidP="00441B6F">
      <w:pPr>
        <w:pStyle w:val="Appendix"/>
        <w:spacing w:after="0"/>
        <w:jc w:val="both"/>
        <w:rPr>
          <w:rFonts w:ascii="Arial" w:hAnsi="Arial" w:cs="Arial"/>
          <w:b w:val="0"/>
        </w:rPr>
      </w:pPr>
    </w:p>
    <w:p w14:paraId="02815D89" w14:textId="77777777" w:rsidR="00CA16D7" w:rsidRDefault="00CA16D7" w:rsidP="00441B6F">
      <w:pPr>
        <w:pStyle w:val="Appendix"/>
        <w:spacing w:after="0"/>
        <w:jc w:val="both"/>
        <w:rPr>
          <w:rFonts w:ascii="Arial" w:hAnsi="Arial" w:cs="Arial"/>
          <w:b w:val="0"/>
        </w:rPr>
      </w:pPr>
    </w:p>
    <w:p w14:paraId="4B9C085A" w14:textId="098B6F0C" w:rsidR="00B01FCD" w:rsidRPr="00FB3A86" w:rsidRDefault="00B01FCD" w:rsidP="00CA16D7">
      <w:pPr>
        <w:pStyle w:val="Appendix"/>
        <w:spacing w:after="0"/>
        <w:jc w:val="both"/>
        <w:rPr>
          <w:rFonts w:ascii="Arial" w:hAnsi="Arial" w:cs="Arial"/>
          <w:b w:val="0"/>
        </w:rPr>
      </w:pPr>
    </w:p>
    <w:sectPr w:rsidR="00B01FCD" w:rsidRPr="00FB3A86" w:rsidSect="007502A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sy Wenas" w:date="2026-05-03T06:34:00Z" w:initials="DW">
    <w:p w14:paraId="3C103EBF" w14:textId="77777777" w:rsidR="00C12CAE" w:rsidRDefault="00C12CAE" w:rsidP="00C12CAE">
      <w:pPr>
        <w:pStyle w:val="CommentText"/>
      </w:pPr>
      <w:r>
        <w:rPr>
          <w:rStyle w:val="CommentReference"/>
        </w:rPr>
        <w:annotationRef/>
      </w:r>
      <w:r>
        <w:t>Phytochemical screening on what extract ? The extract preparation should be mention in 1 sentence</w:t>
      </w:r>
    </w:p>
  </w:comment>
  <w:comment w:id="1" w:author="Desy Wenas" w:date="2026-05-03T06:35:00Z" w:initials="DW">
    <w:p w14:paraId="4BA24139" w14:textId="77777777" w:rsidR="00C12CAE" w:rsidRDefault="00C12CAE" w:rsidP="00C12CAE">
      <w:pPr>
        <w:pStyle w:val="CommentText"/>
      </w:pPr>
      <w:r>
        <w:rPr>
          <w:rStyle w:val="CommentReference"/>
        </w:rPr>
        <w:annotationRef/>
      </w:r>
      <w:r>
        <w:t>alphabetical</w:t>
      </w:r>
    </w:p>
  </w:comment>
  <w:comment w:id="2" w:author="Desy Wenas" w:date="2026-05-03T06:35:00Z" w:initials="DW">
    <w:p w14:paraId="28D6DD0E" w14:textId="77777777" w:rsidR="00C12CAE" w:rsidRDefault="00C12CAE" w:rsidP="00C12CAE">
      <w:pPr>
        <w:pStyle w:val="CommentText"/>
      </w:pPr>
      <w:r>
        <w:rPr>
          <w:rStyle w:val="CommentReference"/>
        </w:rPr>
        <w:annotationRef/>
      </w:r>
      <w:r>
        <w:t>Separate them with comma</w:t>
      </w:r>
    </w:p>
  </w:comment>
  <w:comment w:id="48" w:author="Desy Wenas" w:date="2026-05-03T10:30:00Z" w:initials="DW">
    <w:p w14:paraId="2AFE8F9A" w14:textId="77777777" w:rsidR="004514DD" w:rsidRDefault="004514DD" w:rsidP="004514DD">
      <w:pPr>
        <w:pStyle w:val="CommentText"/>
      </w:pPr>
      <w:r>
        <w:rPr>
          <w:rStyle w:val="CommentReference"/>
        </w:rPr>
        <w:annotationRef/>
      </w:r>
      <w:r>
        <w:t>subscript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103EBF" w15:done="0"/>
  <w15:commentEx w15:paraId="4BA24139" w15:done="0"/>
  <w15:commentEx w15:paraId="28D6DD0E" w15:done="0"/>
  <w15:commentEx w15:paraId="2AFE8F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8703C7" w16cex:dateUtc="2026-05-02T23:34:00Z"/>
  <w16cex:commentExtensible w16cex:durableId="283D76EA" w16cex:dateUtc="2026-05-02T23:35:00Z"/>
  <w16cex:commentExtensible w16cex:durableId="13C06DE2" w16cex:dateUtc="2026-05-02T23:35:00Z"/>
  <w16cex:commentExtensible w16cex:durableId="55EE1290" w16cex:dateUtc="2026-05-03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103EBF" w16cid:durableId="718703C7"/>
  <w16cid:commentId w16cid:paraId="4BA24139" w16cid:durableId="283D76EA"/>
  <w16cid:commentId w16cid:paraId="28D6DD0E" w16cid:durableId="13C06DE2"/>
  <w16cid:commentId w16cid:paraId="2AFE8F9A" w16cid:durableId="55EE12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0890" w14:textId="77777777" w:rsidR="00396266" w:rsidRDefault="00396266" w:rsidP="00C37E61">
      <w:r>
        <w:separator/>
      </w:r>
    </w:p>
  </w:endnote>
  <w:endnote w:type="continuationSeparator" w:id="0">
    <w:p w14:paraId="15DE280B" w14:textId="77777777" w:rsidR="00396266" w:rsidRDefault="003962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A5AE" w14:textId="77777777" w:rsidR="007502A8" w:rsidRDefault="00750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D426" w14:textId="77777777" w:rsidR="007502A8" w:rsidRDefault="00750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D9AD" w14:textId="03D055DC" w:rsidR="00754C9A" w:rsidRPr="00C6318F" w:rsidRDefault="00754C9A" w:rsidP="00C631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FD5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2D462" w14:textId="77777777" w:rsidR="00396266" w:rsidRDefault="00396266" w:rsidP="00C37E61">
      <w:r>
        <w:separator/>
      </w:r>
    </w:p>
  </w:footnote>
  <w:footnote w:type="continuationSeparator" w:id="0">
    <w:p w14:paraId="6BF4E2E7" w14:textId="77777777" w:rsidR="00396266" w:rsidRDefault="003962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57E8" w14:textId="182D5B28" w:rsidR="007502A8" w:rsidRDefault="00000000">
    <w:pPr>
      <w:pStyle w:val="Header"/>
    </w:pPr>
    <w:r>
      <w:rPr>
        <w:noProof/>
      </w:rPr>
      <w:pict w14:anchorId="3F757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4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3878" w14:textId="63E4D9CD" w:rsidR="007502A8" w:rsidRDefault="00000000">
    <w:pPr>
      <w:pStyle w:val="Header"/>
    </w:pPr>
    <w:r>
      <w:rPr>
        <w:noProof/>
      </w:rPr>
      <w:pict w14:anchorId="1E4F5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4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3F22" w14:textId="10080C03" w:rsidR="00296529" w:rsidRPr="00296529" w:rsidRDefault="00000000" w:rsidP="00296529">
    <w:pPr>
      <w:ind w:left="2160"/>
      <w:jc w:val="center"/>
      <w:rPr>
        <w:rFonts w:ascii="Times New Roman" w:eastAsia="Calibri" w:hAnsi="Times New Roman"/>
        <w:i/>
        <w:sz w:val="18"/>
        <w:szCs w:val="22"/>
      </w:rPr>
    </w:pPr>
    <w:r>
      <w:rPr>
        <w:noProof/>
      </w:rPr>
      <w:pict w14:anchorId="46539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4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7CD1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7331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38312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C21E5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11B85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D9637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655C" w14:textId="0BD83EFD" w:rsidR="007502A8" w:rsidRDefault="00000000">
    <w:pPr>
      <w:pStyle w:val="Header"/>
    </w:pPr>
    <w:r>
      <w:rPr>
        <w:noProof/>
      </w:rPr>
      <w:pict w14:anchorId="1EC1C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5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7143" w14:textId="3893CF20" w:rsidR="007502A8" w:rsidRDefault="00000000">
    <w:pPr>
      <w:pStyle w:val="Header"/>
    </w:pPr>
    <w:r>
      <w:rPr>
        <w:noProof/>
      </w:rPr>
      <w:pict w14:anchorId="67DD8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5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6EAB" w14:textId="59C19154" w:rsidR="007502A8" w:rsidRDefault="00000000">
    <w:pPr>
      <w:pStyle w:val="Header"/>
    </w:pPr>
    <w:r>
      <w:rPr>
        <w:noProof/>
      </w:rPr>
      <w:pict w14:anchorId="2F689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4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350891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44052577">
    <w:abstractNumId w:val="15"/>
  </w:num>
  <w:num w:numId="3" w16cid:durableId="932783137">
    <w:abstractNumId w:val="23"/>
  </w:num>
  <w:num w:numId="4" w16cid:durableId="3663003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5096256">
    <w:abstractNumId w:val="7"/>
  </w:num>
  <w:num w:numId="6" w16cid:durableId="598485323">
    <w:abstractNumId w:val="6"/>
  </w:num>
  <w:num w:numId="7" w16cid:durableId="671756657">
    <w:abstractNumId w:val="1"/>
  </w:num>
  <w:num w:numId="8" w16cid:durableId="489369629">
    <w:abstractNumId w:val="12"/>
  </w:num>
  <w:num w:numId="9" w16cid:durableId="1660500551">
    <w:abstractNumId w:val="25"/>
  </w:num>
  <w:num w:numId="10" w16cid:durableId="920337178">
    <w:abstractNumId w:val="2"/>
  </w:num>
  <w:num w:numId="11" w16cid:durableId="1175849467">
    <w:abstractNumId w:val="18"/>
  </w:num>
  <w:num w:numId="12" w16cid:durableId="463743120">
    <w:abstractNumId w:val="3"/>
  </w:num>
  <w:num w:numId="13" w16cid:durableId="1630820656">
    <w:abstractNumId w:val="17"/>
  </w:num>
  <w:num w:numId="14" w16cid:durableId="2024353185">
    <w:abstractNumId w:val="8"/>
  </w:num>
  <w:num w:numId="15" w16cid:durableId="1362783329">
    <w:abstractNumId w:val="21"/>
  </w:num>
  <w:num w:numId="16" w16cid:durableId="1674988005">
    <w:abstractNumId w:val="5"/>
  </w:num>
  <w:num w:numId="17" w16cid:durableId="332684551">
    <w:abstractNumId w:val="22"/>
  </w:num>
  <w:num w:numId="18" w16cid:durableId="1259946055">
    <w:abstractNumId w:val="14"/>
  </w:num>
  <w:num w:numId="19" w16cid:durableId="887449909">
    <w:abstractNumId w:val="28"/>
  </w:num>
  <w:num w:numId="20" w16cid:durableId="514730026">
    <w:abstractNumId w:val="11"/>
  </w:num>
  <w:num w:numId="21" w16cid:durableId="678852864">
    <w:abstractNumId w:val="9"/>
  </w:num>
  <w:num w:numId="22" w16cid:durableId="1615599738">
    <w:abstractNumId w:val="13"/>
  </w:num>
  <w:num w:numId="23" w16cid:durableId="681780022">
    <w:abstractNumId w:val="19"/>
  </w:num>
  <w:num w:numId="24" w16cid:durableId="1093942175">
    <w:abstractNumId w:val="26"/>
  </w:num>
  <w:num w:numId="25" w16cid:durableId="328141959">
    <w:abstractNumId w:val="4"/>
  </w:num>
  <w:num w:numId="26" w16cid:durableId="142360768">
    <w:abstractNumId w:val="16"/>
  </w:num>
  <w:num w:numId="27" w16cid:durableId="1412504417">
    <w:abstractNumId w:val="20"/>
  </w:num>
  <w:num w:numId="28" w16cid:durableId="1543786596">
    <w:abstractNumId w:val="27"/>
  </w:num>
  <w:num w:numId="29" w16cid:durableId="592858350">
    <w:abstractNumId w:val="24"/>
  </w:num>
  <w:num w:numId="30" w16cid:durableId="8940508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y Wenas">
    <w15:presenceInfo w15:providerId="Windows Live" w15:userId="d79ad1afc8429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6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wefpzf5eefwrea9agvzetgp2s0rdew0rw0&quot;&gt;My EndNote Librarybn&lt;record-ids&gt;&lt;item&gt;86&lt;/item&gt;&lt;/record-ids&gt;&lt;/item&gt;&lt;/Libraries&gt;"/>
  </w:docVars>
  <w:rsids>
    <w:rsidRoot w:val="00AA6219"/>
    <w:rsid w:val="00000F8F"/>
    <w:rsid w:val="00030174"/>
    <w:rsid w:val="0004579C"/>
    <w:rsid w:val="000A47FA"/>
    <w:rsid w:val="000A65D3"/>
    <w:rsid w:val="000B1E33"/>
    <w:rsid w:val="000D689F"/>
    <w:rsid w:val="000E7B7B"/>
    <w:rsid w:val="000E7D62"/>
    <w:rsid w:val="00103357"/>
    <w:rsid w:val="001133FF"/>
    <w:rsid w:val="00123C9F"/>
    <w:rsid w:val="00126190"/>
    <w:rsid w:val="00130F17"/>
    <w:rsid w:val="001320BF"/>
    <w:rsid w:val="00163BC4"/>
    <w:rsid w:val="00187DAB"/>
    <w:rsid w:val="00191062"/>
    <w:rsid w:val="00192B72"/>
    <w:rsid w:val="001A29D8"/>
    <w:rsid w:val="001A5676"/>
    <w:rsid w:val="001A5CAA"/>
    <w:rsid w:val="001B0427"/>
    <w:rsid w:val="001D3A51"/>
    <w:rsid w:val="001E10D2"/>
    <w:rsid w:val="001E200D"/>
    <w:rsid w:val="001E25B4"/>
    <w:rsid w:val="001E44FE"/>
    <w:rsid w:val="00200595"/>
    <w:rsid w:val="00204835"/>
    <w:rsid w:val="00231920"/>
    <w:rsid w:val="0023195C"/>
    <w:rsid w:val="0024282C"/>
    <w:rsid w:val="002460DC"/>
    <w:rsid w:val="00250985"/>
    <w:rsid w:val="002556F6"/>
    <w:rsid w:val="0026326E"/>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6266"/>
    <w:rsid w:val="003A43A4"/>
    <w:rsid w:val="003A7E18"/>
    <w:rsid w:val="003C4C86"/>
    <w:rsid w:val="003C6258"/>
    <w:rsid w:val="003E2904"/>
    <w:rsid w:val="00401927"/>
    <w:rsid w:val="0041027F"/>
    <w:rsid w:val="00412475"/>
    <w:rsid w:val="00423789"/>
    <w:rsid w:val="00440F43"/>
    <w:rsid w:val="00441B6F"/>
    <w:rsid w:val="00446221"/>
    <w:rsid w:val="00450E62"/>
    <w:rsid w:val="004514DD"/>
    <w:rsid w:val="004539DB"/>
    <w:rsid w:val="00471A80"/>
    <w:rsid w:val="004D305E"/>
    <w:rsid w:val="004D4277"/>
    <w:rsid w:val="00502516"/>
    <w:rsid w:val="00505F06"/>
    <w:rsid w:val="00506828"/>
    <w:rsid w:val="00522FA0"/>
    <w:rsid w:val="0053056E"/>
    <w:rsid w:val="00554FDA"/>
    <w:rsid w:val="005C784C"/>
    <w:rsid w:val="005D17F6"/>
    <w:rsid w:val="005E5539"/>
    <w:rsid w:val="005E5C87"/>
    <w:rsid w:val="005F6427"/>
    <w:rsid w:val="00602BF5"/>
    <w:rsid w:val="00617FDD"/>
    <w:rsid w:val="00633614"/>
    <w:rsid w:val="00633F68"/>
    <w:rsid w:val="00636EB2"/>
    <w:rsid w:val="006375B8"/>
    <w:rsid w:val="00654EBC"/>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1C82"/>
    <w:rsid w:val="00746E59"/>
    <w:rsid w:val="007502A8"/>
    <w:rsid w:val="00754C9A"/>
    <w:rsid w:val="0075599A"/>
    <w:rsid w:val="00761D52"/>
    <w:rsid w:val="0077749E"/>
    <w:rsid w:val="00790ADA"/>
    <w:rsid w:val="007C29E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C6B"/>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4C17"/>
    <w:rsid w:val="00B95236"/>
    <w:rsid w:val="00B96BD9"/>
    <w:rsid w:val="00BA1B01"/>
    <w:rsid w:val="00BA2641"/>
    <w:rsid w:val="00BB37AA"/>
    <w:rsid w:val="00BC53A0"/>
    <w:rsid w:val="00BE62AD"/>
    <w:rsid w:val="00BF0CCB"/>
    <w:rsid w:val="00BF121F"/>
    <w:rsid w:val="00BF1F80"/>
    <w:rsid w:val="00C12CAE"/>
    <w:rsid w:val="00C166EF"/>
    <w:rsid w:val="00C17EB0"/>
    <w:rsid w:val="00C27F5F"/>
    <w:rsid w:val="00C30A0F"/>
    <w:rsid w:val="00C33EC5"/>
    <w:rsid w:val="00C37E61"/>
    <w:rsid w:val="00C62E35"/>
    <w:rsid w:val="00C6318F"/>
    <w:rsid w:val="00C70F1B"/>
    <w:rsid w:val="00C71A47"/>
    <w:rsid w:val="00C7464C"/>
    <w:rsid w:val="00C85588"/>
    <w:rsid w:val="00CA16D7"/>
    <w:rsid w:val="00CD6755"/>
    <w:rsid w:val="00CD6856"/>
    <w:rsid w:val="00CE0089"/>
    <w:rsid w:val="00CE793C"/>
    <w:rsid w:val="00CF193C"/>
    <w:rsid w:val="00D173F1"/>
    <w:rsid w:val="00D74CB0"/>
    <w:rsid w:val="00D8295D"/>
    <w:rsid w:val="00DC2A65"/>
    <w:rsid w:val="00DE15F0"/>
    <w:rsid w:val="00DE5663"/>
    <w:rsid w:val="00DE78AA"/>
    <w:rsid w:val="00E053D0"/>
    <w:rsid w:val="00E07DAD"/>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7F92"/>
    <w:rsid w:val="00EF581D"/>
    <w:rsid w:val="00EF7FD8"/>
    <w:rsid w:val="00F06F59"/>
    <w:rsid w:val="00F17988"/>
    <w:rsid w:val="00F469F0"/>
    <w:rsid w:val="00F53273"/>
    <w:rsid w:val="00F755E4"/>
    <w:rsid w:val="00F77D02"/>
    <w:rsid w:val="00FB3A86"/>
    <w:rsid w:val="00FC36C1"/>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CA39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A56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A56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56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1A56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1A56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1A5676"/>
    <w:rPr>
      <w:rFonts w:asciiTheme="majorHAnsi" w:eastAsiaTheme="majorEastAsia" w:hAnsiTheme="majorHAnsi" w:cstheme="majorBidi"/>
      <w:i/>
      <w:iCs/>
      <w:color w:val="365F91" w:themeColor="accent1" w:themeShade="BF"/>
    </w:rPr>
  </w:style>
  <w:style w:type="paragraph" w:styleId="Caption">
    <w:name w:val="caption"/>
    <w:basedOn w:val="Normal"/>
    <w:next w:val="Normal"/>
    <w:link w:val="CaptionChar"/>
    <w:uiPriority w:val="35"/>
    <w:unhideWhenUsed/>
    <w:qFormat/>
    <w:rsid w:val="001A5676"/>
    <w:pPr>
      <w:spacing w:before="120" w:after="120" w:line="360" w:lineRule="auto"/>
    </w:pPr>
    <w:rPr>
      <w:rFonts w:ascii="Times New Roman" w:eastAsiaTheme="minorHAnsi" w:hAnsi="Times New Roman" w:cstheme="minorBidi"/>
      <w:iCs/>
      <w:color w:val="000000" w:themeColor="text1"/>
      <w:sz w:val="24"/>
      <w:szCs w:val="18"/>
      <w:lang w:val="en"/>
    </w:rPr>
  </w:style>
  <w:style w:type="character" w:customStyle="1" w:styleId="CaptionChar">
    <w:name w:val="Caption Char"/>
    <w:link w:val="Caption"/>
    <w:uiPriority w:val="35"/>
    <w:rsid w:val="001A5676"/>
    <w:rPr>
      <w:rFonts w:eastAsiaTheme="minorHAnsi" w:cstheme="minorBidi"/>
      <w:iCs/>
      <w:color w:val="000000" w:themeColor="text1"/>
      <w:sz w:val="24"/>
      <w:szCs w:val="18"/>
      <w:lang w:val="en"/>
    </w:rPr>
  </w:style>
  <w:style w:type="table" w:styleId="MediumShading2">
    <w:name w:val="Medium Shading 2"/>
    <w:basedOn w:val="TableNormal"/>
    <w:uiPriority w:val="64"/>
    <w:rsid w:val="001A5676"/>
    <w:rPr>
      <w:rFonts w:asciiTheme="minorHAnsi" w:eastAsiaTheme="minorHAnsi" w:hAnsiTheme="minorHAnsi" w:cstheme="minorBidi"/>
      <w:sz w:val="22"/>
      <w:szCs w:val="22"/>
      <w:lang w:val="e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ndNoteBibliographyTitle">
    <w:name w:val="EndNote Bibliography Title"/>
    <w:basedOn w:val="Normal"/>
    <w:link w:val="EndNoteBibliographyTitleCar"/>
    <w:rsid w:val="00CA16D7"/>
    <w:pPr>
      <w:jc w:val="center"/>
    </w:pPr>
    <w:rPr>
      <w:rFonts w:cs="Helvetica"/>
      <w:noProof/>
      <w:sz w:val="22"/>
    </w:rPr>
  </w:style>
  <w:style w:type="character" w:customStyle="1" w:styleId="BodyCar">
    <w:name w:val="Body Car"/>
    <w:basedOn w:val="DefaultParagraphFont"/>
    <w:link w:val="Body"/>
    <w:rsid w:val="00CA16D7"/>
    <w:rPr>
      <w:rFonts w:ascii="Helvetica" w:hAnsi="Helvetica"/>
    </w:rPr>
  </w:style>
  <w:style w:type="character" w:customStyle="1" w:styleId="EndNoteBibliographyTitleCar">
    <w:name w:val="EndNote Bibliography Title Car"/>
    <w:basedOn w:val="BodyCar"/>
    <w:link w:val="EndNoteBibliographyTitle"/>
    <w:rsid w:val="00CA16D7"/>
    <w:rPr>
      <w:rFonts w:ascii="Helvetica" w:hAnsi="Helvetica" w:cs="Helvetica"/>
      <w:noProof/>
      <w:sz w:val="22"/>
    </w:rPr>
  </w:style>
  <w:style w:type="paragraph" w:customStyle="1" w:styleId="EndNoteBibliography">
    <w:name w:val="EndNote Bibliography"/>
    <w:basedOn w:val="Normal"/>
    <w:link w:val="EndNoteBibliographyCar"/>
    <w:rsid w:val="00CA16D7"/>
    <w:pPr>
      <w:jc w:val="both"/>
    </w:pPr>
    <w:rPr>
      <w:rFonts w:cs="Helvetica"/>
      <w:noProof/>
      <w:sz w:val="22"/>
    </w:rPr>
  </w:style>
  <w:style w:type="character" w:customStyle="1" w:styleId="EndNoteBibliographyCar">
    <w:name w:val="EndNote Bibliography Car"/>
    <w:basedOn w:val="BodyCar"/>
    <w:link w:val="EndNoteBibliography"/>
    <w:rsid w:val="00CA16D7"/>
    <w:rPr>
      <w:rFonts w:ascii="Helvetica" w:hAnsi="Helvetica" w:cs="Helvetica"/>
      <w:noProof/>
      <w:sz w:val="22"/>
    </w:rPr>
  </w:style>
  <w:style w:type="paragraph" w:styleId="BodyText">
    <w:name w:val="Body Text"/>
    <w:basedOn w:val="Normal"/>
    <w:link w:val="BodyTextChar"/>
    <w:semiHidden/>
    <w:unhideWhenUsed/>
    <w:rsid w:val="00BF0CCB"/>
    <w:pPr>
      <w:spacing w:after="120"/>
    </w:pPr>
  </w:style>
  <w:style w:type="character" w:customStyle="1" w:styleId="BodyTextChar">
    <w:name w:val="Body Text Char"/>
    <w:basedOn w:val="DefaultParagraphFont"/>
    <w:link w:val="BodyText"/>
    <w:semiHidden/>
    <w:rsid w:val="00BF0CCB"/>
    <w:rPr>
      <w:rFonts w:ascii="Helvetica" w:hAnsi="Helvetica"/>
    </w:rPr>
  </w:style>
  <w:style w:type="paragraph" w:styleId="CommentSubject">
    <w:name w:val="annotation subject"/>
    <w:basedOn w:val="CommentText"/>
    <w:next w:val="CommentText"/>
    <w:link w:val="CommentSubjectChar"/>
    <w:semiHidden/>
    <w:unhideWhenUsed/>
    <w:rsid w:val="00C12CAE"/>
    <w:rPr>
      <w:rFonts w:ascii="Helvetica" w:hAnsi="Helvetica"/>
      <w:b/>
      <w:bCs/>
      <w:lang w:val="en-US" w:eastAsia="en-US"/>
    </w:rPr>
  </w:style>
  <w:style w:type="character" w:customStyle="1" w:styleId="CommentSubjectChar">
    <w:name w:val="Comment Subject Char"/>
    <w:basedOn w:val="CommentTextChar"/>
    <w:link w:val="CommentSubject"/>
    <w:semiHidden/>
    <w:rsid w:val="00C12CA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SPACE-TEK\Desktop\LETTRE%20SYNTHIA\R&#233;sultats%20FRAP%20Synth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SPACE-TEK\Desktop\LETTRE%20SYNTHIA\R&#233;sultats%20DPPH%20Synth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
              <a:t>FRAP</a:t>
            </a:r>
          </a:p>
          <a:p>
            <a:pPr>
              <a:defRPr sz="1400" b="0" i="0" u="none" strike="noStrike" kern="1200" spc="0" baseline="0">
                <a:solidFill>
                  <a:schemeClr val="tx1">
                    <a:lumMod val="65000"/>
                    <a:lumOff val="35000"/>
                  </a:schemeClr>
                </a:solidFill>
                <a:latin typeface="+mn-lt"/>
                <a:ea typeface="+mn-ea"/>
                <a:cs typeface="+mn-cs"/>
              </a:defRPr>
            </a:pPr>
            <a:endParaRPr lang="fr-FR"/>
          </a:p>
        </c:rich>
      </c:tx>
      <c:overlay val="0"/>
      <c:spPr>
        <a:noFill/>
        <a:ln>
          <a:noFill/>
        </a:ln>
        <a:effectLst/>
      </c:spPr>
    </c:title>
    <c:autoTitleDeleted val="0"/>
    <c:plotArea>
      <c:layout/>
      <c:scatterChart>
        <c:scatterStyle val="smoothMarker"/>
        <c:varyColors val="0"/>
        <c:ser>
          <c:idx val="0"/>
          <c:order val="0"/>
          <c:tx>
            <c:strRef>
              <c:f>Feuil1!$H$5</c:f>
              <c:strCache>
                <c:ptCount val="1"/>
                <c:pt idx="0">
                  <c:v>Dec ED</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Feuil1!$I$5:$P$5</c:f>
              <c:numCache>
                <c:formatCode>General</c:formatCode>
                <c:ptCount val="8"/>
                <c:pt idx="1">
                  <c:v>0</c:v>
                </c:pt>
                <c:pt idx="2">
                  <c:v>14.76</c:v>
                </c:pt>
                <c:pt idx="3">
                  <c:v>18.09</c:v>
                </c:pt>
                <c:pt idx="4">
                  <c:v>25.36</c:v>
                </c:pt>
                <c:pt idx="5">
                  <c:v>29.09</c:v>
                </c:pt>
                <c:pt idx="6">
                  <c:v>33.96</c:v>
                </c:pt>
                <c:pt idx="7">
                  <c:v>40.83</c:v>
                </c:pt>
              </c:numCache>
            </c:numRef>
          </c:yVal>
          <c:smooth val="1"/>
          <c:extLst>
            <c:ext xmlns:c16="http://schemas.microsoft.com/office/drawing/2014/chart" uri="{C3380CC4-5D6E-409C-BE32-E72D297353CC}">
              <c16:uniqueId val="{00000000-EEFD-4384-A5AE-4A0EBAF4B463}"/>
            </c:ext>
          </c:extLst>
        </c:ser>
        <c:ser>
          <c:idx val="1"/>
          <c:order val="1"/>
          <c:tx>
            <c:strRef>
              <c:f>Feuil1!$H$6</c:f>
              <c:strCache>
                <c:ptCount val="1"/>
                <c:pt idx="0">
                  <c:v>Mac ED</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Feuil1!$I$6:$P$6</c:f>
              <c:numCache>
                <c:formatCode>General</c:formatCode>
                <c:ptCount val="8"/>
                <c:pt idx="1">
                  <c:v>0</c:v>
                </c:pt>
                <c:pt idx="2">
                  <c:v>10.37</c:v>
                </c:pt>
                <c:pt idx="3">
                  <c:v>14.45</c:v>
                </c:pt>
                <c:pt idx="4">
                  <c:v>25.95</c:v>
                </c:pt>
                <c:pt idx="5">
                  <c:v>29.9</c:v>
                </c:pt>
                <c:pt idx="6">
                  <c:v>35.44</c:v>
                </c:pt>
                <c:pt idx="7">
                  <c:v>40.71</c:v>
                </c:pt>
              </c:numCache>
            </c:numRef>
          </c:yVal>
          <c:smooth val="1"/>
          <c:extLst>
            <c:ext xmlns:c16="http://schemas.microsoft.com/office/drawing/2014/chart" uri="{C3380CC4-5D6E-409C-BE32-E72D297353CC}">
              <c16:uniqueId val="{00000001-EEFD-4384-A5AE-4A0EBAF4B463}"/>
            </c:ext>
          </c:extLst>
        </c:ser>
        <c:ser>
          <c:idx val="2"/>
          <c:order val="2"/>
          <c:tx>
            <c:strRef>
              <c:f>Feuil1!$H$7</c:f>
              <c:strCache>
                <c:ptCount val="1"/>
                <c:pt idx="0">
                  <c:v>ED + AC</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Feuil1!$I$7:$P$7</c:f>
              <c:numCache>
                <c:formatCode>General</c:formatCode>
                <c:ptCount val="8"/>
                <c:pt idx="1">
                  <c:v>0</c:v>
                </c:pt>
                <c:pt idx="2">
                  <c:v>15.09</c:v>
                </c:pt>
                <c:pt idx="3">
                  <c:v>28.77</c:v>
                </c:pt>
                <c:pt idx="4">
                  <c:v>43.81</c:v>
                </c:pt>
                <c:pt idx="5">
                  <c:v>54.68</c:v>
                </c:pt>
                <c:pt idx="6">
                  <c:v>61.23</c:v>
                </c:pt>
                <c:pt idx="7">
                  <c:v>64.099999999999994</c:v>
                </c:pt>
              </c:numCache>
            </c:numRef>
          </c:yVal>
          <c:smooth val="1"/>
          <c:extLst>
            <c:ext xmlns:c16="http://schemas.microsoft.com/office/drawing/2014/chart" uri="{C3380CC4-5D6E-409C-BE32-E72D297353CC}">
              <c16:uniqueId val="{00000002-EEFD-4384-A5AE-4A0EBAF4B463}"/>
            </c:ext>
          </c:extLst>
        </c:ser>
        <c:ser>
          <c:idx val="3"/>
          <c:order val="3"/>
          <c:tx>
            <c:strRef>
              <c:f>Feuil1!$H$8</c:f>
              <c:strCache>
                <c:ptCount val="1"/>
                <c:pt idx="0">
                  <c:v>BHT</c:v>
                </c:pt>
              </c:strCache>
            </c:strRef>
          </c:tx>
          <c:spPr>
            <a:ln w="19050"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Feuil1!$I$8:$P$8</c:f>
              <c:numCache>
                <c:formatCode>General</c:formatCode>
                <c:ptCount val="8"/>
                <c:pt idx="1">
                  <c:v>0</c:v>
                </c:pt>
                <c:pt idx="2">
                  <c:v>13.75</c:v>
                </c:pt>
                <c:pt idx="3">
                  <c:v>24.5</c:v>
                </c:pt>
                <c:pt idx="4">
                  <c:v>38.619999999999997</c:v>
                </c:pt>
                <c:pt idx="5">
                  <c:v>48.9</c:v>
                </c:pt>
                <c:pt idx="6">
                  <c:v>58.24</c:v>
                </c:pt>
                <c:pt idx="7">
                  <c:v>60.55</c:v>
                </c:pt>
              </c:numCache>
            </c:numRef>
          </c:yVal>
          <c:smooth val="1"/>
          <c:extLst>
            <c:ext xmlns:c16="http://schemas.microsoft.com/office/drawing/2014/chart" uri="{C3380CC4-5D6E-409C-BE32-E72D297353CC}">
              <c16:uniqueId val="{00000003-EEFD-4384-A5AE-4A0EBAF4B463}"/>
            </c:ext>
          </c:extLst>
        </c:ser>
        <c:ser>
          <c:idx val="4"/>
          <c:order val="4"/>
          <c:tx>
            <c:strRef>
              <c:f>Feuil1!$H$9</c:f>
              <c:strCache>
                <c:ptCount val="1"/>
                <c:pt idx="0">
                  <c:v>Vit C</c:v>
                </c:pt>
              </c:strCache>
            </c:strRef>
          </c:tx>
          <c:spPr>
            <a:ln w="19050"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Feuil1!$I$9:$P$9</c:f>
              <c:numCache>
                <c:formatCode>General</c:formatCode>
                <c:ptCount val="8"/>
                <c:pt idx="1">
                  <c:v>0</c:v>
                </c:pt>
                <c:pt idx="2">
                  <c:v>29.92</c:v>
                </c:pt>
                <c:pt idx="3">
                  <c:v>43.74</c:v>
                </c:pt>
                <c:pt idx="4">
                  <c:v>51.62</c:v>
                </c:pt>
                <c:pt idx="5">
                  <c:v>60.17</c:v>
                </c:pt>
                <c:pt idx="6">
                  <c:v>65.92</c:v>
                </c:pt>
                <c:pt idx="7">
                  <c:v>68.650000000000006</c:v>
                </c:pt>
              </c:numCache>
            </c:numRef>
          </c:yVal>
          <c:smooth val="1"/>
          <c:extLst>
            <c:ext xmlns:c16="http://schemas.microsoft.com/office/drawing/2014/chart" uri="{C3380CC4-5D6E-409C-BE32-E72D297353CC}">
              <c16:uniqueId val="{00000004-EEFD-4384-A5AE-4A0EBAF4B463}"/>
            </c:ext>
          </c:extLst>
        </c:ser>
        <c:dLbls>
          <c:showLegendKey val="0"/>
          <c:showVal val="0"/>
          <c:showCatName val="0"/>
          <c:showSerName val="0"/>
          <c:showPercent val="0"/>
          <c:showBubbleSize val="0"/>
        </c:dLbls>
        <c:axId val="249059672"/>
        <c:axId val="249059280"/>
      </c:scatterChart>
      <c:valAx>
        <c:axId val="249059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i="0" baseline="0">
                    <a:solidFill>
                      <a:schemeClr val="tx1"/>
                    </a:solidFill>
                    <a:effectLst/>
                    <a:latin typeface="Times New Roman" panose="02020603050405020304" pitchFamily="18" charset="0"/>
                    <a:cs typeface="Times New Roman" panose="02020603050405020304" pitchFamily="18" charset="0"/>
                  </a:rPr>
                  <a:t>Concentration in µg/mL</a:t>
                </a:r>
                <a:endParaRPr lang="fr-FR" sz="12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059280"/>
        <c:crosses val="autoZero"/>
        <c:crossBetween val="midCat"/>
      </c:valAx>
      <c:valAx>
        <c:axId val="249059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i="0" baseline="0">
                    <a:solidFill>
                      <a:schemeClr val="tx1"/>
                    </a:solidFill>
                    <a:effectLst/>
                    <a:latin typeface="Times New Roman" panose="02020603050405020304" pitchFamily="18" charset="0"/>
                    <a:cs typeface="Times New Roman" panose="02020603050405020304" pitchFamily="18" charset="0"/>
                  </a:rPr>
                  <a:t>Percentage of inhibition (%)</a:t>
                </a:r>
                <a:endParaRPr lang="fr-FR" sz="1200" b="1">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05967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
              <a:t>DPPH</a:t>
            </a:r>
          </a:p>
        </c:rich>
      </c:tx>
      <c:overlay val="0"/>
      <c:spPr>
        <a:noFill/>
        <a:ln>
          <a:noFill/>
        </a:ln>
        <a:effectLst/>
      </c:spPr>
    </c:title>
    <c:autoTitleDeleted val="0"/>
    <c:plotArea>
      <c:layout>
        <c:manualLayout>
          <c:layoutTarget val="inner"/>
          <c:xMode val="edge"/>
          <c:yMode val="edge"/>
          <c:x val="0.14308333333333334"/>
          <c:y val="5.3912219305920092E-2"/>
          <c:w val="0.72127712160979873"/>
          <c:h val="0.71590259550889468"/>
        </c:manualLayout>
      </c:layout>
      <c:scatterChart>
        <c:scatterStyle val="smoothMarker"/>
        <c:varyColors val="0"/>
        <c:ser>
          <c:idx val="0"/>
          <c:order val="0"/>
          <c:tx>
            <c:strRef>
              <c:f>Feuil1!$J$6</c:f>
              <c:strCache>
                <c:ptCount val="1"/>
                <c:pt idx="0">
                  <c:v>Dec ED</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Feuil1!$K$6:$R$6</c:f>
              <c:numCache>
                <c:formatCode>General</c:formatCode>
                <c:ptCount val="8"/>
                <c:pt idx="1">
                  <c:v>0</c:v>
                </c:pt>
                <c:pt idx="2">
                  <c:v>4.79</c:v>
                </c:pt>
                <c:pt idx="3">
                  <c:v>8.02</c:v>
                </c:pt>
                <c:pt idx="4">
                  <c:v>18.16</c:v>
                </c:pt>
                <c:pt idx="5">
                  <c:v>42.14</c:v>
                </c:pt>
                <c:pt idx="6">
                  <c:v>51.6</c:v>
                </c:pt>
                <c:pt idx="7">
                  <c:v>58.1</c:v>
                </c:pt>
              </c:numCache>
            </c:numRef>
          </c:yVal>
          <c:smooth val="1"/>
          <c:extLst>
            <c:ext xmlns:c16="http://schemas.microsoft.com/office/drawing/2014/chart" uri="{C3380CC4-5D6E-409C-BE32-E72D297353CC}">
              <c16:uniqueId val="{00000000-2B88-415D-8A49-3598BE1F878B}"/>
            </c:ext>
          </c:extLst>
        </c:ser>
        <c:ser>
          <c:idx val="1"/>
          <c:order val="1"/>
          <c:tx>
            <c:strRef>
              <c:f>Feuil1!$J$7</c:f>
              <c:strCache>
                <c:ptCount val="1"/>
                <c:pt idx="0">
                  <c:v>Mac ED</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Feuil1!$K$7:$R$7</c:f>
              <c:numCache>
                <c:formatCode>General</c:formatCode>
                <c:ptCount val="8"/>
                <c:pt idx="1">
                  <c:v>0</c:v>
                </c:pt>
                <c:pt idx="2">
                  <c:v>1.37</c:v>
                </c:pt>
                <c:pt idx="3">
                  <c:v>6.13</c:v>
                </c:pt>
                <c:pt idx="4">
                  <c:v>12.69</c:v>
                </c:pt>
                <c:pt idx="5">
                  <c:v>25.23</c:v>
                </c:pt>
                <c:pt idx="6">
                  <c:v>36.340000000000003</c:v>
                </c:pt>
                <c:pt idx="7">
                  <c:v>45.16</c:v>
                </c:pt>
              </c:numCache>
            </c:numRef>
          </c:yVal>
          <c:smooth val="1"/>
          <c:extLst>
            <c:ext xmlns:c16="http://schemas.microsoft.com/office/drawing/2014/chart" uri="{C3380CC4-5D6E-409C-BE32-E72D297353CC}">
              <c16:uniqueId val="{00000001-2B88-415D-8A49-3598BE1F878B}"/>
            </c:ext>
          </c:extLst>
        </c:ser>
        <c:ser>
          <c:idx val="2"/>
          <c:order val="2"/>
          <c:tx>
            <c:strRef>
              <c:f>Feuil1!$J$8</c:f>
              <c:strCache>
                <c:ptCount val="1"/>
                <c:pt idx="0">
                  <c:v>ED + AC</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Feuil1!$K$8:$R$8</c:f>
              <c:numCache>
                <c:formatCode>General</c:formatCode>
                <c:ptCount val="8"/>
                <c:pt idx="1">
                  <c:v>0</c:v>
                </c:pt>
                <c:pt idx="2">
                  <c:v>21.41</c:v>
                </c:pt>
                <c:pt idx="3">
                  <c:v>28.82</c:v>
                </c:pt>
                <c:pt idx="4">
                  <c:v>35.57</c:v>
                </c:pt>
                <c:pt idx="5">
                  <c:v>50.02</c:v>
                </c:pt>
                <c:pt idx="6">
                  <c:v>58.64</c:v>
                </c:pt>
                <c:pt idx="7">
                  <c:v>60.66</c:v>
                </c:pt>
              </c:numCache>
            </c:numRef>
          </c:yVal>
          <c:smooth val="1"/>
          <c:extLst>
            <c:ext xmlns:c16="http://schemas.microsoft.com/office/drawing/2014/chart" uri="{C3380CC4-5D6E-409C-BE32-E72D297353CC}">
              <c16:uniqueId val="{00000002-2B88-415D-8A49-3598BE1F878B}"/>
            </c:ext>
          </c:extLst>
        </c:ser>
        <c:ser>
          <c:idx val="3"/>
          <c:order val="3"/>
          <c:tx>
            <c:strRef>
              <c:f>Feuil1!$J$9</c:f>
              <c:strCache>
                <c:ptCount val="1"/>
                <c:pt idx="0">
                  <c:v>BHT</c:v>
                </c:pt>
              </c:strCache>
            </c:strRef>
          </c:tx>
          <c:spPr>
            <a:ln w="19050"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Feuil1!$K$9:$R$9</c:f>
              <c:numCache>
                <c:formatCode>General</c:formatCode>
                <c:ptCount val="8"/>
                <c:pt idx="1">
                  <c:v>0</c:v>
                </c:pt>
                <c:pt idx="2">
                  <c:v>1.6</c:v>
                </c:pt>
                <c:pt idx="3">
                  <c:v>6.14</c:v>
                </c:pt>
                <c:pt idx="4">
                  <c:v>15.02</c:v>
                </c:pt>
                <c:pt idx="5">
                  <c:v>38.590000000000003</c:v>
                </c:pt>
                <c:pt idx="6">
                  <c:v>45.03</c:v>
                </c:pt>
                <c:pt idx="7">
                  <c:v>53.59</c:v>
                </c:pt>
              </c:numCache>
            </c:numRef>
          </c:yVal>
          <c:smooth val="1"/>
          <c:extLst>
            <c:ext xmlns:c16="http://schemas.microsoft.com/office/drawing/2014/chart" uri="{C3380CC4-5D6E-409C-BE32-E72D297353CC}">
              <c16:uniqueId val="{00000003-2B88-415D-8A49-3598BE1F878B}"/>
            </c:ext>
          </c:extLst>
        </c:ser>
        <c:ser>
          <c:idx val="4"/>
          <c:order val="4"/>
          <c:tx>
            <c:strRef>
              <c:f>Feuil1!$J$10</c:f>
              <c:strCache>
                <c:ptCount val="1"/>
                <c:pt idx="0">
                  <c:v>Vit C</c:v>
                </c:pt>
              </c:strCache>
            </c:strRef>
          </c:tx>
          <c:spPr>
            <a:ln w="19050"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Feuil1!$K$10:$R$10</c:f>
              <c:numCache>
                <c:formatCode>General</c:formatCode>
                <c:ptCount val="8"/>
                <c:pt idx="1">
                  <c:v>0</c:v>
                </c:pt>
                <c:pt idx="2">
                  <c:v>57.47</c:v>
                </c:pt>
                <c:pt idx="3">
                  <c:v>59.94</c:v>
                </c:pt>
                <c:pt idx="4">
                  <c:v>60.98</c:v>
                </c:pt>
                <c:pt idx="5">
                  <c:v>62.48</c:v>
                </c:pt>
                <c:pt idx="6">
                  <c:v>62.78</c:v>
                </c:pt>
                <c:pt idx="7">
                  <c:v>64.41</c:v>
                </c:pt>
              </c:numCache>
            </c:numRef>
          </c:yVal>
          <c:smooth val="1"/>
          <c:extLst>
            <c:ext xmlns:c16="http://schemas.microsoft.com/office/drawing/2014/chart" uri="{C3380CC4-5D6E-409C-BE32-E72D297353CC}">
              <c16:uniqueId val="{00000004-2B88-415D-8A49-3598BE1F878B}"/>
            </c:ext>
          </c:extLst>
        </c:ser>
        <c:dLbls>
          <c:showLegendKey val="0"/>
          <c:showVal val="0"/>
          <c:showCatName val="0"/>
          <c:showSerName val="0"/>
          <c:showPercent val="0"/>
          <c:showBubbleSize val="0"/>
        </c:dLbls>
        <c:axId val="249056144"/>
        <c:axId val="425491832"/>
      </c:scatterChart>
      <c:valAx>
        <c:axId val="249056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a:solidFill>
                      <a:schemeClr val="tx1"/>
                    </a:solidFill>
                    <a:latin typeface="Times New Roman" panose="02020603050405020304" pitchFamily="18" charset="0"/>
                    <a:cs typeface="Times New Roman" panose="02020603050405020304" pitchFamily="18" charset="0"/>
                  </a:rPr>
                  <a:t>Concentration </a:t>
                </a:r>
                <a:r>
                  <a:rPr lang="en" sz="1200" b="1" baseline="0">
                    <a:solidFill>
                      <a:schemeClr val="tx1"/>
                    </a:solidFill>
                    <a:latin typeface="Times New Roman" panose="02020603050405020304" pitchFamily="18" charset="0"/>
                    <a:cs typeface="Times New Roman" panose="02020603050405020304" pitchFamily="18" charset="0"/>
                  </a:rPr>
                  <a:t>in µg/mL</a:t>
                </a:r>
                <a:endParaRPr lang="fr-FR"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1791513560804902"/>
              <c:y val="0.8786803732866724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5491832"/>
        <c:crosses val="autoZero"/>
        <c:crossBetween val="midCat"/>
      </c:valAx>
      <c:valAx>
        <c:axId val="42549183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 sz="1200" b="1">
                    <a:solidFill>
                      <a:schemeClr val="tx1"/>
                    </a:solidFill>
                    <a:latin typeface="Times New Roman" panose="02020603050405020304" pitchFamily="18" charset="0"/>
                    <a:cs typeface="Times New Roman" panose="02020603050405020304" pitchFamily="18" charset="0"/>
                  </a:rPr>
                  <a:t>Percentage of inhibition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05614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211A5-5E28-491B-B374-21F2F671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234</TotalTime>
  <Pages>14</Pages>
  <Words>10805</Words>
  <Characters>61590</Characters>
  <Application>Microsoft Office Word</Application>
  <DocSecurity>0</DocSecurity>
  <Lines>513</Lines>
  <Paragraphs>144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72251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Desy Wenas</cp:lastModifiedBy>
  <cp:revision>9</cp:revision>
  <cp:lastPrinted>1999-07-06T11:00:00Z</cp:lastPrinted>
  <dcterms:created xsi:type="dcterms:W3CDTF">2026-05-01T18:32:00Z</dcterms:created>
  <dcterms:modified xsi:type="dcterms:W3CDTF">2026-05-03T04:48:00Z</dcterms:modified>
</cp:coreProperties>
</file>