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C385D" w14:paraId="1F0035F1" w14:textId="77777777" w:rsidTr="00EA6E35">
        <w:trPr>
          <w:trHeight w:val="20"/>
          <w:jc w:val="center"/>
        </w:trPr>
        <w:tc>
          <w:tcPr>
            <w:tcW w:w="1186" w:type="pct"/>
          </w:tcPr>
          <w:p w14:paraId="4AB88081" w14:textId="77777777" w:rsidR="00204042" w:rsidRPr="00CC385D" w:rsidRDefault="00EA6E35" w:rsidP="00EA6E35">
            <w:pPr>
              <w:pStyle w:val="BodyText"/>
              <w:ind w:left="90"/>
              <w:jc w:val="left"/>
              <w:rPr>
                <w:rFonts w:ascii="Arial" w:hAnsi="Arial" w:cs="Arial"/>
                <w:bCs/>
                <w:sz w:val="20"/>
                <w:szCs w:val="20"/>
                <w:lang w:val="en-GB" w:eastAsia="en-US"/>
              </w:rPr>
            </w:pPr>
            <w:bookmarkStart w:id="0" w:name="_GoBack"/>
            <w:r w:rsidRPr="00CC385D">
              <w:rPr>
                <w:rFonts w:ascii="Arial" w:hAnsi="Arial" w:cs="Arial"/>
                <w:bCs/>
                <w:sz w:val="20"/>
                <w:szCs w:val="20"/>
                <w:lang w:val="en-GB" w:eastAsia="en-US"/>
              </w:rPr>
              <w:t>Journal Name:</w:t>
            </w:r>
          </w:p>
        </w:tc>
        <w:tc>
          <w:tcPr>
            <w:tcW w:w="3814" w:type="pct"/>
          </w:tcPr>
          <w:p w14:paraId="2326B526" w14:textId="7D453309" w:rsidR="00204042" w:rsidRPr="00CC385D" w:rsidRDefault="00110851" w:rsidP="00AF3F59">
            <w:pPr>
              <w:rPr>
                <w:rFonts w:ascii="Arial" w:hAnsi="Arial" w:cs="Arial"/>
                <w:b/>
                <w:bCs/>
                <w:color w:val="0000FF"/>
                <w:sz w:val="20"/>
                <w:szCs w:val="20"/>
                <w:lang w:val="en-GB"/>
              </w:rPr>
            </w:pPr>
            <w:hyperlink r:id="rId7" w:history="1">
              <w:r w:rsidR="00204838" w:rsidRPr="00CC385D">
                <w:rPr>
                  <w:rFonts w:ascii="Arial" w:hAnsi="Arial" w:cs="Arial"/>
                  <w:bCs/>
                  <w:noProof/>
                  <w:color w:val="0000FF"/>
                  <w:sz w:val="20"/>
                  <w:szCs w:val="20"/>
                  <w:u w:val="single"/>
                </w:rPr>
                <w:t xml:space="preserve">Journal of Advances in Medicine and Medical Research </w:t>
              </w:r>
            </w:hyperlink>
          </w:p>
        </w:tc>
      </w:tr>
      <w:tr w:rsidR="00204042" w:rsidRPr="00CC385D" w14:paraId="2DBBB563" w14:textId="77777777" w:rsidTr="00EA6E35">
        <w:trPr>
          <w:trHeight w:val="20"/>
          <w:jc w:val="center"/>
        </w:trPr>
        <w:tc>
          <w:tcPr>
            <w:tcW w:w="1186" w:type="pct"/>
          </w:tcPr>
          <w:p w14:paraId="66222ECC" w14:textId="77777777" w:rsidR="00204042" w:rsidRPr="00CC385D" w:rsidRDefault="00EA6E35" w:rsidP="00EA6E35">
            <w:pPr>
              <w:pStyle w:val="BodyText"/>
              <w:ind w:left="90"/>
              <w:jc w:val="left"/>
              <w:rPr>
                <w:rFonts w:ascii="Arial" w:hAnsi="Arial" w:cs="Arial"/>
                <w:bCs/>
                <w:sz w:val="20"/>
                <w:szCs w:val="20"/>
                <w:lang w:val="en-GB" w:eastAsia="en-US"/>
              </w:rPr>
            </w:pPr>
            <w:r w:rsidRPr="00CC385D">
              <w:rPr>
                <w:rFonts w:ascii="Arial" w:hAnsi="Arial" w:cs="Arial"/>
                <w:bCs/>
                <w:sz w:val="20"/>
                <w:szCs w:val="20"/>
                <w:lang w:val="en-GB" w:eastAsia="en-US"/>
              </w:rPr>
              <w:t>Manuscript Number:</w:t>
            </w:r>
          </w:p>
        </w:tc>
        <w:tc>
          <w:tcPr>
            <w:tcW w:w="3814" w:type="pct"/>
          </w:tcPr>
          <w:p w14:paraId="486A368E" w14:textId="5142EAFA" w:rsidR="00204042" w:rsidRPr="00CC385D" w:rsidRDefault="00852838" w:rsidP="00EA6E35">
            <w:pPr>
              <w:pStyle w:val="NormalWeb"/>
              <w:spacing w:before="0" w:beforeAutospacing="0" w:after="0" w:afterAutospacing="0"/>
              <w:rPr>
                <w:rFonts w:ascii="Arial" w:hAnsi="Arial" w:cs="Arial"/>
                <w:b/>
                <w:bCs/>
                <w:sz w:val="20"/>
                <w:szCs w:val="20"/>
                <w:lang w:val="en-GB"/>
              </w:rPr>
            </w:pPr>
            <w:r w:rsidRPr="00CC385D">
              <w:rPr>
                <w:rFonts w:ascii="Arial" w:hAnsi="Arial" w:cs="Arial"/>
                <w:b/>
                <w:bCs/>
                <w:sz w:val="20"/>
                <w:szCs w:val="20"/>
                <w:lang w:val="en-GB"/>
              </w:rPr>
              <w:t>Ms_JAMMR_158488</w:t>
            </w:r>
          </w:p>
        </w:tc>
      </w:tr>
      <w:tr w:rsidR="00204042" w:rsidRPr="00CC385D" w14:paraId="114A2590" w14:textId="77777777" w:rsidTr="00EA6E35">
        <w:trPr>
          <w:trHeight w:val="20"/>
          <w:jc w:val="center"/>
        </w:trPr>
        <w:tc>
          <w:tcPr>
            <w:tcW w:w="1186" w:type="pct"/>
          </w:tcPr>
          <w:p w14:paraId="152A5B9A" w14:textId="77777777" w:rsidR="00204042" w:rsidRPr="00CC385D" w:rsidRDefault="00EA6E35" w:rsidP="00EA6E35">
            <w:pPr>
              <w:pStyle w:val="BodyText"/>
              <w:ind w:left="90"/>
              <w:jc w:val="left"/>
              <w:rPr>
                <w:rFonts w:ascii="Arial" w:hAnsi="Arial" w:cs="Arial"/>
                <w:bCs/>
                <w:sz w:val="20"/>
                <w:szCs w:val="20"/>
                <w:lang w:val="en-GB" w:eastAsia="en-US"/>
              </w:rPr>
            </w:pPr>
            <w:r w:rsidRPr="00CC385D">
              <w:rPr>
                <w:rFonts w:ascii="Arial" w:hAnsi="Arial" w:cs="Arial"/>
                <w:bCs/>
                <w:sz w:val="20"/>
                <w:szCs w:val="20"/>
                <w:lang w:val="en-GB" w:eastAsia="en-US"/>
              </w:rPr>
              <w:t xml:space="preserve">Title of the Manuscript: </w:t>
            </w:r>
          </w:p>
        </w:tc>
        <w:tc>
          <w:tcPr>
            <w:tcW w:w="3814" w:type="pct"/>
          </w:tcPr>
          <w:p w14:paraId="1508E51C" w14:textId="14FF6D46" w:rsidR="00204042" w:rsidRPr="00CC385D" w:rsidRDefault="00852838" w:rsidP="00EA6E35">
            <w:pPr>
              <w:pStyle w:val="NormalWeb"/>
              <w:spacing w:before="0" w:beforeAutospacing="0" w:after="0" w:afterAutospacing="0"/>
              <w:rPr>
                <w:rFonts w:ascii="Arial" w:hAnsi="Arial" w:cs="Arial"/>
                <w:b/>
                <w:sz w:val="20"/>
                <w:szCs w:val="20"/>
                <w:lang w:val="en-GB"/>
              </w:rPr>
            </w:pPr>
            <w:r w:rsidRPr="00CC385D">
              <w:rPr>
                <w:rFonts w:ascii="Arial" w:hAnsi="Arial" w:cs="Arial"/>
                <w:b/>
                <w:sz w:val="20"/>
                <w:szCs w:val="20"/>
                <w:lang w:val="en-GB"/>
              </w:rPr>
              <w:t>A Discovery Study on SEA-AD Spatial Transcriptomics (MERFISH) Data Reveals Shift in Expression Pattern of NRG1, PEX5L, FGF13, SEMA3E, and SCUBE1</w:t>
            </w:r>
          </w:p>
        </w:tc>
      </w:tr>
      <w:tr w:rsidR="00204042" w:rsidRPr="00CC385D" w14:paraId="6BB500B9" w14:textId="77777777" w:rsidTr="00EA6E35">
        <w:trPr>
          <w:trHeight w:val="20"/>
          <w:jc w:val="center"/>
        </w:trPr>
        <w:tc>
          <w:tcPr>
            <w:tcW w:w="1186" w:type="pct"/>
          </w:tcPr>
          <w:p w14:paraId="648FB63D" w14:textId="77777777" w:rsidR="00204042" w:rsidRPr="00CC385D" w:rsidRDefault="00EA6E35" w:rsidP="00EA6E35">
            <w:pPr>
              <w:pStyle w:val="BodyText"/>
              <w:ind w:left="90"/>
              <w:jc w:val="left"/>
              <w:rPr>
                <w:rFonts w:ascii="Arial" w:hAnsi="Arial" w:cs="Arial"/>
                <w:bCs/>
                <w:sz w:val="20"/>
                <w:szCs w:val="20"/>
                <w:lang w:val="en-GB" w:eastAsia="en-US"/>
              </w:rPr>
            </w:pPr>
            <w:r w:rsidRPr="00CC385D">
              <w:rPr>
                <w:rFonts w:ascii="Arial" w:hAnsi="Arial" w:cs="Arial"/>
                <w:bCs/>
                <w:sz w:val="20"/>
                <w:szCs w:val="20"/>
                <w:lang w:val="en-GB" w:eastAsia="en-US"/>
              </w:rPr>
              <w:t>Type of the Article</w:t>
            </w:r>
          </w:p>
        </w:tc>
        <w:tc>
          <w:tcPr>
            <w:tcW w:w="3814" w:type="pct"/>
          </w:tcPr>
          <w:p w14:paraId="784F3373" w14:textId="77777777" w:rsidR="00204042" w:rsidRPr="00CC385D" w:rsidRDefault="00EA6E35" w:rsidP="00EA6E35">
            <w:pPr>
              <w:pStyle w:val="NormalWeb"/>
              <w:spacing w:before="0" w:beforeAutospacing="0" w:after="0" w:afterAutospacing="0"/>
              <w:rPr>
                <w:rFonts w:ascii="Arial" w:hAnsi="Arial" w:cs="Arial"/>
                <w:b/>
                <w:sz w:val="20"/>
                <w:szCs w:val="20"/>
                <w:lang w:val="en-GB"/>
              </w:rPr>
            </w:pPr>
            <w:r w:rsidRPr="00CC385D">
              <w:rPr>
                <w:rFonts w:ascii="Arial" w:hAnsi="Arial" w:cs="Arial"/>
                <w:b/>
                <w:sz w:val="20"/>
                <w:szCs w:val="20"/>
                <w:lang w:val="en-GB"/>
              </w:rPr>
              <w:t>Research Article</w:t>
            </w:r>
          </w:p>
          <w:p w14:paraId="1175B532" w14:textId="77777777" w:rsidR="00204042" w:rsidRPr="00CC385D"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CC385D" w:rsidRDefault="00204042">
      <w:pPr>
        <w:jc w:val="both"/>
        <w:rPr>
          <w:rFonts w:ascii="Arial" w:eastAsia="MS Mincho" w:hAnsi="Arial" w:cs="Arial"/>
          <w:sz w:val="20"/>
          <w:szCs w:val="20"/>
          <w:lang w:val="en-GB" w:eastAsia="x-none"/>
        </w:rPr>
      </w:pPr>
    </w:p>
    <w:p w14:paraId="4C39AB3E" w14:textId="77777777" w:rsidR="00204042" w:rsidRPr="00CC385D" w:rsidRDefault="00204042">
      <w:pPr>
        <w:jc w:val="both"/>
        <w:rPr>
          <w:rFonts w:ascii="Arial" w:eastAsia="MS Mincho" w:hAnsi="Arial" w:cs="Arial"/>
          <w:sz w:val="20"/>
          <w:szCs w:val="20"/>
          <w:lang w:val="en-GB" w:eastAsia="x-none"/>
        </w:rPr>
      </w:pPr>
    </w:p>
    <w:p w14:paraId="5B6B5319" w14:textId="77777777" w:rsidR="00204042" w:rsidRPr="00CC385D" w:rsidRDefault="00EA6E35">
      <w:pPr>
        <w:jc w:val="both"/>
        <w:rPr>
          <w:rFonts w:ascii="Arial" w:eastAsia="MS Mincho" w:hAnsi="Arial" w:cs="Arial"/>
          <w:b/>
          <w:sz w:val="20"/>
          <w:szCs w:val="20"/>
          <w:u w:val="single"/>
          <w:lang w:val="en-GB" w:eastAsia="x-none"/>
        </w:rPr>
      </w:pPr>
      <w:r w:rsidRPr="00CC385D">
        <w:rPr>
          <w:rFonts w:ascii="Arial" w:eastAsia="MS Mincho" w:hAnsi="Arial" w:cs="Arial"/>
          <w:b/>
          <w:sz w:val="20"/>
          <w:szCs w:val="20"/>
          <w:highlight w:val="yellow"/>
          <w:u w:val="single"/>
          <w:lang w:val="en-GB" w:eastAsia="x-none"/>
        </w:rPr>
        <w:t>PART 1 (Importance of the manuscript)</w:t>
      </w:r>
      <w:r w:rsidRPr="00CC385D">
        <w:rPr>
          <w:rFonts w:ascii="Arial" w:eastAsia="MS Mincho" w:hAnsi="Arial" w:cs="Arial"/>
          <w:b/>
          <w:sz w:val="20"/>
          <w:szCs w:val="20"/>
          <w:u w:val="single"/>
          <w:lang w:val="en-GB" w:eastAsia="x-none"/>
        </w:rPr>
        <w:t xml:space="preserve"> </w:t>
      </w:r>
    </w:p>
    <w:p w14:paraId="3F5FD44D" w14:textId="77777777" w:rsidR="00204042" w:rsidRPr="00CC385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C385D" w14:paraId="2501090B" w14:textId="77777777" w:rsidTr="005C677A">
        <w:trPr>
          <w:trHeight w:val="20"/>
          <w:jc w:val="center"/>
        </w:trPr>
        <w:tc>
          <w:tcPr>
            <w:tcW w:w="1666" w:type="pct"/>
            <w:noWrap/>
          </w:tcPr>
          <w:p w14:paraId="5A606F3A" w14:textId="77777777" w:rsidR="00204042" w:rsidRPr="00CC385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C385D" w:rsidRDefault="00EA6E35" w:rsidP="00EA6E35">
            <w:pPr>
              <w:keepNext/>
              <w:outlineLvl w:val="1"/>
              <w:rPr>
                <w:rFonts w:ascii="Arial" w:eastAsia="MS Mincho" w:hAnsi="Arial" w:cs="Arial"/>
                <w:b/>
                <w:bCs/>
                <w:sz w:val="20"/>
                <w:szCs w:val="20"/>
                <w:lang w:val="en-GB"/>
              </w:rPr>
            </w:pPr>
            <w:r w:rsidRPr="00CC385D">
              <w:rPr>
                <w:rFonts w:ascii="Arial" w:eastAsia="MS Mincho" w:hAnsi="Arial" w:cs="Arial"/>
                <w:b/>
                <w:bCs/>
                <w:sz w:val="20"/>
                <w:szCs w:val="20"/>
                <w:lang w:val="en-GB"/>
              </w:rPr>
              <w:t>Comments of the Reviewers</w:t>
            </w:r>
          </w:p>
        </w:tc>
        <w:tc>
          <w:tcPr>
            <w:tcW w:w="1667" w:type="pct"/>
          </w:tcPr>
          <w:p w14:paraId="2195925D" w14:textId="77777777" w:rsidR="00204042" w:rsidRPr="00CC385D" w:rsidRDefault="00EA6E35" w:rsidP="00EA6E35">
            <w:pPr>
              <w:spacing w:after="160" w:line="256" w:lineRule="auto"/>
              <w:rPr>
                <w:rFonts w:ascii="Arial" w:eastAsia="Calibri" w:hAnsi="Arial" w:cs="Arial"/>
                <w:kern w:val="2"/>
                <w:sz w:val="20"/>
                <w:szCs w:val="20"/>
                <w:lang w:val="en-GB"/>
              </w:rPr>
            </w:pPr>
            <w:r w:rsidRPr="00CC385D">
              <w:rPr>
                <w:rFonts w:ascii="Arial" w:eastAsia="Calibri" w:hAnsi="Arial" w:cs="Arial"/>
                <w:b/>
                <w:kern w:val="2"/>
                <w:sz w:val="20"/>
                <w:szCs w:val="20"/>
                <w:lang w:val="en-GB"/>
              </w:rPr>
              <w:t>Author’s Feedback</w:t>
            </w:r>
            <w:r w:rsidRPr="00CC385D">
              <w:rPr>
                <w:rFonts w:ascii="Arial" w:eastAsia="Calibri" w:hAnsi="Arial" w:cs="Arial"/>
                <w:kern w:val="2"/>
                <w:sz w:val="20"/>
                <w:szCs w:val="20"/>
                <w:lang w:val="en-GB"/>
              </w:rPr>
              <w:t xml:space="preserve"> </w:t>
            </w:r>
          </w:p>
          <w:p w14:paraId="021CC6BE"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0DF168A9" w14:textId="77777777" w:rsidTr="005C677A">
        <w:trPr>
          <w:trHeight w:val="20"/>
          <w:jc w:val="center"/>
        </w:trPr>
        <w:tc>
          <w:tcPr>
            <w:tcW w:w="1666" w:type="pct"/>
            <w:noWrap/>
            <w:hideMark/>
          </w:tcPr>
          <w:p w14:paraId="1698C27A" w14:textId="77777777" w:rsidR="002C66D6" w:rsidRPr="00CC385D" w:rsidRDefault="00EA6E35" w:rsidP="00AF3F59">
            <w:pPr>
              <w:rPr>
                <w:rFonts w:ascii="Arial" w:hAnsi="Arial" w:cs="Arial"/>
                <w:bCs/>
                <w:sz w:val="20"/>
                <w:szCs w:val="20"/>
                <w:lang w:val="en-GB"/>
              </w:rPr>
            </w:pPr>
            <w:r w:rsidRPr="00CC385D">
              <w:rPr>
                <w:rFonts w:ascii="Arial" w:hAnsi="Arial" w:cs="Arial"/>
                <w:b/>
                <w:bCs/>
                <w:sz w:val="20"/>
                <w:szCs w:val="20"/>
                <w:lang w:val="en-GB"/>
              </w:rPr>
              <w:t>Please write a few sentences regarding the importance of this manuscript for the scientific community.</w:t>
            </w:r>
            <w:r w:rsidRPr="00CC385D">
              <w:rPr>
                <w:rFonts w:ascii="Arial" w:hAnsi="Arial" w:cs="Arial"/>
                <w:bCs/>
                <w:sz w:val="20"/>
                <w:szCs w:val="20"/>
                <w:lang w:val="en-GB"/>
              </w:rPr>
              <w:t xml:space="preserve"> A minimum of 3-4 sentences may </w:t>
            </w:r>
          </w:p>
          <w:p w14:paraId="33C4B04F" w14:textId="61EB2FE1" w:rsidR="00204042" w:rsidRPr="00CC385D" w:rsidRDefault="00EA6E35" w:rsidP="00AF3F59">
            <w:pPr>
              <w:rPr>
                <w:rFonts w:ascii="Arial" w:eastAsia="MS Mincho" w:hAnsi="Arial" w:cs="Arial"/>
                <w:bCs/>
                <w:sz w:val="20"/>
                <w:szCs w:val="20"/>
                <w:lang w:val="en-GB"/>
              </w:rPr>
            </w:pPr>
            <w:r w:rsidRPr="00CC385D">
              <w:rPr>
                <w:rFonts w:ascii="Arial" w:hAnsi="Arial" w:cs="Arial"/>
                <w:bCs/>
                <w:sz w:val="20"/>
                <w:szCs w:val="20"/>
                <w:lang w:val="en-GB"/>
              </w:rPr>
              <w:t>be required for this part.</w:t>
            </w:r>
          </w:p>
        </w:tc>
        <w:tc>
          <w:tcPr>
            <w:tcW w:w="1667" w:type="pct"/>
          </w:tcPr>
          <w:p w14:paraId="27047136" w14:textId="77777777" w:rsidR="00124618" w:rsidRPr="00CC385D" w:rsidRDefault="00124618" w:rsidP="00124618">
            <w:pPr>
              <w:jc w:val="both"/>
              <w:rPr>
                <w:rFonts w:ascii="Arial" w:hAnsi="Arial" w:cs="Arial"/>
                <w:sz w:val="20"/>
                <w:szCs w:val="20"/>
                <w:lang w:val="en-GB"/>
              </w:rPr>
            </w:pPr>
            <w:r w:rsidRPr="00CC385D">
              <w:rPr>
                <w:rFonts w:ascii="Arial" w:hAnsi="Arial" w:cs="Arial"/>
                <w:sz w:val="20"/>
                <w:szCs w:val="20"/>
                <w:lang w:val="en-GB"/>
              </w:rPr>
              <w:t>This manuscript leverages publicly available SEA</w:t>
            </w:r>
            <w:r w:rsidRPr="00CC385D">
              <w:rPr>
                <w:rFonts w:ascii="Cambria Math" w:hAnsi="Cambria Math" w:cs="Cambria Math"/>
                <w:sz w:val="20"/>
                <w:szCs w:val="20"/>
                <w:lang w:val="en-GB"/>
              </w:rPr>
              <w:t>‑</w:t>
            </w:r>
            <w:r w:rsidRPr="00CC385D">
              <w:rPr>
                <w:rFonts w:ascii="Arial" w:hAnsi="Arial" w:cs="Arial"/>
                <w:sz w:val="20"/>
                <w:szCs w:val="20"/>
                <w:lang w:val="en-GB"/>
              </w:rPr>
              <w:t>AD MERFISH spatial transcriptomics data to investigate the regional and cellular expression shifts of five genes (NRG1, PEX5L, FGF13, SEMA3E, SCUBE1) in the Alzheimer’s disease brain. By moving beyond bulk transcriptomics to spatially resolved, single</w:t>
            </w:r>
            <w:r w:rsidRPr="00CC385D">
              <w:rPr>
                <w:rFonts w:ascii="Cambria Math" w:hAnsi="Cambria Math" w:cs="Cambria Math"/>
                <w:sz w:val="20"/>
                <w:szCs w:val="20"/>
                <w:lang w:val="en-GB"/>
              </w:rPr>
              <w:t>‑</w:t>
            </w:r>
            <w:r w:rsidRPr="00CC385D">
              <w:rPr>
                <w:rFonts w:ascii="Arial" w:hAnsi="Arial" w:cs="Arial"/>
                <w:sz w:val="20"/>
                <w:szCs w:val="20"/>
                <w:lang w:val="en-GB"/>
              </w:rPr>
              <w:t>cell resolution data, the study has the potential to uncover previously undetected localised dysregulations that may underlie selective vulnerability of specific brain regions or cell types. The selected genes are all implicated in neurodevelopment, synaptic plasticity, axonal guidance or peroxisomal function – pathways increasingly recognised as perturbed in early AD pathology. If the observed shifts are robustly validated, these five genes could serve as novel candidates for biomarker discovery or therapeutic targeting, thereby advancing our understanding of AD heterogeneity and progression.</w:t>
            </w:r>
          </w:p>
          <w:p w14:paraId="1BAC91DB" w14:textId="77777777" w:rsidR="00204042" w:rsidRPr="00CC385D" w:rsidRDefault="00204042" w:rsidP="00AF3F59">
            <w:pPr>
              <w:contextualSpacing/>
              <w:rPr>
                <w:rFonts w:ascii="Arial" w:hAnsi="Arial" w:cs="Arial"/>
                <w:sz w:val="20"/>
                <w:szCs w:val="20"/>
                <w:lang w:val="en-GB"/>
              </w:rPr>
            </w:pPr>
          </w:p>
        </w:tc>
        <w:tc>
          <w:tcPr>
            <w:tcW w:w="1667" w:type="pct"/>
          </w:tcPr>
          <w:p w14:paraId="46643927" w14:textId="77777777" w:rsidR="00204042" w:rsidRPr="00CC385D" w:rsidRDefault="00204042" w:rsidP="00EA6E35">
            <w:pPr>
              <w:keepNext/>
              <w:outlineLvl w:val="1"/>
              <w:rPr>
                <w:rFonts w:ascii="Arial" w:eastAsia="MS Mincho" w:hAnsi="Arial" w:cs="Arial"/>
                <w:bCs/>
                <w:sz w:val="20"/>
                <w:szCs w:val="20"/>
                <w:lang w:val="en-GB"/>
              </w:rPr>
            </w:pPr>
          </w:p>
        </w:tc>
      </w:tr>
    </w:tbl>
    <w:p w14:paraId="0148C68F" w14:textId="77777777" w:rsidR="00204042" w:rsidRPr="00CC385D" w:rsidRDefault="00204042">
      <w:pPr>
        <w:rPr>
          <w:rFonts w:ascii="Arial" w:hAnsi="Arial" w:cs="Arial"/>
          <w:sz w:val="20"/>
          <w:szCs w:val="20"/>
          <w:lang w:val="en-GB"/>
        </w:rPr>
      </w:pPr>
    </w:p>
    <w:p w14:paraId="0C880F30" w14:textId="77777777" w:rsidR="002C3F28" w:rsidRPr="00CC385D" w:rsidRDefault="002C3F28">
      <w:pPr>
        <w:rPr>
          <w:rFonts w:ascii="Arial" w:hAnsi="Arial" w:cs="Arial"/>
          <w:sz w:val="20"/>
          <w:szCs w:val="20"/>
          <w:lang w:val="en-GB"/>
        </w:rPr>
      </w:pPr>
    </w:p>
    <w:p w14:paraId="45EDC2EA" w14:textId="77777777" w:rsidR="00204042" w:rsidRPr="00CC385D" w:rsidRDefault="00EA6E35">
      <w:pPr>
        <w:keepNext/>
        <w:outlineLvl w:val="1"/>
        <w:rPr>
          <w:rFonts w:ascii="Arial" w:eastAsia="MS Mincho" w:hAnsi="Arial" w:cs="Arial"/>
          <w:b/>
          <w:bCs/>
          <w:sz w:val="20"/>
          <w:szCs w:val="20"/>
          <w:highlight w:val="yellow"/>
          <w:u w:val="single"/>
          <w:lang w:val="en-GB"/>
        </w:rPr>
      </w:pPr>
      <w:r w:rsidRPr="00CC385D">
        <w:rPr>
          <w:rFonts w:ascii="Arial" w:eastAsia="MS Mincho" w:hAnsi="Arial" w:cs="Arial"/>
          <w:b/>
          <w:bCs/>
          <w:sz w:val="20"/>
          <w:szCs w:val="20"/>
          <w:highlight w:val="yellow"/>
          <w:u w:val="single"/>
          <w:lang w:val="en-GB"/>
        </w:rPr>
        <w:t>PART 2.1 (Objective Evaluation)</w:t>
      </w:r>
    </w:p>
    <w:p w14:paraId="4D5B5629" w14:textId="77777777" w:rsidR="00204042" w:rsidRPr="00CC38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C385D" w14:paraId="5A000E89" w14:textId="77777777" w:rsidTr="005C677A">
        <w:trPr>
          <w:trHeight w:val="20"/>
          <w:jc w:val="center"/>
        </w:trPr>
        <w:tc>
          <w:tcPr>
            <w:tcW w:w="1666" w:type="pct"/>
            <w:noWrap/>
          </w:tcPr>
          <w:p w14:paraId="440543DA" w14:textId="77777777" w:rsidR="00204042" w:rsidRPr="00CC385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C385D" w:rsidRDefault="00EA6E35" w:rsidP="00EA6E35">
            <w:pPr>
              <w:keepNext/>
              <w:outlineLvl w:val="1"/>
              <w:rPr>
                <w:rFonts w:ascii="Arial" w:eastAsia="MS Mincho" w:hAnsi="Arial" w:cs="Arial"/>
                <w:b/>
                <w:bCs/>
                <w:sz w:val="20"/>
                <w:szCs w:val="20"/>
                <w:lang w:val="en-GB"/>
              </w:rPr>
            </w:pPr>
            <w:r w:rsidRPr="00CC385D">
              <w:rPr>
                <w:rFonts w:ascii="Arial" w:eastAsia="MS Mincho" w:hAnsi="Arial" w:cs="Arial"/>
                <w:b/>
                <w:bCs/>
                <w:sz w:val="20"/>
                <w:szCs w:val="20"/>
                <w:lang w:val="en-GB"/>
              </w:rPr>
              <w:t>Rating of the Reviewers</w:t>
            </w:r>
          </w:p>
        </w:tc>
        <w:tc>
          <w:tcPr>
            <w:tcW w:w="1667" w:type="pct"/>
            <w:hideMark/>
          </w:tcPr>
          <w:p w14:paraId="042D541A" w14:textId="77777777" w:rsidR="00204042" w:rsidRPr="00CC385D" w:rsidRDefault="00EA6E35" w:rsidP="00EA6E35">
            <w:pPr>
              <w:spacing w:after="160" w:line="256" w:lineRule="auto"/>
              <w:rPr>
                <w:rFonts w:ascii="Arial" w:hAnsi="Arial" w:cs="Arial"/>
                <w:b/>
                <w:sz w:val="20"/>
                <w:szCs w:val="20"/>
                <w:lang w:val="en-GB"/>
              </w:rPr>
            </w:pPr>
            <w:r w:rsidRPr="00CC385D">
              <w:rPr>
                <w:rFonts w:ascii="Arial" w:eastAsia="Calibri" w:hAnsi="Arial" w:cs="Arial"/>
                <w:b/>
                <w:kern w:val="2"/>
                <w:sz w:val="20"/>
                <w:szCs w:val="20"/>
                <w:lang w:val="en-GB"/>
              </w:rPr>
              <w:t>Author’s Feedback</w:t>
            </w:r>
            <w:r w:rsidRPr="00CC385D">
              <w:rPr>
                <w:rFonts w:ascii="Arial" w:eastAsia="Calibri" w:hAnsi="Arial" w:cs="Arial"/>
                <w:kern w:val="2"/>
                <w:sz w:val="20"/>
                <w:szCs w:val="20"/>
                <w:lang w:val="en-GB"/>
              </w:rPr>
              <w:t xml:space="preserve"> </w:t>
            </w:r>
          </w:p>
        </w:tc>
      </w:tr>
      <w:tr w:rsidR="00EA6E35" w:rsidRPr="00CC385D" w14:paraId="54617DA3" w14:textId="77777777" w:rsidTr="005C677A">
        <w:trPr>
          <w:trHeight w:val="20"/>
          <w:jc w:val="center"/>
        </w:trPr>
        <w:tc>
          <w:tcPr>
            <w:tcW w:w="1666" w:type="pct"/>
            <w:noWrap/>
            <w:hideMark/>
          </w:tcPr>
          <w:p w14:paraId="4F3A743C" w14:textId="77777777" w:rsidR="00204042" w:rsidRPr="00CC385D" w:rsidRDefault="00EA6E35" w:rsidP="00AF3F59">
            <w:pPr>
              <w:rPr>
                <w:rFonts w:ascii="Arial" w:hAnsi="Arial" w:cs="Arial"/>
                <w:b/>
                <w:bCs/>
                <w:sz w:val="20"/>
                <w:szCs w:val="20"/>
                <w:lang w:val="en-GB"/>
              </w:rPr>
            </w:pPr>
            <w:r w:rsidRPr="00CC385D">
              <w:rPr>
                <w:rFonts w:ascii="Arial" w:hAnsi="Arial" w:cs="Arial"/>
                <w:b/>
                <w:bCs/>
                <w:sz w:val="20"/>
                <w:szCs w:val="20"/>
                <w:lang w:val="en-GB"/>
              </w:rPr>
              <w:t xml:space="preserve">1. Is the title clear and appropriate for the study? </w:t>
            </w:r>
          </w:p>
          <w:p w14:paraId="108A132B"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1C0E0548" w14:textId="77777777" w:rsidR="00204042" w:rsidRPr="00CC385D" w:rsidRDefault="00EA6E35" w:rsidP="00AF3F59">
            <w:pPr>
              <w:rPr>
                <w:rFonts w:ascii="Arial" w:hAnsi="Arial" w:cs="Arial"/>
                <w:sz w:val="20"/>
                <w:szCs w:val="20"/>
                <w:u w:val="single"/>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739027" w14:textId="77777777" w:rsidR="00204042" w:rsidRPr="00CC385D" w:rsidRDefault="00204042" w:rsidP="00EA6E35">
            <w:pPr>
              <w:ind w:left="360"/>
              <w:rPr>
                <w:rFonts w:ascii="Arial" w:hAnsi="Arial" w:cs="Arial"/>
                <w:b/>
                <w:bCs/>
                <w:sz w:val="20"/>
                <w:szCs w:val="20"/>
                <w:lang w:val="en-GB"/>
              </w:rPr>
            </w:pPr>
          </w:p>
          <w:p w14:paraId="60ED5885" w14:textId="7DE52629" w:rsidR="002C3F28" w:rsidRPr="00CC385D" w:rsidRDefault="002C3F28" w:rsidP="002C3F28">
            <w:pPr>
              <w:tabs>
                <w:tab w:val="left" w:pos="1440"/>
              </w:tabs>
              <w:rPr>
                <w:rFonts w:ascii="Arial" w:hAnsi="Arial" w:cs="Arial"/>
                <w:sz w:val="20"/>
                <w:szCs w:val="20"/>
                <w:lang w:val="en-GB"/>
              </w:rPr>
            </w:pPr>
            <w:r w:rsidRPr="00CC385D">
              <w:rPr>
                <w:rFonts w:ascii="Arial" w:hAnsi="Arial" w:cs="Arial"/>
                <w:sz w:val="20"/>
                <w:szCs w:val="20"/>
                <w:lang w:val="en-GB"/>
              </w:rPr>
              <w:tab/>
              <w:t>5</w:t>
            </w:r>
          </w:p>
        </w:tc>
        <w:tc>
          <w:tcPr>
            <w:tcW w:w="1667" w:type="pct"/>
          </w:tcPr>
          <w:p w14:paraId="0C69DD75"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7E673966" w14:textId="77777777" w:rsidTr="005C677A">
        <w:trPr>
          <w:trHeight w:val="20"/>
          <w:jc w:val="center"/>
        </w:trPr>
        <w:tc>
          <w:tcPr>
            <w:tcW w:w="1666" w:type="pct"/>
            <w:noWrap/>
            <w:hideMark/>
          </w:tcPr>
          <w:p w14:paraId="3B1DAF88" w14:textId="77777777" w:rsidR="00204042" w:rsidRPr="00CC385D" w:rsidRDefault="00EA6E35" w:rsidP="00EA6E35">
            <w:pPr>
              <w:keepNext/>
              <w:outlineLvl w:val="1"/>
              <w:rPr>
                <w:rFonts w:ascii="Arial" w:eastAsia="MS Mincho" w:hAnsi="Arial" w:cs="Arial"/>
                <w:b/>
                <w:bCs/>
                <w:sz w:val="20"/>
                <w:szCs w:val="20"/>
                <w:lang w:val="en-GB"/>
              </w:rPr>
            </w:pPr>
            <w:r w:rsidRPr="00CC385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47A338A2"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AF5ED07"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4</w:t>
            </w:r>
          </w:p>
        </w:tc>
        <w:tc>
          <w:tcPr>
            <w:tcW w:w="1667" w:type="pct"/>
          </w:tcPr>
          <w:p w14:paraId="7FC68848"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57435C06" w14:textId="77777777" w:rsidTr="005C677A">
        <w:trPr>
          <w:trHeight w:val="20"/>
          <w:jc w:val="center"/>
        </w:trPr>
        <w:tc>
          <w:tcPr>
            <w:tcW w:w="1666" w:type="pct"/>
            <w:noWrap/>
            <w:hideMark/>
          </w:tcPr>
          <w:p w14:paraId="5911F903" w14:textId="77777777" w:rsidR="00204042" w:rsidRPr="00CC385D" w:rsidRDefault="00EA6E35" w:rsidP="00EA6E35">
            <w:pPr>
              <w:keepNext/>
              <w:outlineLvl w:val="1"/>
              <w:rPr>
                <w:rFonts w:ascii="Arial" w:eastAsia="MS Mincho" w:hAnsi="Arial" w:cs="Arial"/>
                <w:b/>
                <w:bCs/>
                <w:sz w:val="20"/>
                <w:szCs w:val="20"/>
                <w:lang w:val="en-GB" w:eastAsia="x-none"/>
              </w:rPr>
            </w:pPr>
            <w:r w:rsidRPr="00CC385D">
              <w:rPr>
                <w:rFonts w:ascii="Arial" w:eastAsia="MS Mincho" w:hAnsi="Arial" w:cs="Arial"/>
                <w:b/>
                <w:bCs/>
                <w:sz w:val="20"/>
                <w:szCs w:val="20"/>
                <w:lang w:val="en-GB" w:eastAsia="x-none"/>
              </w:rPr>
              <w:t>3. Are the keywords appropriate and useful?</w:t>
            </w:r>
          </w:p>
          <w:p w14:paraId="218AC4C7"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63ABD437" w14:textId="77777777" w:rsidR="00204042" w:rsidRPr="00CC385D" w:rsidRDefault="00EA6E35" w:rsidP="00AF3F59">
            <w:pPr>
              <w:rPr>
                <w:rFonts w:ascii="Arial" w:hAnsi="Arial" w:cs="Arial"/>
                <w:sz w:val="20"/>
                <w:szCs w:val="20"/>
                <w:lang w:val="en-GB" w:eastAsia="x-none"/>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7930262"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5</w:t>
            </w:r>
          </w:p>
        </w:tc>
        <w:tc>
          <w:tcPr>
            <w:tcW w:w="1667" w:type="pct"/>
          </w:tcPr>
          <w:p w14:paraId="61E2DCF4"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6D90F5AF" w14:textId="77777777" w:rsidTr="005C677A">
        <w:trPr>
          <w:trHeight w:val="20"/>
          <w:jc w:val="center"/>
        </w:trPr>
        <w:tc>
          <w:tcPr>
            <w:tcW w:w="1666" w:type="pct"/>
            <w:noWrap/>
            <w:hideMark/>
          </w:tcPr>
          <w:p w14:paraId="4E2E34C9" w14:textId="77777777" w:rsidR="00204042" w:rsidRPr="00CC385D" w:rsidRDefault="00EA6E35" w:rsidP="00EA6E35">
            <w:pPr>
              <w:keepNext/>
              <w:outlineLvl w:val="1"/>
              <w:rPr>
                <w:rFonts w:ascii="Arial" w:eastAsia="MS Mincho" w:hAnsi="Arial" w:cs="Arial"/>
                <w:b/>
                <w:bCs/>
                <w:sz w:val="20"/>
                <w:szCs w:val="20"/>
                <w:lang w:val="en-GB" w:eastAsia="x-none"/>
              </w:rPr>
            </w:pPr>
            <w:r w:rsidRPr="00CC385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257E3302" w14:textId="77777777" w:rsidR="00204042" w:rsidRPr="00CC385D" w:rsidRDefault="00EA6E35" w:rsidP="00AF3F59">
            <w:pPr>
              <w:rPr>
                <w:rFonts w:ascii="Arial" w:hAnsi="Arial" w:cs="Arial"/>
                <w:sz w:val="20"/>
                <w:szCs w:val="20"/>
                <w:lang w:val="en-GB" w:eastAsia="x-none"/>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DCF1F1A"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4</w:t>
            </w:r>
          </w:p>
        </w:tc>
        <w:tc>
          <w:tcPr>
            <w:tcW w:w="1667" w:type="pct"/>
          </w:tcPr>
          <w:p w14:paraId="0A5EAFF5"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71F6A822" w14:textId="77777777" w:rsidTr="005C677A">
        <w:trPr>
          <w:trHeight w:val="20"/>
          <w:jc w:val="center"/>
        </w:trPr>
        <w:tc>
          <w:tcPr>
            <w:tcW w:w="1666" w:type="pct"/>
            <w:noWrap/>
            <w:hideMark/>
          </w:tcPr>
          <w:p w14:paraId="6D2E36CE" w14:textId="77777777" w:rsidR="00204042" w:rsidRPr="00CC385D" w:rsidRDefault="00EA6E35" w:rsidP="00EA6E35">
            <w:pPr>
              <w:keepNext/>
              <w:outlineLvl w:val="1"/>
              <w:rPr>
                <w:rFonts w:ascii="Arial" w:eastAsia="MS Mincho" w:hAnsi="Arial" w:cs="Arial"/>
                <w:b/>
                <w:bCs/>
                <w:sz w:val="20"/>
                <w:szCs w:val="20"/>
                <w:lang w:val="en-GB" w:eastAsia="x-none"/>
              </w:rPr>
            </w:pPr>
            <w:r w:rsidRPr="00CC385D">
              <w:rPr>
                <w:rFonts w:ascii="Arial" w:eastAsia="MS Mincho" w:hAnsi="Arial" w:cs="Arial"/>
                <w:b/>
                <w:bCs/>
                <w:sz w:val="20"/>
                <w:szCs w:val="20"/>
                <w:lang w:val="en-GB" w:eastAsia="x-none"/>
              </w:rPr>
              <w:t>5. Are the research objectives/hypotheses clearly stated?</w:t>
            </w:r>
          </w:p>
          <w:p w14:paraId="20F95CF9"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197071BC" w14:textId="77777777" w:rsidR="00204042" w:rsidRPr="00CC385D" w:rsidRDefault="00EA6E35" w:rsidP="00AF3F59">
            <w:pPr>
              <w:rPr>
                <w:rFonts w:ascii="Arial" w:hAnsi="Arial" w:cs="Arial"/>
                <w:sz w:val="20"/>
                <w:szCs w:val="20"/>
                <w:lang w:val="en-GB" w:eastAsia="x-none"/>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4350A1" w14:textId="77777777" w:rsidR="00204042" w:rsidRPr="00CC385D" w:rsidRDefault="00204042" w:rsidP="00EA6E35">
            <w:pPr>
              <w:ind w:left="360"/>
              <w:rPr>
                <w:rFonts w:ascii="Arial" w:hAnsi="Arial" w:cs="Arial"/>
                <w:b/>
                <w:bCs/>
                <w:sz w:val="20"/>
                <w:szCs w:val="20"/>
                <w:lang w:val="en-GB"/>
              </w:rPr>
            </w:pPr>
          </w:p>
          <w:p w14:paraId="09C7F265" w14:textId="683D0862" w:rsidR="002C3F28" w:rsidRPr="00CC385D" w:rsidRDefault="002C3F28" w:rsidP="002C3F28">
            <w:pPr>
              <w:tabs>
                <w:tab w:val="left" w:pos="1097"/>
              </w:tabs>
              <w:rPr>
                <w:rFonts w:ascii="Arial" w:hAnsi="Arial" w:cs="Arial"/>
                <w:sz w:val="20"/>
                <w:szCs w:val="20"/>
                <w:lang w:val="en-GB"/>
              </w:rPr>
            </w:pPr>
            <w:r w:rsidRPr="00CC385D">
              <w:rPr>
                <w:rFonts w:ascii="Arial" w:hAnsi="Arial" w:cs="Arial"/>
                <w:sz w:val="20"/>
                <w:szCs w:val="20"/>
                <w:lang w:val="en-GB"/>
              </w:rPr>
              <w:t xml:space="preserve">       </w:t>
            </w:r>
            <w:r w:rsidRPr="00CC385D">
              <w:rPr>
                <w:rFonts w:ascii="Arial" w:hAnsi="Arial" w:cs="Arial"/>
                <w:b/>
                <w:bCs/>
                <w:sz w:val="20"/>
                <w:szCs w:val="20"/>
                <w:lang w:val="en-GB"/>
              </w:rPr>
              <w:t>5</w:t>
            </w:r>
          </w:p>
        </w:tc>
        <w:tc>
          <w:tcPr>
            <w:tcW w:w="1667" w:type="pct"/>
          </w:tcPr>
          <w:p w14:paraId="56AACFE7"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393BE728" w14:textId="77777777" w:rsidTr="005C677A">
        <w:trPr>
          <w:trHeight w:val="20"/>
          <w:jc w:val="center"/>
        </w:trPr>
        <w:tc>
          <w:tcPr>
            <w:tcW w:w="1666" w:type="pct"/>
            <w:noWrap/>
            <w:hideMark/>
          </w:tcPr>
          <w:p w14:paraId="1E9D0AAD" w14:textId="77777777" w:rsidR="00204042" w:rsidRPr="00CC385D" w:rsidRDefault="00EA6E35" w:rsidP="00EA6E35">
            <w:pPr>
              <w:keepNext/>
              <w:outlineLvl w:val="1"/>
              <w:rPr>
                <w:rFonts w:ascii="Arial" w:eastAsia="MS Mincho" w:hAnsi="Arial" w:cs="Arial"/>
                <w:b/>
                <w:bCs/>
                <w:sz w:val="20"/>
                <w:szCs w:val="20"/>
                <w:lang w:val="en-GB" w:eastAsia="x-none"/>
              </w:rPr>
            </w:pPr>
            <w:r w:rsidRPr="00CC385D">
              <w:rPr>
                <w:rFonts w:ascii="Arial" w:eastAsia="MS Mincho" w:hAnsi="Arial" w:cs="Arial"/>
                <w:b/>
                <w:bCs/>
                <w:sz w:val="20"/>
                <w:szCs w:val="20"/>
                <w:lang w:val="en-GB" w:eastAsia="x-none"/>
              </w:rPr>
              <w:t>6. Is the literature review relevant and up to date?</w:t>
            </w:r>
          </w:p>
          <w:p w14:paraId="09AF5F19"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27E00A2A" w14:textId="77777777" w:rsidR="00204042" w:rsidRPr="00CC385D" w:rsidRDefault="00EA6E35" w:rsidP="00AF3F59">
            <w:pPr>
              <w:rPr>
                <w:rFonts w:ascii="Arial" w:hAnsi="Arial" w:cs="Arial"/>
                <w:sz w:val="20"/>
                <w:szCs w:val="20"/>
                <w:lang w:val="en-GB" w:eastAsia="x-none"/>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9D59EFE"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5</w:t>
            </w:r>
          </w:p>
        </w:tc>
        <w:tc>
          <w:tcPr>
            <w:tcW w:w="1667" w:type="pct"/>
          </w:tcPr>
          <w:p w14:paraId="734BAD15"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7D2E0D24" w14:textId="77777777" w:rsidTr="005C677A">
        <w:trPr>
          <w:trHeight w:val="20"/>
          <w:jc w:val="center"/>
        </w:trPr>
        <w:tc>
          <w:tcPr>
            <w:tcW w:w="1666" w:type="pct"/>
            <w:noWrap/>
            <w:hideMark/>
          </w:tcPr>
          <w:p w14:paraId="4A1FABFE" w14:textId="77777777" w:rsidR="00204042" w:rsidRPr="00CC385D" w:rsidRDefault="00EA6E35" w:rsidP="00EA6E35">
            <w:pPr>
              <w:keepNext/>
              <w:outlineLvl w:val="1"/>
              <w:rPr>
                <w:rFonts w:ascii="Arial" w:eastAsia="MS Mincho" w:hAnsi="Arial" w:cs="Arial"/>
                <w:b/>
                <w:bCs/>
                <w:sz w:val="20"/>
                <w:szCs w:val="20"/>
                <w:lang w:val="en-GB" w:eastAsia="x-none"/>
              </w:rPr>
            </w:pPr>
            <w:r w:rsidRPr="00CC385D">
              <w:rPr>
                <w:rFonts w:ascii="Arial" w:eastAsia="MS Mincho" w:hAnsi="Arial" w:cs="Arial"/>
                <w:b/>
                <w:bCs/>
                <w:sz w:val="20"/>
                <w:szCs w:val="20"/>
                <w:lang w:val="en-GB" w:eastAsia="x-none"/>
              </w:rPr>
              <w:t>7. Is the research methodology appropriate for the study?</w:t>
            </w:r>
          </w:p>
          <w:p w14:paraId="3C160D89"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35120794"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341635F"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5</w:t>
            </w:r>
          </w:p>
        </w:tc>
        <w:tc>
          <w:tcPr>
            <w:tcW w:w="1667" w:type="pct"/>
          </w:tcPr>
          <w:p w14:paraId="5B378D21"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2001E977" w14:textId="77777777" w:rsidTr="005C677A">
        <w:trPr>
          <w:trHeight w:val="20"/>
          <w:jc w:val="center"/>
        </w:trPr>
        <w:tc>
          <w:tcPr>
            <w:tcW w:w="1666" w:type="pct"/>
            <w:noWrap/>
            <w:hideMark/>
          </w:tcPr>
          <w:p w14:paraId="6ABB1C54" w14:textId="77777777" w:rsidR="00204042" w:rsidRPr="00CC385D" w:rsidRDefault="00EA6E35" w:rsidP="00EA6E35">
            <w:pPr>
              <w:keepNext/>
              <w:outlineLvl w:val="1"/>
              <w:rPr>
                <w:rFonts w:ascii="Arial" w:eastAsia="MS Mincho" w:hAnsi="Arial" w:cs="Arial"/>
                <w:b/>
                <w:bCs/>
                <w:sz w:val="20"/>
                <w:szCs w:val="20"/>
                <w:lang w:val="en-GB" w:eastAsia="x-none"/>
              </w:rPr>
            </w:pPr>
            <w:r w:rsidRPr="00CC385D">
              <w:rPr>
                <w:rFonts w:ascii="Arial" w:eastAsia="MS Mincho" w:hAnsi="Arial" w:cs="Arial"/>
                <w:b/>
                <w:bCs/>
                <w:sz w:val="20"/>
                <w:szCs w:val="20"/>
                <w:lang w:val="en-GB" w:eastAsia="x-none"/>
              </w:rPr>
              <w:t>8. Were ethical issues properly addressed (if applicable)?</w:t>
            </w:r>
          </w:p>
          <w:p w14:paraId="273AC544"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14AE9A1F" w14:textId="77777777" w:rsidR="00204042" w:rsidRPr="00CC385D" w:rsidRDefault="00EA6E35" w:rsidP="00AF3F59">
            <w:pPr>
              <w:rPr>
                <w:rFonts w:ascii="Arial" w:hAnsi="Arial" w:cs="Arial"/>
                <w:sz w:val="20"/>
                <w:szCs w:val="20"/>
                <w:lang w:val="en-GB" w:eastAsia="x-none"/>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E8DF8F8"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5</w:t>
            </w:r>
          </w:p>
        </w:tc>
        <w:tc>
          <w:tcPr>
            <w:tcW w:w="1667" w:type="pct"/>
          </w:tcPr>
          <w:p w14:paraId="103D7017"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14A68263" w14:textId="77777777" w:rsidTr="005C677A">
        <w:trPr>
          <w:trHeight w:val="20"/>
          <w:jc w:val="center"/>
        </w:trPr>
        <w:tc>
          <w:tcPr>
            <w:tcW w:w="1666" w:type="pct"/>
            <w:noWrap/>
            <w:hideMark/>
          </w:tcPr>
          <w:p w14:paraId="04663C2C"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 xml:space="preserve">9. Are the results presented clearly? </w:t>
            </w:r>
          </w:p>
          <w:p w14:paraId="611F1177"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7FEDE5E2" w14:textId="77777777" w:rsidR="00204042" w:rsidRPr="00CC385D" w:rsidRDefault="00EA6E35" w:rsidP="00AF3F59">
            <w:pPr>
              <w:rPr>
                <w:rFonts w:ascii="Arial" w:hAnsi="Arial" w:cs="Arial"/>
                <w:bCs/>
                <w:sz w:val="20"/>
                <w:szCs w:val="20"/>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B9AD2F3"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4</w:t>
            </w:r>
          </w:p>
        </w:tc>
        <w:tc>
          <w:tcPr>
            <w:tcW w:w="1667" w:type="pct"/>
          </w:tcPr>
          <w:p w14:paraId="5C85D0C2"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08BCC8AC" w14:textId="77777777" w:rsidTr="005C677A">
        <w:trPr>
          <w:trHeight w:val="20"/>
          <w:jc w:val="center"/>
        </w:trPr>
        <w:tc>
          <w:tcPr>
            <w:tcW w:w="1666" w:type="pct"/>
            <w:noWrap/>
            <w:hideMark/>
          </w:tcPr>
          <w:p w14:paraId="52E4D69F"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10. Are tables and figures clear, relevant, and necessary?</w:t>
            </w:r>
          </w:p>
          <w:p w14:paraId="300A769E"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0EB1E99D"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C385D" w:rsidRDefault="00AA476E" w:rsidP="00AF3F59">
            <w:pPr>
              <w:rPr>
                <w:rFonts w:ascii="Arial" w:hAnsi="Arial" w:cs="Arial"/>
                <w:color w:val="404040"/>
                <w:sz w:val="20"/>
                <w:szCs w:val="20"/>
                <w:shd w:val="clear" w:color="auto" w:fill="FFFFFF"/>
                <w:lang w:val="en-GB"/>
              </w:rPr>
            </w:pPr>
          </w:p>
          <w:p w14:paraId="1C75519C" w14:textId="77777777" w:rsidR="001061B4" w:rsidRPr="00CC385D" w:rsidRDefault="001061B4" w:rsidP="00AF3F59">
            <w:pPr>
              <w:rPr>
                <w:rFonts w:ascii="Arial" w:hAnsi="Arial" w:cs="Arial"/>
                <w:sz w:val="20"/>
                <w:szCs w:val="20"/>
                <w:lang w:val="en-GB"/>
              </w:rPr>
            </w:pPr>
          </w:p>
        </w:tc>
        <w:tc>
          <w:tcPr>
            <w:tcW w:w="1667" w:type="pct"/>
          </w:tcPr>
          <w:p w14:paraId="5BC888B7" w14:textId="2D9BAAF7"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5</w:t>
            </w:r>
          </w:p>
        </w:tc>
        <w:tc>
          <w:tcPr>
            <w:tcW w:w="1667" w:type="pct"/>
          </w:tcPr>
          <w:p w14:paraId="3731B36A"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70F8B6FA" w14:textId="77777777" w:rsidTr="005C677A">
        <w:trPr>
          <w:trHeight w:val="20"/>
          <w:jc w:val="center"/>
        </w:trPr>
        <w:tc>
          <w:tcPr>
            <w:tcW w:w="1666" w:type="pct"/>
            <w:noWrap/>
            <w:hideMark/>
          </w:tcPr>
          <w:p w14:paraId="4D6B15D2"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11. Does the discussion relate findings to existing literature?</w:t>
            </w:r>
          </w:p>
          <w:p w14:paraId="203100FE"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12FFD2BD"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7FA94C8"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4</w:t>
            </w:r>
          </w:p>
        </w:tc>
        <w:tc>
          <w:tcPr>
            <w:tcW w:w="1667" w:type="pct"/>
          </w:tcPr>
          <w:p w14:paraId="076CB8C3"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494768AA" w14:textId="77777777" w:rsidTr="005C677A">
        <w:trPr>
          <w:trHeight w:val="20"/>
          <w:jc w:val="center"/>
        </w:trPr>
        <w:tc>
          <w:tcPr>
            <w:tcW w:w="1666" w:type="pct"/>
            <w:noWrap/>
            <w:hideMark/>
          </w:tcPr>
          <w:p w14:paraId="1090801F"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12. Are the conclusions supported by the data?</w:t>
            </w:r>
          </w:p>
          <w:p w14:paraId="128FDCF0"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341B9517"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32A8855"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4</w:t>
            </w:r>
          </w:p>
        </w:tc>
        <w:tc>
          <w:tcPr>
            <w:tcW w:w="1667" w:type="pct"/>
          </w:tcPr>
          <w:p w14:paraId="4CC8AAA5"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62D20FB3" w14:textId="77777777" w:rsidTr="005C677A">
        <w:trPr>
          <w:trHeight w:val="20"/>
          <w:jc w:val="center"/>
        </w:trPr>
        <w:tc>
          <w:tcPr>
            <w:tcW w:w="1666" w:type="pct"/>
            <w:noWrap/>
            <w:hideMark/>
          </w:tcPr>
          <w:p w14:paraId="53870ABD"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13. Are the limitations of the study discussed?</w:t>
            </w:r>
          </w:p>
          <w:p w14:paraId="7EB3CB59"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528D1B9A"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17603B5"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3</w:t>
            </w:r>
          </w:p>
        </w:tc>
        <w:tc>
          <w:tcPr>
            <w:tcW w:w="1667" w:type="pct"/>
          </w:tcPr>
          <w:p w14:paraId="71FF1B95"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3E9E14AE" w14:textId="77777777" w:rsidTr="005C677A">
        <w:trPr>
          <w:trHeight w:val="20"/>
          <w:jc w:val="center"/>
        </w:trPr>
        <w:tc>
          <w:tcPr>
            <w:tcW w:w="1666" w:type="pct"/>
            <w:noWrap/>
            <w:hideMark/>
          </w:tcPr>
          <w:p w14:paraId="2FB12783"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14. Are the references relevant and sufficient (in number)?</w:t>
            </w:r>
          </w:p>
          <w:p w14:paraId="3A458C21"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191DA907"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N/A = Not Applicable</w:t>
            </w:r>
          </w:p>
        </w:tc>
        <w:tc>
          <w:tcPr>
            <w:tcW w:w="1667" w:type="pct"/>
          </w:tcPr>
          <w:p w14:paraId="32977494" w14:textId="377929B2"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5</w:t>
            </w:r>
          </w:p>
        </w:tc>
        <w:tc>
          <w:tcPr>
            <w:tcW w:w="1667" w:type="pct"/>
          </w:tcPr>
          <w:p w14:paraId="776025FB"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6C116638" w14:textId="77777777" w:rsidTr="005C677A">
        <w:trPr>
          <w:trHeight w:val="20"/>
          <w:jc w:val="center"/>
        </w:trPr>
        <w:tc>
          <w:tcPr>
            <w:tcW w:w="1666" w:type="pct"/>
            <w:noWrap/>
            <w:hideMark/>
          </w:tcPr>
          <w:p w14:paraId="518C32D9" w14:textId="77777777" w:rsidR="00204042" w:rsidRPr="00CC385D" w:rsidRDefault="00EA6E35" w:rsidP="00AF3F59">
            <w:pPr>
              <w:rPr>
                <w:rFonts w:ascii="Arial" w:hAnsi="Arial" w:cs="Arial"/>
                <w:b/>
                <w:sz w:val="20"/>
                <w:szCs w:val="20"/>
                <w:lang w:val="en-GB"/>
              </w:rPr>
            </w:pPr>
            <w:r w:rsidRPr="00CC385D">
              <w:rPr>
                <w:rFonts w:ascii="Arial" w:hAnsi="Arial" w:cs="Arial"/>
                <w:b/>
                <w:sz w:val="20"/>
                <w:szCs w:val="20"/>
                <w:lang w:val="en-GB"/>
              </w:rPr>
              <w:t>15. Is the manuscript written in clear and understandable language?</w:t>
            </w:r>
          </w:p>
          <w:p w14:paraId="0A878E4B"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Rating Scale: </w:t>
            </w:r>
          </w:p>
          <w:p w14:paraId="0D6A9676" w14:textId="77777777" w:rsidR="00204042" w:rsidRPr="00CC385D" w:rsidRDefault="00EA6E35" w:rsidP="00AF3F59">
            <w:pPr>
              <w:rPr>
                <w:rFonts w:ascii="Arial" w:hAnsi="Arial" w:cs="Arial"/>
                <w:color w:val="404040"/>
                <w:sz w:val="20"/>
                <w:szCs w:val="20"/>
                <w:shd w:val="clear" w:color="auto" w:fill="FFFFFF"/>
                <w:lang w:val="en-GB"/>
              </w:rPr>
            </w:pPr>
            <w:r w:rsidRPr="00CC385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C385D" w:rsidRDefault="00EA6E35" w:rsidP="00AF3F59">
            <w:pPr>
              <w:rPr>
                <w:rFonts w:ascii="Arial" w:hAnsi="Arial" w:cs="Arial"/>
                <w:sz w:val="20"/>
                <w:szCs w:val="20"/>
                <w:lang w:val="en-GB"/>
              </w:rPr>
            </w:pPr>
            <w:r w:rsidRPr="00CC385D">
              <w:rPr>
                <w:rFonts w:ascii="Arial" w:hAnsi="Arial" w:cs="Arial"/>
                <w:color w:val="404040"/>
                <w:sz w:val="20"/>
                <w:szCs w:val="20"/>
                <w:shd w:val="clear" w:color="auto" w:fill="FFFFFF"/>
                <w:lang w:val="en-GB"/>
              </w:rPr>
              <w:t>N/A = Not Applicable</w:t>
            </w:r>
          </w:p>
        </w:tc>
        <w:tc>
          <w:tcPr>
            <w:tcW w:w="1667" w:type="pct"/>
          </w:tcPr>
          <w:p w14:paraId="1AB8C62B" w14:textId="3E415D91" w:rsidR="00204042" w:rsidRPr="00CC385D" w:rsidRDefault="002C3F28" w:rsidP="002C3F28">
            <w:pPr>
              <w:ind w:left="335"/>
              <w:contextualSpacing/>
              <w:rPr>
                <w:rFonts w:ascii="Arial" w:hAnsi="Arial" w:cs="Arial"/>
                <w:b/>
                <w:sz w:val="20"/>
                <w:szCs w:val="20"/>
                <w:lang w:val="en-GB"/>
              </w:rPr>
            </w:pPr>
            <w:r w:rsidRPr="00CC385D">
              <w:rPr>
                <w:rFonts w:ascii="Arial" w:hAnsi="Arial" w:cs="Arial"/>
                <w:b/>
                <w:sz w:val="20"/>
                <w:szCs w:val="20"/>
                <w:lang w:val="en-GB"/>
              </w:rPr>
              <w:t>5</w:t>
            </w:r>
          </w:p>
        </w:tc>
        <w:tc>
          <w:tcPr>
            <w:tcW w:w="1667" w:type="pct"/>
          </w:tcPr>
          <w:p w14:paraId="3D972FCB" w14:textId="77777777" w:rsidR="00204042" w:rsidRPr="00CC385D" w:rsidRDefault="00204042" w:rsidP="00EA6E35">
            <w:pPr>
              <w:keepNext/>
              <w:outlineLvl w:val="1"/>
              <w:rPr>
                <w:rFonts w:ascii="Arial" w:eastAsia="MS Mincho" w:hAnsi="Arial" w:cs="Arial"/>
                <w:bCs/>
                <w:sz w:val="20"/>
                <w:szCs w:val="20"/>
                <w:lang w:val="en-GB"/>
              </w:rPr>
            </w:pPr>
          </w:p>
        </w:tc>
      </w:tr>
    </w:tbl>
    <w:p w14:paraId="728B6CA0" w14:textId="77777777" w:rsidR="00204042" w:rsidRPr="00CC385D" w:rsidRDefault="00204042">
      <w:pPr>
        <w:jc w:val="both"/>
        <w:rPr>
          <w:rFonts w:ascii="Arial" w:eastAsia="MS Mincho" w:hAnsi="Arial" w:cs="Arial"/>
          <w:b/>
          <w:bCs/>
          <w:sz w:val="20"/>
          <w:szCs w:val="20"/>
          <w:u w:val="single"/>
          <w:lang w:val="en-GB" w:eastAsia="x-none"/>
        </w:rPr>
      </w:pPr>
    </w:p>
    <w:p w14:paraId="4531F6FC" w14:textId="087780F4" w:rsidR="00AA476E" w:rsidRPr="00CC385D" w:rsidRDefault="002C3F28">
      <w:pPr>
        <w:jc w:val="both"/>
        <w:rPr>
          <w:rFonts w:ascii="Arial" w:eastAsia="MS Mincho" w:hAnsi="Arial" w:cs="Arial"/>
          <w:b/>
          <w:bCs/>
          <w:sz w:val="20"/>
          <w:szCs w:val="20"/>
          <w:u w:val="single"/>
          <w:lang w:val="en-GB" w:eastAsia="x-none"/>
        </w:rPr>
      </w:pPr>
      <w:r w:rsidRPr="00CC385D">
        <w:rPr>
          <w:rFonts w:ascii="Arial" w:eastAsia="MS Mincho" w:hAnsi="Arial" w:cs="Arial"/>
          <w:b/>
          <w:bCs/>
          <w:sz w:val="20"/>
          <w:szCs w:val="20"/>
          <w:u w:val="single"/>
          <w:lang w:val="en-GB" w:eastAsia="x-none"/>
        </w:rPr>
        <w:t>4</w:t>
      </w:r>
    </w:p>
    <w:p w14:paraId="793DF82F" w14:textId="77777777" w:rsidR="00204042" w:rsidRPr="00CC385D" w:rsidRDefault="00EA6E35">
      <w:pPr>
        <w:keepNext/>
        <w:outlineLvl w:val="1"/>
        <w:rPr>
          <w:rFonts w:ascii="Arial" w:eastAsia="MS Mincho" w:hAnsi="Arial" w:cs="Arial"/>
          <w:b/>
          <w:bCs/>
          <w:sz w:val="20"/>
          <w:szCs w:val="20"/>
          <w:u w:val="single"/>
          <w:lang w:val="en-GB"/>
        </w:rPr>
      </w:pPr>
      <w:r w:rsidRPr="00CC385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CC38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C385D" w14:paraId="149ADB7B" w14:textId="77777777" w:rsidTr="001061B4">
        <w:trPr>
          <w:trHeight w:val="20"/>
          <w:jc w:val="center"/>
        </w:trPr>
        <w:tc>
          <w:tcPr>
            <w:tcW w:w="1666" w:type="pct"/>
            <w:noWrap/>
          </w:tcPr>
          <w:p w14:paraId="63797B48" w14:textId="77777777" w:rsidR="00204042" w:rsidRPr="00CC385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C385D" w:rsidRDefault="00EA6E35" w:rsidP="00EA6E35">
            <w:pPr>
              <w:keepNext/>
              <w:outlineLvl w:val="1"/>
              <w:rPr>
                <w:rFonts w:ascii="Arial" w:eastAsia="MS Mincho" w:hAnsi="Arial" w:cs="Arial"/>
                <w:b/>
                <w:bCs/>
                <w:sz w:val="20"/>
                <w:szCs w:val="20"/>
                <w:lang w:val="en-GB"/>
              </w:rPr>
            </w:pPr>
            <w:r w:rsidRPr="00CC385D">
              <w:rPr>
                <w:rFonts w:ascii="Arial" w:eastAsia="MS Mincho" w:hAnsi="Arial" w:cs="Arial"/>
                <w:b/>
                <w:bCs/>
                <w:sz w:val="20"/>
                <w:szCs w:val="20"/>
                <w:lang w:val="en-GB"/>
              </w:rPr>
              <w:t>Reviewer’s comment</w:t>
            </w:r>
          </w:p>
          <w:p w14:paraId="069016C4" w14:textId="77777777" w:rsidR="00204042" w:rsidRPr="00CC385D" w:rsidRDefault="00204042" w:rsidP="00AF3F59">
            <w:pPr>
              <w:rPr>
                <w:rFonts w:ascii="Arial" w:hAnsi="Arial" w:cs="Arial"/>
                <w:sz w:val="20"/>
                <w:szCs w:val="20"/>
                <w:lang w:val="en-GB"/>
              </w:rPr>
            </w:pPr>
          </w:p>
        </w:tc>
        <w:tc>
          <w:tcPr>
            <w:tcW w:w="1667" w:type="pct"/>
          </w:tcPr>
          <w:p w14:paraId="60C614CC" w14:textId="77777777" w:rsidR="00204042" w:rsidRPr="00CC385D" w:rsidRDefault="00EA6E35" w:rsidP="00EA6E35">
            <w:pPr>
              <w:spacing w:after="160" w:line="256" w:lineRule="auto"/>
              <w:rPr>
                <w:rFonts w:ascii="Arial" w:eastAsia="Calibri" w:hAnsi="Arial" w:cs="Arial"/>
                <w:kern w:val="2"/>
                <w:sz w:val="20"/>
                <w:szCs w:val="20"/>
                <w:lang w:val="en-IN"/>
              </w:rPr>
            </w:pPr>
            <w:r w:rsidRPr="00CC385D">
              <w:rPr>
                <w:rFonts w:ascii="Arial" w:eastAsia="Calibri" w:hAnsi="Arial" w:cs="Arial"/>
                <w:b/>
                <w:kern w:val="2"/>
                <w:sz w:val="20"/>
                <w:szCs w:val="20"/>
                <w:lang w:val="en-IN"/>
              </w:rPr>
              <w:t>Author’s Feedback</w:t>
            </w:r>
            <w:r w:rsidRPr="00CC385D">
              <w:rPr>
                <w:rFonts w:ascii="Arial" w:eastAsia="Calibri" w:hAnsi="Arial" w:cs="Arial"/>
                <w:kern w:val="2"/>
                <w:sz w:val="20"/>
                <w:szCs w:val="20"/>
                <w:lang w:val="en-IN"/>
              </w:rPr>
              <w:t xml:space="preserve"> (It is mandatory that authors should write his/her feedback here)</w:t>
            </w:r>
          </w:p>
          <w:p w14:paraId="2A18CDC6" w14:textId="77777777" w:rsidR="00204042" w:rsidRPr="00CC385D" w:rsidRDefault="00204042" w:rsidP="00EA6E35">
            <w:pPr>
              <w:keepNext/>
              <w:outlineLvl w:val="1"/>
              <w:rPr>
                <w:rFonts w:ascii="Arial" w:eastAsia="MS Mincho" w:hAnsi="Arial" w:cs="Arial"/>
                <w:bCs/>
                <w:sz w:val="20"/>
                <w:szCs w:val="20"/>
                <w:lang w:val="en-GB"/>
              </w:rPr>
            </w:pPr>
          </w:p>
        </w:tc>
      </w:tr>
      <w:tr w:rsidR="00EA6E35" w:rsidRPr="00CC385D" w14:paraId="268171E1" w14:textId="77777777" w:rsidTr="001061B4">
        <w:trPr>
          <w:trHeight w:val="20"/>
          <w:jc w:val="center"/>
        </w:trPr>
        <w:tc>
          <w:tcPr>
            <w:tcW w:w="1666" w:type="pct"/>
            <w:noWrap/>
          </w:tcPr>
          <w:p w14:paraId="13E2BA27" w14:textId="77777777" w:rsidR="00204042" w:rsidRPr="00CC385D" w:rsidRDefault="00EA6E35" w:rsidP="00AF3F59">
            <w:pPr>
              <w:rPr>
                <w:rFonts w:ascii="Arial" w:hAnsi="Arial" w:cs="Arial"/>
                <w:b/>
                <w:bCs/>
                <w:sz w:val="20"/>
                <w:szCs w:val="20"/>
                <w:lang w:val="en-GB"/>
              </w:rPr>
            </w:pPr>
            <w:r w:rsidRPr="00CC385D">
              <w:rPr>
                <w:rFonts w:ascii="Arial" w:hAnsi="Arial" w:cs="Arial"/>
                <w:b/>
                <w:bCs/>
                <w:sz w:val="20"/>
                <w:szCs w:val="20"/>
                <w:lang w:val="en-GB"/>
              </w:rPr>
              <w:t>Is the title of the article suitable?</w:t>
            </w:r>
          </w:p>
          <w:p w14:paraId="7C0C340B" w14:textId="77777777" w:rsidR="00204042" w:rsidRPr="00CC385D" w:rsidRDefault="00204042" w:rsidP="00AF3F59">
            <w:pPr>
              <w:rPr>
                <w:rFonts w:ascii="Arial" w:hAnsi="Arial" w:cs="Arial"/>
                <w:bCs/>
                <w:sz w:val="20"/>
                <w:szCs w:val="20"/>
                <w:lang w:val="en-GB"/>
              </w:rPr>
            </w:pPr>
          </w:p>
          <w:p w14:paraId="7B358DF1" w14:textId="77777777" w:rsidR="00204042" w:rsidRPr="00CC385D" w:rsidRDefault="00EA6E35" w:rsidP="00AF3F59">
            <w:pPr>
              <w:rPr>
                <w:rFonts w:ascii="Arial" w:hAnsi="Arial" w:cs="Arial"/>
                <w:bCs/>
                <w:sz w:val="20"/>
                <w:szCs w:val="20"/>
                <w:lang w:val="en-GB"/>
              </w:rPr>
            </w:pPr>
            <w:r w:rsidRPr="00CC385D">
              <w:rPr>
                <w:rFonts w:ascii="Arial" w:hAnsi="Arial" w:cs="Arial"/>
                <w:bCs/>
                <w:sz w:val="20"/>
                <w:szCs w:val="20"/>
                <w:lang w:val="en-GB"/>
              </w:rPr>
              <w:t>If your answer is NO, please provide a brief, clear suggestion for improvement.</w:t>
            </w:r>
          </w:p>
          <w:p w14:paraId="509351CF" w14:textId="77777777" w:rsidR="00204042" w:rsidRPr="00CC385D" w:rsidRDefault="00204042" w:rsidP="00AF3F59">
            <w:pPr>
              <w:rPr>
                <w:rFonts w:ascii="Arial" w:hAnsi="Arial" w:cs="Arial"/>
                <w:sz w:val="20"/>
                <w:szCs w:val="20"/>
                <w:u w:val="single"/>
                <w:lang w:val="en-GB"/>
              </w:rPr>
            </w:pPr>
          </w:p>
        </w:tc>
        <w:tc>
          <w:tcPr>
            <w:tcW w:w="1667" w:type="pct"/>
          </w:tcPr>
          <w:p w14:paraId="3EB64465" w14:textId="6B51D77A" w:rsidR="00204042" w:rsidRPr="00CC385D" w:rsidRDefault="002C3F28" w:rsidP="00EA6E35">
            <w:pPr>
              <w:ind w:left="360"/>
              <w:rPr>
                <w:rFonts w:ascii="Arial" w:hAnsi="Arial" w:cs="Arial"/>
                <w:b/>
                <w:bCs/>
                <w:sz w:val="20"/>
                <w:szCs w:val="20"/>
                <w:lang w:val="en-GB"/>
              </w:rPr>
            </w:pPr>
            <w:r w:rsidRPr="00CC385D">
              <w:rPr>
                <w:rFonts w:ascii="Arial" w:hAnsi="Arial" w:cs="Arial"/>
                <w:b/>
                <w:bCs/>
                <w:sz w:val="20"/>
                <w:szCs w:val="20"/>
                <w:lang w:val="en-GB"/>
              </w:rPr>
              <w:t>YES</w:t>
            </w:r>
          </w:p>
        </w:tc>
        <w:tc>
          <w:tcPr>
            <w:tcW w:w="1667" w:type="pct"/>
          </w:tcPr>
          <w:p w14:paraId="716ABA7E" w14:textId="77777777" w:rsidR="00204042" w:rsidRPr="00CC385D" w:rsidRDefault="00204042" w:rsidP="00EA6E35">
            <w:pPr>
              <w:keepNext/>
              <w:outlineLvl w:val="1"/>
              <w:rPr>
                <w:rFonts w:ascii="Arial" w:eastAsia="MS Mincho" w:hAnsi="Arial" w:cs="Arial"/>
                <w:bCs/>
                <w:sz w:val="20"/>
                <w:szCs w:val="20"/>
                <w:lang w:val="en-GB"/>
              </w:rPr>
            </w:pPr>
          </w:p>
        </w:tc>
      </w:tr>
      <w:tr w:rsidR="002C3F28" w:rsidRPr="00CC385D" w14:paraId="4502FD80" w14:textId="77777777" w:rsidTr="001061B4">
        <w:trPr>
          <w:trHeight w:val="20"/>
          <w:jc w:val="center"/>
        </w:trPr>
        <w:tc>
          <w:tcPr>
            <w:tcW w:w="1666" w:type="pct"/>
            <w:noWrap/>
          </w:tcPr>
          <w:p w14:paraId="4EFA9330" w14:textId="77777777" w:rsidR="002C3F28" w:rsidRPr="00CC385D" w:rsidRDefault="002C3F28" w:rsidP="002C3F28">
            <w:pPr>
              <w:keepNext/>
              <w:outlineLvl w:val="1"/>
              <w:rPr>
                <w:rFonts w:ascii="Arial" w:eastAsia="MS Mincho" w:hAnsi="Arial" w:cs="Arial"/>
                <w:b/>
                <w:bCs/>
                <w:sz w:val="20"/>
                <w:szCs w:val="20"/>
                <w:lang w:val="en-GB"/>
              </w:rPr>
            </w:pPr>
            <w:r w:rsidRPr="00CC385D">
              <w:rPr>
                <w:rFonts w:ascii="Arial" w:eastAsia="MS Mincho" w:hAnsi="Arial" w:cs="Arial"/>
                <w:b/>
                <w:bCs/>
                <w:sz w:val="20"/>
                <w:szCs w:val="20"/>
                <w:lang w:val="en-GB"/>
              </w:rPr>
              <w:t xml:space="preserve">Is the abstract of the article comprehensive? </w:t>
            </w:r>
          </w:p>
          <w:p w14:paraId="7DED7917"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s</w:t>
            </w:r>
          </w:p>
          <w:p w14:paraId="1A4B73B3"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If your answer is NO, please provide a brief, clear suggestion for improvement.</w:t>
            </w:r>
          </w:p>
          <w:p w14:paraId="5BA255BE" w14:textId="77777777" w:rsidR="002C3F28" w:rsidRPr="00CC385D" w:rsidRDefault="002C3F28" w:rsidP="002C3F28">
            <w:pPr>
              <w:rPr>
                <w:rFonts w:ascii="Arial" w:hAnsi="Arial" w:cs="Arial"/>
                <w:sz w:val="20"/>
                <w:szCs w:val="20"/>
                <w:lang w:val="en-GB"/>
              </w:rPr>
            </w:pPr>
          </w:p>
        </w:tc>
        <w:tc>
          <w:tcPr>
            <w:tcW w:w="1667" w:type="pct"/>
          </w:tcPr>
          <w:p w14:paraId="7DC0514E" w14:textId="023B82DF" w:rsidR="002C3F28" w:rsidRPr="00CC385D" w:rsidRDefault="002C3F28" w:rsidP="002C3F28">
            <w:pPr>
              <w:ind w:left="360"/>
              <w:rPr>
                <w:rFonts w:ascii="Arial" w:hAnsi="Arial" w:cs="Arial"/>
                <w:b/>
                <w:bCs/>
                <w:sz w:val="20"/>
                <w:szCs w:val="20"/>
                <w:lang w:val="en-GB"/>
              </w:rPr>
            </w:pPr>
            <w:r w:rsidRPr="00CC385D">
              <w:rPr>
                <w:rFonts w:ascii="Arial" w:hAnsi="Arial" w:cs="Arial"/>
                <w:b/>
                <w:bCs/>
                <w:sz w:val="20"/>
                <w:szCs w:val="20"/>
                <w:lang w:val="en-GB"/>
              </w:rPr>
              <w:t>YES</w:t>
            </w:r>
          </w:p>
        </w:tc>
        <w:tc>
          <w:tcPr>
            <w:tcW w:w="1667" w:type="pct"/>
          </w:tcPr>
          <w:p w14:paraId="55FC2422" w14:textId="77777777" w:rsidR="002C3F28" w:rsidRPr="00CC385D" w:rsidRDefault="002C3F28" w:rsidP="002C3F28">
            <w:pPr>
              <w:keepNext/>
              <w:outlineLvl w:val="1"/>
              <w:rPr>
                <w:rFonts w:ascii="Arial" w:eastAsia="MS Mincho" w:hAnsi="Arial" w:cs="Arial"/>
                <w:bCs/>
                <w:sz w:val="20"/>
                <w:szCs w:val="20"/>
                <w:lang w:val="en-GB"/>
              </w:rPr>
            </w:pPr>
          </w:p>
        </w:tc>
      </w:tr>
      <w:tr w:rsidR="002C3F28" w:rsidRPr="00CC385D" w14:paraId="5C3740FC" w14:textId="77777777" w:rsidTr="001061B4">
        <w:trPr>
          <w:trHeight w:val="20"/>
          <w:jc w:val="center"/>
        </w:trPr>
        <w:tc>
          <w:tcPr>
            <w:tcW w:w="1666" w:type="pct"/>
            <w:noWrap/>
            <w:hideMark/>
          </w:tcPr>
          <w:p w14:paraId="1EC3E67A" w14:textId="77777777" w:rsidR="002C3F28" w:rsidRPr="00CC385D" w:rsidRDefault="002C3F28" w:rsidP="002C3F28">
            <w:pPr>
              <w:keepNext/>
              <w:outlineLvl w:val="1"/>
              <w:rPr>
                <w:rFonts w:ascii="Arial" w:eastAsia="MS Mincho" w:hAnsi="Arial" w:cs="Arial"/>
                <w:bCs/>
                <w:sz w:val="20"/>
                <w:szCs w:val="20"/>
                <w:lang w:val="en-GB"/>
              </w:rPr>
            </w:pPr>
            <w:r w:rsidRPr="00CC385D">
              <w:rPr>
                <w:rFonts w:ascii="Arial" w:eastAsia="MS Mincho" w:hAnsi="Arial" w:cs="Arial"/>
                <w:b/>
                <w:bCs/>
                <w:sz w:val="20"/>
                <w:szCs w:val="20"/>
                <w:lang w:val="en-GB"/>
              </w:rPr>
              <w:t xml:space="preserve">Is the manuscript scientifically correct? </w:t>
            </w:r>
            <w:r w:rsidRPr="00CC385D">
              <w:rPr>
                <w:rFonts w:ascii="Arial" w:eastAsia="MS Mincho" w:hAnsi="Arial" w:cs="Arial"/>
                <w:b/>
                <w:bCs/>
                <w:sz w:val="20"/>
                <w:szCs w:val="20"/>
                <w:lang w:val="en-GB"/>
              </w:rPr>
              <w:br/>
            </w:r>
          </w:p>
          <w:p w14:paraId="5C6D9B07"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If your answer is NO, please provide a brief, clear suggestion for improvement</w:t>
            </w:r>
          </w:p>
          <w:p w14:paraId="73E14B09" w14:textId="77777777" w:rsidR="002C3F28" w:rsidRPr="00CC385D" w:rsidRDefault="002C3F28" w:rsidP="002C3F28">
            <w:pPr>
              <w:rPr>
                <w:rFonts w:ascii="Arial" w:hAnsi="Arial" w:cs="Arial"/>
                <w:b/>
                <w:sz w:val="20"/>
                <w:szCs w:val="20"/>
                <w:lang w:val="en-GB"/>
              </w:rPr>
            </w:pPr>
            <w:r w:rsidRPr="00CC385D">
              <w:rPr>
                <w:rFonts w:ascii="Arial" w:hAnsi="Arial" w:cs="Arial"/>
                <w:bCs/>
                <w:sz w:val="20"/>
                <w:szCs w:val="20"/>
                <w:lang w:val="en-GB"/>
              </w:rPr>
              <w:t>.</w:t>
            </w:r>
          </w:p>
        </w:tc>
        <w:tc>
          <w:tcPr>
            <w:tcW w:w="1667" w:type="pct"/>
          </w:tcPr>
          <w:p w14:paraId="25087CE6" w14:textId="7DFC8821" w:rsidR="002C3F28" w:rsidRPr="00CC385D" w:rsidRDefault="002C3F28" w:rsidP="002C3F28">
            <w:pPr>
              <w:ind w:left="360"/>
              <w:contextualSpacing/>
              <w:rPr>
                <w:rFonts w:ascii="Arial" w:hAnsi="Arial" w:cs="Arial"/>
                <w:bCs/>
                <w:sz w:val="20"/>
                <w:szCs w:val="20"/>
                <w:lang w:val="en-GB"/>
              </w:rPr>
            </w:pPr>
            <w:r w:rsidRPr="00CC385D">
              <w:rPr>
                <w:rFonts w:ascii="Arial" w:hAnsi="Arial" w:cs="Arial"/>
                <w:b/>
                <w:bCs/>
                <w:sz w:val="20"/>
                <w:szCs w:val="20"/>
                <w:lang w:val="en-GB"/>
              </w:rPr>
              <w:t>YES</w:t>
            </w:r>
          </w:p>
        </w:tc>
        <w:tc>
          <w:tcPr>
            <w:tcW w:w="1667" w:type="pct"/>
          </w:tcPr>
          <w:p w14:paraId="51AC5B4C" w14:textId="77777777" w:rsidR="002C3F28" w:rsidRPr="00CC385D" w:rsidRDefault="002C3F28" w:rsidP="002C3F28">
            <w:pPr>
              <w:keepNext/>
              <w:outlineLvl w:val="1"/>
              <w:rPr>
                <w:rFonts w:ascii="Arial" w:eastAsia="MS Mincho" w:hAnsi="Arial" w:cs="Arial"/>
                <w:bCs/>
                <w:sz w:val="20"/>
                <w:szCs w:val="20"/>
                <w:lang w:val="en-GB"/>
              </w:rPr>
            </w:pPr>
          </w:p>
        </w:tc>
      </w:tr>
      <w:tr w:rsidR="002C3F28" w:rsidRPr="00CC385D" w14:paraId="0D69610E" w14:textId="77777777" w:rsidTr="001061B4">
        <w:trPr>
          <w:trHeight w:val="20"/>
          <w:jc w:val="center"/>
        </w:trPr>
        <w:tc>
          <w:tcPr>
            <w:tcW w:w="1666" w:type="pct"/>
            <w:noWrap/>
          </w:tcPr>
          <w:p w14:paraId="4EC4DD3C" w14:textId="77777777" w:rsidR="002C3F28" w:rsidRPr="00CC385D" w:rsidRDefault="002C3F28" w:rsidP="002C3F28">
            <w:pPr>
              <w:rPr>
                <w:rFonts w:ascii="Arial" w:hAnsi="Arial" w:cs="Arial"/>
                <w:b/>
                <w:bCs/>
                <w:sz w:val="20"/>
                <w:szCs w:val="20"/>
                <w:lang w:val="en-GB"/>
              </w:rPr>
            </w:pPr>
            <w:r w:rsidRPr="00CC385D">
              <w:rPr>
                <w:rFonts w:ascii="Arial" w:hAnsi="Arial" w:cs="Arial"/>
                <w:b/>
                <w:bCs/>
                <w:sz w:val="20"/>
                <w:szCs w:val="20"/>
                <w:lang w:val="en-GB"/>
              </w:rPr>
              <w:t xml:space="preserve">Are the references sufficient and recent? </w:t>
            </w:r>
          </w:p>
          <w:p w14:paraId="716830E5"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(YES or NO)</w:t>
            </w:r>
          </w:p>
          <w:p w14:paraId="4528A2D3" w14:textId="77777777" w:rsidR="002C3F28" w:rsidRPr="00CC385D" w:rsidRDefault="002C3F28" w:rsidP="002C3F28">
            <w:pPr>
              <w:rPr>
                <w:rFonts w:ascii="Arial" w:hAnsi="Arial" w:cs="Arial"/>
                <w:bCs/>
                <w:sz w:val="20"/>
                <w:szCs w:val="20"/>
                <w:lang w:val="en-GB"/>
              </w:rPr>
            </w:pPr>
          </w:p>
          <w:p w14:paraId="42FB4634"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If your answer is NO, please provide clear suggestion for improvement.</w:t>
            </w:r>
          </w:p>
          <w:p w14:paraId="3CC112A8" w14:textId="77777777" w:rsidR="002C3F28" w:rsidRPr="00CC385D" w:rsidRDefault="002C3F28" w:rsidP="002C3F28">
            <w:pPr>
              <w:rPr>
                <w:rFonts w:ascii="Arial" w:hAnsi="Arial" w:cs="Arial"/>
                <w:b/>
                <w:bCs/>
                <w:sz w:val="20"/>
                <w:szCs w:val="20"/>
                <w:lang w:val="en-GB"/>
              </w:rPr>
            </w:pPr>
          </w:p>
        </w:tc>
        <w:tc>
          <w:tcPr>
            <w:tcW w:w="1667" w:type="pct"/>
          </w:tcPr>
          <w:p w14:paraId="55F581BC" w14:textId="5BFF4EA6" w:rsidR="002C3F28" w:rsidRPr="00CC385D" w:rsidRDefault="002C3F28" w:rsidP="002C3F28">
            <w:pPr>
              <w:ind w:left="360"/>
              <w:contextualSpacing/>
              <w:rPr>
                <w:rFonts w:ascii="Arial" w:hAnsi="Arial" w:cs="Arial"/>
                <w:bCs/>
                <w:sz w:val="20"/>
                <w:szCs w:val="20"/>
                <w:lang w:val="en-GB"/>
              </w:rPr>
            </w:pPr>
            <w:r w:rsidRPr="00CC385D">
              <w:rPr>
                <w:rFonts w:ascii="Arial" w:hAnsi="Arial" w:cs="Arial"/>
                <w:b/>
                <w:bCs/>
                <w:sz w:val="20"/>
                <w:szCs w:val="20"/>
                <w:lang w:val="en-GB"/>
              </w:rPr>
              <w:t>YES</w:t>
            </w:r>
          </w:p>
        </w:tc>
        <w:tc>
          <w:tcPr>
            <w:tcW w:w="1667" w:type="pct"/>
          </w:tcPr>
          <w:p w14:paraId="467EE6CF" w14:textId="77777777" w:rsidR="002C3F28" w:rsidRPr="00CC385D" w:rsidRDefault="002C3F28" w:rsidP="002C3F28">
            <w:pPr>
              <w:keepNext/>
              <w:outlineLvl w:val="1"/>
              <w:rPr>
                <w:rFonts w:ascii="Arial" w:eastAsia="MS Mincho" w:hAnsi="Arial" w:cs="Arial"/>
                <w:bCs/>
                <w:sz w:val="20"/>
                <w:szCs w:val="20"/>
                <w:lang w:val="en-GB"/>
              </w:rPr>
            </w:pPr>
          </w:p>
        </w:tc>
      </w:tr>
      <w:tr w:rsidR="002C3F28" w:rsidRPr="00CC385D" w14:paraId="124FFBD8" w14:textId="77777777" w:rsidTr="001061B4">
        <w:trPr>
          <w:trHeight w:val="20"/>
          <w:jc w:val="center"/>
        </w:trPr>
        <w:tc>
          <w:tcPr>
            <w:tcW w:w="1666" w:type="pct"/>
            <w:noWrap/>
          </w:tcPr>
          <w:p w14:paraId="1EBCFF00" w14:textId="77777777" w:rsidR="002C3F28" w:rsidRPr="00CC385D" w:rsidRDefault="002C3F28" w:rsidP="002C3F28">
            <w:pPr>
              <w:rPr>
                <w:rFonts w:ascii="Arial" w:hAnsi="Arial" w:cs="Arial"/>
                <w:b/>
                <w:bCs/>
                <w:sz w:val="20"/>
                <w:szCs w:val="20"/>
                <w:lang w:val="en-GB"/>
              </w:rPr>
            </w:pPr>
            <w:r w:rsidRPr="00CC385D">
              <w:rPr>
                <w:rFonts w:ascii="Arial" w:hAnsi="Arial" w:cs="Arial"/>
                <w:b/>
                <w:bCs/>
                <w:sz w:val="20"/>
                <w:szCs w:val="20"/>
                <w:lang w:val="en-GB"/>
              </w:rPr>
              <w:t>Are there ethical issues in this manuscript?</w:t>
            </w:r>
          </w:p>
          <w:p w14:paraId="538F5D38"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(YES or NO)</w:t>
            </w:r>
          </w:p>
          <w:p w14:paraId="3DF80C5A" w14:textId="77777777" w:rsidR="002C3F28" w:rsidRPr="00CC385D" w:rsidRDefault="002C3F28" w:rsidP="002C3F28">
            <w:pPr>
              <w:rPr>
                <w:rFonts w:ascii="Arial" w:hAnsi="Arial" w:cs="Arial"/>
                <w:bCs/>
                <w:sz w:val="20"/>
                <w:szCs w:val="20"/>
                <w:lang w:val="en-GB"/>
              </w:rPr>
            </w:pPr>
          </w:p>
          <w:p w14:paraId="6FFEBED2" w14:textId="77777777" w:rsidR="002C3F28" w:rsidRPr="00CC385D" w:rsidRDefault="002C3F28" w:rsidP="002C3F28">
            <w:pPr>
              <w:rPr>
                <w:rFonts w:ascii="Arial" w:hAnsi="Arial" w:cs="Arial"/>
                <w:bCs/>
                <w:sz w:val="20"/>
                <w:szCs w:val="20"/>
                <w:lang w:val="en-GB"/>
              </w:rPr>
            </w:pPr>
            <w:r w:rsidRPr="00CC385D">
              <w:rPr>
                <w:rFonts w:ascii="Arial" w:hAnsi="Arial" w:cs="Arial"/>
                <w:bCs/>
                <w:sz w:val="20"/>
                <w:szCs w:val="20"/>
                <w:lang w:val="en-GB"/>
              </w:rPr>
              <w:t>(If yes, kindly please write down the ethical issues here in details)</w:t>
            </w:r>
          </w:p>
          <w:p w14:paraId="1AEB6E3C" w14:textId="77777777" w:rsidR="002C3F28" w:rsidRPr="00CC385D" w:rsidRDefault="002C3F28" w:rsidP="002C3F28">
            <w:pPr>
              <w:rPr>
                <w:rFonts w:ascii="Arial" w:hAnsi="Arial" w:cs="Arial"/>
                <w:bCs/>
                <w:sz w:val="20"/>
                <w:szCs w:val="20"/>
                <w:lang w:val="en-GB"/>
              </w:rPr>
            </w:pPr>
          </w:p>
        </w:tc>
        <w:tc>
          <w:tcPr>
            <w:tcW w:w="1667" w:type="pct"/>
          </w:tcPr>
          <w:p w14:paraId="54F0B5A8" w14:textId="48923965" w:rsidR="002C3F28" w:rsidRPr="00CC385D" w:rsidRDefault="002C3F28" w:rsidP="002C3F28">
            <w:pPr>
              <w:ind w:left="360"/>
              <w:contextualSpacing/>
              <w:rPr>
                <w:rFonts w:ascii="Arial" w:hAnsi="Arial" w:cs="Arial"/>
                <w:bCs/>
                <w:sz w:val="20"/>
                <w:szCs w:val="20"/>
                <w:lang w:val="en-GB"/>
              </w:rPr>
            </w:pPr>
            <w:r w:rsidRPr="00CC385D">
              <w:rPr>
                <w:rFonts w:ascii="Arial" w:hAnsi="Arial" w:cs="Arial"/>
                <w:b/>
                <w:bCs/>
                <w:sz w:val="20"/>
                <w:szCs w:val="20"/>
                <w:lang w:val="en-GB"/>
              </w:rPr>
              <w:t>NO</w:t>
            </w:r>
          </w:p>
        </w:tc>
        <w:tc>
          <w:tcPr>
            <w:tcW w:w="1667" w:type="pct"/>
          </w:tcPr>
          <w:p w14:paraId="3175E146" w14:textId="77777777" w:rsidR="002C3F28" w:rsidRPr="00CC385D" w:rsidRDefault="002C3F28" w:rsidP="002C3F28">
            <w:pPr>
              <w:keepNext/>
              <w:outlineLvl w:val="1"/>
              <w:rPr>
                <w:rFonts w:ascii="Arial" w:eastAsia="MS Mincho" w:hAnsi="Arial" w:cs="Arial"/>
                <w:bCs/>
                <w:sz w:val="20"/>
                <w:szCs w:val="20"/>
                <w:lang w:val="en-GB"/>
              </w:rPr>
            </w:pPr>
          </w:p>
        </w:tc>
      </w:tr>
    </w:tbl>
    <w:p w14:paraId="7F5B09C3" w14:textId="77777777" w:rsidR="00994C72" w:rsidRPr="00CC385D" w:rsidRDefault="00994C72" w:rsidP="00994C72">
      <w:pPr>
        <w:spacing w:after="160" w:line="259" w:lineRule="auto"/>
        <w:rPr>
          <w:rFonts w:ascii="Arial" w:eastAsia="Calibri" w:hAnsi="Arial" w:cs="Arial"/>
          <w:sz w:val="20"/>
          <w:szCs w:val="20"/>
          <w:lang w:val="en-IN"/>
        </w:rPr>
      </w:pPr>
    </w:p>
    <w:p w14:paraId="62928130" w14:textId="77777777" w:rsidR="00994C72" w:rsidRPr="00CC385D" w:rsidRDefault="00994C72" w:rsidP="00994C72">
      <w:pPr>
        <w:rPr>
          <w:rFonts w:ascii="Arial" w:eastAsia="Arial Unicode MS" w:hAnsi="Arial" w:cs="Arial"/>
          <w:b/>
          <w:bCs/>
          <w:sz w:val="20"/>
          <w:szCs w:val="20"/>
          <w:highlight w:val="yellow"/>
          <w:u w:val="single"/>
          <w:lang w:val="en-GB"/>
        </w:rPr>
      </w:pPr>
      <w:r w:rsidRPr="00CC385D">
        <w:rPr>
          <w:rFonts w:ascii="Arial" w:eastAsia="Arial Unicode MS" w:hAnsi="Arial" w:cs="Arial"/>
          <w:b/>
          <w:bCs/>
          <w:sz w:val="20"/>
          <w:szCs w:val="20"/>
          <w:highlight w:val="yellow"/>
          <w:u w:val="single"/>
          <w:lang w:val="en-GB"/>
        </w:rPr>
        <w:t>PART 3</w:t>
      </w:r>
    </w:p>
    <w:p w14:paraId="2972F850" w14:textId="77777777" w:rsidR="00994C72" w:rsidRPr="00CC385D" w:rsidRDefault="00994C72" w:rsidP="00994C72">
      <w:pPr>
        <w:rPr>
          <w:rFonts w:ascii="Arial" w:hAnsi="Arial" w:cs="Arial"/>
          <w:sz w:val="20"/>
          <w:szCs w:val="20"/>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6"/>
        <w:gridCol w:w="6325"/>
      </w:tblGrid>
      <w:tr w:rsidR="00994C72" w:rsidRPr="00CC385D" w14:paraId="73334860" w14:textId="77777777" w:rsidTr="00396907">
        <w:tc>
          <w:tcPr>
            <w:tcW w:w="5000" w:type="pct"/>
            <w:gridSpan w:val="2"/>
            <w:tcBorders>
              <w:top w:val="nil"/>
              <w:left w:val="nil"/>
              <w:right w:val="nil"/>
            </w:tcBorders>
            <w:noWrap/>
            <w:tcMar>
              <w:top w:w="0" w:type="dxa"/>
              <w:left w:w="108" w:type="dxa"/>
              <w:bottom w:w="0" w:type="dxa"/>
              <w:right w:w="108" w:type="dxa"/>
            </w:tcMar>
            <w:vAlign w:val="center"/>
          </w:tcPr>
          <w:p w14:paraId="3AACE1CA" w14:textId="77777777" w:rsidR="00994C72" w:rsidRPr="00CC385D" w:rsidRDefault="00994C72" w:rsidP="00994C72">
            <w:pPr>
              <w:rPr>
                <w:rFonts w:ascii="Arial" w:eastAsia="Arial Unicode MS" w:hAnsi="Arial" w:cs="Arial"/>
                <w:b/>
                <w:bCs/>
                <w:sz w:val="20"/>
                <w:szCs w:val="20"/>
                <w:u w:val="single"/>
                <w:lang w:val="en-GB"/>
              </w:rPr>
            </w:pPr>
            <w:r w:rsidRPr="00CC385D">
              <w:rPr>
                <w:rFonts w:ascii="Arial" w:eastAsia="Arial Unicode MS" w:hAnsi="Arial" w:cs="Arial"/>
                <w:b/>
                <w:bCs/>
                <w:sz w:val="20"/>
                <w:szCs w:val="20"/>
                <w:u w:val="single"/>
                <w:lang w:val="en-GB"/>
              </w:rPr>
              <w:t>Editorial Comments (This section is reserved for the comments from journal editorial office and editors):</w:t>
            </w:r>
          </w:p>
          <w:p w14:paraId="155EDC3A" w14:textId="77777777" w:rsidR="00994C72" w:rsidRPr="00CC385D" w:rsidRDefault="00994C72" w:rsidP="00994C72">
            <w:pPr>
              <w:rPr>
                <w:rFonts w:ascii="Arial" w:eastAsia="Arial Unicode MS" w:hAnsi="Arial" w:cs="Arial"/>
                <w:b/>
                <w:bCs/>
                <w:sz w:val="20"/>
                <w:szCs w:val="20"/>
                <w:u w:val="single"/>
                <w:lang w:val="en-GB"/>
              </w:rPr>
            </w:pPr>
          </w:p>
        </w:tc>
      </w:tr>
      <w:tr w:rsidR="00994C72" w:rsidRPr="00CC385D" w14:paraId="3903E81B" w14:textId="77777777" w:rsidTr="00396907">
        <w:tc>
          <w:tcPr>
            <w:tcW w:w="2733" w:type="pct"/>
            <w:noWrap/>
            <w:tcMar>
              <w:top w:w="0" w:type="dxa"/>
              <w:left w:w="108" w:type="dxa"/>
              <w:bottom w:w="0" w:type="dxa"/>
              <w:right w:w="108" w:type="dxa"/>
            </w:tcMar>
            <w:vAlign w:val="center"/>
          </w:tcPr>
          <w:p w14:paraId="116C8AA2" w14:textId="77777777" w:rsidR="00994C72" w:rsidRPr="00CC385D" w:rsidRDefault="00994C72" w:rsidP="00994C72">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0C0F10CB" w14:textId="77777777" w:rsidR="00994C72" w:rsidRPr="00CC385D" w:rsidRDefault="00994C72" w:rsidP="00994C72">
            <w:pPr>
              <w:rPr>
                <w:rFonts w:ascii="Arial" w:eastAsia="Arial Unicode MS" w:hAnsi="Arial" w:cs="Arial"/>
                <w:b/>
                <w:bCs/>
                <w:sz w:val="20"/>
                <w:szCs w:val="20"/>
                <w:lang w:val="en-GB"/>
              </w:rPr>
            </w:pPr>
            <w:r w:rsidRPr="00CC385D">
              <w:rPr>
                <w:rFonts w:ascii="Arial" w:eastAsia="Arial Unicode MS" w:hAnsi="Arial" w:cs="Arial"/>
                <w:sz w:val="20"/>
                <w:szCs w:val="20"/>
                <w:lang w:val="en-GB"/>
              </w:rPr>
              <w:t>Author’s Feedback</w:t>
            </w:r>
          </w:p>
        </w:tc>
      </w:tr>
      <w:tr w:rsidR="00994C72" w:rsidRPr="00CC385D" w14:paraId="777D6623" w14:textId="77777777" w:rsidTr="00396907">
        <w:tc>
          <w:tcPr>
            <w:tcW w:w="2733" w:type="pct"/>
            <w:noWrap/>
            <w:tcMar>
              <w:top w:w="0" w:type="dxa"/>
              <w:left w:w="108" w:type="dxa"/>
              <w:bottom w:w="0" w:type="dxa"/>
              <w:right w:w="108" w:type="dxa"/>
            </w:tcMar>
            <w:vAlign w:val="center"/>
          </w:tcPr>
          <w:p w14:paraId="65EC1BAA" w14:textId="77777777" w:rsidR="00994C72" w:rsidRPr="00CC385D" w:rsidRDefault="00994C72" w:rsidP="00994C72">
            <w:pPr>
              <w:rPr>
                <w:rFonts w:ascii="Arial" w:eastAsia="Arial Unicode MS" w:hAnsi="Arial" w:cs="Arial"/>
                <w:sz w:val="20"/>
                <w:szCs w:val="20"/>
                <w:lang w:val="en-GB"/>
              </w:rPr>
            </w:pPr>
          </w:p>
          <w:p w14:paraId="553DB862" w14:textId="5F703EC4" w:rsidR="00994C72" w:rsidRPr="00CC385D" w:rsidRDefault="00994C72" w:rsidP="00994C72">
            <w:pPr>
              <w:keepNext/>
              <w:jc w:val="both"/>
              <w:outlineLvl w:val="1"/>
              <w:rPr>
                <w:rFonts w:ascii="Arial" w:eastAsia="MS Mincho" w:hAnsi="Arial" w:cs="Arial"/>
                <w:sz w:val="20"/>
                <w:szCs w:val="20"/>
                <w:lang w:val="en-GB"/>
              </w:rPr>
            </w:pPr>
            <w:r w:rsidRPr="00CC385D">
              <w:rPr>
                <w:rFonts w:ascii="Arial" w:eastAsia="MS Mincho" w:hAnsi="Arial" w:cs="Arial"/>
                <w:sz w:val="20"/>
                <w:szCs w:val="20"/>
                <w:lang w:val="en-GB"/>
              </w:rPr>
              <w:t>Incomplete discussion of study limitations (single brain region, lack of protein validation), (2) a few over</w:t>
            </w:r>
            <w:r w:rsidRPr="00CC385D">
              <w:rPr>
                <w:rFonts w:ascii="Cambria Math" w:eastAsia="MS Mincho" w:hAnsi="Cambria Math" w:cs="Cambria Math"/>
                <w:sz w:val="20"/>
                <w:szCs w:val="20"/>
                <w:lang w:val="en-GB"/>
              </w:rPr>
              <w:t>‑</w:t>
            </w:r>
            <w:r w:rsidRPr="00CC385D">
              <w:rPr>
                <w:rFonts w:ascii="Arial" w:eastAsia="MS Mincho" w:hAnsi="Arial" w:cs="Arial"/>
                <w:sz w:val="20"/>
                <w:szCs w:val="20"/>
                <w:lang w:val="en-GB"/>
              </w:rPr>
              <w:t>interpretations in the discussion that need tempering, and (3) the absence of a quantitative spatial metric. I recommend minor revision. After the authors address the points raised (especially limitations and a quantitative spatial measure), the manuscript would be suitable for acceptance. Authors must include further references such as:</w:t>
            </w:r>
          </w:p>
          <w:p w14:paraId="3BD76FC1" w14:textId="77777777" w:rsidR="00994C72" w:rsidRPr="00CC385D" w:rsidRDefault="00994C72" w:rsidP="00994C72">
            <w:pPr>
              <w:keepNext/>
              <w:jc w:val="both"/>
              <w:outlineLvl w:val="1"/>
              <w:rPr>
                <w:rFonts w:ascii="Arial" w:eastAsia="MS Mincho" w:hAnsi="Arial" w:cs="Arial"/>
                <w:sz w:val="20"/>
                <w:szCs w:val="20"/>
                <w:lang w:val="en-GB"/>
              </w:rPr>
            </w:pPr>
          </w:p>
          <w:p w14:paraId="52E70505" w14:textId="77777777" w:rsidR="00994C72" w:rsidRPr="00CC385D" w:rsidRDefault="00994C72" w:rsidP="00994C72">
            <w:pPr>
              <w:numPr>
                <w:ilvl w:val="0"/>
                <w:numId w:val="13"/>
              </w:numPr>
              <w:rPr>
                <w:rFonts w:ascii="Arial" w:hAnsi="Arial" w:cs="Arial"/>
                <w:sz w:val="20"/>
                <w:szCs w:val="20"/>
                <w:lang w:val="en-GB"/>
              </w:rPr>
            </w:pPr>
            <w:r w:rsidRPr="00CC385D">
              <w:rPr>
                <w:rFonts w:ascii="Arial" w:hAnsi="Arial" w:cs="Arial"/>
                <w:sz w:val="20"/>
                <w:szCs w:val="20"/>
                <w:lang w:val="en-GB"/>
              </w:rPr>
              <w:t>In Introduction section (synaptic plasticity / neurotrophic factors): Ikram H, Zakir R, Haleem DJ (2024). Memory enhancing and neuroprotective effects of apomorphine in a rat model of dementia. Metabolic Brain Diseases, 39(6):1051-1063. DOI: 10.1007/s11011-024-01345-8 – Justification: This study provides functional evidence that dopaminergic pathway modulation improves memory and protects neurons, directly validating the relevance of NRG1 (neurotrophic signalling) and FGF13 (neuronal cytoskeleton) whose spatial shifts we identified in AD.</w:t>
            </w:r>
          </w:p>
          <w:p w14:paraId="03B87CB8" w14:textId="77777777" w:rsidR="00994C72" w:rsidRPr="00CC385D" w:rsidRDefault="00994C72" w:rsidP="00994C72">
            <w:pPr>
              <w:rPr>
                <w:rFonts w:ascii="Arial" w:hAnsi="Arial" w:cs="Arial"/>
                <w:sz w:val="20"/>
                <w:szCs w:val="20"/>
                <w:lang w:val="en-GB"/>
              </w:rPr>
            </w:pPr>
          </w:p>
          <w:p w14:paraId="57954189" w14:textId="77777777" w:rsidR="00994C72" w:rsidRPr="00CC385D" w:rsidRDefault="00994C72" w:rsidP="00994C72">
            <w:pPr>
              <w:numPr>
                <w:ilvl w:val="0"/>
                <w:numId w:val="13"/>
              </w:numPr>
              <w:rPr>
                <w:rFonts w:ascii="Arial" w:hAnsi="Arial" w:cs="Arial"/>
                <w:sz w:val="20"/>
                <w:szCs w:val="20"/>
                <w:lang w:val="en-GB"/>
              </w:rPr>
            </w:pPr>
            <w:r w:rsidRPr="00CC385D">
              <w:rPr>
                <w:rFonts w:ascii="Arial" w:hAnsi="Arial" w:cs="Arial"/>
                <w:sz w:val="20"/>
                <w:szCs w:val="20"/>
                <w:lang w:val="en-GB"/>
              </w:rPr>
              <w:t xml:space="preserve">In Discussion section (interpreting PEX5L and SCUBE1 shifts): Ikram H, Zakir R, </w:t>
            </w:r>
            <w:proofErr w:type="spellStart"/>
            <w:r w:rsidRPr="00CC385D">
              <w:rPr>
                <w:rFonts w:ascii="Arial" w:hAnsi="Arial" w:cs="Arial"/>
                <w:sz w:val="20"/>
                <w:szCs w:val="20"/>
                <w:lang w:val="en-GB"/>
              </w:rPr>
              <w:t>Perveen</w:t>
            </w:r>
            <w:proofErr w:type="spellEnd"/>
            <w:r w:rsidRPr="00CC385D">
              <w:rPr>
                <w:rFonts w:ascii="Arial" w:hAnsi="Arial" w:cs="Arial"/>
                <w:sz w:val="20"/>
                <w:szCs w:val="20"/>
                <w:lang w:val="en-GB"/>
              </w:rPr>
              <w:t xml:space="preserve"> S, Haleem DJ (2025). Investigating the Neuroprotective Effects of Curcumin in Scopolamine-induced Animal Model of Dementia: A Synergistic Approach to Mitigate Cognitive Decline. Nutraceutical Research, 4(1): 1-9 – Justification: Curcumin’s antioxidant/anti</w:t>
            </w:r>
            <w:r w:rsidRPr="00CC385D">
              <w:rPr>
                <w:rFonts w:ascii="Cambria Math" w:hAnsi="Cambria Math" w:cs="Cambria Math"/>
                <w:sz w:val="20"/>
                <w:szCs w:val="20"/>
                <w:lang w:val="en-GB"/>
              </w:rPr>
              <w:t>‑</w:t>
            </w:r>
            <w:r w:rsidRPr="00CC385D">
              <w:rPr>
                <w:rFonts w:ascii="Arial" w:hAnsi="Arial" w:cs="Arial"/>
                <w:sz w:val="20"/>
                <w:szCs w:val="20"/>
                <w:lang w:val="en-GB"/>
              </w:rPr>
              <w:t>inflammatory action mitigates cognitive decline, offering a mechanistic context for our observed spatial shifts in peroxisomal (PEX5L) and vascular/developmental (SCUBE1) genes – linking altered expression to oxidative/inflammatory pathways in AD.</w:t>
            </w:r>
          </w:p>
          <w:p w14:paraId="1400026F" w14:textId="77777777" w:rsidR="00994C72" w:rsidRPr="00CC385D" w:rsidRDefault="00994C72" w:rsidP="00994C72">
            <w:pPr>
              <w:rPr>
                <w:rFonts w:ascii="Arial" w:hAnsi="Arial" w:cs="Arial"/>
                <w:sz w:val="20"/>
                <w:szCs w:val="20"/>
                <w:lang w:val="en-GB"/>
              </w:rPr>
            </w:pPr>
          </w:p>
          <w:p w14:paraId="5F6A11BF" w14:textId="77777777" w:rsidR="00994C72" w:rsidRPr="00CC385D" w:rsidRDefault="00994C72" w:rsidP="00994C72">
            <w:pPr>
              <w:numPr>
                <w:ilvl w:val="0"/>
                <w:numId w:val="13"/>
              </w:numPr>
              <w:rPr>
                <w:rFonts w:ascii="Arial" w:hAnsi="Arial" w:cs="Arial"/>
                <w:sz w:val="20"/>
                <w:szCs w:val="20"/>
                <w:lang w:val="en-GB"/>
              </w:rPr>
            </w:pPr>
            <w:r w:rsidRPr="00CC385D">
              <w:rPr>
                <w:rFonts w:ascii="Arial" w:hAnsi="Arial" w:cs="Arial"/>
                <w:sz w:val="20"/>
                <w:szCs w:val="20"/>
                <w:lang w:val="en-GB"/>
              </w:rPr>
              <w:t>In Discussion section (limitations or cross</w:t>
            </w:r>
            <w:r w:rsidRPr="00CC385D">
              <w:rPr>
                <w:rFonts w:ascii="Cambria Math" w:hAnsi="Cambria Math" w:cs="Cambria Math"/>
                <w:sz w:val="20"/>
                <w:szCs w:val="20"/>
                <w:lang w:val="en-GB"/>
              </w:rPr>
              <w:t>‑</w:t>
            </w:r>
            <w:r w:rsidRPr="00CC385D">
              <w:rPr>
                <w:rFonts w:ascii="Arial" w:hAnsi="Arial" w:cs="Arial"/>
                <w:sz w:val="20"/>
                <w:szCs w:val="20"/>
                <w:lang w:val="en-GB"/>
              </w:rPr>
              <w:t>disease relevance): Ikram H, Haleem DJ (2019). Repeated treatment with a low dose of reserpine as a progressive model of Parkinson's dementia. Pakistan Journal of Pharmaceutical Sciences, 32(2): 555-562 – Justification: The reserpine model captures progressive cognitive decline via dopaminergic dysfunction; since our five genes (SEMA3E, FGF13, NRG1, PEX5L, SCUBE1) govern axonal guidance, cytoskeletal stability and peroxisomal integrity – mechanisms common to both Alzheimer’s and Parkinson’s dementias – this reference broadens our discovery’s impact across neurodegenerative diseases.</w:t>
            </w:r>
          </w:p>
          <w:p w14:paraId="2DEE2A04" w14:textId="77777777" w:rsidR="00994C72" w:rsidRPr="00CC385D" w:rsidRDefault="00994C72" w:rsidP="00994C72">
            <w:pPr>
              <w:rPr>
                <w:rFonts w:ascii="Arial" w:eastAsia="Arial Unicode MS" w:hAnsi="Arial" w:cs="Arial"/>
                <w:sz w:val="20"/>
                <w:szCs w:val="20"/>
                <w:lang w:val="en-GB"/>
              </w:rPr>
            </w:pPr>
          </w:p>
          <w:p w14:paraId="24CEAC74" w14:textId="77777777" w:rsidR="00994C72" w:rsidRPr="00CC385D" w:rsidRDefault="00994C72" w:rsidP="00994C72">
            <w:pPr>
              <w:rPr>
                <w:rFonts w:ascii="Arial" w:eastAsia="Arial Unicode MS" w:hAnsi="Arial" w:cs="Arial"/>
                <w:sz w:val="20"/>
                <w:szCs w:val="20"/>
                <w:lang w:val="en-GB"/>
              </w:rPr>
            </w:pPr>
          </w:p>
          <w:p w14:paraId="27BA9F2E" w14:textId="77777777" w:rsidR="00994C72" w:rsidRPr="00CC385D" w:rsidRDefault="00994C72" w:rsidP="00994C72">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3D7974AA" w14:textId="77777777" w:rsidR="00994C72" w:rsidRPr="00CC385D" w:rsidRDefault="00994C72" w:rsidP="00994C72">
            <w:pPr>
              <w:rPr>
                <w:rFonts w:ascii="Arial" w:eastAsia="Arial Unicode MS" w:hAnsi="Arial" w:cs="Arial"/>
                <w:b/>
                <w:bCs/>
                <w:sz w:val="20"/>
                <w:szCs w:val="20"/>
                <w:lang w:val="en-GB"/>
              </w:rPr>
            </w:pPr>
          </w:p>
        </w:tc>
      </w:tr>
    </w:tbl>
    <w:p w14:paraId="20C43864" w14:textId="39033A82" w:rsidR="00994C72" w:rsidRPr="00CC385D" w:rsidRDefault="00994C72" w:rsidP="00994C72">
      <w:pPr>
        <w:spacing w:after="160" w:line="259" w:lineRule="auto"/>
        <w:rPr>
          <w:rFonts w:ascii="Arial" w:eastAsia="Calibri" w:hAnsi="Arial" w:cs="Arial"/>
          <w:sz w:val="20"/>
          <w:szCs w:val="20"/>
          <w:lang w:val="en-IN"/>
        </w:rPr>
      </w:pPr>
    </w:p>
    <w:p w14:paraId="4FCCE725" w14:textId="77777777" w:rsidR="00B73C19" w:rsidRPr="00CC385D" w:rsidRDefault="00B73C19" w:rsidP="00B73C19">
      <w:pPr>
        <w:pStyle w:val="Affiliation"/>
        <w:spacing w:after="0" w:line="240" w:lineRule="auto"/>
        <w:jc w:val="left"/>
        <w:rPr>
          <w:rFonts w:ascii="Arial" w:hAnsi="Arial" w:cs="Arial"/>
          <w:b/>
          <w:u w:val="single"/>
        </w:rPr>
      </w:pPr>
      <w:r w:rsidRPr="00CC385D">
        <w:rPr>
          <w:rFonts w:ascii="Arial" w:hAnsi="Arial" w:cs="Arial"/>
          <w:b/>
          <w:u w:val="single"/>
        </w:rPr>
        <w:t>Reviewer details:</w:t>
      </w:r>
    </w:p>
    <w:p w14:paraId="4BE860D9" w14:textId="02CC4738" w:rsidR="00B73C19" w:rsidRPr="00CC385D" w:rsidRDefault="00B73C19" w:rsidP="00994C72">
      <w:pPr>
        <w:spacing w:after="160" w:line="259" w:lineRule="auto"/>
        <w:rPr>
          <w:rFonts w:ascii="Arial" w:eastAsia="Calibri" w:hAnsi="Arial" w:cs="Arial"/>
          <w:sz w:val="20"/>
          <w:szCs w:val="20"/>
          <w:lang w:val="en-IN"/>
        </w:rPr>
      </w:pPr>
    </w:p>
    <w:p w14:paraId="71D4DB79" w14:textId="6867784C" w:rsidR="00B73C19" w:rsidRPr="00CC385D" w:rsidRDefault="00B73C19" w:rsidP="00B73C19">
      <w:pPr>
        <w:spacing w:after="160" w:line="259" w:lineRule="auto"/>
        <w:rPr>
          <w:rFonts w:ascii="Arial" w:eastAsia="Calibri" w:hAnsi="Arial" w:cs="Arial"/>
          <w:sz w:val="20"/>
          <w:szCs w:val="20"/>
          <w:lang w:val="en-IN"/>
        </w:rPr>
      </w:pPr>
      <w:r w:rsidRPr="00CC385D">
        <w:rPr>
          <w:rFonts w:ascii="Arial" w:eastAsia="Calibri" w:hAnsi="Arial" w:cs="Arial"/>
          <w:sz w:val="20"/>
          <w:szCs w:val="20"/>
          <w:lang w:val="en-IN"/>
        </w:rPr>
        <w:t>Huma Ikram</w:t>
      </w:r>
      <w:r w:rsidRPr="00CC385D">
        <w:rPr>
          <w:rFonts w:ascii="Arial" w:eastAsia="Calibri" w:hAnsi="Arial" w:cs="Arial"/>
          <w:sz w:val="20"/>
          <w:szCs w:val="20"/>
          <w:lang w:val="en-IN"/>
        </w:rPr>
        <w:t xml:space="preserve">, </w:t>
      </w:r>
      <w:r w:rsidRPr="00CC385D">
        <w:rPr>
          <w:rFonts w:ascii="Arial" w:eastAsia="Calibri" w:hAnsi="Arial" w:cs="Arial"/>
          <w:sz w:val="20"/>
          <w:szCs w:val="20"/>
          <w:lang w:val="en-IN"/>
        </w:rPr>
        <w:t>University of Karachi</w:t>
      </w:r>
      <w:r w:rsidRPr="00CC385D">
        <w:rPr>
          <w:rFonts w:ascii="Arial" w:eastAsia="Calibri" w:hAnsi="Arial" w:cs="Arial"/>
          <w:sz w:val="20"/>
          <w:szCs w:val="20"/>
          <w:lang w:val="en-IN"/>
        </w:rPr>
        <w:t xml:space="preserve">, </w:t>
      </w:r>
      <w:r w:rsidRPr="00CC385D">
        <w:rPr>
          <w:rFonts w:ascii="Arial" w:eastAsia="Calibri" w:hAnsi="Arial" w:cs="Arial"/>
          <w:sz w:val="20"/>
          <w:szCs w:val="20"/>
          <w:lang w:val="en-IN"/>
        </w:rPr>
        <w:t>Pakistan</w:t>
      </w:r>
      <w:bookmarkEnd w:id="0"/>
    </w:p>
    <w:sectPr w:rsidR="00B73C19" w:rsidRPr="00CC385D" w:rsidSect="002C3F28">
      <w:headerReference w:type="default" r:id="rId8"/>
      <w:footerReference w:type="default" r:id="rId9"/>
      <w:pgSz w:w="16839" w:h="23814" w:code="8"/>
      <w:pgMar w:top="144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7BC74" w14:textId="77777777" w:rsidR="00110851" w:rsidRDefault="00110851">
      <w:r>
        <w:separator/>
      </w:r>
    </w:p>
  </w:endnote>
  <w:endnote w:type="continuationSeparator" w:id="0">
    <w:p w14:paraId="0BD6DD68" w14:textId="77777777" w:rsidR="00110851" w:rsidRDefault="0011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606ACE2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5D1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5D11">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D3A33" w14:textId="77777777" w:rsidR="00110851" w:rsidRDefault="00110851">
      <w:r>
        <w:separator/>
      </w:r>
    </w:p>
  </w:footnote>
  <w:footnote w:type="continuationSeparator" w:id="0">
    <w:p w14:paraId="4F7A2526" w14:textId="77777777" w:rsidR="00110851" w:rsidRDefault="0011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A6DE7"/>
    <w:multiLevelType w:val="hybridMultilevel"/>
    <w:tmpl w:val="5C9079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5A16"/>
    <w:rsid w:val="001061B4"/>
    <w:rsid w:val="00110851"/>
    <w:rsid w:val="00124618"/>
    <w:rsid w:val="0018067F"/>
    <w:rsid w:val="00204042"/>
    <w:rsid w:val="00204838"/>
    <w:rsid w:val="00206283"/>
    <w:rsid w:val="00261933"/>
    <w:rsid w:val="002732C0"/>
    <w:rsid w:val="002C3F28"/>
    <w:rsid w:val="002C66D6"/>
    <w:rsid w:val="005C677A"/>
    <w:rsid w:val="006534F5"/>
    <w:rsid w:val="00687727"/>
    <w:rsid w:val="007A699C"/>
    <w:rsid w:val="0083657F"/>
    <w:rsid w:val="00852838"/>
    <w:rsid w:val="008D2987"/>
    <w:rsid w:val="00994C72"/>
    <w:rsid w:val="009A3A95"/>
    <w:rsid w:val="00A7113E"/>
    <w:rsid w:val="00AA476E"/>
    <w:rsid w:val="00AE1CF9"/>
    <w:rsid w:val="00AF3F59"/>
    <w:rsid w:val="00B73C19"/>
    <w:rsid w:val="00BC5D11"/>
    <w:rsid w:val="00C255C0"/>
    <w:rsid w:val="00CC385D"/>
    <w:rsid w:val="00D51B4B"/>
    <w:rsid w:val="00DF4831"/>
    <w:rsid w:val="00E13F66"/>
    <w:rsid w:val="00E24527"/>
    <w:rsid w:val="00E46CBC"/>
    <w:rsid w:val="00EA6E35"/>
    <w:rsid w:val="00EB7A75"/>
    <w:rsid w:val="00EE3E18"/>
    <w:rsid w:val="00F07961"/>
    <w:rsid w:val="00FB6D6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C7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73C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618987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38</cp:revision>
  <dcterms:created xsi:type="dcterms:W3CDTF">2026-03-24T06:15:00Z</dcterms:created>
  <dcterms:modified xsi:type="dcterms:W3CDTF">2026-05-11T08:04:00Z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