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15B289"/>
    <w:p w14:paraId="1906B94D">
      <w:pPr>
        <w:jc w:val="center"/>
        <w:rPr>
          <w:b/>
          <w:bCs/>
        </w:rPr>
      </w:pPr>
      <w:r>
        <w:rPr>
          <w:b/>
          <w:bCs/>
        </w:rPr>
        <w:t>Proximate analysis of the leaves and fruits of some selected Solanaceous species</w:t>
      </w:r>
    </w:p>
    <w:p w14:paraId="25677AD9">
      <w:pPr>
        <w:tabs>
          <w:tab w:val="left" w:pos="416"/>
        </w:tabs>
        <w:spacing w:after="0" w:line="240" w:lineRule="auto"/>
        <w:rPr>
          <w:b/>
          <w:bCs/>
        </w:rPr>
      </w:pPr>
    </w:p>
    <w:p w14:paraId="68023A07">
      <w:pPr>
        <w:tabs>
          <w:tab w:val="left" w:pos="416"/>
        </w:tabs>
        <w:spacing w:after="0" w:line="240" w:lineRule="auto"/>
        <w:rPr>
          <w:b/>
          <w:bCs/>
        </w:rPr>
      </w:pPr>
    </w:p>
    <w:p w14:paraId="6961EE9D">
      <w:pPr>
        <w:tabs>
          <w:tab w:val="left" w:pos="416"/>
        </w:tabs>
        <w:spacing w:after="0" w:line="240" w:lineRule="auto"/>
        <w:rPr>
          <w:b/>
          <w:bCs/>
        </w:rPr>
      </w:pPr>
      <w:r>
        <w:rPr>
          <w:b/>
          <w:bCs/>
        </w:rPr>
        <w:t xml:space="preserve">Abstracts </w:t>
      </w:r>
    </w:p>
    <w:p w14:paraId="21B68984">
      <w:pPr>
        <w:tabs>
          <w:tab w:val="left" w:pos="416"/>
        </w:tabs>
        <w:spacing w:after="0" w:line="240" w:lineRule="auto"/>
        <w:jc w:val="both"/>
        <w:rPr>
          <w:sz w:val="20"/>
          <w:szCs w:val="20"/>
        </w:rPr>
      </w:pPr>
      <w:r>
        <w:rPr>
          <w:sz w:val="20"/>
          <w:szCs w:val="20"/>
        </w:rPr>
        <w:t xml:space="preserve">The present study aimed to evaluate the proximate composition of leaves and fruits of selected solanaceous species collected from different regions of Sudan. Plant samples were collected, taxonomically identified, and subjected to proximate analysis, including determination of moisture, ash, crude protein, crude fat, crude fiber, and carbohydrate components using standard AOAC methods. The result revealed significant variation in nutritional composition among spices and between plant organs .moisture content ranged from 5.73-8.35 % in leaves and 2.90-4.20% in fruits. Ash content was considerably higher in leaves (12.94-30.40%) compared to fruits (0.001-1-0095)., indicating greater mineral accumulation in vegetative tissues. Crude protein content varied from 14.00-27.12 % in leaves and 3.00-6.50% in fruits, with </w:t>
      </w:r>
      <w:r>
        <w:rPr>
          <w:i/>
          <w:iCs/>
          <w:sz w:val="20"/>
          <w:szCs w:val="20"/>
        </w:rPr>
        <w:t>Datura innoxia</w:t>
      </w:r>
      <w:r>
        <w:rPr>
          <w:sz w:val="20"/>
          <w:szCs w:val="20"/>
        </w:rPr>
        <w:t xml:space="preserve"> and </w:t>
      </w:r>
      <w:r>
        <w:rPr>
          <w:i/>
          <w:iCs/>
          <w:sz w:val="20"/>
          <w:szCs w:val="20"/>
        </w:rPr>
        <w:t>Solanum schimperianum</w:t>
      </w:r>
      <w:r>
        <w:rPr>
          <w:sz w:val="20"/>
          <w:szCs w:val="20"/>
        </w:rPr>
        <w:t xml:space="preserve"> exhibiting the highest protein levels. Crude fat content was generally low, ranging from 1.74-5.85% in leaves and 1.005-5.00% in fruits. Crude fiber content ranged from 7.22-23-52% in leaves and 2.01-2.41% in fruits, while carbohydrate content varied from 24.24.21-40.53% in leaves and 3.00-6.60%in fruits. Overall, leaves demonstrated higher nutritional value than fruits, particularly in terms of protein, mineral, and fiber, whereas fruits contributed moderate carbohydrate content. The findings highlight the nutritional potential of these solanaceous species and support their possible utilization as alternative source of nutrients, contributing to food security and dietary diversification in Sudan. </w:t>
      </w:r>
    </w:p>
    <w:p w14:paraId="71787C46">
      <w:pPr>
        <w:tabs>
          <w:tab w:val="left" w:pos="416"/>
        </w:tabs>
        <w:spacing w:after="0" w:line="240" w:lineRule="auto"/>
        <w:jc w:val="both"/>
        <w:rPr>
          <w:sz w:val="20"/>
          <w:szCs w:val="20"/>
        </w:rPr>
      </w:pPr>
      <w:r>
        <w:rPr>
          <w:sz w:val="20"/>
          <w:szCs w:val="20"/>
        </w:rPr>
        <w:t xml:space="preserve">Keywords: </w:t>
      </w:r>
      <w:r>
        <w:rPr>
          <w:i/>
          <w:iCs/>
          <w:sz w:val="20"/>
          <w:szCs w:val="20"/>
        </w:rPr>
        <w:t>Solanaceae</w:t>
      </w:r>
      <w:r>
        <w:rPr>
          <w:sz w:val="20"/>
          <w:szCs w:val="20"/>
        </w:rPr>
        <w:t>; Proximate analysis, Nutritional composition; leaves; Fruits; Sudan; food security.</w:t>
      </w:r>
    </w:p>
    <w:p w14:paraId="35E24EFD">
      <w:pPr>
        <w:jc w:val="both"/>
        <w:rPr>
          <w:b/>
          <w:bCs/>
          <w:sz w:val="20"/>
          <w:szCs w:val="20"/>
        </w:rPr>
      </w:pPr>
    </w:p>
    <w:p w14:paraId="0E67F5BD">
      <w:pPr>
        <w:jc w:val="center"/>
        <w:rPr>
          <w:b/>
          <w:bCs/>
        </w:rPr>
      </w:pPr>
    </w:p>
    <w:p w14:paraId="7F2E757D">
      <w:pPr>
        <w:rPr>
          <w:b/>
          <w:bCs/>
        </w:rPr>
      </w:pPr>
    </w:p>
    <w:p w14:paraId="3EF0B8CB">
      <w:pPr>
        <w:spacing w:after="0" w:line="240" w:lineRule="auto"/>
        <w:rPr>
          <w:b/>
          <w:bCs/>
        </w:rPr>
      </w:pPr>
      <w:r>
        <w:rPr>
          <w:b/>
          <w:bCs/>
        </w:rPr>
        <w:t xml:space="preserve">1. Introduction </w:t>
      </w:r>
    </w:p>
    <w:p w14:paraId="6802DCE9">
      <w:pPr>
        <w:spacing w:after="0" w:line="360" w:lineRule="auto"/>
        <w:jc w:val="both"/>
        <w:rPr>
          <w:color w:val="558ED5" w:themeColor="text2" w:themeTint="99"/>
          <w14:textFill>
            <w14:solidFill>
              <w14:schemeClr w14:val="tx2">
                <w14:lumMod w14:val="60000"/>
                <w14:lumOff w14:val="40000"/>
              </w14:schemeClr>
            </w14:solidFill>
          </w14:textFill>
        </w:rPr>
      </w:pPr>
      <w:r>
        <w:t xml:space="preserve"> The family </w:t>
      </w:r>
      <w:r>
        <w:rPr>
          <w:i/>
          <w:iCs/>
        </w:rPr>
        <w:t xml:space="preserve">Solanaceae </w:t>
      </w:r>
      <w:r>
        <w:t xml:space="preserve">is one of the most economically and pharmacologically important plant families, comprising approximately 98 genera and over 2,700 species distributed worldwide particularly in tropical and subtropical regions. Several members of this family, including </w:t>
      </w:r>
      <w:r>
        <w:rPr>
          <w:i/>
          <w:iCs/>
        </w:rPr>
        <w:t>Capsicum annuum</w:t>
      </w:r>
      <w:r>
        <w:t xml:space="preserve">, </w:t>
      </w:r>
      <w:r>
        <w:rPr>
          <w:i/>
          <w:iCs/>
        </w:rPr>
        <w:t xml:space="preserve">Solanum </w:t>
      </w:r>
      <w:r>
        <w:t xml:space="preserve">spp., and </w:t>
      </w:r>
      <w:r>
        <w:rPr>
          <w:i/>
          <w:iCs/>
        </w:rPr>
        <w:t>Physalis angulata,</w:t>
      </w:r>
      <w:r>
        <w:t xml:space="preserve"> are widely utilized as food crops, while others such as </w:t>
      </w:r>
      <w:r>
        <w:rPr>
          <w:i/>
          <w:iCs/>
        </w:rPr>
        <w:t xml:space="preserve">Datura </w:t>
      </w:r>
      <w:r>
        <w:t xml:space="preserve">spp., </w:t>
      </w:r>
      <w:r>
        <w:rPr>
          <w:i/>
          <w:iCs/>
        </w:rPr>
        <w:t>Hyoscyamus muticus</w:t>
      </w:r>
      <w:r>
        <w:t xml:space="preserve">, and </w:t>
      </w:r>
      <w:r>
        <w:rPr>
          <w:i/>
          <w:iCs/>
        </w:rPr>
        <w:t>Withania somnifera</w:t>
      </w:r>
      <w:r>
        <w:t xml:space="preserve"> are recognized for their medicinal properties.in addition to their ethnobotanical significance, Solanaceous species are rich source of bioactive compounds, including alkaloids, flavonoids, and phenolics, which contribute to their nutritional and therapeutic value</w:t>
      </w:r>
      <w:r>
        <w:rPr>
          <w:color w:val="FF0000"/>
        </w:rPr>
        <w:t xml:space="preserve"> </w:t>
      </w:r>
      <w:r>
        <w:rPr>
          <w:color w:val="558ED5" w:themeColor="text2" w:themeTint="99"/>
          <w14:textFill>
            <w14:solidFill>
              <w14:schemeClr w14:val="tx2">
                <w14:lumMod w14:val="60000"/>
                <w14:lumOff w14:val="40000"/>
              </w14:schemeClr>
            </w14:solidFill>
          </w14:textFill>
        </w:rPr>
        <w:t xml:space="preserve">(.Kushwaha and Tiwari, 2025; Jan </w:t>
      </w:r>
      <w:r>
        <w:rPr>
          <w:i/>
          <w:iCs/>
          <w:color w:val="558ED5" w:themeColor="text2" w:themeTint="99"/>
          <w14:textFill>
            <w14:solidFill>
              <w14:schemeClr w14:val="tx2">
                <w14:lumMod w14:val="60000"/>
                <w14:lumOff w14:val="40000"/>
              </w14:schemeClr>
            </w14:solidFill>
          </w14:textFill>
        </w:rPr>
        <w:t>et al</w:t>
      </w:r>
      <w:r>
        <w:rPr>
          <w:color w:val="558ED5" w:themeColor="text2" w:themeTint="99"/>
          <w14:textFill>
            <w14:solidFill>
              <w14:schemeClr w14:val="tx2">
                <w14:lumMod w14:val="60000"/>
                <w14:lumOff w14:val="40000"/>
              </w14:schemeClr>
            </w14:solidFill>
          </w14:textFill>
        </w:rPr>
        <w:t xml:space="preserve">., 2024; Yadav and  Koshi, 2022; Ralte </w:t>
      </w:r>
      <w:r>
        <w:rPr>
          <w:i/>
          <w:iCs/>
          <w:color w:val="558ED5" w:themeColor="text2" w:themeTint="99"/>
          <w14:textFill>
            <w14:solidFill>
              <w14:schemeClr w14:val="tx2">
                <w14:lumMod w14:val="60000"/>
                <w14:lumOff w14:val="40000"/>
              </w14:schemeClr>
            </w14:solidFill>
          </w14:textFill>
        </w:rPr>
        <w:t>et al</w:t>
      </w:r>
      <w:r>
        <w:rPr>
          <w:color w:val="558ED5" w:themeColor="text2" w:themeTint="99"/>
          <w14:textFill>
            <w14:solidFill>
              <w14:schemeClr w14:val="tx2">
                <w14:lumMod w14:val="60000"/>
                <w14:lumOff w14:val="40000"/>
              </w14:schemeClr>
            </w14:solidFill>
          </w14:textFill>
        </w:rPr>
        <w:t>., 2021).</w:t>
      </w:r>
    </w:p>
    <w:p w14:paraId="6ED18298">
      <w:pPr>
        <w:spacing w:after="0" w:line="360" w:lineRule="auto"/>
        <w:jc w:val="both"/>
        <w:rPr>
          <w:color w:val="FF0000"/>
        </w:rPr>
      </w:pPr>
      <w:r>
        <w:t xml:space="preserve">Proximate analysis is a fundamental approach for evaluating the nutritional composition of plant materials, providing essential information on major constituents such as moisture, ash, crude protein, crude fat, crude fiber, and carbohydrates. These parameters are critical for assessing the dietary potential of plant species and their suitability for use in food, pharmaceutical, and industrial application. Variation in proximate composition are influenced by multiple factors, including species diversity, plant organ, environmental conditions, and geographical distribution ( </w:t>
      </w:r>
      <w:r>
        <w:rPr>
          <w:color w:val="558ED5" w:themeColor="text2" w:themeTint="99"/>
          <w14:textFill>
            <w14:solidFill>
              <w14:schemeClr w14:val="tx2">
                <w14:lumMod w14:val="60000"/>
                <w14:lumOff w14:val="40000"/>
              </w14:schemeClr>
            </w14:solidFill>
          </w14:textFill>
        </w:rPr>
        <w:t xml:space="preserve">Shahid et al., 2023; Quadri </w:t>
      </w:r>
      <w:r>
        <w:rPr>
          <w:i/>
          <w:iCs/>
          <w:color w:val="558ED5" w:themeColor="text2" w:themeTint="99"/>
          <w14:textFill>
            <w14:solidFill>
              <w14:schemeClr w14:val="tx2">
                <w14:lumMod w14:val="60000"/>
                <w14:lumOff w14:val="40000"/>
              </w14:schemeClr>
            </w14:solidFill>
          </w14:textFill>
        </w:rPr>
        <w:t>et al.,</w:t>
      </w:r>
      <w:r>
        <w:rPr>
          <w:color w:val="558ED5" w:themeColor="text2" w:themeTint="99"/>
          <w14:textFill>
            <w14:solidFill>
              <w14:schemeClr w14:val="tx2">
                <w14:lumMod w14:val="60000"/>
                <w14:lumOff w14:val="40000"/>
              </w14:schemeClr>
            </w14:solidFill>
          </w14:textFill>
        </w:rPr>
        <w:t xml:space="preserve"> 2021</w:t>
      </w:r>
      <w:r>
        <w:rPr>
          <w:color w:val="FF0000"/>
        </w:rPr>
        <w:t xml:space="preserve">). </w:t>
      </w:r>
    </w:p>
    <w:p w14:paraId="5522A987">
      <w:pPr>
        <w:spacing w:after="0" w:line="360" w:lineRule="auto"/>
        <w:jc w:val="both"/>
      </w:pPr>
      <w:r>
        <w:t xml:space="preserve"> In Sudan, the flora of </w:t>
      </w:r>
      <w:r>
        <w:rPr>
          <w:i/>
          <w:iCs/>
        </w:rPr>
        <w:t>Solanaceae</w:t>
      </w:r>
      <w:r>
        <w:t xml:space="preserve"> is diverse and adapted to wide range of ecological zones, from arid and semi-arid regions to more humid environments. Despite the abundance and traditional utilization of many solanaceous species in Sudanese communities, comprehensive data on their nutritional composition remain limited. This gap is particularly evident for wild and underutilized species. Whose potential contributions to food security and nutritional health have not been fully explored.</w:t>
      </w:r>
    </w:p>
    <w:p w14:paraId="1DB78C3A">
      <w:pPr>
        <w:spacing w:after="0" w:line="360" w:lineRule="auto"/>
        <w:jc w:val="both"/>
      </w:pPr>
      <w:r>
        <w:t>Leaves and fruits represent two functionally distinct plant organs with differing metabolic roles, which is often reflected in their chemical compositions. Leaves are generally associated with higher protein, mineral (ash) , and fiber contents due to their involvement in photosynthesis and metabolic activity</w:t>
      </w:r>
    </w:p>
    <w:p w14:paraId="7862FE94">
      <w:pPr>
        <w:spacing w:after="0" w:line="360" w:lineRule="auto"/>
        <w:jc w:val="both"/>
      </w:pPr>
      <w:commentRangeStart w:id="0"/>
      <w:r>
        <w:rPr>
          <w:color w:val="558ED5" w:themeColor="text2" w:themeTint="99"/>
          <w14:textFill>
            <w14:solidFill>
              <w14:schemeClr w14:val="tx2">
                <w14:lumMod w14:val="60000"/>
                <w14:lumOff w14:val="40000"/>
              </w14:schemeClr>
            </w14:solidFill>
          </w14:textFill>
        </w:rPr>
        <w:t>(Bhatla and Kathpalia; Uzoekwe, and Ezenwajiugo, 2023;</w:t>
      </w:r>
      <w:r>
        <w:t xml:space="preserve"> </w:t>
      </w:r>
      <w:r>
        <w:rPr>
          <w:color w:val="558ED5" w:themeColor="text2" w:themeTint="99"/>
          <w14:textFill>
            <w14:solidFill>
              <w14:schemeClr w14:val="tx2">
                <w14:lumMod w14:val="60000"/>
                <w14:lumOff w14:val="40000"/>
              </w14:schemeClr>
            </w14:solidFill>
          </w14:textFill>
        </w:rPr>
        <w:t xml:space="preserve">Kumar </w:t>
      </w:r>
      <w:r>
        <w:rPr>
          <w:i/>
          <w:iCs/>
          <w:color w:val="558ED5" w:themeColor="text2" w:themeTint="99"/>
          <w14:textFill>
            <w14:solidFill>
              <w14:schemeClr w14:val="tx2">
                <w14:lumMod w14:val="60000"/>
                <w14:lumOff w14:val="40000"/>
              </w14:schemeClr>
            </w14:solidFill>
          </w14:textFill>
        </w:rPr>
        <w:t>et al.,</w:t>
      </w:r>
      <w:r>
        <w:rPr>
          <w:color w:val="558ED5" w:themeColor="text2" w:themeTint="99"/>
          <w14:textFill>
            <w14:solidFill>
              <w14:schemeClr w14:val="tx2">
                <w14:lumMod w14:val="60000"/>
                <w14:lumOff w14:val="40000"/>
              </w14:schemeClr>
            </w14:solidFill>
          </w14:textFill>
        </w:rPr>
        <w:t xml:space="preserve"> 2022)</w:t>
      </w:r>
      <w:r>
        <w:t>,</w:t>
      </w:r>
      <w:commentRangeEnd w:id="0"/>
      <w:r>
        <w:commentReference w:id="0"/>
      </w:r>
      <w:r>
        <w:t xml:space="preserve"> whereas fruits tend to accumulate carbohydrates and water to support seed development and dispersal</w:t>
      </w:r>
      <w:r>
        <w:rPr>
          <w:color w:val="8EB4E3" w:themeColor="text2" w:themeTint="66"/>
          <w14:textFill>
            <w14:solidFill>
              <w14:schemeClr w14:val="tx2">
                <w14:lumMod w14:val="40000"/>
                <w14:lumOff w14:val="60000"/>
              </w14:schemeClr>
            </w14:solidFill>
          </w14:textFill>
        </w:rPr>
        <w:t xml:space="preserve"> (Aguirre et al., 2018      ; Crang  </w:t>
      </w:r>
      <w:r>
        <w:rPr>
          <w:i/>
          <w:iCs/>
          <w:color w:val="8EB4E3" w:themeColor="text2" w:themeTint="66"/>
          <w14:textFill>
            <w14:solidFill>
              <w14:schemeClr w14:val="tx2">
                <w14:lumMod w14:val="40000"/>
                <w14:lumOff w14:val="60000"/>
              </w14:schemeClr>
            </w14:solidFill>
          </w14:textFill>
        </w:rPr>
        <w:t>et al;</w:t>
      </w:r>
      <w:r>
        <w:rPr>
          <w:color w:val="8EB4E3" w:themeColor="text2" w:themeTint="66"/>
          <w14:textFill>
            <w14:solidFill>
              <w14:schemeClr w14:val="tx2">
                <w14:lumMod w14:val="40000"/>
                <w14:lumOff w14:val="60000"/>
              </w14:schemeClr>
            </w14:solidFill>
          </w14:textFill>
        </w:rPr>
        <w:t xml:space="preserve">., 2018; Parolin </w:t>
      </w:r>
      <w:r>
        <w:rPr>
          <w:i/>
          <w:iCs/>
          <w:color w:val="8EB4E3" w:themeColor="text2" w:themeTint="66"/>
          <w14:textFill>
            <w14:solidFill>
              <w14:schemeClr w14:val="tx2">
                <w14:lumMod w14:val="40000"/>
                <w14:lumOff w14:val="60000"/>
              </w14:schemeClr>
            </w14:solidFill>
          </w14:textFill>
        </w:rPr>
        <w:t>et al.,</w:t>
      </w:r>
      <w:r>
        <w:rPr>
          <w:color w:val="8EB4E3" w:themeColor="text2" w:themeTint="66"/>
          <w14:textFill>
            <w14:solidFill>
              <w14:schemeClr w14:val="tx2">
                <w14:lumMod w14:val="40000"/>
                <w14:lumOff w14:val="60000"/>
              </w14:schemeClr>
            </w14:solidFill>
          </w14:textFill>
        </w:rPr>
        <w:t xml:space="preserve"> 2010)</w:t>
      </w:r>
      <w:r>
        <w:t>. Therefore, comparative analysis of these organs provides valuable insights into the nutritional allocation strategies of plants.</w:t>
      </w:r>
    </w:p>
    <w:p w14:paraId="689BC129">
      <w:pPr>
        <w:spacing w:after="0" w:line="360" w:lineRule="auto"/>
        <w:jc w:val="both"/>
      </w:pPr>
      <w:r>
        <w:t xml:space="preserve">The present study aims to evaluate the proximate composition of leaves and fruits of selected Solanaceous species collected from different regions of Sudan using standard AOAC methods. By comparing the nutritional profiles of these species, this work seeks to highlight their potential as alternative source of nutrients and contribute to the growing body of knowledge on Sudanese plant resources. </w:t>
      </w:r>
    </w:p>
    <w:p w14:paraId="0B28C251">
      <w:pPr>
        <w:rPr>
          <w:b/>
          <w:bCs/>
        </w:rPr>
      </w:pPr>
    </w:p>
    <w:p w14:paraId="69179169">
      <w:pPr>
        <w:spacing w:after="0" w:line="240" w:lineRule="auto"/>
        <w:rPr>
          <w:b/>
          <w:bCs/>
        </w:rPr>
      </w:pPr>
      <w:r>
        <w:rPr>
          <w:b/>
          <w:bCs/>
        </w:rPr>
        <w:t>2. Material and Methods</w:t>
      </w:r>
    </w:p>
    <w:p w14:paraId="469E93C2">
      <w:pPr>
        <w:spacing w:after="0" w:line="240" w:lineRule="auto"/>
        <w:rPr>
          <w:b/>
          <w:bCs/>
        </w:rPr>
      </w:pPr>
      <w:r>
        <w:rPr>
          <w:b/>
          <w:bCs/>
        </w:rPr>
        <w:t xml:space="preserve">2.1. Sites of the collection </w:t>
      </w:r>
    </w:p>
    <w:p w14:paraId="143BE090">
      <w:r>
        <w:rPr>
          <w:b/>
          <w:bCs/>
        </w:rPr>
        <w:t xml:space="preserve"> </w:t>
      </w:r>
      <w:r>
        <w:t>The collection process includes different regions of Sudan as following:</w:t>
      </w:r>
    </w:p>
    <w:p w14:paraId="7669D2E3">
      <w:pPr>
        <w:tabs>
          <w:tab w:val="left" w:pos="2055"/>
        </w:tabs>
      </w:pPr>
      <w:r>
        <w:rPr>
          <w:b/>
          <w:bCs/>
        </w:rPr>
        <w:t xml:space="preserve">      </w:t>
      </w:r>
      <w:r>
        <w:t>Table 1: the studied species and Coordination of the collection sites.</w:t>
      </w:r>
    </w:p>
    <w:tbl>
      <w:tblPr>
        <w:tblStyle w:val="12"/>
        <w:tblW w:w="10630" w:type="dxa"/>
        <w:tblInd w:w="0" w:type="dxa"/>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0" w:space="0"/>
          <w:insideV w:val="none" w:color="auto" w:sz="0" w:space="0"/>
        </w:tblBorders>
        <w:tblLayout w:type="autofit"/>
        <w:tblCellMar>
          <w:top w:w="0" w:type="dxa"/>
          <w:left w:w="108" w:type="dxa"/>
          <w:bottom w:w="0" w:type="dxa"/>
          <w:right w:w="108" w:type="dxa"/>
        </w:tblCellMar>
      </w:tblPr>
      <w:tblGrid>
        <w:gridCol w:w="2507"/>
        <w:gridCol w:w="4608"/>
        <w:gridCol w:w="3515"/>
      </w:tblGrid>
      <w:tr w14:paraId="6EB919BA">
        <w:tblPrEx>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0" w:space="0"/>
            <w:insideV w:val="none" w:color="auto" w:sz="0" w:space="0"/>
          </w:tblBorders>
          <w:tblCellMar>
            <w:top w:w="0" w:type="dxa"/>
            <w:left w:w="108" w:type="dxa"/>
            <w:bottom w:w="0" w:type="dxa"/>
            <w:right w:w="108" w:type="dxa"/>
          </w:tblCellMar>
        </w:tblPrEx>
        <w:trPr>
          <w:trHeight w:val="116" w:hRule="atLeast"/>
        </w:trPr>
        <w:tc>
          <w:tcPr>
            <w:tcW w:w="2507" w:type="dxa"/>
            <w:shd w:val="clear" w:color="auto" w:fill="000000" w:themeFill="text1"/>
          </w:tcPr>
          <w:p w14:paraId="7E297744">
            <w:pPr>
              <w:spacing w:before="0" w:after="0" w:line="240" w:lineRule="auto"/>
              <w:rPr>
                <w:b w:val="0"/>
                <w:bCs w:val="0"/>
                <w:color w:val="FFFFFF" w:themeColor="background1"/>
                <w14:textFill>
                  <w14:solidFill>
                    <w14:schemeClr w14:val="bg1"/>
                  </w14:solidFill>
                </w14:textFill>
              </w:rPr>
            </w:pPr>
            <w:r>
              <w:rPr>
                <w:b/>
                <w:bCs/>
                <w:color w:val="FFFFFF" w:themeColor="background1"/>
                <w14:textFill>
                  <w14:solidFill>
                    <w14:schemeClr w14:val="bg1"/>
                  </w14:solidFill>
                </w14:textFill>
              </w:rPr>
              <w:t>Plant species</w:t>
            </w:r>
          </w:p>
        </w:tc>
        <w:tc>
          <w:tcPr>
            <w:tcW w:w="4608" w:type="dxa"/>
            <w:shd w:val="clear" w:color="auto" w:fill="000000" w:themeFill="text1"/>
          </w:tcPr>
          <w:p w14:paraId="581B385C">
            <w:pPr>
              <w:spacing w:before="0" w:after="0" w:line="240" w:lineRule="auto"/>
              <w:rPr>
                <w:b w:val="0"/>
                <w:bCs w:val="0"/>
                <w:color w:val="FFFFFF" w:themeColor="background1"/>
                <w14:textFill>
                  <w14:solidFill>
                    <w14:schemeClr w14:val="bg1"/>
                  </w14:solidFill>
                </w14:textFill>
              </w:rPr>
            </w:pPr>
            <w:r>
              <w:rPr>
                <w:b/>
                <w:bCs/>
                <w:color w:val="FFFFFF" w:themeColor="background1"/>
                <w14:textFill>
                  <w14:solidFill>
                    <w14:schemeClr w14:val="bg1"/>
                  </w14:solidFill>
                </w14:textFill>
              </w:rPr>
              <w:t>Site</w:t>
            </w:r>
          </w:p>
        </w:tc>
        <w:tc>
          <w:tcPr>
            <w:tcW w:w="3515" w:type="dxa"/>
            <w:shd w:val="clear" w:color="auto" w:fill="000000" w:themeFill="text1"/>
          </w:tcPr>
          <w:p w14:paraId="07CC7431">
            <w:pPr>
              <w:spacing w:before="0" w:after="0" w:line="240" w:lineRule="auto"/>
              <w:rPr>
                <w:b w:val="0"/>
                <w:bCs w:val="0"/>
                <w:color w:val="FFFFFF" w:themeColor="background1"/>
                <w14:textFill>
                  <w14:solidFill>
                    <w14:schemeClr w14:val="bg1"/>
                  </w14:solidFill>
                </w14:textFill>
              </w:rPr>
            </w:pPr>
            <w:r>
              <w:rPr>
                <w:b/>
                <w:bCs/>
                <w:color w:val="FFFFFF" w:themeColor="background1"/>
                <w14:textFill>
                  <w14:solidFill>
                    <w14:schemeClr w14:val="bg1"/>
                  </w14:solidFill>
                </w14:textFill>
              </w:rPr>
              <w:t>Coordination</w:t>
            </w:r>
          </w:p>
        </w:tc>
      </w:tr>
      <w:tr w14:paraId="1F6DD905">
        <w:tblPrEx>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0" w:space="0"/>
            <w:insideV w:val="none" w:color="auto" w:sz="0" w:space="0"/>
          </w:tblBorders>
          <w:tblCellMar>
            <w:top w:w="0" w:type="dxa"/>
            <w:left w:w="108" w:type="dxa"/>
            <w:bottom w:w="0" w:type="dxa"/>
            <w:right w:w="108" w:type="dxa"/>
          </w:tblCellMar>
        </w:tblPrEx>
        <w:trPr>
          <w:trHeight w:val="116" w:hRule="atLeast"/>
        </w:trPr>
        <w:tc>
          <w:tcPr>
            <w:tcW w:w="2507" w:type="dxa"/>
            <w:tcBorders>
              <w:top w:val="single" w:color="000000" w:themeColor="text1" w:sz="8" w:space="0"/>
              <w:left w:val="single" w:color="000000" w:themeColor="text1" w:sz="8" w:space="0"/>
              <w:bottom w:val="single" w:color="000000" w:themeColor="text1" w:sz="8" w:space="0"/>
              <w:insideH w:val="single" w:sz="8" w:space="0"/>
            </w:tcBorders>
          </w:tcPr>
          <w:p w14:paraId="166E10C1">
            <w:pPr>
              <w:spacing w:after="0" w:line="240" w:lineRule="auto"/>
              <w:rPr>
                <w:b w:val="0"/>
                <w:bCs w:val="0"/>
                <w:i/>
                <w:iCs/>
              </w:rPr>
            </w:pPr>
            <w:r>
              <w:rPr>
                <w:b w:val="0"/>
                <w:bCs w:val="0"/>
                <w:i/>
                <w:iCs/>
              </w:rPr>
              <w:t>Capsicum annuum</w:t>
            </w:r>
          </w:p>
        </w:tc>
        <w:tc>
          <w:tcPr>
            <w:tcW w:w="4608" w:type="dxa"/>
            <w:tcBorders>
              <w:top w:val="single" w:color="000000" w:themeColor="text1" w:sz="8" w:space="0"/>
              <w:bottom w:val="single" w:color="000000" w:themeColor="text1" w:sz="8" w:space="0"/>
              <w:insideH w:val="single" w:sz="8" w:space="0"/>
            </w:tcBorders>
          </w:tcPr>
          <w:p w14:paraId="59114ADD">
            <w:pPr>
              <w:spacing w:after="0" w:line="240" w:lineRule="auto"/>
            </w:pPr>
            <w:r>
              <w:t>Blue Nile- El-Rossers.</w:t>
            </w:r>
          </w:p>
        </w:tc>
        <w:tc>
          <w:tcPr>
            <w:tcW w:w="3515" w:type="dxa"/>
            <w:tcBorders>
              <w:top w:val="single" w:color="000000" w:themeColor="text1" w:sz="8" w:space="0"/>
              <w:bottom w:val="single" w:color="000000" w:themeColor="text1" w:sz="8" w:space="0"/>
              <w:right w:val="single" w:color="000000" w:themeColor="text1" w:sz="8" w:space="0"/>
              <w:insideH w:val="single" w:sz="8" w:space="0"/>
            </w:tcBorders>
          </w:tcPr>
          <w:p w14:paraId="5FFAE460">
            <w:pPr>
              <w:spacing w:after="0" w:line="240" w:lineRule="auto"/>
            </w:pPr>
            <w:r>
              <w:t>11°47′20″ N 34°21′33″E</w:t>
            </w:r>
          </w:p>
        </w:tc>
      </w:tr>
      <w:tr w14:paraId="40368603">
        <w:tblPrEx>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0" w:space="0"/>
            <w:insideV w:val="none" w:color="auto" w:sz="0" w:space="0"/>
          </w:tblBorders>
          <w:tblCellMar>
            <w:top w:w="0" w:type="dxa"/>
            <w:left w:w="108" w:type="dxa"/>
            <w:bottom w:w="0" w:type="dxa"/>
            <w:right w:w="108" w:type="dxa"/>
          </w:tblCellMar>
        </w:tblPrEx>
        <w:trPr>
          <w:trHeight w:val="68" w:hRule="atLeast"/>
        </w:trPr>
        <w:tc>
          <w:tcPr>
            <w:tcW w:w="2507" w:type="dxa"/>
          </w:tcPr>
          <w:p w14:paraId="6BA532F5">
            <w:pPr>
              <w:spacing w:after="0" w:line="240" w:lineRule="auto"/>
              <w:rPr>
                <w:b w:val="0"/>
                <w:bCs w:val="0"/>
                <w:i/>
                <w:iCs/>
              </w:rPr>
            </w:pPr>
            <w:r>
              <w:rPr>
                <w:b w:val="0"/>
                <w:bCs w:val="0"/>
                <w:i/>
                <w:iCs/>
              </w:rPr>
              <w:t xml:space="preserve">Datura ferox </w:t>
            </w:r>
          </w:p>
        </w:tc>
        <w:tc>
          <w:tcPr>
            <w:tcW w:w="4608" w:type="dxa"/>
            <w:vMerge w:val="restart"/>
          </w:tcPr>
          <w:p w14:paraId="5A64811B">
            <w:pPr>
              <w:spacing w:after="0" w:line="240" w:lineRule="auto"/>
            </w:pPr>
            <w:r>
              <w:t>Khartoum –Tutti island</w:t>
            </w:r>
          </w:p>
        </w:tc>
        <w:tc>
          <w:tcPr>
            <w:tcW w:w="3515" w:type="dxa"/>
            <w:vMerge w:val="restart"/>
          </w:tcPr>
          <w:p w14:paraId="08F52CF0">
            <w:pPr>
              <w:spacing w:after="0" w:line="240" w:lineRule="auto"/>
            </w:pPr>
            <w:r>
              <w:t>15° 37' 0" N 32° 31' 0" E</w:t>
            </w:r>
          </w:p>
        </w:tc>
      </w:tr>
      <w:tr w14:paraId="17576DBE">
        <w:tblPrEx>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0" w:space="0"/>
            <w:insideV w:val="none" w:color="auto" w:sz="0" w:space="0"/>
          </w:tblBorders>
          <w:tblCellMar>
            <w:top w:w="0" w:type="dxa"/>
            <w:left w:w="108" w:type="dxa"/>
            <w:bottom w:w="0" w:type="dxa"/>
            <w:right w:w="108" w:type="dxa"/>
          </w:tblCellMar>
        </w:tblPrEx>
        <w:trPr>
          <w:trHeight w:val="116" w:hRule="atLeast"/>
        </w:trPr>
        <w:tc>
          <w:tcPr>
            <w:tcW w:w="2507" w:type="dxa"/>
            <w:tcBorders>
              <w:top w:val="single" w:color="000000" w:themeColor="text1" w:sz="8" w:space="0"/>
              <w:left w:val="single" w:color="000000" w:themeColor="text1" w:sz="8" w:space="0"/>
              <w:bottom w:val="single" w:color="000000" w:themeColor="text1" w:sz="8" w:space="0"/>
              <w:insideH w:val="single" w:sz="8" w:space="0"/>
            </w:tcBorders>
          </w:tcPr>
          <w:p w14:paraId="2E8DEEAC">
            <w:pPr>
              <w:spacing w:after="0" w:line="240" w:lineRule="auto"/>
              <w:rPr>
                <w:b w:val="0"/>
                <w:bCs w:val="0"/>
                <w:i/>
                <w:iCs/>
              </w:rPr>
            </w:pPr>
            <w:r>
              <w:rPr>
                <w:b w:val="0"/>
                <w:bCs w:val="0"/>
                <w:i/>
                <w:iCs/>
              </w:rPr>
              <w:t xml:space="preserve">Datura innoxia </w:t>
            </w:r>
          </w:p>
        </w:tc>
        <w:tc>
          <w:tcPr>
            <w:tcW w:w="4608" w:type="dxa"/>
            <w:vMerge w:val="continue"/>
            <w:tcBorders>
              <w:top w:val="single" w:color="000000" w:themeColor="text1" w:sz="8" w:space="0"/>
              <w:bottom w:val="single" w:color="000000" w:themeColor="text1" w:sz="8" w:space="0"/>
              <w:insideH w:val="single" w:sz="8" w:space="0"/>
            </w:tcBorders>
          </w:tcPr>
          <w:p w14:paraId="2098421B">
            <w:pPr>
              <w:spacing w:after="0" w:line="240" w:lineRule="auto"/>
            </w:pPr>
          </w:p>
        </w:tc>
        <w:tc>
          <w:tcPr>
            <w:tcW w:w="3515" w:type="dxa"/>
            <w:vMerge w:val="continue"/>
            <w:tcBorders>
              <w:top w:val="single" w:color="000000" w:themeColor="text1" w:sz="8" w:space="0"/>
              <w:bottom w:val="single" w:color="000000" w:themeColor="text1" w:sz="8" w:space="0"/>
              <w:right w:val="single" w:color="000000" w:themeColor="text1" w:sz="8" w:space="0"/>
              <w:insideH w:val="single" w:sz="8" w:space="0"/>
            </w:tcBorders>
          </w:tcPr>
          <w:p w14:paraId="46C0E596">
            <w:pPr>
              <w:spacing w:after="0" w:line="240" w:lineRule="auto"/>
            </w:pPr>
          </w:p>
        </w:tc>
      </w:tr>
      <w:tr w14:paraId="6E5FC3AF">
        <w:tblPrEx>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0" w:space="0"/>
            <w:insideV w:val="none" w:color="auto" w:sz="0" w:space="0"/>
          </w:tblBorders>
          <w:tblCellMar>
            <w:top w:w="0" w:type="dxa"/>
            <w:left w:w="108" w:type="dxa"/>
            <w:bottom w:w="0" w:type="dxa"/>
            <w:right w:w="108" w:type="dxa"/>
          </w:tblCellMar>
        </w:tblPrEx>
        <w:trPr>
          <w:trHeight w:val="116" w:hRule="atLeast"/>
        </w:trPr>
        <w:tc>
          <w:tcPr>
            <w:tcW w:w="2507" w:type="dxa"/>
          </w:tcPr>
          <w:p w14:paraId="772C5323">
            <w:pPr>
              <w:spacing w:after="0" w:line="240" w:lineRule="auto"/>
              <w:rPr>
                <w:b w:val="0"/>
                <w:bCs w:val="0"/>
                <w:i/>
                <w:iCs/>
              </w:rPr>
            </w:pPr>
            <w:r>
              <w:rPr>
                <w:b w:val="0"/>
                <w:bCs w:val="0"/>
                <w:i/>
                <w:iCs/>
              </w:rPr>
              <w:t xml:space="preserve">Datura stramonium </w:t>
            </w:r>
          </w:p>
        </w:tc>
        <w:tc>
          <w:tcPr>
            <w:tcW w:w="4608" w:type="dxa"/>
            <w:vMerge w:val="continue"/>
          </w:tcPr>
          <w:p w14:paraId="3EA13D12">
            <w:pPr>
              <w:spacing w:after="0" w:line="240" w:lineRule="auto"/>
            </w:pPr>
          </w:p>
        </w:tc>
        <w:tc>
          <w:tcPr>
            <w:tcW w:w="3515" w:type="dxa"/>
            <w:vMerge w:val="continue"/>
          </w:tcPr>
          <w:p w14:paraId="0A2E784D">
            <w:pPr>
              <w:spacing w:after="0" w:line="240" w:lineRule="auto"/>
            </w:pPr>
          </w:p>
        </w:tc>
      </w:tr>
      <w:tr w14:paraId="200D4AD1">
        <w:tblPrEx>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0" w:space="0"/>
            <w:insideV w:val="none" w:color="auto" w:sz="0" w:space="0"/>
          </w:tblBorders>
          <w:tblCellMar>
            <w:top w:w="0" w:type="dxa"/>
            <w:left w:w="108" w:type="dxa"/>
            <w:bottom w:w="0" w:type="dxa"/>
            <w:right w:w="108" w:type="dxa"/>
          </w:tblCellMar>
        </w:tblPrEx>
        <w:trPr>
          <w:trHeight w:val="120" w:hRule="atLeast"/>
        </w:trPr>
        <w:tc>
          <w:tcPr>
            <w:tcW w:w="2507" w:type="dxa"/>
            <w:tcBorders>
              <w:top w:val="single" w:color="000000" w:themeColor="text1" w:sz="8" w:space="0"/>
              <w:left w:val="single" w:color="000000" w:themeColor="text1" w:sz="8" w:space="0"/>
              <w:bottom w:val="single" w:color="000000" w:themeColor="text1" w:sz="8" w:space="0"/>
              <w:insideH w:val="single" w:sz="8" w:space="0"/>
            </w:tcBorders>
          </w:tcPr>
          <w:p w14:paraId="3B27174E">
            <w:pPr>
              <w:spacing w:after="0" w:line="240" w:lineRule="auto"/>
              <w:rPr>
                <w:b w:val="0"/>
                <w:bCs w:val="0"/>
                <w:i/>
                <w:iCs/>
              </w:rPr>
            </w:pPr>
            <w:r>
              <w:rPr>
                <w:b w:val="0"/>
                <w:bCs w:val="0"/>
                <w:i/>
                <w:iCs/>
              </w:rPr>
              <w:t xml:space="preserve">Physalis  angulata </w:t>
            </w:r>
          </w:p>
        </w:tc>
        <w:tc>
          <w:tcPr>
            <w:tcW w:w="4608" w:type="dxa"/>
            <w:vMerge w:val="continue"/>
            <w:tcBorders>
              <w:top w:val="single" w:color="000000" w:themeColor="text1" w:sz="8" w:space="0"/>
              <w:bottom w:val="single" w:color="000000" w:themeColor="text1" w:sz="8" w:space="0"/>
              <w:insideH w:val="single" w:sz="8" w:space="0"/>
            </w:tcBorders>
          </w:tcPr>
          <w:p w14:paraId="5A6857CE">
            <w:pPr>
              <w:spacing w:after="0" w:line="240" w:lineRule="auto"/>
            </w:pPr>
          </w:p>
        </w:tc>
        <w:tc>
          <w:tcPr>
            <w:tcW w:w="3515" w:type="dxa"/>
            <w:vMerge w:val="continue"/>
            <w:tcBorders>
              <w:top w:val="single" w:color="000000" w:themeColor="text1" w:sz="8" w:space="0"/>
              <w:bottom w:val="single" w:color="000000" w:themeColor="text1" w:sz="8" w:space="0"/>
              <w:right w:val="single" w:color="000000" w:themeColor="text1" w:sz="8" w:space="0"/>
              <w:insideH w:val="single" w:sz="8" w:space="0"/>
            </w:tcBorders>
          </w:tcPr>
          <w:p w14:paraId="535B4164">
            <w:pPr>
              <w:spacing w:after="0" w:line="240" w:lineRule="auto"/>
            </w:pPr>
          </w:p>
        </w:tc>
      </w:tr>
      <w:tr w14:paraId="5173FF25">
        <w:tblPrEx>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0" w:space="0"/>
            <w:insideV w:val="none" w:color="auto" w:sz="0" w:space="0"/>
          </w:tblBorders>
          <w:tblCellMar>
            <w:top w:w="0" w:type="dxa"/>
            <w:left w:w="108" w:type="dxa"/>
            <w:bottom w:w="0" w:type="dxa"/>
            <w:right w:w="108" w:type="dxa"/>
          </w:tblCellMar>
        </w:tblPrEx>
        <w:trPr>
          <w:trHeight w:val="116" w:hRule="atLeast"/>
        </w:trPr>
        <w:tc>
          <w:tcPr>
            <w:tcW w:w="2507" w:type="dxa"/>
          </w:tcPr>
          <w:p w14:paraId="0F3152C3">
            <w:pPr>
              <w:spacing w:after="0" w:line="240" w:lineRule="auto"/>
              <w:rPr>
                <w:b w:val="0"/>
                <w:bCs w:val="0"/>
                <w:i/>
                <w:iCs/>
              </w:rPr>
            </w:pPr>
            <w:r>
              <w:rPr>
                <w:b w:val="0"/>
                <w:bCs w:val="0"/>
                <w:i/>
                <w:iCs/>
              </w:rPr>
              <w:t xml:space="preserve">Solanum americanum </w:t>
            </w:r>
          </w:p>
        </w:tc>
        <w:tc>
          <w:tcPr>
            <w:tcW w:w="4608" w:type="dxa"/>
            <w:vMerge w:val="continue"/>
          </w:tcPr>
          <w:p w14:paraId="3DB7C256">
            <w:pPr>
              <w:spacing w:after="0" w:line="240" w:lineRule="auto"/>
            </w:pPr>
          </w:p>
        </w:tc>
        <w:tc>
          <w:tcPr>
            <w:tcW w:w="3515" w:type="dxa"/>
            <w:vMerge w:val="continue"/>
          </w:tcPr>
          <w:p w14:paraId="12999FB0">
            <w:pPr>
              <w:spacing w:after="0" w:line="240" w:lineRule="auto"/>
            </w:pPr>
          </w:p>
        </w:tc>
      </w:tr>
      <w:tr w14:paraId="7BFB8612">
        <w:tblPrEx>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0" w:space="0"/>
            <w:insideV w:val="none" w:color="auto" w:sz="0" w:space="0"/>
          </w:tblBorders>
          <w:tblCellMar>
            <w:top w:w="0" w:type="dxa"/>
            <w:left w:w="108" w:type="dxa"/>
            <w:bottom w:w="0" w:type="dxa"/>
            <w:right w:w="108" w:type="dxa"/>
          </w:tblCellMar>
        </w:tblPrEx>
        <w:trPr>
          <w:trHeight w:val="116" w:hRule="atLeast"/>
        </w:trPr>
        <w:tc>
          <w:tcPr>
            <w:tcW w:w="2507" w:type="dxa"/>
            <w:tcBorders>
              <w:top w:val="single" w:color="000000" w:themeColor="text1" w:sz="8" w:space="0"/>
              <w:left w:val="single" w:color="000000" w:themeColor="text1" w:sz="8" w:space="0"/>
              <w:bottom w:val="single" w:color="000000" w:themeColor="text1" w:sz="8" w:space="0"/>
              <w:insideH w:val="single" w:sz="8" w:space="0"/>
            </w:tcBorders>
          </w:tcPr>
          <w:p w14:paraId="54C94F93">
            <w:pPr>
              <w:spacing w:after="0" w:line="240" w:lineRule="auto"/>
              <w:rPr>
                <w:b w:val="0"/>
                <w:bCs w:val="0"/>
                <w:i/>
                <w:iCs/>
              </w:rPr>
            </w:pPr>
            <w:r>
              <w:rPr>
                <w:b w:val="0"/>
                <w:bCs w:val="0"/>
                <w:i/>
                <w:iCs/>
              </w:rPr>
              <w:t xml:space="preserve"> Solanum dubium</w:t>
            </w:r>
          </w:p>
        </w:tc>
        <w:tc>
          <w:tcPr>
            <w:tcW w:w="4608" w:type="dxa"/>
            <w:vMerge w:val="continue"/>
            <w:tcBorders>
              <w:top w:val="single" w:color="000000" w:themeColor="text1" w:sz="8" w:space="0"/>
              <w:bottom w:val="single" w:color="000000" w:themeColor="text1" w:sz="8" w:space="0"/>
              <w:insideH w:val="single" w:sz="8" w:space="0"/>
            </w:tcBorders>
          </w:tcPr>
          <w:p w14:paraId="7B4DE0D7">
            <w:pPr>
              <w:spacing w:after="0" w:line="240" w:lineRule="auto"/>
            </w:pPr>
          </w:p>
        </w:tc>
        <w:tc>
          <w:tcPr>
            <w:tcW w:w="3515" w:type="dxa"/>
            <w:vMerge w:val="continue"/>
            <w:tcBorders>
              <w:top w:val="single" w:color="000000" w:themeColor="text1" w:sz="8" w:space="0"/>
              <w:bottom w:val="single" w:color="000000" w:themeColor="text1" w:sz="8" w:space="0"/>
              <w:right w:val="single" w:color="000000" w:themeColor="text1" w:sz="8" w:space="0"/>
              <w:insideH w:val="single" w:sz="8" w:space="0"/>
            </w:tcBorders>
          </w:tcPr>
          <w:p w14:paraId="6DEC4E36">
            <w:pPr>
              <w:spacing w:after="0" w:line="240" w:lineRule="auto"/>
            </w:pPr>
          </w:p>
        </w:tc>
      </w:tr>
      <w:tr w14:paraId="1DE8121A">
        <w:tblPrEx>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0" w:space="0"/>
            <w:insideV w:val="none" w:color="auto" w:sz="0" w:space="0"/>
          </w:tblBorders>
          <w:tblCellMar>
            <w:top w:w="0" w:type="dxa"/>
            <w:left w:w="108" w:type="dxa"/>
            <w:bottom w:w="0" w:type="dxa"/>
            <w:right w:w="108" w:type="dxa"/>
          </w:tblCellMar>
        </w:tblPrEx>
        <w:trPr>
          <w:trHeight w:val="87" w:hRule="atLeast"/>
        </w:trPr>
        <w:tc>
          <w:tcPr>
            <w:tcW w:w="2507" w:type="dxa"/>
          </w:tcPr>
          <w:p w14:paraId="3DD5AF9F">
            <w:pPr>
              <w:spacing w:after="0" w:line="240" w:lineRule="auto"/>
              <w:rPr>
                <w:b w:val="0"/>
                <w:bCs w:val="0"/>
                <w:i/>
                <w:iCs/>
              </w:rPr>
            </w:pPr>
            <w:r>
              <w:rPr>
                <w:b w:val="0"/>
                <w:bCs w:val="0"/>
                <w:i/>
                <w:iCs/>
              </w:rPr>
              <w:t>Hyoscyamus muticus</w:t>
            </w:r>
            <w:r>
              <w:rPr>
                <w:b w:val="0"/>
                <w:bCs w:val="0"/>
              </w:rPr>
              <w:t xml:space="preserve"> </w:t>
            </w:r>
          </w:p>
        </w:tc>
        <w:tc>
          <w:tcPr>
            <w:tcW w:w="4608" w:type="dxa"/>
            <w:vMerge w:val="restart"/>
          </w:tcPr>
          <w:p w14:paraId="6CC65299">
            <w:pPr>
              <w:spacing w:after="0" w:line="240" w:lineRule="auto"/>
            </w:pPr>
            <w:r>
              <w:t>North Sudan –Dongola</w:t>
            </w:r>
          </w:p>
        </w:tc>
        <w:tc>
          <w:tcPr>
            <w:tcW w:w="3515" w:type="dxa"/>
            <w:vMerge w:val="restart"/>
          </w:tcPr>
          <w:p w14:paraId="32AC1E17">
            <w:pPr>
              <w:spacing w:after="0" w:line="240" w:lineRule="auto"/>
            </w:pPr>
            <w:r>
              <w:t>19°10′11.37″N  30°28′29.62″E</w:t>
            </w:r>
          </w:p>
        </w:tc>
      </w:tr>
      <w:tr w14:paraId="5D303320">
        <w:tblPrEx>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0" w:space="0"/>
            <w:insideV w:val="none" w:color="auto" w:sz="0" w:space="0"/>
          </w:tblBorders>
          <w:tblCellMar>
            <w:top w:w="0" w:type="dxa"/>
            <w:left w:w="108" w:type="dxa"/>
            <w:bottom w:w="0" w:type="dxa"/>
            <w:right w:w="108" w:type="dxa"/>
          </w:tblCellMar>
        </w:tblPrEx>
        <w:trPr>
          <w:trHeight w:val="116" w:hRule="atLeast"/>
        </w:trPr>
        <w:tc>
          <w:tcPr>
            <w:tcW w:w="2507" w:type="dxa"/>
            <w:tcBorders>
              <w:top w:val="single" w:color="000000" w:themeColor="text1" w:sz="8" w:space="0"/>
              <w:left w:val="single" w:color="000000" w:themeColor="text1" w:sz="8" w:space="0"/>
              <w:bottom w:val="single" w:color="000000" w:themeColor="text1" w:sz="8" w:space="0"/>
              <w:insideH w:val="single" w:sz="8" w:space="0"/>
            </w:tcBorders>
          </w:tcPr>
          <w:p w14:paraId="2107D936">
            <w:pPr>
              <w:spacing w:after="0" w:line="240" w:lineRule="auto"/>
              <w:rPr>
                <w:b w:val="0"/>
                <w:bCs w:val="0"/>
                <w:i/>
                <w:iCs/>
              </w:rPr>
            </w:pPr>
            <w:r>
              <w:rPr>
                <w:b w:val="0"/>
                <w:bCs w:val="0"/>
                <w:i/>
                <w:iCs/>
              </w:rPr>
              <w:t xml:space="preserve">Nicotiana glauaca </w:t>
            </w:r>
          </w:p>
        </w:tc>
        <w:tc>
          <w:tcPr>
            <w:tcW w:w="4608" w:type="dxa"/>
            <w:vMerge w:val="continue"/>
            <w:tcBorders>
              <w:top w:val="single" w:color="000000" w:themeColor="text1" w:sz="8" w:space="0"/>
              <w:bottom w:val="single" w:color="000000" w:themeColor="text1" w:sz="8" w:space="0"/>
              <w:insideH w:val="single" w:sz="8" w:space="0"/>
            </w:tcBorders>
          </w:tcPr>
          <w:p w14:paraId="5D867C61">
            <w:pPr>
              <w:spacing w:after="0" w:line="240" w:lineRule="auto"/>
            </w:pPr>
          </w:p>
        </w:tc>
        <w:tc>
          <w:tcPr>
            <w:tcW w:w="3515" w:type="dxa"/>
            <w:vMerge w:val="continue"/>
            <w:tcBorders>
              <w:top w:val="single" w:color="000000" w:themeColor="text1" w:sz="8" w:space="0"/>
              <w:bottom w:val="single" w:color="000000" w:themeColor="text1" w:sz="8" w:space="0"/>
              <w:right w:val="single" w:color="000000" w:themeColor="text1" w:sz="8" w:space="0"/>
              <w:insideH w:val="single" w:sz="8" w:space="0"/>
            </w:tcBorders>
          </w:tcPr>
          <w:p w14:paraId="4C4AE1FD">
            <w:pPr>
              <w:spacing w:after="0" w:line="240" w:lineRule="auto"/>
            </w:pPr>
          </w:p>
        </w:tc>
      </w:tr>
      <w:tr w14:paraId="34498BB4">
        <w:tblPrEx>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0" w:space="0"/>
            <w:insideV w:val="none" w:color="auto" w:sz="0" w:space="0"/>
          </w:tblBorders>
          <w:tblCellMar>
            <w:top w:w="0" w:type="dxa"/>
            <w:left w:w="108" w:type="dxa"/>
            <w:bottom w:w="0" w:type="dxa"/>
            <w:right w:w="108" w:type="dxa"/>
          </w:tblCellMar>
        </w:tblPrEx>
        <w:trPr>
          <w:trHeight w:val="116" w:hRule="atLeast"/>
        </w:trPr>
        <w:tc>
          <w:tcPr>
            <w:tcW w:w="2507" w:type="dxa"/>
          </w:tcPr>
          <w:p w14:paraId="1CFCDECC">
            <w:pPr>
              <w:spacing w:after="0" w:line="240" w:lineRule="auto"/>
              <w:rPr>
                <w:b w:val="0"/>
                <w:bCs w:val="0"/>
                <w:i/>
                <w:iCs/>
              </w:rPr>
            </w:pPr>
            <w:r>
              <w:rPr>
                <w:b w:val="0"/>
                <w:bCs w:val="0"/>
                <w:i/>
                <w:iCs/>
              </w:rPr>
              <w:t xml:space="preserve">Lycium persicum </w:t>
            </w:r>
          </w:p>
        </w:tc>
        <w:tc>
          <w:tcPr>
            <w:tcW w:w="4608" w:type="dxa"/>
            <w:vMerge w:val="restart"/>
          </w:tcPr>
          <w:p w14:paraId="0A6D937D">
            <w:pPr>
              <w:spacing w:after="0" w:line="240" w:lineRule="auto"/>
            </w:pPr>
            <w:r>
              <w:t>East Sudan-Arkawet Area</w:t>
            </w:r>
          </w:p>
        </w:tc>
        <w:tc>
          <w:tcPr>
            <w:tcW w:w="3515" w:type="dxa"/>
            <w:vMerge w:val="restart"/>
          </w:tcPr>
          <w:p w14:paraId="726E83EE">
            <w:pPr>
              <w:spacing w:after="0" w:line="240" w:lineRule="auto"/>
            </w:pPr>
            <w:r>
              <w:t>14° 42' 52" N.   33° 18' 8" E</w:t>
            </w:r>
          </w:p>
        </w:tc>
      </w:tr>
      <w:tr w14:paraId="1F79503F">
        <w:tblPrEx>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0" w:space="0"/>
            <w:insideV w:val="none" w:color="auto" w:sz="0" w:space="0"/>
          </w:tblBorders>
          <w:tblCellMar>
            <w:top w:w="0" w:type="dxa"/>
            <w:left w:w="108" w:type="dxa"/>
            <w:bottom w:w="0" w:type="dxa"/>
            <w:right w:w="108" w:type="dxa"/>
          </w:tblCellMar>
        </w:tblPrEx>
        <w:trPr>
          <w:trHeight w:val="116" w:hRule="atLeast"/>
        </w:trPr>
        <w:tc>
          <w:tcPr>
            <w:tcW w:w="2507" w:type="dxa"/>
            <w:tcBorders>
              <w:top w:val="single" w:color="000000" w:themeColor="text1" w:sz="8" w:space="0"/>
              <w:left w:val="single" w:color="000000" w:themeColor="text1" w:sz="8" w:space="0"/>
              <w:bottom w:val="single" w:color="000000" w:themeColor="text1" w:sz="8" w:space="0"/>
              <w:insideH w:val="single" w:sz="8" w:space="0"/>
            </w:tcBorders>
          </w:tcPr>
          <w:p w14:paraId="1A3BDEFE">
            <w:pPr>
              <w:spacing w:after="0" w:line="240" w:lineRule="auto"/>
              <w:rPr>
                <w:b w:val="0"/>
                <w:bCs w:val="0"/>
                <w:i/>
                <w:iCs/>
              </w:rPr>
            </w:pPr>
            <w:r>
              <w:rPr>
                <w:b w:val="0"/>
                <w:bCs w:val="0"/>
                <w:i/>
                <w:iCs/>
              </w:rPr>
              <w:t xml:space="preserve">Solanum  incanum </w:t>
            </w:r>
          </w:p>
        </w:tc>
        <w:tc>
          <w:tcPr>
            <w:tcW w:w="4608" w:type="dxa"/>
            <w:vMerge w:val="continue"/>
            <w:tcBorders>
              <w:top w:val="single" w:color="000000" w:themeColor="text1" w:sz="8" w:space="0"/>
              <w:bottom w:val="single" w:color="000000" w:themeColor="text1" w:sz="8" w:space="0"/>
              <w:insideH w:val="single" w:sz="8" w:space="0"/>
            </w:tcBorders>
          </w:tcPr>
          <w:p w14:paraId="3555905A">
            <w:pPr>
              <w:spacing w:after="0" w:line="240" w:lineRule="auto"/>
              <w:rPr>
                <w:b/>
                <w:bCs/>
              </w:rPr>
            </w:pPr>
          </w:p>
        </w:tc>
        <w:tc>
          <w:tcPr>
            <w:tcW w:w="3515" w:type="dxa"/>
            <w:vMerge w:val="continue"/>
            <w:tcBorders>
              <w:top w:val="single" w:color="000000" w:themeColor="text1" w:sz="8" w:space="0"/>
              <w:bottom w:val="single" w:color="000000" w:themeColor="text1" w:sz="8" w:space="0"/>
              <w:right w:val="single" w:color="000000" w:themeColor="text1" w:sz="8" w:space="0"/>
              <w:insideH w:val="single" w:sz="8" w:space="0"/>
            </w:tcBorders>
          </w:tcPr>
          <w:p w14:paraId="3752C62B">
            <w:pPr>
              <w:spacing w:after="0" w:line="240" w:lineRule="auto"/>
              <w:rPr>
                <w:b/>
                <w:bCs/>
              </w:rPr>
            </w:pPr>
          </w:p>
        </w:tc>
      </w:tr>
      <w:tr w14:paraId="5645CF72">
        <w:tblPrEx>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0" w:space="0"/>
            <w:insideV w:val="none" w:color="auto" w:sz="0" w:space="0"/>
          </w:tblBorders>
          <w:tblCellMar>
            <w:top w:w="0" w:type="dxa"/>
            <w:left w:w="108" w:type="dxa"/>
            <w:bottom w:w="0" w:type="dxa"/>
            <w:right w:w="108" w:type="dxa"/>
          </w:tblCellMar>
        </w:tblPrEx>
        <w:trPr>
          <w:trHeight w:val="116" w:hRule="atLeast"/>
        </w:trPr>
        <w:tc>
          <w:tcPr>
            <w:tcW w:w="2507" w:type="dxa"/>
          </w:tcPr>
          <w:p w14:paraId="523DD6C2">
            <w:pPr>
              <w:spacing w:after="0" w:line="240" w:lineRule="auto"/>
              <w:rPr>
                <w:b w:val="0"/>
                <w:bCs w:val="0"/>
                <w:i/>
                <w:iCs/>
              </w:rPr>
            </w:pPr>
            <w:r>
              <w:rPr>
                <w:b w:val="0"/>
                <w:bCs w:val="0"/>
                <w:i/>
                <w:iCs/>
              </w:rPr>
              <w:t xml:space="preserve">Solanum schimperianum </w:t>
            </w:r>
          </w:p>
        </w:tc>
        <w:tc>
          <w:tcPr>
            <w:tcW w:w="4608" w:type="dxa"/>
            <w:vMerge w:val="continue"/>
          </w:tcPr>
          <w:p w14:paraId="22DA5ED2">
            <w:pPr>
              <w:spacing w:after="0" w:line="240" w:lineRule="auto"/>
              <w:rPr>
                <w:b/>
                <w:bCs/>
              </w:rPr>
            </w:pPr>
          </w:p>
        </w:tc>
        <w:tc>
          <w:tcPr>
            <w:tcW w:w="3515" w:type="dxa"/>
            <w:vMerge w:val="continue"/>
          </w:tcPr>
          <w:p w14:paraId="16F6B410">
            <w:pPr>
              <w:spacing w:after="0" w:line="240" w:lineRule="auto"/>
              <w:rPr>
                <w:b/>
                <w:bCs/>
              </w:rPr>
            </w:pPr>
          </w:p>
        </w:tc>
      </w:tr>
      <w:tr w14:paraId="425710C0">
        <w:tblPrEx>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0" w:space="0"/>
            <w:insideV w:val="none" w:color="auto" w:sz="0" w:space="0"/>
          </w:tblBorders>
          <w:tblCellMar>
            <w:top w:w="0" w:type="dxa"/>
            <w:left w:w="108" w:type="dxa"/>
            <w:bottom w:w="0" w:type="dxa"/>
            <w:right w:w="108" w:type="dxa"/>
          </w:tblCellMar>
        </w:tblPrEx>
        <w:trPr>
          <w:trHeight w:val="116" w:hRule="atLeast"/>
        </w:trPr>
        <w:tc>
          <w:tcPr>
            <w:tcW w:w="2507" w:type="dxa"/>
            <w:tcBorders>
              <w:top w:val="single" w:color="000000" w:themeColor="text1" w:sz="8" w:space="0"/>
              <w:left w:val="single" w:color="000000" w:themeColor="text1" w:sz="8" w:space="0"/>
              <w:bottom w:val="single" w:color="000000" w:themeColor="text1" w:sz="8" w:space="0"/>
              <w:insideH w:val="single" w:sz="8" w:space="0"/>
            </w:tcBorders>
          </w:tcPr>
          <w:p w14:paraId="14FD6C95">
            <w:pPr>
              <w:spacing w:after="0" w:line="240" w:lineRule="auto"/>
              <w:rPr>
                <w:b w:val="0"/>
                <w:bCs w:val="0"/>
                <w:i/>
                <w:iCs/>
              </w:rPr>
            </w:pPr>
            <w:r>
              <w:rPr>
                <w:b w:val="0"/>
                <w:bCs w:val="0"/>
                <w:i/>
                <w:iCs/>
              </w:rPr>
              <w:t xml:space="preserve">Solanum villosum </w:t>
            </w:r>
          </w:p>
        </w:tc>
        <w:tc>
          <w:tcPr>
            <w:tcW w:w="4608" w:type="dxa"/>
            <w:vMerge w:val="continue"/>
            <w:tcBorders>
              <w:top w:val="single" w:color="000000" w:themeColor="text1" w:sz="8" w:space="0"/>
              <w:bottom w:val="single" w:color="000000" w:themeColor="text1" w:sz="8" w:space="0"/>
              <w:insideH w:val="single" w:sz="8" w:space="0"/>
            </w:tcBorders>
          </w:tcPr>
          <w:p w14:paraId="09942A6F">
            <w:pPr>
              <w:spacing w:after="0" w:line="240" w:lineRule="auto"/>
              <w:rPr>
                <w:b/>
                <w:bCs/>
              </w:rPr>
            </w:pPr>
          </w:p>
        </w:tc>
        <w:tc>
          <w:tcPr>
            <w:tcW w:w="3515" w:type="dxa"/>
            <w:vMerge w:val="continue"/>
            <w:tcBorders>
              <w:top w:val="single" w:color="000000" w:themeColor="text1" w:sz="8" w:space="0"/>
              <w:bottom w:val="single" w:color="000000" w:themeColor="text1" w:sz="8" w:space="0"/>
              <w:right w:val="single" w:color="000000" w:themeColor="text1" w:sz="8" w:space="0"/>
              <w:insideH w:val="single" w:sz="8" w:space="0"/>
            </w:tcBorders>
          </w:tcPr>
          <w:p w14:paraId="1991E1A3">
            <w:pPr>
              <w:spacing w:after="0" w:line="240" w:lineRule="auto"/>
              <w:rPr>
                <w:b/>
                <w:bCs/>
              </w:rPr>
            </w:pPr>
          </w:p>
        </w:tc>
      </w:tr>
      <w:tr w14:paraId="0AF84D21">
        <w:tblPrEx>
          <w:tblBorders>
            <w:top w:val="single" w:color="000000" w:themeColor="text1" w:sz="8" w:space="0"/>
            <w:left w:val="single" w:color="000000" w:themeColor="text1" w:sz="8" w:space="0"/>
            <w:bottom w:val="single" w:color="000000" w:themeColor="text1" w:sz="8" w:space="0"/>
            <w:right w:val="single" w:color="000000" w:themeColor="text1" w:sz="8" w:space="0"/>
            <w:insideH w:val="none" w:color="auto" w:sz="0" w:space="0"/>
            <w:insideV w:val="none" w:color="auto" w:sz="0" w:space="0"/>
          </w:tblBorders>
          <w:tblCellMar>
            <w:top w:w="0" w:type="dxa"/>
            <w:left w:w="108" w:type="dxa"/>
            <w:bottom w:w="0" w:type="dxa"/>
            <w:right w:w="108" w:type="dxa"/>
          </w:tblCellMar>
        </w:tblPrEx>
        <w:trPr>
          <w:trHeight w:val="18" w:hRule="atLeast"/>
        </w:trPr>
        <w:tc>
          <w:tcPr>
            <w:tcW w:w="2507" w:type="dxa"/>
          </w:tcPr>
          <w:p w14:paraId="42B55145">
            <w:pPr>
              <w:spacing w:after="0" w:line="240" w:lineRule="auto"/>
              <w:rPr>
                <w:b w:val="0"/>
                <w:bCs w:val="0"/>
                <w:i/>
                <w:iCs/>
              </w:rPr>
            </w:pPr>
            <w:r>
              <w:rPr>
                <w:b w:val="0"/>
                <w:bCs w:val="0"/>
                <w:i/>
                <w:iCs/>
              </w:rPr>
              <w:t xml:space="preserve">Withania somnifera </w:t>
            </w:r>
          </w:p>
        </w:tc>
        <w:tc>
          <w:tcPr>
            <w:tcW w:w="4608" w:type="dxa"/>
            <w:vMerge w:val="continue"/>
          </w:tcPr>
          <w:p w14:paraId="25F72933">
            <w:pPr>
              <w:spacing w:after="0" w:line="240" w:lineRule="auto"/>
              <w:rPr>
                <w:b/>
                <w:bCs/>
              </w:rPr>
            </w:pPr>
          </w:p>
        </w:tc>
        <w:tc>
          <w:tcPr>
            <w:tcW w:w="3515" w:type="dxa"/>
            <w:vMerge w:val="continue"/>
          </w:tcPr>
          <w:p w14:paraId="04637ED8">
            <w:pPr>
              <w:spacing w:after="0" w:line="240" w:lineRule="auto"/>
              <w:rPr>
                <w:b/>
                <w:bCs/>
              </w:rPr>
            </w:pPr>
          </w:p>
        </w:tc>
      </w:tr>
    </w:tbl>
    <w:p w14:paraId="06AA113A">
      <w:pPr>
        <w:rPr>
          <w:b/>
          <w:bCs/>
        </w:rPr>
      </w:pPr>
    </w:p>
    <w:p w14:paraId="5F8E97EE">
      <w:pPr>
        <w:spacing w:after="0" w:line="240" w:lineRule="auto"/>
        <w:rPr>
          <w:b/>
          <w:bCs/>
          <w:rtl/>
        </w:rPr>
      </w:pPr>
      <w:r>
        <w:rPr>
          <w:b/>
          <w:bCs/>
        </w:rPr>
        <w:t>2.2. Plant Materials</w:t>
      </w:r>
    </w:p>
    <w:p w14:paraId="611673FD">
      <w:pPr>
        <w:spacing w:after="0" w:line="360" w:lineRule="auto"/>
        <w:jc w:val="both"/>
      </w:pPr>
      <w:r>
        <w:t>Plant specimens were collected from different sites of the study areas. Preliminary species identification was carried.  The identified species were compared with already identified herbarium specimens at the herbarium of Botany Department –University of Khartoum.</w:t>
      </w:r>
    </w:p>
    <w:p w14:paraId="35E3D2AB">
      <w:pPr>
        <w:spacing w:after="0" w:line="240" w:lineRule="auto"/>
        <w:rPr>
          <w:b/>
          <w:bCs/>
        </w:rPr>
      </w:pPr>
      <w:r>
        <w:rPr>
          <w:b/>
          <w:bCs/>
        </w:rPr>
        <w:t>2.3. Proximate Analysis</w:t>
      </w:r>
    </w:p>
    <w:p w14:paraId="3FAFB9D2">
      <w:pPr>
        <w:spacing w:after="0" w:line="360" w:lineRule="auto"/>
      </w:pPr>
      <w:r>
        <w:t>The proximate analysis (carbohydrates, fats, proteins, moisture and ash) of all plant samples were determined by using AOAC methods (</w:t>
      </w:r>
      <w:commentRangeStart w:id="1"/>
      <w:r>
        <w:t>AOCS</w:t>
      </w:r>
      <w:commentRangeEnd w:id="1"/>
      <w:r>
        <w:commentReference w:id="1"/>
      </w:r>
      <w:r>
        <w:t>, 2000).</w:t>
      </w:r>
    </w:p>
    <w:p w14:paraId="37817205">
      <w:pPr>
        <w:spacing w:after="0" w:line="240" w:lineRule="auto"/>
      </w:pPr>
      <w:r>
        <w:rPr>
          <w:b/>
          <w:bCs/>
        </w:rPr>
        <w:t xml:space="preserve">2.3.1. Determination of Moisture </w:t>
      </w:r>
    </w:p>
    <w:p w14:paraId="0DB1CE3A">
      <w:pPr>
        <w:spacing w:after="0" w:line="360" w:lineRule="auto"/>
      </w:pPr>
      <w:commentRangeStart w:id="2"/>
      <w:r>
        <w:t>3</w:t>
      </w:r>
      <w:commentRangeEnd w:id="2"/>
      <w:r>
        <w:commentReference w:id="2"/>
      </w:r>
      <w:r>
        <w:t xml:space="preserve"> gram of dry plant material was taken in a Petri plate and placed in oven at about 1050C for 6 hours, cooled in desiccator and moisture content was calculated using the following formula;</w:t>
      </w:r>
    </w:p>
    <w:p w14:paraId="053F11BE">
      <w:commentRangeStart w:id="3"/>
      <w:r>
        <w:t xml:space="preserve">Moisture (%) = </w:t>
      </w:r>
      <w:r>
        <w:rPr>
          <w:u w:val="single"/>
        </w:rPr>
        <w:t xml:space="preserve">Weight of fresh sample – Weight of dry sample </w:t>
      </w:r>
      <w:r>
        <w:t xml:space="preserve">   × 100</w:t>
      </w:r>
    </w:p>
    <w:p w14:paraId="3799CBF4">
      <w:r>
        <w:t xml:space="preserve">                                                  Weight of sample   </w:t>
      </w:r>
    </w:p>
    <w:commentRangeEnd w:id="3"/>
    <w:p w14:paraId="4801D7CE">
      <w:r>
        <w:commentReference w:id="3"/>
      </w:r>
    </w:p>
    <w:p w14:paraId="7E996E9B"/>
    <w:p w14:paraId="37D63074"/>
    <w:p w14:paraId="15A2BEED">
      <w:pPr>
        <w:spacing w:after="0" w:line="240" w:lineRule="auto"/>
        <w:rPr>
          <w:b/>
          <w:bCs/>
        </w:rPr>
      </w:pPr>
      <w:r>
        <w:rPr>
          <w:b/>
          <w:bCs/>
        </w:rPr>
        <w:t xml:space="preserve">2.3.2. Determination of Ash </w:t>
      </w:r>
    </w:p>
    <w:p w14:paraId="7EBEAAFC">
      <w:pPr>
        <w:spacing w:after="0" w:line="360" w:lineRule="auto"/>
      </w:pPr>
      <w:commentRangeStart w:id="4"/>
      <w:r>
        <w:t>1.0±.01</w:t>
      </w:r>
      <w:commentRangeEnd w:id="4"/>
      <w:r>
        <w:commentReference w:id="4"/>
      </w:r>
      <w:r>
        <w:t xml:space="preserve"> gm. of dried plant materials was taken in a weighted crucible and burnt over low flame. The crucible was then placed in furnace at </w:t>
      </w:r>
      <w:commentRangeStart w:id="5"/>
      <w:r>
        <w:t>5500C</w:t>
      </w:r>
      <w:commentRangeEnd w:id="5"/>
      <w:r>
        <w:commentReference w:id="5"/>
      </w:r>
      <w:r>
        <w:t xml:space="preserve"> for 3 hours until white ash was obtained. The percent ash was calculated as;</w:t>
      </w:r>
    </w:p>
    <w:p w14:paraId="474C5A24">
      <w:r>
        <w:tab/>
      </w:r>
      <w:commentRangeStart w:id="6"/>
      <w:r>
        <w:t xml:space="preserve">Ash (%) = </w:t>
      </w:r>
      <w:r>
        <w:rPr>
          <w:u w:val="single"/>
        </w:rPr>
        <w:t>weight of sample after ashing</w:t>
      </w:r>
      <w:r>
        <w:t xml:space="preserve">    ×    100</w:t>
      </w:r>
    </w:p>
    <w:p w14:paraId="44D8B531">
      <w:r>
        <w:t xml:space="preserve">                                    Weight of sample</w:t>
      </w:r>
      <w:commentRangeEnd w:id="6"/>
      <w:r>
        <w:commentReference w:id="6"/>
      </w:r>
    </w:p>
    <w:p w14:paraId="486E31F6">
      <w:pPr>
        <w:spacing w:after="0" w:line="240" w:lineRule="auto"/>
        <w:rPr>
          <w:b/>
          <w:bCs/>
        </w:rPr>
      </w:pPr>
      <w:r>
        <w:rPr>
          <w:b/>
          <w:bCs/>
        </w:rPr>
        <w:t>2.3.3. Determination of Fats</w:t>
      </w:r>
    </w:p>
    <w:p w14:paraId="0F46ECB5">
      <w:pPr>
        <w:spacing w:after="0" w:line="360" w:lineRule="auto"/>
      </w:pPr>
      <w:r>
        <w:t xml:space="preserve"> Soxhlet extractor was used to get fat content of the sample. </w:t>
      </w:r>
      <w:commentRangeStart w:id="7"/>
      <w:r>
        <w:t>5</w:t>
      </w:r>
      <w:commentRangeEnd w:id="7"/>
      <w:r>
        <w:commentReference w:id="7"/>
      </w:r>
      <w:r>
        <w:t>gm of plant material were put on paper thimble and run for six hours on heating mantle. The percent crude fat was determined by using formula (</w:t>
      </w:r>
      <w:commentRangeStart w:id="8"/>
      <w:r>
        <w:t>AOCS</w:t>
      </w:r>
      <w:commentRangeEnd w:id="8"/>
      <w:r>
        <w:commentReference w:id="8"/>
      </w:r>
      <w:r>
        <w:t>, 2000);</w:t>
      </w:r>
    </w:p>
    <w:p w14:paraId="303FAE86">
      <w:commentRangeStart w:id="9"/>
      <w:r>
        <w:t xml:space="preserve">Crude Fat (%) = </w:t>
      </w:r>
      <w:r>
        <w:rPr>
          <w:u w:val="single"/>
        </w:rPr>
        <w:t xml:space="preserve">Weight of beaker with fat – Weight of empty beaker </w:t>
      </w:r>
      <w:r>
        <w:t xml:space="preserve">    × 100 </w:t>
      </w:r>
    </w:p>
    <w:p w14:paraId="43511E09">
      <w:r>
        <w:t xml:space="preserve">                                          Weight of original sample</w:t>
      </w:r>
      <w:commentRangeEnd w:id="9"/>
      <w:r>
        <w:commentReference w:id="9"/>
      </w:r>
    </w:p>
    <w:p w14:paraId="4C105D12">
      <w:pPr>
        <w:spacing w:after="0" w:line="240" w:lineRule="auto"/>
        <w:rPr>
          <w:b/>
          <w:bCs/>
        </w:rPr>
      </w:pPr>
      <w:r>
        <w:rPr>
          <w:b/>
          <w:bCs/>
        </w:rPr>
        <w:t>2.3.4. Determination of proteins</w:t>
      </w:r>
    </w:p>
    <w:p w14:paraId="12003F1A">
      <w:pPr>
        <w:spacing w:after="0" w:line="360" w:lineRule="auto"/>
      </w:pPr>
      <w:r>
        <w:t xml:space="preserve">Plant sample was added to the digestion mixture (copper sulphate: Potassium sulphate: ferrous sulphate: 1:18.5:0.25 (w/w/w) and 20 </w:t>
      </w:r>
      <w:commentRangeStart w:id="10"/>
      <w:r>
        <w:t>mL</w:t>
      </w:r>
      <w:commentRangeEnd w:id="10"/>
      <w:r>
        <w:commentReference w:id="10"/>
      </w:r>
      <w:r>
        <w:t xml:space="preserve"> of concentrated sulphuric acid was added to the flask and boiled for 2 hours. The digest was transferred to the distillation assembly and 10 </w:t>
      </w:r>
      <w:commentRangeStart w:id="11"/>
      <w:r>
        <w:t>mL</w:t>
      </w:r>
      <w:commentRangeEnd w:id="11"/>
      <w:r>
        <w:commentReference w:id="11"/>
      </w:r>
      <w:r>
        <w:t xml:space="preserve"> of 40% sodium hydroxide solution was added to the digest in the assembly. This process was followed by titration to remove the ammonium borate formed in distillation process. The percent protein was calculated by the following formula; </w:t>
      </w:r>
    </w:p>
    <w:p w14:paraId="710B2B91">
      <w:r>
        <w:t xml:space="preserve">                   </w:t>
      </w:r>
      <w:commentRangeStart w:id="12"/>
      <w:r>
        <w:t xml:space="preserve">Protein (%) = </w:t>
      </w:r>
      <w:r>
        <w:rPr>
          <w:u w:val="single"/>
        </w:rPr>
        <w:t>1.4 × 6.25 × 0.1N HCl × Vol OF H</w:t>
      </w:r>
      <w:r>
        <w:rPr>
          <w:u w:val="single"/>
          <w:vertAlign w:val="subscript"/>
        </w:rPr>
        <w:t>2</w:t>
      </w:r>
      <w:r>
        <w:rPr>
          <w:u w:val="single"/>
        </w:rPr>
        <w:t xml:space="preserve"> SO</w:t>
      </w:r>
      <w:r>
        <w:rPr>
          <w:u w:val="single"/>
          <w:vertAlign w:val="subscript"/>
        </w:rPr>
        <w:t>4</w:t>
      </w:r>
      <w:r>
        <w:rPr>
          <w:u w:val="single"/>
        </w:rPr>
        <w:t xml:space="preserve"> (used)</w:t>
      </w:r>
    </w:p>
    <w:p w14:paraId="7E9C1B0E">
      <w:r>
        <w:t xml:space="preserve">                                                       Weight of sample</w:t>
      </w:r>
      <w:commentRangeEnd w:id="12"/>
      <w:r>
        <w:commentReference w:id="12"/>
      </w:r>
    </w:p>
    <w:p w14:paraId="37C9E991">
      <w:pPr>
        <w:spacing w:after="0" w:line="240" w:lineRule="auto"/>
        <w:rPr>
          <w:b/>
          <w:bCs/>
        </w:rPr>
      </w:pPr>
      <w:r>
        <w:rPr>
          <w:b/>
          <w:bCs/>
        </w:rPr>
        <w:t xml:space="preserve">2.3.5. Determination of Carbohydrates </w:t>
      </w:r>
    </w:p>
    <w:p w14:paraId="2E291EF8">
      <w:pPr>
        <w:spacing w:after="0" w:line="360" w:lineRule="auto"/>
      </w:pPr>
      <w:r>
        <w:t xml:space="preserve">Carbohydrate was determined by using the formula; </w:t>
      </w:r>
    </w:p>
    <w:p w14:paraId="2062064B">
      <w:pPr>
        <w:spacing w:after="0" w:line="360" w:lineRule="auto"/>
      </w:pPr>
      <w:r>
        <w:t>Carbohydrate (in grams) = 100-(%crude fat + %crude fiber + % Ash + % Protein)</w:t>
      </w:r>
    </w:p>
    <w:p w14:paraId="3BCFF501">
      <w:pPr>
        <w:spacing w:after="0" w:line="360" w:lineRule="auto"/>
      </w:pPr>
    </w:p>
    <w:p w14:paraId="30BC66E8">
      <w:pPr>
        <w:spacing w:after="0" w:line="360" w:lineRule="auto"/>
      </w:pPr>
    </w:p>
    <w:p w14:paraId="46ED9F0F">
      <w:pPr>
        <w:spacing w:after="0" w:line="360" w:lineRule="auto"/>
      </w:pPr>
    </w:p>
    <w:p w14:paraId="28A95668">
      <w:pPr>
        <w:spacing w:after="0" w:line="360" w:lineRule="auto"/>
      </w:pPr>
    </w:p>
    <w:p w14:paraId="2450FBF1">
      <w:pPr>
        <w:spacing w:after="0" w:line="360" w:lineRule="auto"/>
      </w:pPr>
    </w:p>
    <w:p w14:paraId="75DB61FF">
      <w:pPr>
        <w:spacing w:after="0" w:line="360" w:lineRule="auto"/>
      </w:pPr>
    </w:p>
    <w:p w14:paraId="5CB2DC77">
      <w:pPr>
        <w:spacing w:after="0" w:line="360" w:lineRule="auto"/>
      </w:pPr>
    </w:p>
    <w:p w14:paraId="732CB620">
      <w:pPr>
        <w:spacing w:after="0" w:line="360" w:lineRule="auto"/>
      </w:pPr>
    </w:p>
    <w:p w14:paraId="6DD2F23C">
      <w:pPr>
        <w:spacing w:after="0" w:line="240" w:lineRule="auto"/>
        <w:rPr>
          <w:b/>
          <w:bCs/>
        </w:rPr>
      </w:pPr>
      <w:r>
        <w:rPr>
          <w:b/>
          <w:bCs/>
        </w:rPr>
        <w:t xml:space="preserve">3. Results </w:t>
      </w:r>
    </w:p>
    <w:p w14:paraId="63CB97C6">
      <w:pPr>
        <w:spacing w:after="0" w:line="360" w:lineRule="auto"/>
      </w:pPr>
      <w:r>
        <w:t>The proximate composition of leaves and fruits of the investigated solanaceous species showed considerable variation across taxa (</w:t>
      </w:r>
      <w:commentRangeStart w:id="13"/>
      <w:r>
        <w:t>t</w:t>
      </w:r>
      <w:commentRangeEnd w:id="13"/>
      <w:r>
        <w:commentReference w:id="13"/>
      </w:r>
      <w:r>
        <w:t>able 2 and 3), reflecting both interspecific diversity and organ-specific metabolic allocation.</w:t>
      </w:r>
    </w:p>
    <w:p w14:paraId="50F64378">
      <w:pPr>
        <w:spacing w:after="0" w:line="240" w:lineRule="auto"/>
        <w:rPr>
          <w:b/>
          <w:bCs/>
        </w:rPr>
      </w:pPr>
      <w:r>
        <w:rPr>
          <w:b/>
          <w:bCs/>
        </w:rPr>
        <w:t>3.1. Moisture contents</w:t>
      </w:r>
    </w:p>
    <w:p w14:paraId="3F963698">
      <w:pPr>
        <w:spacing w:after="0" w:line="360" w:lineRule="auto"/>
      </w:pPr>
      <w:r>
        <w:t xml:space="preserve">Moisture content exhibited moderate variation among species. In leaves, values ranged from 5.73% in hyoscyamus muticus to 8.35% in physalis angulata. In fruits, moisture  content was comparatively lower, ranging  between 2.90% (in </w:t>
      </w:r>
      <w:r>
        <w:rPr>
          <w:i/>
          <w:iCs/>
        </w:rPr>
        <w:t>P. sngulata</w:t>
      </w:r>
      <w:r>
        <w:t xml:space="preserve"> and </w:t>
      </w:r>
      <w:r>
        <w:rPr>
          <w:i/>
          <w:iCs/>
        </w:rPr>
        <w:t>Solanum shimperianum</w:t>
      </w:r>
      <w:r>
        <w:t xml:space="preserve">) and 4.20% (in </w:t>
      </w:r>
      <w:r>
        <w:rPr>
          <w:i/>
          <w:iCs/>
        </w:rPr>
        <w:t>Solanum incanum</w:t>
      </w:r>
      <w:r>
        <w:t>). Overall, leaves consistently showed higher moisture content than fruits.</w:t>
      </w:r>
    </w:p>
    <w:p w14:paraId="61C3A8CB">
      <w:pPr>
        <w:spacing w:after="0" w:line="240" w:lineRule="auto"/>
        <w:rPr>
          <w:b/>
          <w:bCs/>
        </w:rPr>
      </w:pPr>
      <w:r>
        <w:rPr>
          <w:b/>
          <w:bCs/>
        </w:rPr>
        <w:t>3.2. Ash contents</w:t>
      </w:r>
    </w:p>
    <w:p w14:paraId="7084034B">
      <w:pPr>
        <w:spacing w:after="0" w:line="360" w:lineRule="auto"/>
      </w:pPr>
      <w:r>
        <w:t xml:space="preserve">Ash content indicative of total mineral composition was markedly higher in leaves than in fruits. Leaf ash content ranged from 12.94% in </w:t>
      </w:r>
      <w:r>
        <w:rPr>
          <w:i/>
          <w:iCs/>
        </w:rPr>
        <w:t>S.shimperianum</w:t>
      </w:r>
      <w:r>
        <w:t xml:space="preserve"> to 3.40 % in </w:t>
      </w:r>
      <w:r>
        <w:rPr>
          <w:i/>
          <w:iCs/>
        </w:rPr>
        <w:t>Lycium persicum</w:t>
      </w:r>
      <w:r>
        <w:t xml:space="preserve"> and </w:t>
      </w:r>
      <w:r>
        <w:rPr>
          <w:i/>
          <w:iCs/>
        </w:rPr>
        <w:t>H.muticus</w:t>
      </w:r>
      <w:r>
        <w:t xml:space="preserve">. In contrast, fruit ash content was minimal, ranging from 0.001% in </w:t>
      </w:r>
      <w:r>
        <w:rPr>
          <w:i/>
          <w:iCs/>
        </w:rPr>
        <w:t>S.schimperianum</w:t>
      </w:r>
      <w:r>
        <w:t xml:space="preserve"> to 1.0095% in </w:t>
      </w:r>
      <w:r>
        <w:rPr>
          <w:i/>
          <w:iCs/>
        </w:rPr>
        <w:t>S.incanum</w:t>
      </w:r>
      <w:r>
        <w:t xml:space="preserve">. These findings highlight the greater mineral accumulation in vegetative tissues.   </w:t>
      </w:r>
    </w:p>
    <w:p w14:paraId="3D9ECE5C">
      <w:pPr>
        <w:spacing w:after="0" w:line="240" w:lineRule="auto"/>
        <w:rPr>
          <w:b/>
          <w:bCs/>
        </w:rPr>
      </w:pPr>
      <w:r>
        <w:rPr>
          <w:b/>
          <w:bCs/>
        </w:rPr>
        <w:t>3.3. Crude protein</w:t>
      </w:r>
    </w:p>
    <w:p w14:paraId="62CE7F4D">
      <w:pPr>
        <w:spacing w:line="360" w:lineRule="auto"/>
      </w:pPr>
      <w:r>
        <w:t>Protein content showed a clear distinction between plant organs , with leaves containing significantly higher levels than fruits . leaf protein ranged from 14.00% (</w:t>
      </w:r>
      <w:r>
        <w:rPr>
          <w:i/>
          <w:iCs/>
        </w:rPr>
        <w:t>H.muticus</w:t>
      </w:r>
      <w:r>
        <w:t xml:space="preserve"> ) to 27.12 % (</w:t>
      </w:r>
      <w:r>
        <w:rPr>
          <w:i/>
          <w:iCs/>
        </w:rPr>
        <w:t>D.innoxia</w:t>
      </w:r>
      <w:r>
        <w:t xml:space="preserve"> and </w:t>
      </w:r>
      <w:r>
        <w:rPr>
          <w:i/>
          <w:iCs/>
        </w:rPr>
        <w:t>S.schimperianum</w:t>
      </w:r>
      <w:r>
        <w:t>). In fruits, protein content was lower, varying between 3.00% (</w:t>
      </w:r>
      <w:r>
        <w:rPr>
          <w:i/>
          <w:iCs/>
        </w:rPr>
        <w:t>D.stramonium</w:t>
      </w:r>
      <w:r>
        <w:t>) and 6.50% (</w:t>
      </w:r>
      <w:r>
        <w:rPr>
          <w:i/>
          <w:iCs/>
        </w:rPr>
        <w:t>S.dubium</w:t>
      </w:r>
      <w:r>
        <w:t>) .</w:t>
      </w:r>
    </w:p>
    <w:p w14:paraId="2079E5A6">
      <w:pPr>
        <w:spacing w:after="0" w:line="240" w:lineRule="auto"/>
      </w:pPr>
      <w:commentRangeStart w:id="14"/>
      <w:r>
        <w:rPr>
          <w:b/>
          <w:bCs/>
        </w:rPr>
        <w:t>Table 2:</w:t>
      </w:r>
      <w:r>
        <w:t xml:space="preserve"> leaves proximate analysis of the studied solaneaous species (moisture, ash, protein, fat, fiber, and carbohydrate contents on a dry weight basis). </w:t>
      </w:r>
    </w:p>
    <w:tbl>
      <w:tblPr>
        <w:tblStyle w:val="3"/>
        <w:tblW w:w="94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59"/>
        <w:gridCol w:w="1373"/>
        <w:gridCol w:w="1049"/>
        <w:gridCol w:w="1130"/>
        <w:gridCol w:w="806"/>
        <w:gridCol w:w="1130"/>
        <w:gridCol w:w="1995"/>
      </w:tblGrid>
      <w:tr w14:paraId="2FE4C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1959" w:type="dxa"/>
            <w:tcBorders>
              <w:bottom w:val="single" w:color="auto" w:sz="4" w:space="0"/>
            </w:tcBorders>
            <w:vAlign w:val="center"/>
          </w:tcPr>
          <w:p w14:paraId="3BDF76E9">
            <w:pPr>
              <w:rPr>
                <w:b/>
                <w:bCs/>
              </w:rPr>
            </w:pPr>
            <w:r>
              <w:rPr>
                <w:b/>
                <w:bCs/>
              </w:rPr>
              <w:t xml:space="preserve">Plant species </w:t>
            </w:r>
          </w:p>
        </w:tc>
        <w:tc>
          <w:tcPr>
            <w:tcW w:w="1373" w:type="dxa"/>
            <w:vAlign w:val="center"/>
          </w:tcPr>
          <w:p w14:paraId="68664C45">
            <w:pPr>
              <w:rPr>
                <w:b/>
                <w:bCs/>
              </w:rPr>
            </w:pPr>
            <w:r>
              <w:rPr>
                <w:b/>
                <w:bCs/>
              </w:rPr>
              <w:t>Moisture%</w:t>
            </w:r>
          </w:p>
        </w:tc>
        <w:tc>
          <w:tcPr>
            <w:tcW w:w="1049" w:type="dxa"/>
            <w:vAlign w:val="center"/>
          </w:tcPr>
          <w:p w14:paraId="6B5FD122">
            <w:pPr>
              <w:rPr>
                <w:b/>
                <w:bCs/>
              </w:rPr>
            </w:pPr>
            <w:r>
              <w:rPr>
                <w:b/>
                <w:bCs/>
              </w:rPr>
              <w:t>Ash %</w:t>
            </w:r>
          </w:p>
        </w:tc>
        <w:tc>
          <w:tcPr>
            <w:tcW w:w="1130" w:type="dxa"/>
            <w:vAlign w:val="center"/>
          </w:tcPr>
          <w:p w14:paraId="78AE1243">
            <w:pPr>
              <w:rPr>
                <w:b/>
                <w:bCs/>
              </w:rPr>
            </w:pPr>
            <w:r>
              <w:rPr>
                <w:b/>
                <w:bCs/>
              </w:rPr>
              <w:t>Protein%</w:t>
            </w:r>
          </w:p>
        </w:tc>
        <w:tc>
          <w:tcPr>
            <w:tcW w:w="806" w:type="dxa"/>
            <w:vAlign w:val="center"/>
          </w:tcPr>
          <w:p w14:paraId="50535A40">
            <w:pPr>
              <w:rPr>
                <w:b/>
                <w:bCs/>
              </w:rPr>
            </w:pPr>
            <w:r>
              <w:rPr>
                <w:b/>
                <w:bCs/>
              </w:rPr>
              <w:t>Fat %</w:t>
            </w:r>
          </w:p>
        </w:tc>
        <w:tc>
          <w:tcPr>
            <w:tcW w:w="1130" w:type="dxa"/>
            <w:tcBorders>
              <w:right w:val="single" w:color="auto" w:sz="4" w:space="0"/>
            </w:tcBorders>
            <w:vAlign w:val="center"/>
          </w:tcPr>
          <w:p w14:paraId="40DA5239">
            <w:pPr>
              <w:rPr>
                <w:b/>
                <w:bCs/>
              </w:rPr>
            </w:pPr>
            <w:r>
              <w:rPr>
                <w:b/>
                <w:bCs/>
              </w:rPr>
              <w:t>Fiber %</w:t>
            </w:r>
          </w:p>
        </w:tc>
        <w:tc>
          <w:tcPr>
            <w:tcW w:w="1995" w:type="dxa"/>
            <w:tcBorders>
              <w:left w:val="single" w:color="auto" w:sz="4" w:space="0"/>
            </w:tcBorders>
            <w:vAlign w:val="center"/>
          </w:tcPr>
          <w:p w14:paraId="065BDC27">
            <w:pPr>
              <w:rPr>
                <w:b/>
                <w:bCs/>
              </w:rPr>
            </w:pPr>
            <w:r>
              <w:rPr>
                <w:b/>
                <w:bCs/>
              </w:rPr>
              <w:t>Carbohydrate %</w:t>
            </w:r>
          </w:p>
        </w:tc>
      </w:tr>
      <w:tr w14:paraId="76E194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exact"/>
          <w:jc w:val="center"/>
        </w:trPr>
        <w:tc>
          <w:tcPr>
            <w:tcW w:w="1959" w:type="dxa"/>
            <w:tcBorders>
              <w:top w:val="single" w:color="auto" w:sz="4" w:space="0"/>
              <w:bottom w:val="single" w:color="auto" w:sz="4" w:space="0"/>
            </w:tcBorders>
            <w:vAlign w:val="bottom"/>
          </w:tcPr>
          <w:p w14:paraId="7FCB1A65">
            <w:pPr>
              <w:rPr>
                <w:i/>
                <w:iCs/>
              </w:rPr>
            </w:pPr>
            <w:r>
              <w:rPr>
                <w:i/>
                <w:iCs/>
              </w:rPr>
              <w:t>C.annuum</w:t>
            </w:r>
          </w:p>
        </w:tc>
        <w:tc>
          <w:tcPr>
            <w:tcW w:w="1373" w:type="dxa"/>
            <w:tcBorders>
              <w:bottom w:val="single" w:color="auto" w:sz="4" w:space="0"/>
            </w:tcBorders>
            <w:vAlign w:val="center"/>
          </w:tcPr>
          <w:p w14:paraId="669CDB85">
            <w:r>
              <w:rPr>
                <w:rtl/>
              </w:rPr>
              <w:t>5.786</w:t>
            </w:r>
          </w:p>
        </w:tc>
        <w:tc>
          <w:tcPr>
            <w:tcW w:w="1049" w:type="dxa"/>
            <w:tcBorders>
              <w:bottom w:val="single" w:color="auto" w:sz="4" w:space="0"/>
            </w:tcBorders>
            <w:vAlign w:val="center"/>
          </w:tcPr>
          <w:p w14:paraId="4C5B7E29">
            <w:r>
              <w:rPr>
                <w:rtl/>
              </w:rPr>
              <w:t>19.855</w:t>
            </w:r>
          </w:p>
        </w:tc>
        <w:tc>
          <w:tcPr>
            <w:tcW w:w="1130" w:type="dxa"/>
            <w:tcBorders>
              <w:bottom w:val="single" w:color="auto" w:sz="4" w:space="0"/>
            </w:tcBorders>
            <w:vAlign w:val="center"/>
          </w:tcPr>
          <w:p w14:paraId="2AA774A7">
            <w:r>
              <w:rPr>
                <w:rtl/>
              </w:rPr>
              <w:t>23.625</w:t>
            </w:r>
          </w:p>
        </w:tc>
        <w:tc>
          <w:tcPr>
            <w:tcW w:w="806" w:type="dxa"/>
            <w:tcBorders>
              <w:bottom w:val="single" w:color="auto" w:sz="4" w:space="0"/>
            </w:tcBorders>
            <w:vAlign w:val="center"/>
          </w:tcPr>
          <w:p w14:paraId="1E3F28F4">
            <w:r>
              <w:rPr>
                <w:rtl/>
              </w:rPr>
              <w:t>3.570</w:t>
            </w:r>
          </w:p>
        </w:tc>
        <w:tc>
          <w:tcPr>
            <w:tcW w:w="1130" w:type="dxa"/>
            <w:tcBorders>
              <w:bottom w:val="single" w:color="auto" w:sz="4" w:space="0"/>
              <w:right w:val="single" w:color="auto" w:sz="4" w:space="0"/>
            </w:tcBorders>
            <w:vAlign w:val="center"/>
          </w:tcPr>
          <w:p w14:paraId="6FBE2292">
            <w:r>
              <w:rPr>
                <w:rtl/>
              </w:rPr>
              <w:t>9.522</w:t>
            </w:r>
          </w:p>
        </w:tc>
        <w:tc>
          <w:tcPr>
            <w:tcW w:w="1995" w:type="dxa"/>
            <w:tcBorders>
              <w:left w:val="single" w:color="auto" w:sz="4" w:space="0"/>
              <w:bottom w:val="single" w:color="auto" w:sz="4" w:space="0"/>
            </w:tcBorders>
            <w:vAlign w:val="center"/>
          </w:tcPr>
          <w:p w14:paraId="12FBADE2">
            <w:r>
              <w:rPr>
                <w:rtl/>
              </w:rPr>
              <w:t>37.642</w:t>
            </w:r>
          </w:p>
        </w:tc>
      </w:tr>
      <w:tr w14:paraId="60B752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exact"/>
          <w:jc w:val="center"/>
        </w:trPr>
        <w:tc>
          <w:tcPr>
            <w:tcW w:w="1959" w:type="dxa"/>
            <w:tcBorders>
              <w:top w:val="single" w:color="auto" w:sz="4" w:space="0"/>
              <w:bottom w:val="single" w:color="auto" w:sz="4" w:space="0"/>
            </w:tcBorders>
            <w:vAlign w:val="bottom"/>
          </w:tcPr>
          <w:p w14:paraId="74D817E7">
            <w:pPr>
              <w:rPr>
                <w:i/>
                <w:iCs/>
              </w:rPr>
            </w:pPr>
            <w:r>
              <w:rPr>
                <w:i/>
                <w:iCs/>
              </w:rPr>
              <w:t xml:space="preserve">D. ferox </w:t>
            </w:r>
          </w:p>
        </w:tc>
        <w:tc>
          <w:tcPr>
            <w:tcW w:w="1373" w:type="dxa"/>
            <w:tcBorders>
              <w:top w:val="single" w:color="auto" w:sz="4" w:space="0"/>
              <w:bottom w:val="single" w:color="auto" w:sz="4" w:space="0"/>
            </w:tcBorders>
            <w:vAlign w:val="center"/>
          </w:tcPr>
          <w:p w14:paraId="37118FC0">
            <w:r>
              <w:t>7.8</w:t>
            </w:r>
          </w:p>
          <w:p w14:paraId="6EF128B1">
            <w:pPr>
              <w:rPr>
                <w:u w:val="single"/>
              </w:rPr>
            </w:pPr>
          </w:p>
        </w:tc>
        <w:tc>
          <w:tcPr>
            <w:tcW w:w="1049" w:type="dxa"/>
            <w:tcBorders>
              <w:top w:val="single" w:color="auto" w:sz="4" w:space="0"/>
              <w:bottom w:val="single" w:color="auto" w:sz="4" w:space="0"/>
            </w:tcBorders>
            <w:vAlign w:val="center"/>
          </w:tcPr>
          <w:p w14:paraId="41696D68">
            <w:r>
              <w:t>14.008</w:t>
            </w:r>
          </w:p>
        </w:tc>
        <w:tc>
          <w:tcPr>
            <w:tcW w:w="1130" w:type="dxa"/>
            <w:tcBorders>
              <w:top w:val="single" w:color="auto" w:sz="4" w:space="0"/>
              <w:bottom w:val="single" w:color="auto" w:sz="4" w:space="0"/>
            </w:tcBorders>
            <w:vAlign w:val="center"/>
          </w:tcPr>
          <w:p w14:paraId="63B0630B">
            <w:r>
              <w:t>26.41</w:t>
            </w:r>
          </w:p>
          <w:p w14:paraId="4FE5B4EB"/>
        </w:tc>
        <w:tc>
          <w:tcPr>
            <w:tcW w:w="806" w:type="dxa"/>
            <w:tcBorders>
              <w:top w:val="single" w:color="auto" w:sz="4" w:space="0"/>
              <w:bottom w:val="single" w:color="auto" w:sz="4" w:space="0"/>
            </w:tcBorders>
            <w:vAlign w:val="center"/>
          </w:tcPr>
          <w:p w14:paraId="371A8CE2">
            <w:r>
              <w:t>3.9</w:t>
            </w:r>
          </w:p>
          <w:p w14:paraId="664472F2"/>
        </w:tc>
        <w:tc>
          <w:tcPr>
            <w:tcW w:w="1130" w:type="dxa"/>
            <w:tcBorders>
              <w:top w:val="single" w:color="auto" w:sz="4" w:space="0"/>
              <w:bottom w:val="single" w:color="auto" w:sz="4" w:space="0"/>
              <w:right w:val="single" w:color="auto" w:sz="4" w:space="0"/>
            </w:tcBorders>
            <w:vAlign w:val="center"/>
          </w:tcPr>
          <w:p w14:paraId="029BE7C4">
            <w:r>
              <w:t>10.21</w:t>
            </w:r>
          </w:p>
          <w:p w14:paraId="3838B186"/>
        </w:tc>
        <w:tc>
          <w:tcPr>
            <w:tcW w:w="1995" w:type="dxa"/>
            <w:tcBorders>
              <w:top w:val="single" w:color="auto" w:sz="4" w:space="0"/>
              <w:left w:val="single" w:color="auto" w:sz="4" w:space="0"/>
              <w:bottom w:val="single" w:color="auto" w:sz="4" w:space="0"/>
            </w:tcBorders>
            <w:vAlign w:val="center"/>
          </w:tcPr>
          <w:p w14:paraId="2C22AFC0">
            <w:r>
              <w:t>39.251</w:t>
            </w:r>
          </w:p>
          <w:p w14:paraId="6F32223C"/>
        </w:tc>
      </w:tr>
      <w:tr w14:paraId="06797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exact"/>
          <w:jc w:val="center"/>
        </w:trPr>
        <w:tc>
          <w:tcPr>
            <w:tcW w:w="1959" w:type="dxa"/>
            <w:tcBorders>
              <w:top w:val="single" w:color="auto" w:sz="4" w:space="0"/>
              <w:bottom w:val="single" w:color="auto" w:sz="4" w:space="0"/>
            </w:tcBorders>
            <w:vAlign w:val="bottom"/>
          </w:tcPr>
          <w:p w14:paraId="038BCCE5">
            <w:pPr>
              <w:rPr>
                <w:i/>
                <w:iCs/>
              </w:rPr>
            </w:pPr>
            <w:r>
              <w:rPr>
                <w:i/>
                <w:iCs/>
              </w:rPr>
              <w:t>D. innoxia</w:t>
            </w:r>
          </w:p>
        </w:tc>
        <w:tc>
          <w:tcPr>
            <w:tcW w:w="1373" w:type="dxa"/>
            <w:tcBorders>
              <w:top w:val="single" w:color="auto" w:sz="4" w:space="0"/>
              <w:bottom w:val="single" w:color="auto" w:sz="4" w:space="0"/>
            </w:tcBorders>
            <w:vAlign w:val="center"/>
          </w:tcPr>
          <w:p w14:paraId="157D1A7C">
            <w:r>
              <w:t>6.296</w:t>
            </w:r>
          </w:p>
        </w:tc>
        <w:tc>
          <w:tcPr>
            <w:tcW w:w="1049" w:type="dxa"/>
            <w:tcBorders>
              <w:top w:val="single" w:color="auto" w:sz="4" w:space="0"/>
              <w:bottom w:val="single" w:color="auto" w:sz="4" w:space="0"/>
            </w:tcBorders>
            <w:vAlign w:val="center"/>
          </w:tcPr>
          <w:p w14:paraId="3D899BBD">
            <w:r>
              <w:t>14.940</w:t>
            </w:r>
          </w:p>
        </w:tc>
        <w:tc>
          <w:tcPr>
            <w:tcW w:w="1130" w:type="dxa"/>
            <w:tcBorders>
              <w:top w:val="single" w:color="auto" w:sz="4" w:space="0"/>
              <w:bottom w:val="single" w:color="auto" w:sz="4" w:space="0"/>
            </w:tcBorders>
            <w:vAlign w:val="center"/>
          </w:tcPr>
          <w:p w14:paraId="1C151B47">
            <w:r>
              <w:t>27.125</w:t>
            </w:r>
          </w:p>
        </w:tc>
        <w:tc>
          <w:tcPr>
            <w:tcW w:w="806" w:type="dxa"/>
            <w:tcBorders>
              <w:top w:val="single" w:color="auto" w:sz="4" w:space="0"/>
              <w:bottom w:val="single" w:color="auto" w:sz="4" w:space="0"/>
            </w:tcBorders>
            <w:vAlign w:val="center"/>
          </w:tcPr>
          <w:p w14:paraId="7CDB6EC7">
            <w:r>
              <w:t>3.296</w:t>
            </w:r>
          </w:p>
        </w:tc>
        <w:tc>
          <w:tcPr>
            <w:tcW w:w="1130" w:type="dxa"/>
            <w:tcBorders>
              <w:top w:val="single" w:color="auto" w:sz="4" w:space="0"/>
              <w:bottom w:val="single" w:color="auto" w:sz="4" w:space="0"/>
              <w:right w:val="single" w:color="auto" w:sz="4" w:space="0"/>
            </w:tcBorders>
            <w:vAlign w:val="center"/>
          </w:tcPr>
          <w:p w14:paraId="1827AAF4">
            <w:r>
              <w:t>7.220</w:t>
            </w:r>
          </w:p>
        </w:tc>
        <w:tc>
          <w:tcPr>
            <w:tcW w:w="1995" w:type="dxa"/>
            <w:tcBorders>
              <w:top w:val="single" w:color="auto" w:sz="4" w:space="0"/>
              <w:left w:val="single" w:color="auto" w:sz="4" w:space="0"/>
              <w:bottom w:val="single" w:color="auto" w:sz="4" w:space="0"/>
            </w:tcBorders>
            <w:vAlign w:val="center"/>
          </w:tcPr>
          <w:p w14:paraId="3A3ACFB1">
            <w:r>
              <w:t>38.123</w:t>
            </w:r>
          </w:p>
        </w:tc>
      </w:tr>
      <w:tr w14:paraId="4E9C9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exact"/>
          <w:jc w:val="center"/>
        </w:trPr>
        <w:tc>
          <w:tcPr>
            <w:tcW w:w="1959" w:type="dxa"/>
            <w:tcBorders>
              <w:top w:val="single" w:color="auto" w:sz="4" w:space="0"/>
              <w:bottom w:val="single" w:color="auto" w:sz="4" w:space="0"/>
            </w:tcBorders>
            <w:vAlign w:val="bottom"/>
          </w:tcPr>
          <w:p w14:paraId="7419B388">
            <w:pPr>
              <w:rPr>
                <w:i/>
                <w:iCs/>
              </w:rPr>
            </w:pPr>
            <w:r>
              <w:rPr>
                <w:i/>
                <w:iCs/>
              </w:rPr>
              <w:t>D.stramonium</w:t>
            </w:r>
          </w:p>
        </w:tc>
        <w:tc>
          <w:tcPr>
            <w:tcW w:w="1373" w:type="dxa"/>
            <w:tcBorders>
              <w:top w:val="single" w:color="auto" w:sz="4" w:space="0"/>
            </w:tcBorders>
            <w:vAlign w:val="center"/>
          </w:tcPr>
          <w:p w14:paraId="63CC7BB4">
            <w:r>
              <w:t>7.756</w:t>
            </w:r>
          </w:p>
        </w:tc>
        <w:tc>
          <w:tcPr>
            <w:tcW w:w="1049" w:type="dxa"/>
            <w:tcBorders>
              <w:top w:val="single" w:color="auto" w:sz="4" w:space="0"/>
            </w:tcBorders>
            <w:vAlign w:val="center"/>
          </w:tcPr>
          <w:p w14:paraId="08FEC04B">
            <w:r>
              <w:t>14.101</w:t>
            </w:r>
          </w:p>
        </w:tc>
        <w:tc>
          <w:tcPr>
            <w:tcW w:w="1130" w:type="dxa"/>
            <w:tcBorders>
              <w:top w:val="single" w:color="auto" w:sz="4" w:space="0"/>
            </w:tcBorders>
            <w:vAlign w:val="center"/>
          </w:tcPr>
          <w:p w14:paraId="5006E30D">
            <w:r>
              <w:t>25.375</w:t>
            </w:r>
          </w:p>
        </w:tc>
        <w:tc>
          <w:tcPr>
            <w:tcW w:w="806" w:type="dxa"/>
            <w:tcBorders>
              <w:top w:val="single" w:color="auto" w:sz="4" w:space="0"/>
            </w:tcBorders>
            <w:vAlign w:val="center"/>
          </w:tcPr>
          <w:p w14:paraId="15C31E5A">
            <w:r>
              <w:t>2.608</w:t>
            </w:r>
          </w:p>
        </w:tc>
        <w:tc>
          <w:tcPr>
            <w:tcW w:w="1130" w:type="dxa"/>
            <w:tcBorders>
              <w:top w:val="single" w:color="auto" w:sz="4" w:space="0"/>
              <w:right w:val="single" w:color="auto" w:sz="4" w:space="0"/>
            </w:tcBorders>
            <w:vAlign w:val="center"/>
          </w:tcPr>
          <w:p w14:paraId="473D19E8">
            <w:r>
              <w:t>11.180</w:t>
            </w:r>
          </w:p>
        </w:tc>
        <w:tc>
          <w:tcPr>
            <w:tcW w:w="1995" w:type="dxa"/>
            <w:tcBorders>
              <w:top w:val="single" w:color="auto" w:sz="4" w:space="0"/>
              <w:left w:val="single" w:color="auto" w:sz="4" w:space="0"/>
            </w:tcBorders>
            <w:vAlign w:val="center"/>
          </w:tcPr>
          <w:p w14:paraId="0707557C">
            <w:r>
              <w:t>38.980</w:t>
            </w:r>
          </w:p>
        </w:tc>
      </w:tr>
      <w:tr w14:paraId="50EC21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exact"/>
          <w:jc w:val="center"/>
        </w:trPr>
        <w:tc>
          <w:tcPr>
            <w:tcW w:w="1959" w:type="dxa"/>
            <w:tcBorders>
              <w:top w:val="single" w:color="auto" w:sz="4" w:space="0"/>
              <w:bottom w:val="single" w:color="auto" w:sz="4" w:space="0"/>
            </w:tcBorders>
            <w:vAlign w:val="bottom"/>
          </w:tcPr>
          <w:p w14:paraId="13D1C254">
            <w:pPr>
              <w:rPr>
                <w:i/>
                <w:iCs/>
              </w:rPr>
            </w:pPr>
            <w:r>
              <w:rPr>
                <w:i/>
                <w:iCs/>
              </w:rPr>
              <w:t>H. muticus</w:t>
            </w:r>
          </w:p>
        </w:tc>
        <w:tc>
          <w:tcPr>
            <w:tcW w:w="1373" w:type="dxa"/>
            <w:vAlign w:val="center"/>
          </w:tcPr>
          <w:p w14:paraId="623D562D">
            <w:r>
              <w:rPr>
                <w:rtl/>
              </w:rPr>
              <w:t>5.737</w:t>
            </w:r>
          </w:p>
        </w:tc>
        <w:tc>
          <w:tcPr>
            <w:tcW w:w="1049" w:type="dxa"/>
            <w:vAlign w:val="center"/>
          </w:tcPr>
          <w:p w14:paraId="11546700">
            <w:r>
              <w:rPr>
                <w:rtl/>
              </w:rPr>
              <w:t>30.384</w:t>
            </w:r>
          </w:p>
        </w:tc>
        <w:tc>
          <w:tcPr>
            <w:tcW w:w="1130" w:type="dxa"/>
            <w:vAlign w:val="center"/>
          </w:tcPr>
          <w:p w14:paraId="463C33B8">
            <w:r>
              <w:rPr>
                <w:rtl/>
              </w:rPr>
              <w:t>14.000</w:t>
            </w:r>
          </w:p>
        </w:tc>
        <w:tc>
          <w:tcPr>
            <w:tcW w:w="806" w:type="dxa"/>
            <w:vAlign w:val="center"/>
          </w:tcPr>
          <w:p w14:paraId="3E1DC83A">
            <w:r>
              <w:rPr>
                <w:rtl/>
              </w:rPr>
              <w:t>2.635</w:t>
            </w:r>
          </w:p>
        </w:tc>
        <w:tc>
          <w:tcPr>
            <w:tcW w:w="1130" w:type="dxa"/>
            <w:tcBorders>
              <w:right w:val="single" w:color="auto" w:sz="4" w:space="0"/>
            </w:tcBorders>
            <w:vAlign w:val="center"/>
          </w:tcPr>
          <w:p w14:paraId="0A03E71A">
            <w:r>
              <w:rPr>
                <w:rtl/>
              </w:rPr>
              <w:t>11.700</w:t>
            </w:r>
          </w:p>
        </w:tc>
        <w:tc>
          <w:tcPr>
            <w:tcW w:w="1995" w:type="dxa"/>
            <w:tcBorders>
              <w:left w:val="single" w:color="auto" w:sz="4" w:space="0"/>
            </w:tcBorders>
            <w:vAlign w:val="center"/>
          </w:tcPr>
          <w:p w14:paraId="58883C1E">
            <w:r>
              <w:rPr>
                <w:rtl/>
              </w:rPr>
              <w:t>35.544</w:t>
            </w:r>
          </w:p>
        </w:tc>
      </w:tr>
      <w:tr w14:paraId="682B4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exact"/>
          <w:jc w:val="center"/>
        </w:trPr>
        <w:tc>
          <w:tcPr>
            <w:tcW w:w="1959" w:type="dxa"/>
            <w:tcBorders>
              <w:top w:val="single" w:color="auto" w:sz="4" w:space="0"/>
              <w:bottom w:val="single" w:color="auto" w:sz="4" w:space="0"/>
            </w:tcBorders>
            <w:vAlign w:val="bottom"/>
          </w:tcPr>
          <w:p w14:paraId="730BB214">
            <w:pPr>
              <w:rPr>
                <w:i/>
                <w:iCs/>
              </w:rPr>
            </w:pPr>
            <w:r>
              <w:rPr>
                <w:i/>
                <w:iCs/>
              </w:rPr>
              <w:t>L. persicum</w:t>
            </w:r>
          </w:p>
        </w:tc>
        <w:tc>
          <w:tcPr>
            <w:tcW w:w="1373" w:type="dxa"/>
            <w:tcBorders>
              <w:top w:val="single" w:color="auto" w:sz="4" w:space="0"/>
            </w:tcBorders>
            <w:vAlign w:val="center"/>
          </w:tcPr>
          <w:p w14:paraId="40CD7A80">
            <w:r>
              <w:t>7.341</w:t>
            </w:r>
          </w:p>
        </w:tc>
        <w:tc>
          <w:tcPr>
            <w:tcW w:w="1049" w:type="dxa"/>
            <w:tcBorders>
              <w:top w:val="single" w:color="auto" w:sz="4" w:space="0"/>
            </w:tcBorders>
            <w:vAlign w:val="center"/>
          </w:tcPr>
          <w:p w14:paraId="6F96219D">
            <w:r>
              <w:t>30.397</w:t>
            </w:r>
          </w:p>
        </w:tc>
        <w:tc>
          <w:tcPr>
            <w:tcW w:w="1130" w:type="dxa"/>
            <w:tcBorders>
              <w:top w:val="single" w:color="auto" w:sz="4" w:space="0"/>
            </w:tcBorders>
            <w:vAlign w:val="center"/>
          </w:tcPr>
          <w:p w14:paraId="6296A076">
            <w:r>
              <w:t>20.125</w:t>
            </w:r>
          </w:p>
        </w:tc>
        <w:tc>
          <w:tcPr>
            <w:tcW w:w="806" w:type="dxa"/>
            <w:tcBorders>
              <w:top w:val="single" w:color="auto" w:sz="4" w:space="0"/>
            </w:tcBorders>
            <w:vAlign w:val="center"/>
          </w:tcPr>
          <w:p w14:paraId="08E20A7E">
            <w:r>
              <w:t>2.026</w:t>
            </w:r>
          </w:p>
        </w:tc>
        <w:tc>
          <w:tcPr>
            <w:tcW w:w="1130" w:type="dxa"/>
            <w:tcBorders>
              <w:top w:val="single" w:color="auto" w:sz="4" w:space="0"/>
              <w:right w:val="single" w:color="auto" w:sz="4" w:space="0"/>
            </w:tcBorders>
            <w:vAlign w:val="center"/>
          </w:tcPr>
          <w:p w14:paraId="07C7D4B7">
            <w:r>
              <w:t>15.900</w:t>
            </w:r>
          </w:p>
        </w:tc>
        <w:tc>
          <w:tcPr>
            <w:tcW w:w="1995" w:type="dxa"/>
            <w:tcBorders>
              <w:top w:val="single" w:color="auto" w:sz="4" w:space="0"/>
              <w:left w:val="single" w:color="auto" w:sz="4" w:space="0"/>
            </w:tcBorders>
            <w:vAlign w:val="center"/>
          </w:tcPr>
          <w:p w14:paraId="29859061">
            <w:r>
              <w:t>24.211</w:t>
            </w:r>
          </w:p>
        </w:tc>
      </w:tr>
      <w:tr w14:paraId="5C6453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exact"/>
          <w:jc w:val="center"/>
        </w:trPr>
        <w:tc>
          <w:tcPr>
            <w:tcW w:w="1959" w:type="dxa"/>
            <w:tcBorders>
              <w:top w:val="single" w:color="auto" w:sz="4" w:space="0"/>
              <w:bottom w:val="single" w:color="auto" w:sz="4" w:space="0"/>
            </w:tcBorders>
            <w:vAlign w:val="bottom"/>
          </w:tcPr>
          <w:p w14:paraId="143FB18D">
            <w:pPr>
              <w:rPr>
                <w:i/>
                <w:iCs/>
              </w:rPr>
            </w:pPr>
            <w:r>
              <w:rPr>
                <w:i/>
                <w:iCs/>
              </w:rPr>
              <w:t>N.glauca</w:t>
            </w:r>
          </w:p>
        </w:tc>
        <w:tc>
          <w:tcPr>
            <w:tcW w:w="1373" w:type="dxa"/>
            <w:vAlign w:val="center"/>
          </w:tcPr>
          <w:p w14:paraId="5CEA32DE">
            <w:r>
              <w:t>6.237</w:t>
            </w:r>
          </w:p>
        </w:tc>
        <w:tc>
          <w:tcPr>
            <w:tcW w:w="1049" w:type="dxa"/>
            <w:vAlign w:val="center"/>
          </w:tcPr>
          <w:p w14:paraId="34AA01F3">
            <w:r>
              <w:t>19.804</w:t>
            </w:r>
          </w:p>
        </w:tc>
        <w:tc>
          <w:tcPr>
            <w:tcW w:w="1130" w:type="dxa"/>
            <w:vAlign w:val="center"/>
          </w:tcPr>
          <w:p w14:paraId="32074C16">
            <w:r>
              <w:t>21.000</w:t>
            </w:r>
          </w:p>
        </w:tc>
        <w:tc>
          <w:tcPr>
            <w:tcW w:w="806" w:type="dxa"/>
            <w:vAlign w:val="center"/>
          </w:tcPr>
          <w:p w14:paraId="098B8CB3">
            <w:r>
              <w:t>5.858</w:t>
            </w:r>
          </w:p>
        </w:tc>
        <w:tc>
          <w:tcPr>
            <w:tcW w:w="1130" w:type="dxa"/>
            <w:tcBorders>
              <w:bottom w:val="single" w:color="auto" w:sz="4" w:space="0"/>
              <w:right w:val="single" w:color="auto" w:sz="4" w:space="0"/>
            </w:tcBorders>
            <w:vAlign w:val="center"/>
          </w:tcPr>
          <w:p w14:paraId="13091BF1">
            <w:r>
              <w:t>11.190</w:t>
            </w:r>
          </w:p>
        </w:tc>
        <w:tc>
          <w:tcPr>
            <w:tcW w:w="1995" w:type="dxa"/>
            <w:tcBorders>
              <w:left w:val="single" w:color="auto" w:sz="4" w:space="0"/>
            </w:tcBorders>
            <w:vAlign w:val="center"/>
          </w:tcPr>
          <w:p w14:paraId="4FD13099">
            <w:r>
              <w:t>35.911</w:t>
            </w:r>
          </w:p>
        </w:tc>
      </w:tr>
      <w:tr w14:paraId="77B0A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exact"/>
          <w:jc w:val="center"/>
        </w:trPr>
        <w:tc>
          <w:tcPr>
            <w:tcW w:w="1959" w:type="dxa"/>
            <w:tcBorders>
              <w:top w:val="single" w:color="auto" w:sz="4" w:space="0"/>
              <w:bottom w:val="single" w:color="auto" w:sz="4" w:space="0"/>
            </w:tcBorders>
            <w:vAlign w:val="bottom"/>
          </w:tcPr>
          <w:p w14:paraId="1430AAE8">
            <w:pPr>
              <w:rPr>
                <w:i/>
                <w:iCs/>
              </w:rPr>
            </w:pPr>
            <w:r>
              <w:rPr>
                <w:i/>
                <w:iCs/>
              </w:rPr>
              <w:t>P.angulata</w:t>
            </w:r>
          </w:p>
        </w:tc>
        <w:tc>
          <w:tcPr>
            <w:tcW w:w="1373" w:type="dxa"/>
            <w:tcBorders>
              <w:top w:val="single" w:color="auto" w:sz="4" w:space="0"/>
            </w:tcBorders>
            <w:vAlign w:val="center"/>
          </w:tcPr>
          <w:p w14:paraId="5474AEFA">
            <w:r>
              <w:t>8.352</w:t>
            </w:r>
          </w:p>
        </w:tc>
        <w:tc>
          <w:tcPr>
            <w:tcW w:w="1049" w:type="dxa"/>
            <w:tcBorders>
              <w:top w:val="single" w:color="auto" w:sz="4" w:space="0"/>
            </w:tcBorders>
            <w:vAlign w:val="center"/>
          </w:tcPr>
          <w:p w14:paraId="66CDFD70">
            <w:r>
              <w:t>16.105</w:t>
            </w:r>
          </w:p>
        </w:tc>
        <w:tc>
          <w:tcPr>
            <w:tcW w:w="1130" w:type="dxa"/>
            <w:tcBorders>
              <w:top w:val="single" w:color="auto" w:sz="4" w:space="0"/>
            </w:tcBorders>
            <w:vAlign w:val="center"/>
          </w:tcPr>
          <w:p w14:paraId="498826FD">
            <w:r>
              <w:t>26.250</w:t>
            </w:r>
          </w:p>
        </w:tc>
        <w:tc>
          <w:tcPr>
            <w:tcW w:w="806" w:type="dxa"/>
            <w:tcBorders>
              <w:top w:val="single" w:color="auto" w:sz="4" w:space="0"/>
            </w:tcBorders>
            <w:vAlign w:val="center"/>
          </w:tcPr>
          <w:p w14:paraId="76E4C4FC">
            <w:r>
              <w:t>4.502</w:t>
            </w:r>
          </w:p>
        </w:tc>
        <w:tc>
          <w:tcPr>
            <w:tcW w:w="1130" w:type="dxa"/>
            <w:tcBorders>
              <w:top w:val="single" w:color="auto" w:sz="4" w:space="0"/>
              <w:right w:val="single" w:color="auto" w:sz="4" w:space="0"/>
            </w:tcBorders>
            <w:vAlign w:val="center"/>
          </w:tcPr>
          <w:p w14:paraId="154581CE">
            <w:r>
              <w:t>10.350</w:t>
            </w:r>
          </w:p>
        </w:tc>
        <w:tc>
          <w:tcPr>
            <w:tcW w:w="1995" w:type="dxa"/>
            <w:tcBorders>
              <w:top w:val="single" w:color="auto" w:sz="4" w:space="0"/>
              <w:left w:val="single" w:color="auto" w:sz="4" w:space="0"/>
            </w:tcBorders>
            <w:vAlign w:val="center"/>
          </w:tcPr>
          <w:p w14:paraId="7604BD20">
            <w:r>
              <w:t>34.441</w:t>
            </w:r>
          </w:p>
        </w:tc>
      </w:tr>
      <w:tr w14:paraId="77F3F4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exact"/>
          <w:jc w:val="center"/>
        </w:trPr>
        <w:tc>
          <w:tcPr>
            <w:tcW w:w="1959" w:type="dxa"/>
            <w:tcBorders>
              <w:top w:val="single" w:color="auto" w:sz="4" w:space="0"/>
              <w:bottom w:val="single" w:color="auto" w:sz="4" w:space="0"/>
            </w:tcBorders>
            <w:vAlign w:val="bottom"/>
          </w:tcPr>
          <w:p w14:paraId="4767544E">
            <w:pPr>
              <w:rPr>
                <w:i/>
                <w:iCs/>
              </w:rPr>
            </w:pPr>
            <w:r>
              <w:rPr>
                <w:i/>
                <w:iCs/>
              </w:rPr>
              <w:t xml:space="preserve">S.americanumm </w:t>
            </w:r>
          </w:p>
        </w:tc>
        <w:tc>
          <w:tcPr>
            <w:tcW w:w="1373" w:type="dxa"/>
            <w:vAlign w:val="center"/>
          </w:tcPr>
          <w:p w14:paraId="1B7ABDB8">
            <w:r>
              <w:t>7.141</w:t>
            </w:r>
          </w:p>
        </w:tc>
        <w:tc>
          <w:tcPr>
            <w:tcW w:w="1049" w:type="dxa"/>
            <w:vAlign w:val="center"/>
          </w:tcPr>
          <w:p w14:paraId="55C65223">
            <w:r>
              <w:t>18.390</w:t>
            </w:r>
          </w:p>
        </w:tc>
        <w:tc>
          <w:tcPr>
            <w:tcW w:w="1130" w:type="dxa"/>
            <w:vAlign w:val="center"/>
          </w:tcPr>
          <w:p w14:paraId="5BEBCEA1">
            <w:r>
              <w:t>17.500</w:t>
            </w:r>
          </w:p>
        </w:tc>
        <w:tc>
          <w:tcPr>
            <w:tcW w:w="806" w:type="dxa"/>
            <w:vAlign w:val="center"/>
          </w:tcPr>
          <w:p w14:paraId="3C9D807F">
            <w:r>
              <w:t>2.190</w:t>
            </w:r>
          </w:p>
        </w:tc>
        <w:tc>
          <w:tcPr>
            <w:tcW w:w="1130" w:type="dxa"/>
            <w:tcBorders>
              <w:right w:val="single" w:color="auto" w:sz="4" w:space="0"/>
            </w:tcBorders>
            <w:vAlign w:val="center"/>
          </w:tcPr>
          <w:p w14:paraId="2D945748">
            <w:r>
              <w:t>14.240</w:t>
            </w:r>
          </w:p>
        </w:tc>
        <w:tc>
          <w:tcPr>
            <w:tcW w:w="1995" w:type="dxa"/>
            <w:tcBorders>
              <w:left w:val="single" w:color="auto" w:sz="4" w:space="0"/>
            </w:tcBorders>
            <w:vAlign w:val="center"/>
          </w:tcPr>
          <w:p w14:paraId="53C3699C">
            <w:r>
              <w:t>40.539</w:t>
            </w:r>
          </w:p>
        </w:tc>
      </w:tr>
      <w:tr w14:paraId="566E21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exact"/>
          <w:jc w:val="center"/>
        </w:trPr>
        <w:tc>
          <w:tcPr>
            <w:tcW w:w="1959" w:type="dxa"/>
            <w:tcBorders>
              <w:top w:val="single" w:color="auto" w:sz="4" w:space="0"/>
              <w:bottom w:val="single" w:color="auto" w:sz="4" w:space="0"/>
            </w:tcBorders>
            <w:vAlign w:val="bottom"/>
          </w:tcPr>
          <w:p w14:paraId="35CB1578">
            <w:pPr>
              <w:rPr>
                <w:i/>
                <w:iCs/>
              </w:rPr>
            </w:pPr>
            <w:r>
              <w:rPr>
                <w:i/>
                <w:iCs/>
              </w:rPr>
              <w:t>S. dubium</w:t>
            </w:r>
          </w:p>
        </w:tc>
        <w:tc>
          <w:tcPr>
            <w:tcW w:w="1373" w:type="dxa"/>
            <w:tcBorders>
              <w:bottom w:val="single" w:color="auto" w:sz="4" w:space="0"/>
            </w:tcBorders>
            <w:vAlign w:val="center"/>
          </w:tcPr>
          <w:p w14:paraId="1C27E21C">
            <w:r>
              <w:t>6.079</w:t>
            </w:r>
          </w:p>
        </w:tc>
        <w:tc>
          <w:tcPr>
            <w:tcW w:w="1049" w:type="dxa"/>
            <w:tcBorders>
              <w:bottom w:val="single" w:color="auto" w:sz="4" w:space="0"/>
            </w:tcBorders>
            <w:vAlign w:val="center"/>
          </w:tcPr>
          <w:p w14:paraId="7AFEC593">
            <w:r>
              <w:t>20.325</w:t>
            </w:r>
          </w:p>
        </w:tc>
        <w:tc>
          <w:tcPr>
            <w:tcW w:w="1130" w:type="dxa"/>
            <w:tcBorders>
              <w:bottom w:val="single" w:color="auto" w:sz="4" w:space="0"/>
            </w:tcBorders>
            <w:vAlign w:val="center"/>
          </w:tcPr>
          <w:p w14:paraId="5A4CA580">
            <w:r>
              <w:t>20.125</w:t>
            </w:r>
          </w:p>
        </w:tc>
        <w:tc>
          <w:tcPr>
            <w:tcW w:w="806" w:type="dxa"/>
            <w:tcBorders>
              <w:bottom w:val="single" w:color="auto" w:sz="4" w:space="0"/>
            </w:tcBorders>
            <w:vAlign w:val="center"/>
          </w:tcPr>
          <w:p w14:paraId="151FC9A1">
            <w:r>
              <w:t>1.740</w:t>
            </w:r>
          </w:p>
        </w:tc>
        <w:tc>
          <w:tcPr>
            <w:tcW w:w="1130" w:type="dxa"/>
            <w:tcBorders>
              <w:bottom w:val="single" w:color="auto" w:sz="4" w:space="0"/>
              <w:right w:val="single" w:color="auto" w:sz="4" w:space="0"/>
            </w:tcBorders>
            <w:vAlign w:val="center"/>
          </w:tcPr>
          <w:p w14:paraId="3D1B70E7">
            <w:r>
              <w:t>19.650</w:t>
            </w:r>
          </w:p>
        </w:tc>
        <w:tc>
          <w:tcPr>
            <w:tcW w:w="1995" w:type="dxa"/>
            <w:tcBorders>
              <w:left w:val="single" w:color="auto" w:sz="4" w:space="0"/>
              <w:bottom w:val="single" w:color="auto" w:sz="4" w:space="0"/>
            </w:tcBorders>
            <w:vAlign w:val="center"/>
          </w:tcPr>
          <w:p w14:paraId="5CA88CA6">
            <w:r>
              <w:t>32.081</w:t>
            </w:r>
          </w:p>
        </w:tc>
      </w:tr>
      <w:tr w14:paraId="4AC39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exact"/>
          <w:jc w:val="center"/>
        </w:trPr>
        <w:tc>
          <w:tcPr>
            <w:tcW w:w="1959" w:type="dxa"/>
            <w:tcBorders>
              <w:top w:val="single" w:color="auto" w:sz="4" w:space="0"/>
              <w:bottom w:val="single" w:color="auto" w:sz="4" w:space="0"/>
            </w:tcBorders>
            <w:vAlign w:val="bottom"/>
          </w:tcPr>
          <w:p w14:paraId="19CCE48B">
            <w:pPr>
              <w:rPr>
                <w:i/>
                <w:iCs/>
              </w:rPr>
            </w:pPr>
            <w:r>
              <w:rPr>
                <w:i/>
                <w:iCs/>
              </w:rPr>
              <w:t>S.incanum</w:t>
            </w:r>
          </w:p>
        </w:tc>
        <w:tc>
          <w:tcPr>
            <w:tcW w:w="1373" w:type="dxa"/>
            <w:tcBorders>
              <w:top w:val="single" w:color="auto" w:sz="4" w:space="0"/>
              <w:bottom w:val="single" w:color="auto" w:sz="4" w:space="0"/>
            </w:tcBorders>
            <w:vAlign w:val="center"/>
          </w:tcPr>
          <w:p w14:paraId="1DB41446">
            <w:r>
              <w:t>7.141</w:t>
            </w:r>
          </w:p>
        </w:tc>
        <w:tc>
          <w:tcPr>
            <w:tcW w:w="1049" w:type="dxa"/>
            <w:tcBorders>
              <w:top w:val="single" w:color="auto" w:sz="4" w:space="0"/>
              <w:bottom w:val="single" w:color="auto" w:sz="4" w:space="0"/>
            </w:tcBorders>
            <w:vAlign w:val="center"/>
          </w:tcPr>
          <w:p w14:paraId="40D55C30">
            <w:r>
              <w:t>18.390</w:t>
            </w:r>
          </w:p>
        </w:tc>
        <w:tc>
          <w:tcPr>
            <w:tcW w:w="1130" w:type="dxa"/>
            <w:tcBorders>
              <w:top w:val="single" w:color="auto" w:sz="4" w:space="0"/>
              <w:bottom w:val="single" w:color="auto" w:sz="4" w:space="0"/>
            </w:tcBorders>
            <w:vAlign w:val="center"/>
          </w:tcPr>
          <w:p w14:paraId="49244375">
            <w:r>
              <w:t>17.500</w:t>
            </w:r>
          </w:p>
        </w:tc>
        <w:tc>
          <w:tcPr>
            <w:tcW w:w="806" w:type="dxa"/>
            <w:tcBorders>
              <w:top w:val="single" w:color="auto" w:sz="4" w:space="0"/>
              <w:bottom w:val="single" w:color="auto" w:sz="4" w:space="0"/>
            </w:tcBorders>
            <w:vAlign w:val="center"/>
          </w:tcPr>
          <w:p w14:paraId="475FC667">
            <w:r>
              <w:t>2.190</w:t>
            </w:r>
          </w:p>
        </w:tc>
        <w:tc>
          <w:tcPr>
            <w:tcW w:w="1130" w:type="dxa"/>
            <w:tcBorders>
              <w:top w:val="single" w:color="auto" w:sz="4" w:space="0"/>
              <w:bottom w:val="single" w:color="auto" w:sz="4" w:space="0"/>
              <w:right w:val="single" w:color="auto" w:sz="4" w:space="0"/>
            </w:tcBorders>
            <w:vAlign w:val="center"/>
          </w:tcPr>
          <w:p w14:paraId="77A3D74E">
            <w:r>
              <w:t>14.240</w:t>
            </w:r>
          </w:p>
        </w:tc>
        <w:tc>
          <w:tcPr>
            <w:tcW w:w="1995" w:type="dxa"/>
            <w:tcBorders>
              <w:top w:val="single" w:color="auto" w:sz="4" w:space="0"/>
              <w:left w:val="single" w:color="auto" w:sz="4" w:space="0"/>
              <w:bottom w:val="single" w:color="auto" w:sz="4" w:space="0"/>
            </w:tcBorders>
            <w:vAlign w:val="center"/>
          </w:tcPr>
          <w:p w14:paraId="001866BE">
            <w:r>
              <w:t>40.539</w:t>
            </w:r>
          </w:p>
        </w:tc>
      </w:tr>
      <w:tr w14:paraId="2E8AE6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exact"/>
          <w:jc w:val="center"/>
        </w:trPr>
        <w:tc>
          <w:tcPr>
            <w:tcW w:w="1959" w:type="dxa"/>
            <w:tcBorders>
              <w:top w:val="single" w:color="auto" w:sz="4" w:space="0"/>
              <w:bottom w:val="single" w:color="auto" w:sz="4" w:space="0"/>
            </w:tcBorders>
            <w:vAlign w:val="bottom"/>
          </w:tcPr>
          <w:p w14:paraId="6080BA60">
            <w:pPr>
              <w:rPr>
                <w:i/>
                <w:iCs/>
              </w:rPr>
            </w:pPr>
            <w:r>
              <w:rPr>
                <w:i/>
                <w:iCs/>
              </w:rPr>
              <w:t>S. schimperianum schimperianum</w:t>
            </w:r>
          </w:p>
        </w:tc>
        <w:tc>
          <w:tcPr>
            <w:tcW w:w="1373" w:type="dxa"/>
            <w:tcBorders>
              <w:top w:val="single" w:color="auto" w:sz="4" w:space="0"/>
              <w:bottom w:val="single" w:color="auto" w:sz="4" w:space="0"/>
            </w:tcBorders>
            <w:vAlign w:val="center"/>
          </w:tcPr>
          <w:p w14:paraId="5C9E7561">
            <w:r>
              <w:t>7.648</w:t>
            </w:r>
          </w:p>
        </w:tc>
        <w:tc>
          <w:tcPr>
            <w:tcW w:w="1049" w:type="dxa"/>
            <w:tcBorders>
              <w:top w:val="single" w:color="auto" w:sz="4" w:space="0"/>
              <w:bottom w:val="single" w:color="auto" w:sz="4" w:space="0"/>
            </w:tcBorders>
            <w:vAlign w:val="center"/>
          </w:tcPr>
          <w:p w14:paraId="295B2843">
            <w:r>
              <w:t>12.941</w:t>
            </w:r>
          </w:p>
        </w:tc>
        <w:tc>
          <w:tcPr>
            <w:tcW w:w="1130" w:type="dxa"/>
            <w:tcBorders>
              <w:top w:val="single" w:color="auto" w:sz="4" w:space="0"/>
              <w:bottom w:val="single" w:color="auto" w:sz="4" w:space="0"/>
            </w:tcBorders>
            <w:vAlign w:val="center"/>
          </w:tcPr>
          <w:p w14:paraId="1AC8B548">
            <w:r>
              <w:t>27.125</w:t>
            </w:r>
          </w:p>
        </w:tc>
        <w:tc>
          <w:tcPr>
            <w:tcW w:w="806" w:type="dxa"/>
            <w:tcBorders>
              <w:top w:val="single" w:color="auto" w:sz="4" w:space="0"/>
              <w:bottom w:val="single" w:color="auto" w:sz="4" w:space="0"/>
            </w:tcBorders>
            <w:vAlign w:val="center"/>
          </w:tcPr>
          <w:p w14:paraId="7D2B8D09">
            <w:r>
              <w:t>2.614</w:t>
            </w:r>
          </w:p>
        </w:tc>
        <w:tc>
          <w:tcPr>
            <w:tcW w:w="1130" w:type="dxa"/>
            <w:tcBorders>
              <w:top w:val="single" w:color="auto" w:sz="4" w:space="0"/>
              <w:bottom w:val="single" w:color="auto" w:sz="4" w:space="0"/>
              <w:right w:val="single" w:color="auto" w:sz="4" w:space="0"/>
            </w:tcBorders>
            <w:vAlign w:val="center"/>
          </w:tcPr>
          <w:p w14:paraId="0D6DA059">
            <w:r>
              <w:t>21.100</w:t>
            </w:r>
          </w:p>
        </w:tc>
        <w:tc>
          <w:tcPr>
            <w:tcW w:w="1995" w:type="dxa"/>
            <w:tcBorders>
              <w:top w:val="single" w:color="auto" w:sz="4" w:space="0"/>
              <w:left w:val="single" w:color="auto" w:sz="4" w:space="0"/>
              <w:bottom w:val="single" w:color="auto" w:sz="4" w:space="0"/>
            </w:tcBorders>
            <w:vAlign w:val="center"/>
          </w:tcPr>
          <w:p w14:paraId="453C29BB">
            <w:r>
              <w:t>28.572</w:t>
            </w:r>
          </w:p>
        </w:tc>
      </w:tr>
      <w:tr w14:paraId="38F5D7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8" w:hRule="exact"/>
          <w:jc w:val="center"/>
        </w:trPr>
        <w:tc>
          <w:tcPr>
            <w:tcW w:w="1959" w:type="dxa"/>
            <w:tcBorders>
              <w:top w:val="single" w:color="auto" w:sz="4" w:space="0"/>
              <w:bottom w:val="single" w:color="auto" w:sz="4" w:space="0"/>
            </w:tcBorders>
            <w:vAlign w:val="bottom"/>
          </w:tcPr>
          <w:p w14:paraId="5570F5C5">
            <w:pPr>
              <w:rPr>
                <w:i/>
                <w:iCs/>
              </w:rPr>
            </w:pPr>
            <w:r>
              <w:rPr>
                <w:i/>
                <w:iCs/>
              </w:rPr>
              <w:t>S. villosum</w:t>
            </w:r>
          </w:p>
        </w:tc>
        <w:tc>
          <w:tcPr>
            <w:tcW w:w="1373" w:type="dxa"/>
            <w:tcBorders>
              <w:top w:val="single" w:color="auto" w:sz="4" w:space="0"/>
              <w:bottom w:val="single" w:color="auto" w:sz="4" w:space="0"/>
            </w:tcBorders>
            <w:vAlign w:val="center"/>
          </w:tcPr>
          <w:p w14:paraId="3D6F5207">
            <w:r>
              <w:t>7.543</w:t>
            </w:r>
          </w:p>
        </w:tc>
        <w:tc>
          <w:tcPr>
            <w:tcW w:w="1049" w:type="dxa"/>
            <w:tcBorders>
              <w:top w:val="single" w:color="auto" w:sz="4" w:space="0"/>
              <w:bottom w:val="single" w:color="auto" w:sz="4" w:space="0"/>
            </w:tcBorders>
            <w:vAlign w:val="center"/>
          </w:tcPr>
          <w:p w14:paraId="6E600CA6">
            <w:r>
              <w:t>16.867</w:t>
            </w:r>
          </w:p>
        </w:tc>
        <w:tc>
          <w:tcPr>
            <w:tcW w:w="1130" w:type="dxa"/>
            <w:tcBorders>
              <w:top w:val="single" w:color="auto" w:sz="4" w:space="0"/>
              <w:bottom w:val="single" w:color="auto" w:sz="4" w:space="0"/>
            </w:tcBorders>
            <w:vAlign w:val="center"/>
          </w:tcPr>
          <w:p w14:paraId="2A247923">
            <w:r>
              <w:t>18.375</w:t>
            </w:r>
          </w:p>
        </w:tc>
        <w:tc>
          <w:tcPr>
            <w:tcW w:w="806" w:type="dxa"/>
            <w:tcBorders>
              <w:top w:val="single" w:color="auto" w:sz="4" w:space="0"/>
              <w:bottom w:val="single" w:color="auto" w:sz="4" w:space="0"/>
            </w:tcBorders>
            <w:vAlign w:val="center"/>
          </w:tcPr>
          <w:p w14:paraId="01C9C8F6">
            <w:r>
              <w:t>2.008</w:t>
            </w:r>
          </w:p>
        </w:tc>
        <w:tc>
          <w:tcPr>
            <w:tcW w:w="1130" w:type="dxa"/>
            <w:tcBorders>
              <w:top w:val="single" w:color="auto" w:sz="4" w:space="0"/>
              <w:bottom w:val="single" w:color="auto" w:sz="4" w:space="0"/>
              <w:right w:val="single" w:color="auto" w:sz="4" w:space="0"/>
            </w:tcBorders>
            <w:vAlign w:val="center"/>
          </w:tcPr>
          <w:p w14:paraId="6587A43D">
            <w:r>
              <w:t>23.520</w:t>
            </w:r>
          </w:p>
        </w:tc>
        <w:tc>
          <w:tcPr>
            <w:tcW w:w="1995" w:type="dxa"/>
            <w:tcBorders>
              <w:top w:val="single" w:color="auto" w:sz="4" w:space="0"/>
              <w:left w:val="single" w:color="auto" w:sz="4" w:space="0"/>
              <w:bottom w:val="single" w:color="auto" w:sz="4" w:space="0"/>
            </w:tcBorders>
            <w:vAlign w:val="center"/>
          </w:tcPr>
          <w:p w14:paraId="1DCB81F8">
            <w:r>
              <w:t>31.687</w:t>
            </w:r>
          </w:p>
        </w:tc>
      </w:tr>
      <w:tr w14:paraId="185C3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1" w:hRule="exact"/>
          <w:jc w:val="center"/>
        </w:trPr>
        <w:tc>
          <w:tcPr>
            <w:tcW w:w="1959" w:type="dxa"/>
            <w:tcBorders>
              <w:top w:val="single" w:color="auto" w:sz="4" w:space="0"/>
              <w:bottom w:val="single" w:color="auto" w:sz="4" w:space="0"/>
              <w:right w:val="single" w:color="auto" w:sz="4" w:space="0"/>
            </w:tcBorders>
            <w:vAlign w:val="bottom"/>
          </w:tcPr>
          <w:p w14:paraId="04F8281E">
            <w:pPr>
              <w:rPr>
                <w:i/>
                <w:iCs/>
              </w:rPr>
            </w:pPr>
            <w:r>
              <w:rPr>
                <w:i/>
                <w:iCs/>
              </w:rPr>
              <w:t>W.somnifera</w:t>
            </w:r>
          </w:p>
        </w:tc>
        <w:tc>
          <w:tcPr>
            <w:tcW w:w="1373" w:type="dxa"/>
            <w:tcBorders>
              <w:top w:val="single" w:color="auto" w:sz="4" w:space="0"/>
              <w:left w:val="single" w:color="auto" w:sz="4" w:space="0"/>
              <w:bottom w:val="single" w:color="auto" w:sz="4" w:space="0"/>
            </w:tcBorders>
            <w:vAlign w:val="center"/>
          </w:tcPr>
          <w:p w14:paraId="7B48C5A8">
            <w:r>
              <w:t>7.383</w:t>
            </w:r>
          </w:p>
        </w:tc>
        <w:tc>
          <w:tcPr>
            <w:tcW w:w="1049" w:type="dxa"/>
            <w:tcBorders>
              <w:top w:val="single" w:color="auto" w:sz="4" w:space="0"/>
              <w:bottom w:val="single" w:color="auto" w:sz="4" w:space="0"/>
            </w:tcBorders>
            <w:vAlign w:val="center"/>
          </w:tcPr>
          <w:p w14:paraId="0FA74496">
            <w:r>
              <w:t>14.223</w:t>
            </w:r>
          </w:p>
        </w:tc>
        <w:tc>
          <w:tcPr>
            <w:tcW w:w="1130" w:type="dxa"/>
            <w:tcBorders>
              <w:top w:val="single" w:color="auto" w:sz="4" w:space="0"/>
              <w:bottom w:val="single" w:color="auto" w:sz="4" w:space="0"/>
            </w:tcBorders>
            <w:vAlign w:val="center"/>
          </w:tcPr>
          <w:p w14:paraId="440A560A">
            <w:r>
              <w:t>22.750</w:t>
            </w:r>
          </w:p>
        </w:tc>
        <w:tc>
          <w:tcPr>
            <w:tcW w:w="806" w:type="dxa"/>
            <w:tcBorders>
              <w:top w:val="single" w:color="auto" w:sz="4" w:space="0"/>
              <w:bottom w:val="single" w:color="auto" w:sz="4" w:space="0"/>
            </w:tcBorders>
            <w:vAlign w:val="center"/>
          </w:tcPr>
          <w:p w14:paraId="0D89C032">
            <w:r>
              <w:t>2.416</w:t>
            </w:r>
          </w:p>
        </w:tc>
        <w:tc>
          <w:tcPr>
            <w:tcW w:w="1130" w:type="dxa"/>
            <w:tcBorders>
              <w:top w:val="single" w:color="auto" w:sz="4" w:space="0"/>
              <w:bottom w:val="single" w:color="auto" w:sz="4" w:space="0"/>
              <w:right w:val="single" w:color="auto" w:sz="4" w:space="0"/>
            </w:tcBorders>
            <w:vAlign w:val="center"/>
          </w:tcPr>
          <w:p w14:paraId="5BE2A292">
            <w:r>
              <w:t>16.450</w:t>
            </w:r>
          </w:p>
        </w:tc>
        <w:tc>
          <w:tcPr>
            <w:tcW w:w="1995" w:type="dxa"/>
            <w:tcBorders>
              <w:top w:val="single" w:color="auto" w:sz="4" w:space="0"/>
              <w:left w:val="single" w:color="auto" w:sz="4" w:space="0"/>
              <w:bottom w:val="single" w:color="auto" w:sz="4" w:space="0"/>
            </w:tcBorders>
            <w:vAlign w:val="center"/>
          </w:tcPr>
          <w:p w14:paraId="7E00C46D">
            <w:r>
              <w:t>36.778</w:t>
            </w:r>
          </w:p>
        </w:tc>
      </w:tr>
      <w:commentRangeEnd w:id="14"/>
    </w:tbl>
    <w:p w14:paraId="0405C19B">
      <w:r>
        <w:commentReference w:id="14"/>
      </w:r>
    </w:p>
    <w:p w14:paraId="4752726B">
      <w:r>
        <w:rPr>
          <w:b/>
          <w:bCs/>
        </w:rPr>
        <w:t>Table 3:</w:t>
      </w:r>
      <w:r>
        <w:t xml:space="preserve"> fruits proximate analysis of the studied solaneaous species (moisture, ash, protein, fat, fiber, and carbohydrate contents on a dry weight basis).</w:t>
      </w:r>
    </w:p>
    <w:tbl>
      <w:tblPr>
        <w:tblStyle w:val="3"/>
        <w:tblW w:w="976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35"/>
        <w:gridCol w:w="1440"/>
        <w:gridCol w:w="990"/>
        <w:gridCol w:w="1350"/>
        <w:gridCol w:w="900"/>
        <w:gridCol w:w="1170"/>
        <w:gridCol w:w="1980"/>
      </w:tblGrid>
      <w:tr w14:paraId="7AAB3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935" w:type="dxa"/>
            <w:tcBorders>
              <w:bottom w:val="single" w:color="auto" w:sz="4" w:space="0"/>
            </w:tcBorders>
            <w:vAlign w:val="center"/>
          </w:tcPr>
          <w:p w14:paraId="635D006C">
            <w:pPr>
              <w:rPr>
                <w:b/>
                <w:bCs/>
              </w:rPr>
            </w:pPr>
            <w:r>
              <w:rPr>
                <w:b/>
                <w:bCs/>
              </w:rPr>
              <w:t xml:space="preserve">Plant species </w:t>
            </w:r>
          </w:p>
        </w:tc>
        <w:tc>
          <w:tcPr>
            <w:tcW w:w="1440" w:type="dxa"/>
            <w:vAlign w:val="center"/>
          </w:tcPr>
          <w:p w14:paraId="07799138">
            <w:pPr>
              <w:rPr>
                <w:b/>
                <w:bCs/>
              </w:rPr>
            </w:pPr>
            <w:r>
              <w:rPr>
                <w:b/>
                <w:bCs/>
              </w:rPr>
              <w:t>Moisture%</w:t>
            </w:r>
          </w:p>
        </w:tc>
        <w:tc>
          <w:tcPr>
            <w:tcW w:w="990" w:type="dxa"/>
            <w:vAlign w:val="center"/>
          </w:tcPr>
          <w:p w14:paraId="340D0E99">
            <w:pPr>
              <w:rPr>
                <w:b/>
                <w:bCs/>
              </w:rPr>
            </w:pPr>
            <w:r>
              <w:rPr>
                <w:b/>
                <w:bCs/>
              </w:rPr>
              <w:t>Ash %</w:t>
            </w:r>
          </w:p>
        </w:tc>
        <w:tc>
          <w:tcPr>
            <w:tcW w:w="1350" w:type="dxa"/>
            <w:vAlign w:val="center"/>
          </w:tcPr>
          <w:p w14:paraId="576B1B21">
            <w:pPr>
              <w:rPr>
                <w:b/>
                <w:bCs/>
              </w:rPr>
            </w:pPr>
            <w:r>
              <w:rPr>
                <w:b/>
                <w:bCs/>
              </w:rPr>
              <w:t>Protein%</w:t>
            </w:r>
          </w:p>
        </w:tc>
        <w:tc>
          <w:tcPr>
            <w:tcW w:w="900" w:type="dxa"/>
            <w:vAlign w:val="center"/>
          </w:tcPr>
          <w:p w14:paraId="15B0CC58">
            <w:pPr>
              <w:rPr>
                <w:b/>
                <w:bCs/>
              </w:rPr>
            </w:pPr>
            <w:r>
              <w:rPr>
                <w:b/>
                <w:bCs/>
              </w:rPr>
              <w:t>Fat %</w:t>
            </w:r>
          </w:p>
        </w:tc>
        <w:tc>
          <w:tcPr>
            <w:tcW w:w="1170" w:type="dxa"/>
            <w:tcBorders>
              <w:right w:val="single" w:color="auto" w:sz="4" w:space="0"/>
            </w:tcBorders>
            <w:vAlign w:val="center"/>
          </w:tcPr>
          <w:p w14:paraId="023A62C2">
            <w:pPr>
              <w:rPr>
                <w:b/>
                <w:bCs/>
              </w:rPr>
            </w:pPr>
            <w:r>
              <w:rPr>
                <w:b/>
                <w:bCs/>
              </w:rPr>
              <w:t>Fiber %</w:t>
            </w:r>
          </w:p>
        </w:tc>
        <w:tc>
          <w:tcPr>
            <w:tcW w:w="1980" w:type="dxa"/>
            <w:tcBorders>
              <w:left w:val="single" w:color="auto" w:sz="4" w:space="0"/>
            </w:tcBorders>
            <w:vAlign w:val="center"/>
          </w:tcPr>
          <w:p w14:paraId="68B3EF83">
            <w:pPr>
              <w:rPr>
                <w:b/>
                <w:bCs/>
              </w:rPr>
            </w:pPr>
            <w:r>
              <w:rPr>
                <w:b/>
                <w:bCs/>
              </w:rPr>
              <w:t>Carbohydrate %</w:t>
            </w:r>
          </w:p>
        </w:tc>
      </w:tr>
      <w:tr w14:paraId="224F6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exact"/>
          <w:jc w:val="center"/>
        </w:trPr>
        <w:tc>
          <w:tcPr>
            <w:tcW w:w="1935" w:type="dxa"/>
            <w:tcBorders>
              <w:top w:val="single" w:color="auto" w:sz="4" w:space="0"/>
              <w:bottom w:val="single" w:color="auto" w:sz="4" w:space="0"/>
            </w:tcBorders>
            <w:vAlign w:val="bottom"/>
          </w:tcPr>
          <w:p w14:paraId="53652BB7">
            <w:pPr>
              <w:rPr>
                <w:i/>
                <w:iCs/>
              </w:rPr>
            </w:pPr>
            <w:r>
              <w:rPr>
                <w:i/>
                <w:iCs/>
              </w:rPr>
              <w:t>C. annuum</w:t>
            </w:r>
          </w:p>
        </w:tc>
        <w:tc>
          <w:tcPr>
            <w:tcW w:w="1440" w:type="dxa"/>
            <w:tcBorders>
              <w:bottom w:val="single" w:color="auto" w:sz="4" w:space="0"/>
            </w:tcBorders>
            <w:vAlign w:val="center"/>
          </w:tcPr>
          <w:p w14:paraId="1B08BC49">
            <w:r>
              <w:t>4.10</w:t>
            </w:r>
          </w:p>
        </w:tc>
        <w:tc>
          <w:tcPr>
            <w:tcW w:w="990" w:type="dxa"/>
            <w:tcBorders>
              <w:bottom w:val="single" w:color="auto" w:sz="4" w:space="0"/>
            </w:tcBorders>
            <w:vAlign w:val="center"/>
          </w:tcPr>
          <w:p w14:paraId="5836A009">
            <w:r>
              <w:t>1.006</w:t>
            </w:r>
          </w:p>
        </w:tc>
        <w:tc>
          <w:tcPr>
            <w:tcW w:w="1350" w:type="dxa"/>
            <w:tcBorders>
              <w:bottom w:val="single" w:color="auto" w:sz="4" w:space="0"/>
            </w:tcBorders>
            <w:vAlign w:val="center"/>
          </w:tcPr>
          <w:p w14:paraId="355696E8">
            <w:r>
              <w:t>5.00</w:t>
            </w:r>
          </w:p>
        </w:tc>
        <w:tc>
          <w:tcPr>
            <w:tcW w:w="900" w:type="dxa"/>
            <w:tcBorders>
              <w:bottom w:val="single" w:color="auto" w:sz="4" w:space="0"/>
            </w:tcBorders>
            <w:vAlign w:val="center"/>
          </w:tcPr>
          <w:p w14:paraId="465CF022">
            <w:r>
              <w:t>2.90</w:t>
            </w:r>
          </w:p>
        </w:tc>
        <w:tc>
          <w:tcPr>
            <w:tcW w:w="1170" w:type="dxa"/>
            <w:tcBorders>
              <w:bottom w:val="single" w:color="auto" w:sz="4" w:space="0"/>
              <w:right w:val="single" w:color="auto" w:sz="4" w:space="0"/>
            </w:tcBorders>
            <w:vAlign w:val="center"/>
          </w:tcPr>
          <w:p w14:paraId="4A7B1326">
            <w:r>
              <w:t>2.23</w:t>
            </w:r>
          </w:p>
        </w:tc>
        <w:tc>
          <w:tcPr>
            <w:tcW w:w="1980" w:type="dxa"/>
            <w:tcBorders>
              <w:left w:val="single" w:color="auto" w:sz="4" w:space="0"/>
              <w:bottom w:val="single" w:color="auto" w:sz="4" w:space="0"/>
            </w:tcBorders>
            <w:vAlign w:val="center"/>
          </w:tcPr>
          <w:p w14:paraId="2711A8AF">
            <w:r>
              <w:t>4.90</w:t>
            </w:r>
          </w:p>
        </w:tc>
      </w:tr>
      <w:tr w14:paraId="2BAD8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exact"/>
          <w:jc w:val="center"/>
        </w:trPr>
        <w:tc>
          <w:tcPr>
            <w:tcW w:w="1935" w:type="dxa"/>
            <w:tcBorders>
              <w:top w:val="single" w:color="auto" w:sz="4" w:space="0"/>
              <w:bottom w:val="single" w:color="auto" w:sz="4" w:space="0"/>
            </w:tcBorders>
            <w:vAlign w:val="bottom"/>
          </w:tcPr>
          <w:p w14:paraId="2B43ACC6">
            <w:pPr>
              <w:rPr>
                <w:i/>
                <w:iCs/>
              </w:rPr>
            </w:pPr>
            <w:r>
              <w:rPr>
                <w:i/>
                <w:iCs/>
              </w:rPr>
              <w:t xml:space="preserve">D.ferox </w:t>
            </w:r>
          </w:p>
        </w:tc>
        <w:tc>
          <w:tcPr>
            <w:tcW w:w="1440" w:type="dxa"/>
            <w:tcBorders>
              <w:top w:val="single" w:color="auto" w:sz="4" w:space="0"/>
              <w:bottom w:val="single" w:color="auto" w:sz="4" w:space="0"/>
            </w:tcBorders>
            <w:vAlign w:val="center"/>
          </w:tcPr>
          <w:p w14:paraId="713FFE33">
            <w:r>
              <w:t>4.10</w:t>
            </w:r>
          </w:p>
        </w:tc>
        <w:tc>
          <w:tcPr>
            <w:tcW w:w="990" w:type="dxa"/>
            <w:tcBorders>
              <w:top w:val="single" w:color="auto" w:sz="4" w:space="0"/>
              <w:bottom w:val="single" w:color="auto" w:sz="4" w:space="0"/>
            </w:tcBorders>
            <w:vAlign w:val="center"/>
          </w:tcPr>
          <w:p w14:paraId="33990E4E">
            <w:r>
              <w:t>0.008</w:t>
            </w:r>
          </w:p>
        </w:tc>
        <w:tc>
          <w:tcPr>
            <w:tcW w:w="1350" w:type="dxa"/>
            <w:tcBorders>
              <w:top w:val="single" w:color="auto" w:sz="4" w:space="0"/>
              <w:bottom w:val="single" w:color="auto" w:sz="4" w:space="0"/>
            </w:tcBorders>
            <w:vAlign w:val="center"/>
          </w:tcPr>
          <w:p w14:paraId="4DCD4217">
            <w:r>
              <w:t>4.50</w:t>
            </w:r>
          </w:p>
        </w:tc>
        <w:tc>
          <w:tcPr>
            <w:tcW w:w="900" w:type="dxa"/>
            <w:tcBorders>
              <w:top w:val="single" w:color="auto" w:sz="4" w:space="0"/>
              <w:bottom w:val="single" w:color="auto" w:sz="4" w:space="0"/>
            </w:tcBorders>
            <w:vAlign w:val="center"/>
          </w:tcPr>
          <w:p w14:paraId="452D6FDA">
            <w:r>
              <w:t>3.90</w:t>
            </w:r>
          </w:p>
        </w:tc>
        <w:tc>
          <w:tcPr>
            <w:tcW w:w="1170" w:type="dxa"/>
            <w:tcBorders>
              <w:top w:val="single" w:color="auto" w:sz="4" w:space="0"/>
              <w:bottom w:val="single" w:color="auto" w:sz="4" w:space="0"/>
              <w:right w:val="single" w:color="auto" w:sz="4" w:space="0"/>
            </w:tcBorders>
            <w:vAlign w:val="center"/>
          </w:tcPr>
          <w:p w14:paraId="79407A1F">
            <w:r>
              <w:t>2.23</w:t>
            </w:r>
          </w:p>
        </w:tc>
        <w:tc>
          <w:tcPr>
            <w:tcW w:w="1980" w:type="dxa"/>
            <w:tcBorders>
              <w:top w:val="single" w:color="auto" w:sz="4" w:space="0"/>
              <w:left w:val="single" w:color="auto" w:sz="4" w:space="0"/>
              <w:bottom w:val="single" w:color="auto" w:sz="4" w:space="0"/>
            </w:tcBorders>
            <w:vAlign w:val="center"/>
          </w:tcPr>
          <w:p w14:paraId="52F2E509">
            <w:r>
              <w:t>5.10</w:t>
            </w:r>
          </w:p>
        </w:tc>
      </w:tr>
      <w:tr w14:paraId="62DC14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exact"/>
          <w:jc w:val="center"/>
        </w:trPr>
        <w:tc>
          <w:tcPr>
            <w:tcW w:w="1935" w:type="dxa"/>
            <w:tcBorders>
              <w:top w:val="single" w:color="auto" w:sz="4" w:space="0"/>
              <w:bottom w:val="single" w:color="auto" w:sz="4" w:space="0"/>
            </w:tcBorders>
            <w:vAlign w:val="bottom"/>
          </w:tcPr>
          <w:p w14:paraId="77BE7786">
            <w:pPr>
              <w:rPr>
                <w:i/>
                <w:iCs/>
              </w:rPr>
            </w:pPr>
            <w:r>
              <w:rPr>
                <w:i/>
                <w:iCs/>
              </w:rPr>
              <w:t>D.innoxia</w:t>
            </w:r>
          </w:p>
        </w:tc>
        <w:tc>
          <w:tcPr>
            <w:tcW w:w="1440" w:type="dxa"/>
            <w:tcBorders>
              <w:top w:val="single" w:color="auto" w:sz="4" w:space="0"/>
              <w:bottom w:val="single" w:color="auto" w:sz="4" w:space="0"/>
            </w:tcBorders>
            <w:vAlign w:val="center"/>
          </w:tcPr>
          <w:p w14:paraId="45058A3C">
            <w:r>
              <w:t>4.00</w:t>
            </w:r>
          </w:p>
        </w:tc>
        <w:tc>
          <w:tcPr>
            <w:tcW w:w="990" w:type="dxa"/>
            <w:tcBorders>
              <w:top w:val="single" w:color="auto" w:sz="4" w:space="0"/>
              <w:bottom w:val="single" w:color="auto" w:sz="4" w:space="0"/>
            </w:tcBorders>
            <w:vAlign w:val="center"/>
          </w:tcPr>
          <w:p w14:paraId="3C493BA2">
            <w:r>
              <w:t>1.0018</w:t>
            </w:r>
          </w:p>
        </w:tc>
        <w:tc>
          <w:tcPr>
            <w:tcW w:w="1350" w:type="dxa"/>
            <w:tcBorders>
              <w:top w:val="single" w:color="auto" w:sz="4" w:space="0"/>
              <w:bottom w:val="single" w:color="auto" w:sz="4" w:space="0"/>
            </w:tcBorders>
            <w:vAlign w:val="center"/>
          </w:tcPr>
          <w:p w14:paraId="7955CFEB">
            <w:r>
              <w:t>6.10</w:t>
            </w:r>
          </w:p>
        </w:tc>
        <w:tc>
          <w:tcPr>
            <w:tcW w:w="900" w:type="dxa"/>
            <w:tcBorders>
              <w:top w:val="single" w:color="auto" w:sz="4" w:space="0"/>
              <w:bottom w:val="single" w:color="auto" w:sz="4" w:space="0"/>
            </w:tcBorders>
            <w:vAlign w:val="center"/>
          </w:tcPr>
          <w:p w14:paraId="2D411216">
            <w:r>
              <w:t>4.00</w:t>
            </w:r>
          </w:p>
        </w:tc>
        <w:tc>
          <w:tcPr>
            <w:tcW w:w="1170" w:type="dxa"/>
            <w:tcBorders>
              <w:top w:val="single" w:color="auto" w:sz="4" w:space="0"/>
              <w:bottom w:val="single" w:color="auto" w:sz="4" w:space="0"/>
              <w:right w:val="single" w:color="auto" w:sz="4" w:space="0"/>
            </w:tcBorders>
            <w:vAlign w:val="center"/>
          </w:tcPr>
          <w:p w14:paraId="4D1E801B">
            <w:r>
              <w:t>2.10</w:t>
            </w:r>
          </w:p>
        </w:tc>
        <w:tc>
          <w:tcPr>
            <w:tcW w:w="1980" w:type="dxa"/>
            <w:tcBorders>
              <w:top w:val="single" w:color="auto" w:sz="4" w:space="0"/>
              <w:left w:val="single" w:color="auto" w:sz="4" w:space="0"/>
              <w:bottom w:val="single" w:color="auto" w:sz="4" w:space="0"/>
            </w:tcBorders>
            <w:vAlign w:val="center"/>
          </w:tcPr>
          <w:p w14:paraId="315F40C3">
            <w:r>
              <w:t>3.30</w:t>
            </w:r>
          </w:p>
        </w:tc>
      </w:tr>
      <w:tr w14:paraId="56959A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exact"/>
          <w:jc w:val="center"/>
        </w:trPr>
        <w:tc>
          <w:tcPr>
            <w:tcW w:w="1935" w:type="dxa"/>
            <w:tcBorders>
              <w:top w:val="single" w:color="auto" w:sz="4" w:space="0"/>
              <w:bottom w:val="single" w:color="auto" w:sz="4" w:space="0"/>
            </w:tcBorders>
            <w:vAlign w:val="bottom"/>
          </w:tcPr>
          <w:p w14:paraId="630CCE87">
            <w:pPr>
              <w:rPr>
                <w:i/>
                <w:iCs/>
              </w:rPr>
            </w:pPr>
            <w:r>
              <w:rPr>
                <w:i/>
                <w:iCs/>
              </w:rPr>
              <w:t>D.stramonium</w:t>
            </w:r>
          </w:p>
        </w:tc>
        <w:tc>
          <w:tcPr>
            <w:tcW w:w="1440" w:type="dxa"/>
            <w:tcBorders>
              <w:top w:val="single" w:color="auto" w:sz="4" w:space="0"/>
            </w:tcBorders>
            <w:vAlign w:val="center"/>
          </w:tcPr>
          <w:p w14:paraId="058E3606">
            <w:r>
              <w:t>3.10</w:t>
            </w:r>
          </w:p>
        </w:tc>
        <w:tc>
          <w:tcPr>
            <w:tcW w:w="990" w:type="dxa"/>
            <w:tcBorders>
              <w:top w:val="single" w:color="auto" w:sz="4" w:space="0"/>
            </w:tcBorders>
            <w:vAlign w:val="center"/>
          </w:tcPr>
          <w:p w14:paraId="673C5623">
            <w:r>
              <w:t>1.008</w:t>
            </w:r>
          </w:p>
        </w:tc>
        <w:tc>
          <w:tcPr>
            <w:tcW w:w="1350" w:type="dxa"/>
            <w:tcBorders>
              <w:top w:val="single" w:color="auto" w:sz="4" w:space="0"/>
            </w:tcBorders>
            <w:vAlign w:val="center"/>
          </w:tcPr>
          <w:p w14:paraId="257AE5B5">
            <w:r>
              <w:t>3.00</w:t>
            </w:r>
          </w:p>
        </w:tc>
        <w:tc>
          <w:tcPr>
            <w:tcW w:w="900" w:type="dxa"/>
            <w:tcBorders>
              <w:top w:val="single" w:color="auto" w:sz="4" w:space="0"/>
            </w:tcBorders>
            <w:vAlign w:val="center"/>
          </w:tcPr>
          <w:p w14:paraId="66875426">
            <w:r>
              <w:t>3.50</w:t>
            </w:r>
          </w:p>
        </w:tc>
        <w:tc>
          <w:tcPr>
            <w:tcW w:w="1170" w:type="dxa"/>
            <w:tcBorders>
              <w:top w:val="single" w:color="auto" w:sz="4" w:space="0"/>
              <w:right w:val="single" w:color="auto" w:sz="4" w:space="0"/>
            </w:tcBorders>
            <w:vAlign w:val="center"/>
          </w:tcPr>
          <w:p w14:paraId="1FD69253">
            <w:r>
              <w:t>2.21</w:t>
            </w:r>
          </w:p>
        </w:tc>
        <w:tc>
          <w:tcPr>
            <w:tcW w:w="1980" w:type="dxa"/>
            <w:tcBorders>
              <w:top w:val="single" w:color="auto" w:sz="4" w:space="0"/>
              <w:left w:val="single" w:color="auto" w:sz="4" w:space="0"/>
            </w:tcBorders>
            <w:vAlign w:val="center"/>
          </w:tcPr>
          <w:p w14:paraId="7D95ADCC">
            <w:r>
              <w:t>5.00</w:t>
            </w:r>
          </w:p>
        </w:tc>
      </w:tr>
      <w:tr w14:paraId="0D84D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 w:hRule="exact"/>
          <w:jc w:val="center"/>
        </w:trPr>
        <w:tc>
          <w:tcPr>
            <w:tcW w:w="1935" w:type="dxa"/>
            <w:tcBorders>
              <w:top w:val="single" w:color="auto" w:sz="4" w:space="0"/>
              <w:bottom w:val="single" w:color="auto" w:sz="4" w:space="0"/>
            </w:tcBorders>
            <w:vAlign w:val="bottom"/>
          </w:tcPr>
          <w:p w14:paraId="596497F9">
            <w:pPr>
              <w:rPr>
                <w:i/>
                <w:iCs/>
              </w:rPr>
            </w:pPr>
            <w:r>
              <w:rPr>
                <w:i/>
                <w:iCs/>
              </w:rPr>
              <w:t>H. muticus</w:t>
            </w:r>
          </w:p>
        </w:tc>
        <w:tc>
          <w:tcPr>
            <w:tcW w:w="1440" w:type="dxa"/>
            <w:vAlign w:val="center"/>
          </w:tcPr>
          <w:p w14:paraId="0C5799DB">
            <w:r>
              <w:t>3.90</w:t>
            </w:r>
          </w:p>
        </w:tc>
        <w:tc>
          <w:tcPr>
            <w:tcW w:w="990" w:type="dxa"/>
            <w:vAlign w:val="center"/>
          </w:tcPr>
          <w:p w14:paraId="0AD58DB8">
            <w:r>
              <w:t>1.0092</w:t>
            </w:r>
          </w:p>
        </w:tc>
        <w:tc>
          <w:tcPr>
            <w:tcW w:w="1350" w:type="dxa"/>
            <w:vAlign w:val="center"/>
          </w:tcPr>
          <w:p w14:paraId="7B304697">
            <w:r>
              <w:t>5.50</w:t>
            </w:r>
          </w:p>
        </w:tc>
        <w:tc>
          <w:tcPr>
            <w:tcW w:w="900" w:type="dxa"/>
            <w:vAlign w:val="center"/>
          </w:tcPr>
          <w:p w14:paraId="28BBEBE2">
            <w:r>
              <w:t>3.10</w:t>
            </w:r>
          </w:p>
        </w:tc>
        <w:tc>
          <w:tcPr>
            <w:tcW w:w="1170" w:type="dxa"/>
            <w:tcBorders>
              <w:right w:val="single" w:color="auto" w:sz="4" w:space="0"/>
            </w:tcBorders>
            <w:vAlign w:val="center"/>
          </w:tcPr>
          <w:p w14:paraId="4065F721">
            <w:r>
              <w:t>2.24</w:t>
            </w:r>
          </w:p>
        </w:tc>
        <w:tc>
          <w:tcPr>
            <w:tcW w:w="1980" w:type="dxa"/>
            <w:tcBorders>
              <w:left w:val="single" w:color="auto" w:sz="4" w:space="0"/>
            </w:tcBorders>
            <w:vAlign w:val="center"/>
          </w:tcPr>
          <w:p w14:paraId="134D50BD">
            <w:r>
              <w:t>5.40</w:t>
            </w:r>
          </w:p>
        </w:tc>
      </w:tr>
      <w:tr w14:paraId="3EBD13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exact"/>
          <w:jc w:val="center"/>
        </w:trPr>
        <w:tc>
          <w:tcPr>
            <w:tcW w:w="1935" w:type="dxa"/>
            <w:tcBorders>
              <w:top w:val="single" w:color="auto" w:sz="4" w:space="0"/>
              <w:bottom w:val="single" w:color="auto" w:sz="4" w:space="0"/>
            </w:tcBorders>
            <w:vAlign w:val="bottom"/>
          </w:tcPr>
          <w:p w14:paraId="7CB35EAF">
            <w:pPr>
              <w:rPr>
                <w:i/>
                <w:iCs/>
              </w:rPr>
            </w:pPr>
            <w:r>
              <w:rPr>
                <w:i/>
                <w:iCs/>
              </w:rPr>
              <w:t>P.angulata</w:t>
            </w:r>
          </w:p>
        </w:tc>
        <w:tc>
          <w:tcPr>
            <w:tcW w:w="1440" w:type="dxa"/>
            <w:tcBorders>
              <w:top w:val="single" w:color="auto" w:sz="4" w:space="0"/>
            </w:tcBorders>
            <w:vAlign w:val="center"/>
          </w:tcPr>
          <w:p w14:paraId="21C481B9">
            <w:r>
              <w:t>2.90</w:t>
            </w:r>
          </w:p>
        </w:tc>
        <w:tc>
          <w:tcPr>
            <w:tcW w:w="990" w:type="dxa"/>
            <w:tcBorders>
              <w:top w:val="single" w:color="auto" w:sz="4" w:space="0"/>
            </w:tcBorders>
            <w:vAlign w:val="center"/>
          </w:tcPr>
          <w:p w14:paraId="52962F08">
            <w:r>
              <w:t>1.005</w:t>
            </w:r>
          </w:p>
        </w:tc>
        <w:tc>
          <w:tcPr>
            <w:tcW w:w="1350" w:type="dxa"/>
            <w:tcBorders>
              <w:top w:val="single" w:color="auto" w:sz="4" w:space="0"/>
            </w:tcBorders>
            <w:vAlign w:val="center"/>
          </w:tcPr>
          <w:p w14:paraId="0E930B07">
            <w:r>
              <w:t>4.10</w:t>
            </w:r>
          </w:p>
        </w:tc>
        <w:tc>
          <w:tcPr>
            <w:tcW w:w="900" w:type="dxa"/>
            <w:tcBorders>
              <w:top w:val="single" w:color="auto" w:sz="4" w:space="0"/>
            </w:tcBorders>
            <w:vAlign w:val="center"/>
          </w:tcPr>
          <w:p w14:paraId="7C5B07AE">
            <w:r>
              <w:t>4.00</w:t>
            </w:r>
          </w:p>
        </w:tc>
        <w:tc>
          <w:tcPr>
            <w:tcW w:w="1170" w:type="dxa"/>
            <w:tcBorders>
              <w:top w:val="single" w:color="auto" w:sz="4" w:space="0"/>
              <w:right w:val="single" w:color="auto" w:sz="4" w:space="0"/>
            </w:tcBorders>
            <w:vAlign w:val="center"/>
          </w:tcPr>
          <w:p w14:paraId="21AC6F37">
            <w:r>
              <w:t>2.38</w:t>
            </w:r>
          </w:p>
        </w:tc>
        <w:tc>
          <w:tcPr>
            <w:tcW w:w="1980" w:type="dxa"/>
            <w:tcBorders>
              <w:top w:val="single" w:color="auto" w:sz="4" w:space="0"/>
              <w:left w:val="single" w:color="auto" w:sz="4" w:space="0"/>
            </w:tcBorders>
            <w:vAlign w:val="center"/>
          </w:tcPr>
          <w:p w14:paraId="610FE0D5">
            <w:r>
              <w:t>6.60</w:t>
            </w:r>
          </w:p>
        </w:tc>
      </w:tr>
      <w:tr w14:paraId="00908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3" w:hRule="exact"/>
          <w:jc w:val="center"/>
        </w:trPr>
        <w:tc>
          <w:tcPr>
            <w:tcW w:w="1935" w:type="dxa"/>
            <w:tcBorders>
              <w:top w:val="single" w:color="auto" w:sz="4" w:space="0"/>
              <w:bottom w:val="single" w:color="auto" w:sz="4" w:space="0"/>
            </w:tcBorders>
            <w:vAlign w:val="bottom"/>
          </w:tcPr>
          <w:p w14:paraId="63C6EA62">
            <w:pPr>
              <w:rPr>
                <w:i/>
                <w:iCs/>
              </w:rPr>
            </w:pPr>
            <w:r>
              <w:rPr>
                <w:i/>
                <w:iCs/>
              </w:rPr>
              <w:t xml:space="preserve">S. americanumm </w:t>
            </w:r>
          </w:p>
        </w:tc>
        <w:tc>
          <w:tcPr>
            <w:tcW w:w="1440" w:type="dxa"/>
            <w:vAlign w:val="center"/>
          </w:tcPr>
          <w:p w14:paraId="4A3BFBC0">
            <w:r>
              <w:t>3.80</w:t>
            </w:r>
          </w:p>
        </w:tc>
        <w:tc>
          <w:tcPr>
            <w:tcW w:w="990" w:type="dxa"/>
            <w:vAlign w:val="center"/>
          </w:tcPr>
          <w:p w14:paraId="2907928E">
            <w:r>
              <w:t>1.0028</w:t>
            </w:r>
          </w:p>
        </w:tc>
        <w:tc>
          <w:tcPr>
            <w:tcW w:w="1350" w:type="dxa"/>
            <w:vAlign w:val="center"/>
          </w:tcPr>
          <w:p w14:paraId="210995EB">
            <w:r>
              <w:t>5.20</w:t>
            </w:r>
          </w:p>
        </w:tc>
        <w:tc>
          <w:tcPr>
            <w:tcW w:w="900" w:type="dxa"/>
            <w:vAlign w:val="center"/>
          </w:tcPr>
          <w:p w14:paraId="51383CA0">
            <w:r>
              <w:t>5.00</w:t>
            </w:r>
          </w:p>
        </w:tc>
        <w:tc>
          <w:tcPr>
            <w:tcW w:w="1170" w:type="dxa"/>
            <w:tcBorders>
              <w:right w:val="single" w:color="auto" w:sz="4" w:space="0"/>
            </w:tcBorders>
            <w:vAlign w:val="center"/>
          </w:tcPr>
          <w:p w14:paraId="600AD6F7">
            <w:r>
              <w:t>2.25</w:t>
            </w:r>
          </w:p>
        </w:tc>
        <w:tc>
          <w:tcPr>
            <w:tcW w:w="1980" w:type="dxa"/>
            <w:tcBorders>
              <w:left w:val="single" w:color="auto" w:sz="4" w:space="0"/>
            </w:tcBorders>
            <w:vAlign w:val="center"/>
          </w:tcPr>
          <w:p w14:paraId="288B7E23">
            <w:r>
              <w:t>4.90</w:t>
            </w:r>
          </w:p>
        </w:tc>
      </w:tr>
      <w:tr w14:paraId="535746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exact"/>
          <w:jc w:val="center"/>
        </w:trPr>
        <w:tc>
          <w:tcPr>
            <w:tcW w:w="1935" w:type="dxa"/>
            <w:tcBorders>
              <w:top w:val="single" w:color="auto" w:sz="4" w:space="0"/>
              <w:bottom w:val="single" w:color="auto" w:sz="4" w:space="0"/>
            </w:tcBorders>
            <w:vAlign w:val="bottom"/>
          </w:tcPr>
          <w:p w14:paraId="28C63BA8">
            <w:pPr>
              <w:rPr>
                <w:i/>
                <w:iCs/>
              </w:rPr>
            </w:pPr>
            <w:r>
              <w:rPr>
                <w:i/>
                <w:iCs/>
              </w:rPr>
              <w:t>S. dubium</w:t>
            </w:r>
          </w:p>
        </w:tc>
        <w:tc>
          <w:tcPr>
            <w:tcW w:w="1440" w:type="dxa"/>
            <w:tcBorders>
              <w:bottom w:val="single" w:color="auto" w:sz="4" w:space="0"/>
            </w:tcBorders>
            <w:vAlign w:val="center"/>
          </w:tcPr>
          <w:p w14:paraId="022B3575">
            <w:r>
              <w:t>3.90</w:t>
            </w:r>
          </w:p>
        </w:tc>
        <w:tc>
          <w:tcPr>
            <w:tcW w:w="990" w:type="dxa"/>
            <w:tcBorders>
              <w:bottom w:val="single" w:color="auto" w:sz="4" w:space="0"/>
            </w:tcBorders>
            <w:vAlign w:val="center"/>
          </w:tcPr>
          <w:p w14:paraId="6792D750">
            <w:r>
              <w:t>1.0015</w:t>
            </w:r>
          </w:p>
        </w:tc>
        <w:tc>
          <w:tcPr>
            <w:tcW w:w="1350" w:type="dxa"/>
            <w:tcBorders>
              <w:bottom w:val="single" w:color="auto" w:sz="4" w:space="0"/>
            </w:tcBorders>
            <w:vAlign w:val="center"/>
          </w:tcPr>
          <w:p w14:paraId="4121AA63">
            <w:r>
              <w:t>6.50</w:t>
            </w:r>
          </w:p>
        </w:tc>
        <w:tc>
          <w:tcPr>
            <w:tcW w:w="900" w:type="dxa"/>
            <w:tcBorders>
              <w:bottom w:val="single" w:color="auto" w:sz="4" w:space="0"/>
            </w:tcBorders>
            <w:vAlign w:val="center"/>
          </w:tcPr>
          <w:p w14:paraId="6E82B86B">
            <w:r>
              <w:t>3.10</w:t>
            </w:r>
          </w:p>
        </w:tc>
        <w:tc>
          <w:tcPr>
            <w:tcW w:w="1170" w:type="dxa"/>
            <w:tcBorders>
              <w:bottom w:val="single" w:color="auto" w:sz="4" w:space="0"/>
              <w:right w:val="single" w:color="auto" w:sz="4" w:space="0"/>
            </w:tcBorders>
            <w:vAlign w:val="center"/>
          </w:tcPr>
          <w:p w14:paraId="65982C12">
            <w:r>
              <w:t>2.16</w:t>
            </w:r>
          </w:p>
        </w:tc>
        <w:tc>
          <w:tcPr>
            <w:tcW w:w="1980" w:type="dxa"/>
            <w:tcBorders>
              <w:left w:val="single" w:color="auto" w:sz="4" w:space="0"/>
              <w:bottom w:val="single" w:color="auto" w:sz="4" w:space="0"/>
            </w:tcBorders>
            <w:vAlign w:val="center"/>
          </w:tcPr>
          <w:p w14:paraId="74DF72B8">
            <w:r>
              <w:t>5.00</w:t>
            </w:r>
          </w:p>
        </w:tc>
      </w:tr>
      <w:tr w14:paraId="028D74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exact"/>
          <w:jc w:val="center"/>
        </w:trPr>
        <w:tc>
          <w:tcPr>
            <w:tcW w:w="1935" w:type="dxa"/>
            <w:tcBorders>
              <w:top w:val="single" w:color="auto" w:sz="4" w:space="0"/>
              <w:bottom w:val="single" w:color="auto" w:sz="4" w:space="0"/>
            </w:tcBorders>
            <w:vAlign w:val="bottom"/>
          </w:tcPr>
          <w:p w14:paraId="3F6566B4">
            <w:pPr>
              <w:rPr>
                <w:i/>
                <w:iCs/>
              </w:rPr>
            </w:pPr>
            <w:r>
              <w:rPr>
                <w:i/>
                <w:iCs/>
              </w:rPr>
              <w:t>S.incanum</w:t>
            </w:r>
          </w:p>
        </w:tc>
        <w:tc>
          <w:tcPr>
            <w:tcW w:w="1440" w:type="dxa"/>
            <w:tcBorders>
              <w:top w:val="single" w:color="auto" w:sz="4" w:space="0"/>
              <w:bottom w:val="single" w:color="auto" w:sz="4" w:space="0"/>
            </w:tcBorders>
            <w:vAlign w:val="center"/>
          </w:tcPr>
          <w:p w14:paraId="37F02FFB">
            <w:r>
              <w:t>4.20</w:t>
            </w:r>
          </w:p>
        </w:tc>
        <w:tc>
          <w:tcPr>
            <w:tcW w:w="990" w:type="dxa"/>
            <w:tcBorders>
              <w:top w:val="single" w:color="auto" w:sz="4" w:space="0"/>
              <w:bottom w:val="single" w:color="auto" w:sz="4" w:space="0"/>
            </w:tcBorders>
            <w:vAlign w:val="center"/>
          </w:tcPr>
          <w:p w14:paraId="1244A1E8">
            <w:r>
              <w:t>1.0095</w:t>
            </w:r>
          </w:p>
        </w:tc>
        <w:tc>
          <w:tcPr>
            <w:tcW w:w="1350" w:type="dxa"/>
            <w:tcBorders>
              <w:top w:val="single" w:color="auto" w:sz="4" w:space="0"/>
              <w:bottom w:val="single" w:color="auto" w:sz="4" w:space="0"/>
            </w:tcBorders>
            <w:vAlign w:val="center"/>
          </w:tcPr>
          <w:p w14:paraId="5458851D">
            <w:r>
              <w:t>4.90</w:t>
            </w:r>
          </w:p>
        </w:tc>
        <w:tc>
          <w:tcPr>
            <w:tcW w:w="900" w:type="dxa"/>
            <w:tcBorders>
              <w:top w:val="single" w:color="auto" w:sz="4" w:space="0"/>
              <w:bottom w:val="single" w:color="auto" w:sz="4" w:space="0"/>
            </w:tcBorders>
            <w:vAlign w:val="center"/>
          </w:tcPr>
          <w:p w14:paraId="11F77FF3">
            <w:r>
              <w:t>3.90</w:t>
            </w:r>
          </w:p>
        </w:tc>
        <w:tc>
          <w:tcPr>
            <w:tcW w:w="1170" w:type="dxa"/>
            <w:tcBorders>
              <w:top w:val="single" w:color="auto" w:sz="4" w:space="0"/>
              <w:bottom w:val="single" w:color="auto" w:sz="4" w:space="0"/>
              <w:right w:val="single" w:color="auto" w:sz="4" w:space="0"/>
            </w:tcBorders>
            <w:vAlign w:val="center"/>
          </w:tcPr>
          <w:p w14:paraId="1CEFE09B">
            <w:r>
              <w:t>2.01</w:t>
            </w:r>
          </w:p>
        </w:tc>
        <w:tc>
          <w:tcPr>
            <w:tcW w:w="1980" w:type="dxa"/>
            <w:tcBorders>
              <w:top w:val="single" w:color="auto" w:sz="4" w:space="0"/>
              <w:left w:val="single" w:color="auto" w:sz="4" w:space="0"/>
              <w:bottom w:val="single" w:color="auto" w:sz="4" w:space="0"/>
            </w:tcBorders>
            <w:vAlign w:val="center"/>
          </w:tcPr>
          <w:p w14:paraId="259AC307">
            <w:r>
              <w:t>5.10</w:t>
            </w:r>
          </w:p>
        </w:tc>
      </w:tr>
      <w:tr w14:paraId="406E3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2" w:hRule="exact"/>
          <w:jc w:val="center"/>
        </w:trPr>
        <w:tc>
          <w:tcPr>
            <w:tcW w:w="1935" w:type="dxa"/>
            <w:tcBorders>
              <w:top w:val="single" w:color="auto" w:sz="4" w:space="0"/>
              <w:bottom w:val="single" w:color="auto" w:sz="4" w:space="0"/>
            </w:tcBorders>
            <w:vAlign w:val="bottom"/>
          </w:tcPr>
          <w:p w14:paraId="5D713398">
            <w:pPr>
              <w:rPr>
                <w:i/>
                <w:iCs/>
              </w:rPr>
            </w:pPr>
            <w:r>
              <w:rPr>
                <w:i/>
                <w:iCs/>
              </w:rPr>
              <w:t>S. schimperianum</w:t>
            </w:r>
          </w:p>
        </w:tc>
        <w:tc>
          <w:tcPr>
            <w:tcW w:w="1440" w:type="dxa"/>
            <w:tcBorders>
              <w:top w:val="single" w:color="auto" w:sz="4" w:space="0"/>
              <w:bottom w:val="single" w:color="auto" w:sz="4" w:space="0"/>
            </w:tcBorders>
            <w:vAlign w:val="center"/>
          </w:tcPr>
          <w:p w14:paraId="2A894E6B">
            <w:r>
              <w:t>2.90</w:t>
            </w:r>
          </w:p>
        </w:tc>
        <w:tc>
          <w:tcPr>
            <w:tcW w:w="990" w:type="dxa"/>
            <w:tcBorders>
              <w:top w:val="single" w:color="auto" w:sz="4" w:space="0"/>
              <w:bottom w:val="single" w:color="auto" w:sz="4" w:space="0"/>
            </w:tcBorders>
            <w:vAlign w:val="center"/>
          </w:tcPr>
          <w:p w14:paraId="2721489B">
            <w:r>
              <w:t>0.001</w:t>
            </w:r>
          </w:p>
        </w:tc>
        <w:tc>
          <w:tcPr>
            <w:tcW w:w="1350" w:type="dxa"/>
            <w:tcBorders>
              <w:top w:val="single" w:color="auto" w:sz="4" w:space="0"/>
              <w:bottom w:val="single" w:color="auto" w:sz="4" w:space="0"/>
            </w:tcBorders>
            <w:vAlign w:val="center"/>
          </w:tcPr>
          <w:p w14:paraId="11F2611C">
            <w:r>
              <w:t>4.5</w:t>
            </w:r>
          </w:p>
        </w:tc>
        <w:tc>
          <w:tcPr>
            <w:tcW w:w="900" w:type="dxa"/>
            <w:tcBorders>
              <w:top w:val="single" w:color="auto" w:sz="4" w:space="0"/>
              <w:bottom w:val="single" w:color="auto" w:sz="4" w:space="0"/>
            </w:tcBorders>
            <w:vAlign w:val="center"/>
          </w:tcPr>
          <w:p w14:paraId="5AC5BA45">
            <w:r>
              <w:t>3.80</w:t>
            </w:r>
          </w:p>
        </w:tc>
        <w:tc>
          <w:tcPr>
            <w:tcW w:w="1170" w:type="dxa"/>
            <w:tcBorders>
              <w:top w:val="single" w:color="auto" w:sz="4" w:space="0"/>
              <w:bottom w:val="single" w:color="auto" w:sz="4" w:space="0"/>
              <w:right w:val="single" w:color="auto" w:sz="4" w:space="0"/>
            </w:tcBorders>
            <w:vAlign w:val="center"/>
          </w:tcPr>
          <w:p w14:paraId="75D6D88B">
            <w:r>
              <w:t>2.41</w:t>
            </w:r>
          </w:p>
        </w:tc>
        <w:tc>
          <w:tcPr>
            <w:tcW w:w="1980" w:type="dxa"/>
            <w:tcBorders>
              <w:top w:val="single" w:color="auto" w:sz="4" w:space="0"/>
              <w:left w:val="single" w:color="auto" w:sz="4" w:space="0"/>
              <w:bottom w:val="single" w:color="auto" w:sz="4" w:space="0"/>
            </w:tcBorders>
            <w:vAlign w:val="center"/>
          </w:tcPr>
          <w:p w14:paraId="1A2E823D">
            <w:r>
              <w:t>5.10</w:t>
            </w:r>
          </w:p>
        </w:tc>
      </w:tr>
      <w:tr w14:paraId="0B2B9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exact"/>
          <w:jc w:val="center"/>
        </w:trPr>
        <w:tc>
          <w:tcPr>
            <w:tcW w:w="1935" w:type="dxa"/>
            <w:tcBorders>
              <w:top w:val="single" w:color="auto" w:sz="4" w:space="0"/>
              <w:bottom w:val="single" w:color="auto" w:sz="4" w:space="0"/>
            </w:tcBorders>
            <w:vAlign w:val="bottom"/>
          </w:tcPr>
          <w:p w14:paraId="5B5BE50D">
            <w:pPr>
              <w:rPr>
                <w:i/>
                <w:iCs/>
              </w:rPr>
            </w:pPr>
            <w:r>
              <w:rPr>
                <w:i/>
                <w:iCs/>
              </w:rPr>
              <w:t>S.villosum</w:t>
            </w:r>
          </w:p>
        </w:tc>
        <w:tc>
          <w:tcPr>
            <w:tcW w:w="1440" w:type="dxa"/>
            <w:tcBorders>
              <w:top w:val="single" w:color="auto" w:sz="4" w:space="0"/>
              <w:bottom w:val="single" w:color="auto" w:sz="4" w:space="0"/>
            </w:tcBorders>
            <w:vAlign w:val="center"/>
          </w:tcPr>
          <w:p w14:paraId="099DB604">
            <w:r>
              <w:t>3.80</w:t>
            </w:r>
          </w:p>
        </w:tc>
        <w:tc>
          <w:tcPr>
            <w:tcW w:w="990" w:type="dxa"/>
            <w:tcBorders>
              <w:top w:val="single" w:color="auto" w:sz="4" w:space="0"/>
              <w:bottom w:val="single" w:color="auto" w:sz="4" w:space="0"/>
            </w:tcBorders>
            <w:vAlign w:val="center"/>
          </w:tcPr>
          <w:p w14:paraId="60C91495">
            <w:r>
              <w:t>0.005</w:t>
            </w:r>
          </w:p>
        </w:tc>
        <w:tc>
          <w:tcPr>
            <w:tcW w:w="1350" w:type="dxa"/>
            <w:tcBorders>
              <w:top w:val="single" w:color="auto" w:sz="4" w:space="0"/>
              <w:bottom w:val="single" w:color="auto" w:sz="4" w:space="0"/>
            </w:tcBorders>
            <w:vAlign w:val="center"/>
          </w:tcPr>
          <w:p w14:paraId="156CC96D">
            <w:r>
              <w:t>3.90</w:t>
            </w:r>
          </w:p>
        </w:tc>
        <w:tc>
          <w:tcPr>
            <w:tcW w:w="900" w:type="dxa"/>
            <w:tcBorders>
              <w:top w:val="single" w:color="auto" w:sz="4" w:space="0"/>
              <w:bottom w:val="single" w:color="auto" w:sz="4" w:space="0"/>
            </w:tcBorders>
            <w:vAlign w:val="center"/>
          </w:tcPr>
          <w:p w14:paraId="2EDA4448">
            <w:r>
              <w:t>1.005</w:t>
            </w:r>
          </w:p>
        </w:tc>
        <w:tc>
          <w:tcPr>
            <w:tcW w:w="1170" w:type="dxa"/>
            <w:tcBorders>
              <w:top w:val="single" w:color="auto" w:sz="4" w:space="0"/>
              <w:bottom w:val="single" w:color="auto" w:sz="4" w:space="0"/>
              <w:right w:val="single" w:color="auto" w:sz="4" w:space="0"/>
            </w:tcBorders>
            <w:vAlign w:val="center"/>
          </w:tcPr>
          <w:p w14:paraId="2E2CCE69">
            <w:r>
              <w:t>2.20</w:t>
            </w:r>
          </w:p>
        </w:tc>
        <w:tc>
          <w:tcPr>
            <w:tcW w:w="1980" w:type="dxa"/>
            <w:tcBorders>
              <w:top w:val="single" w:color="auto" w:sz="4" w:space="0"/>
              <w:left w:val="single" w:color="auto" w:sz="4" w:space="0"/>
              <w:bottom w:val="single" w:color="auto" w:sz="4" w:space="0"/>
            </w:tcBorders>
            <w:vAlign w:val="center"/>
          </w:tcPr>
          <w:p w14:paraId="379EAA95">
            <w:r>
              <w:t>4.20</w:t>
            </w:r>
          </w:p>
        </w:tc>
      </w:tr>
      <w:tr w14:paraId="50A61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1" w:hRule="exact"/>
          <w:jc w:val="center"/>
        </w:trPr>
        <w:tc>
          <w:tcPr>
            <w:tcW w:w="1935" w:type="dxa"/>
            <w:tcBorders>
              <w:top w:val="single" w:color="auto" w:sz="4" w:space="0"/>
              <w:bottom w:val="single" w:color="auto" w:sz="4" w:space="0"/>
              <w:right w:val="single" w:color="auto" w:sz="4" w:space="0"/>
            </w:tcBorders>
            <w:vAlign w:val="bottom"/>
          </w:tcPr>
          <w:p w14:paraId="282BD673">
            <w:pPr>
              <w:rPr>
                <w:i/>
                <w:iCs/>
              </w:rPr>
            </w:pPr>
            <w:commentRangeStart w:id="15"/>
            <w:r>
              <w:rPr>
                <w:i/>
                <w:iCs/>
              </w:rPr>
              <w:t>W.somnifera</w:t>
            </w:r>
          </w:p>
        </w:tc>
        <w:tc>
          <w:tcPr>
            <w:tcW w:w="1440" w:type="dxa"/>
            <w:tcBorders>
              <w:top w:val="single" w:color="auto" w:sz="4" w:space="0"/>
              <w:left w:val="single" w:color="auto" w:sz="4" w:space="0"/>
              <w:bottom w:val="single" w:color="auto" w:sz="4" w:space="0"/>
            </w:tcBorders>
            <w:vAlign w:val="center"/>
          </w:tcPr>
          <w:p w14:paraId="49DF9DF3">
            <w:r>
              <w:t>4.00</w:t>
            </w:r>
          </w:p>
        </w:tc>
        <w:tc>
          <w:tcPr>
            <w:tcW w:w="990" w:type="dxa"/>
            <w:tcBorders>
              <w:top w:val="single" w:color="auto" w:sz="4" w:space="0"/>
              <w:bottom w:val="single" w:color="auto" w:sz="4" w:space="0"/>
            </w:tcBorders>
            <w:vAlign w:val="center"/>
          </w:tcPr>
          <w:p w14:paraId="458EBFDD">
            <w:r>
              <w:t>0.0035</w:t>
            </w:r>
          </w:p>
        </w:tc>
        <w:tc>
          <w:tcPr>
            <w:tcW w:w="1350" w:type="dxa"/>
            <w:tcBorders>
              <w:top w:val="single" w:color="auto" w:sz="4" w:space="0"/>
              <w:bottom w:val="single" w:color="auto" w:sz="4" w:space="0"/>
            </w:tcBorders>
            <w:vAlign w:val="center"/>
          </w:tcPr>
          <w:p w14:paraId="5E83859D">
            <w:r>
              <w:t>5.10</w:t>
            </w:r>
          </w:p>
        </w:tc>
        <w:tc>
          <w:tcPr>
            <w:tcW w:w="900" w:type="dxa"/>
            <w:tcBorders>
              <w:top w:val="single" w:color="auto" w:sz="4" w:space="0"/>
              <w:bottom w:val="single" w:color="auto" w:sz="4" w:space="0"/>
            </w:tcBorders>
            <w:vAlign w:val="center"/>
          </w:tcPr>
          <w:p w14:paraId="353B15D8">
            <w:r>
              <w:t>3.10</w:t>
            </w:r>
          </w:p>
        </w:tc>
        <w:tc>
          <w:tcPr>
            <w:tcW w:w="1170" w:type="dxa"/>
            <w:tcBorders>
              <w:top w:val="single" w:color="auto" w:sz="4" w:space="0"/>
              <w:bottom w:val="single" w:color="auto" w:sz="4" w:space="0"/>
              <w:right w:val="single" w:color="auto" w:sz="4" w:space="0"/>
            </w:tcBorders>
            <w:vAlign w:val="center"/>
          </w:tcPr>
          <w:p w14:paraId="46351FD3">
            <w:r>
              <w:t>2.10</w:t>
            </w:r>
          </w:p>
        </w:tc>
        <w:tc>
          <w:tcPr>
            <w:tcW w:w="1980" w:type="dxa"/>
            <w:tcBorders>
              <w:top w:val="single" w:color="auto" w:sz="4" w:space="0"/>
              <w:left w:val="single" w:color="auto" w:sz="4" w:space="0"/>
              <w:bottom w:val="single" w:color="auto" w:sz="4" w:space="0"/>
            </w:tcBorders>
            <w:vAlign w:val="center"/>
          </w:tcPr>
          <w:p w14:paraId="7CFEBC13">
            <w:r>
              <w:t>3.00</w:t>
            </w:r>
            <w:commentRangeEnd w:id="15"/>
            <w:r>
              <w:commentReference w:id="15"/>
            </w:r>
          </w:p>
        </w:tc>
      </w:tr>
    </w:tbl>
    <w:p w14:paraId="0B95C4EC"/>
    <w:p w14:paraId="6D9E97D5">
      <w:pPr>
        <w:spacing w:after="0" w:line="240" w:lineRule="auto"/>
        <w:rPr>
          <w:b/>
          <w:bCs/>
        </w:rPr>
      </w:pPr>
      <w:r>
        <w:rPr>
          <w:b/>
          <w:bCs/>
        </w:rPr>
        <w:t>3.4. Crude fats</w:t>
      </w:r>
    </w:p>
    <w:p w14:paraId="6627A6A0">
      <w:pPr>
        <w:spacing w:after="0" w:line="360" w:lineRule="auto"/>
      </w:pPr>
      <w:r>
        <w:t>Crude fat content was relatively low in both organs but showed some variability. In leaves, fat content ranged from 1.74% (</w:t>
      </w:r>
      <w:r>
        <w:rPr>
          <w:i/>
          <w:iCs/>
        </w:rPr>
        <w:t>S.dubium</w:t>
      </w:r>
      <w:r>
        <w:t>) to 5.85% (</w:t>
      </w:r>
      <w:r>
        <w:rPr>
          <w:i/>
          <w:iCs/>
        </w:rPr>
        <w:t>Nicotiana glauca</w:t>
      </w:r>
      <w:r>
        <w:t>), whereas in fruits it ranged from 1.005% (</w:t>
      </w:r>
      <w:r>
        <w:rPr>
          <w:i/>
          <w:iCs/>
        </w:rPr>
        <w:t>S.villosum</w:t>
      </w:r>
      <w:r>
        <w:t>) to 5.00% (</w:t>
      </w:r>
      <w:r>
        <w:rPr>
          <w:i/>
          <w:iCs/>
        </w:rPr>
        <w:t>S.americanum</w:t>
      </w:r>
      <w:r>
        <w:t>).</w:t>
      </w:r>
    </w:p>
    <w:p w14:paraId="74A2F565">
      <w:pPr>
        <w:spacing w:after="0" w:line="240" w:lineRule="auto"/>
        <w:rPr>
          <w:b/>
          <w:bCs/>
        </w:rPr>
      </w:pPr>
      <w:r>
        <w:rPr>
          <w:b/>
          <w:bCs/>
        </w:rPr>
        <w:t>3.5. Crude fiber</w:t>
      </w:r>
    </w:p>
    <w:p w14:paraId="2C890CDC">
      <w:pPr>
        <w:spacing w:after="0" w:line="360" w:lineRule="auto"/>
      </w:pPr>
      <w:r>
        <w:t xml:space="preserve">Leaf fiber content showed substantial variation, ranging from 7.22% in </w:t>
      </w:r>
      <w:r>
        <w:rPr>
          <w:i/>
          <w:iCs/>
        </w:rPr>
        <w:t>D.innoxia</w:t>
      </w:r>
      <w:r>
        <w:t xml:space="preserve"> to 23.52 % in </w:t>
      </w:r>
      <w:r>
        <w:rPr>
          <w:i/>
          <w:iCs/>
        </w:rPr>
        <w:t>S.villosum</w:t>
      </w:r>
      <w:r>
        <w:t>. Fruit fiber content was relatively uniform and significant lower, ranging from 2.01% (</w:t>
      </w:r>
      <w:r>
        <w:rPr>
          <w:i/>
          <w:iCs/>
        </w:rPr>
        <w:t>S.incanum</w:t>
      </w:r>
      <w:r>
        <w:t>) to 2.41% (</w:t>
      </w:r>
      <w:r>
        <w:rPr>
          <w:i/>
          <w:iCs/>
        </w:rPr>
        <w:t>S.schimperianum</w:t>
      </w:r>
      <w:r>
        <w:t>).</w:t>
      </w:r>
    </w:p>
    <w:p w14:paraId="62E547B5">
      <w:pPr>
        <w:spacing w:after="0" w:line="240" w:lineRule="auto"/>
        <w:rPr>
          <w:b/>
          <w:bCs/>
        </w:rPr>
      </w:pPr>
      <w:r>
        <w:rPr>
          <w:b/>
          <w:bCs/>
        </w:rPr>
        <w:t xml:space="preserve">3.6. Carbohydrate content </w:t>
      </w:r>
    </w:p>
    <w:p w14:paraId="730F9EA1">
      <w:pPr>
        <w:spacing w:after="0" w:line="360" w:lineRule="auto"/>
      </w:pPr>
      <w:r>
        <w:t>Carbohydrates constituted a major component of the studied species, particularly, in leaves. Leaf carbohydrates content ranged from 24.21% (</w:t>
      </w:r>
      <w:r>
        <w:rPr>
          <w:i/>
          <w:iCs/>
        </w:rPr>
        <w:t>L.persicum</w:t>
      </w:r>
      <w:r>
        <w:t>) to 40.53% (</w:t>
      </w:r>
      <w:r>
        <w:rPr>
          <w:i/>
          <w:iCs/>
        </w:rPr>
        <w:t>S.americanum</w:t>
      </w:r>
      <w:r>
        <w:t xml:space="preserve"> and </w:t>
      </w:r>
      <w:r>
        <w:rPr>
          <w:i/>
          <w:iCs/>
        </w:rPr>
        <w:t>S.incanum</w:t>
      </w:r>
      <w:r>
        <w:t>). In fruits, carbohydrates content was lower, ranging from 3.00% (</w:t>
      </w:r>
      <w:r>
        <w:rPr>
          <w:i/>
          <w:iCs/>
        </w:rPr>
        <w:t>Withania somnifera</w:t>
      </w:r>
      <w:r>
        <w:t>) to 6.60 %(</w:t>
      </w:r>
      <w:r>
        <w:rPr>
          <w:i/>
          <w:iCs/>
        </w:rPr>
        <w:t xml:space="preserve"> P.angulata</w:t>
      </w:r>
      <w:r>
        <w:t>).</w:t>
      </w:r>
    </w:p>
    <w:p w14:paraId="65D20D40">
      <w:pPr>
        <w:spacing w:after="0" w:line="360" w:lineRule="auto"/>
      </w:pPr>
    </w:p>
    <w:p w14:paraId="5AC024EF">
      <w:pPr>
        <w:spacing w:after="0" w:line="360" w:lineRule="auto"/>
      </w:pPr>
      <w:r>
        <w:drawing>
          <wp:inline distT="0" distB="0" distL="0" distR="0">
            <wp:extent cx="5937885" cy="343725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937885" cy="3437263"/>
                    </a:xfrm>
                    <a:prstGeom prst="rect">
                      <a:avLst/>
                    </a:prstGeom>
                    <a:noFill/>
                  </pic:spPr>
                </pic:pic>
              </a:graphicData>
            </a:graphic>
          </wp:inline>
        </w:drawing>
      </w:r>
    </w:p>
    <w:p w14:paraId="17318069"/>
    <w:p w14:paraId="20F6DC5F">
      <w:r>
        <w:rPr>
          <w:b/>
          <w:bCs/>
        </w:rPr>
        <w:t>Figure1:</w:t>
      </w:r>
      <w:r>
        <w:t xml:space="preserve"> leaves proximate analysis of the studied solaneaous species (moisture, ash, protein, fat, fiber, and carbohydrate contents on a dry weight basis). </w:t>
      </w:r>
    </w:p>
    <w:p w14:paraId="796786DD">
      <w:pPr>
        <w:spacing w:after="0" w:line="360" w:lineRule="auto"/>
      </w:pPr>
      <w:r>
        <w:drawing>
          <wp:inline distT="0" distB="0" distL="0" distR="0">
            <wp:extent cx="5943600" cy="3638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5943600" cy="3638550"/>
                    </a:xfrm>
                    <a:prstGeom prst="rect">
                      <a:avLst/>
                    </a:prstGeom>
                  </pic:spPr>
                </pic:pic>
              </a:graphicData>
            </a:graphic>
          </wp:inline>
        </w:drawing>
      </w:r>
    </w:p>
    <w:p w14:paraId="5002A48C">
      <w:pPr>
        <w:spacing w:after="0" w:line="360" w:lineRule="auto"/>
      </w:pPr>
    </w:p>
    <w:p w14:paraId="2AB9DCD6">
      <w:pPr>
        <w:spacing w:after="0" w:line="360" w:lineRule="auto"/>
      </w:pPr>
    </w:p>
    <w:p w14:paraId="3F4D0554">
      <w:pPr>
        <w:spacing w:after="0" w:line="360" w:lineRule="auto"/>
      </w:pPr>
      <w:r>
        <w:rPr>
          <w:b/>
          <w:bCs/>
        </w:rPr>
        <w:t>Figure2:</w:t>
      </w:r>
      <w:r>
        <w:t xml:space="preserve"> Fruits proximate analysis of the studied solaneaous species (moisture, ash, protein, fat, fiber, and carbohydrate contents on a dry weight basis).</w:t>
      </w:r>
    </w:p>
    <w:p w14:paraId="162F292A">
      <w:pPr>
        <w:spacing w:after="0" w:line="360" w:lineRule="auto"/>
        <w:rPr>
          <w:b/>
          <w:bCs/>
        </w:rPr>
      </w:pPr>
      <w:r>
        <w:rPr>
          <w:b/>
          <w:bCs/>
        </w:rPr>
        <w:t>4. Discussion</w:t>
      </w:r>
    </w:p>
    <w:p w14:paraId="7BF4AC98">
      <w:pPr>
        <w:spacing w:after="0" w:line="360" w:lineRule="auto"/>
        <w:jc w:val="both"/>
      </w:pPr>
      <w:r>
        <w:t xml:space="preserve"> The present study revealed significant variation in the proximate composition of leaves and fruits among the investigated solanaceaous species, reflecting both organ-specific metabolic function and interspecific diversity. A consistent pattern observed in this study is the higher nutritional richness of leaves compared to fruits, particularly in terms of protein, ash, (mineral content), and fiber. This trend aligns well with</w:t>
      </w:r>
      <w:commentRangeStart w:id="16"/>
      <w:r>
        <w:t xml:space="preserve"> previous studies on </w:t>
      </w:r>
      <w:r>
        <w:rPr>
          <w:i/>
          <w:iCs/>
        </w:rPr>
        <w:t>Solanaceae</w:t>
      </w:r>
      <w:r>
        <w:t xml:space="preserve"> and other plant taxa.</w:t>
      </w:r>
      <w:commentRangeEnd w:id="16"/>
      <w:r>
        <w:commentReference w:id="16"/>
      </w:r>
      <w:r>
        <w:t xml:space="preserve"> </w:t>
      </w:r>
    </w:p>
    <w:p w14:paraId="79D1EC31">
      <w:pPr>
        <w:spacing w:after="0" w:line="360" w:lineRule="auto"/>
        <w:jc w:val="both"/>
      </w:pPr>
      <w:r>
        <w:t>The higher crude protein content recorded in leaves (up to 27. 12%) compare to fruits (maximum 6.50%) is consistent with earlier findings.  For example, studies on Solanum species and other wild plants  reported that leaves contain significantly higher protein levels   than fruits due to their active role in photosynthesis and enzymatic metabolism</w:t>
      </w:r>
      <w:r>
        <w:rPr>
          <w:color w:val="FF0000"/>
        </w:rPr>
        <w:t xml:space="preserve"> (</w:t>
      </w:r>
      <w:r>
        <w:rPr>
          <w:color w:val="558ED5" w:themeColor="text2" w:themeTint="99"/>
          <w14:textFill>
            <w14:solidFill>
              <w14:schemeClr w14:val="tx2">
                <w14:lumMod w14:val="60000"/>
                <w14:lumOff w14:val="40000"/>
              </w14:schemeClr>
            </w14:solidFill>
          </w14:textFill>
        </w:rPr>
        <w:t xml:space="preserve">Staveckienė </w:t>
      </w:r>
      <w:r>
        <w:rPr>
          <w:i/>
          <w:iCs/>
          <w:color w:val="558ED5" w:themeColor="text2" w:themeTint="99"/>
          <w14:textFill>
            <w14:solidFill>
              <w14:schemeClr w14:val="tx2">
                <w14:lumMod w14:val="60000"/>
                <w14:lumOff w14:val="40000"/>
              </w14:schemeClr>
            </w14:solidFill>
          </w14:textFill>
        </w:rPr>
        <w:t>et al.</w:t>
      </w:r>
      <w:r>
        <w:rPr>
          <w:color w:val="558ED5" w:themeColor="text2" w:themeTint="99"/>
          <w14:textFill>
            <w14:solidFill>
              <w14:schemeClr w14:val="tx2">
                <w14:lumMod w14:val="60000"/>
                <w14:lumOff w14:val="40000"/>
              </w14:schemeClr>
            </w14:solidFill>
          </w14:textFill>
        </w:rPr>
        <w:t xml:space="preserve">, 2024; Tejada-Alvarado </w:t>
      </w:r>
      <w:r>
        <w:rPr>
          <w:i/>
          <w:iCs/>
          <w:color w:val="558ED5" w:themeColor="text2" w:themeTint="99"/>
          <w14:textFill>
            <w14:solidFill>
              <w14:schemeClr w14:val="tx2">
                <w14:lumMod w14:val="60000"/>
                <w14:lumOff w14:val="40000"/>
              </w14:schemeClr>
            </w14:solidFill>
          </w14:textFill>
        </w:rPr>
        <w:t>et al</w:t>
      </w:r>
      <w:r>
        <w:rPr>
          <w:color w:val="558ED5" w:themeColor="text2" w:themeTint="99"/>
          <w14:textFill>
            <w14:solidFill>
              <w14:schemeClr w14:val="tx2">
                <w14:lumMod w14:val="60000"/>
                <w14:lumOff w14:val="40000"/>
              </w14:schemeClr>
            </w14:solidFill>
          </w14:textFill>
        </w:rPr>
        <w:t xml:space="preserve">., 2023; Haliński </w:t>
      </w:r>
      <w:r>
        <w:rPr>
          <w:i/>
          <w:iCs/>
          <w:color w:val="558ED5" w:themeColor="text2" w:themeTint="99"/>
          <w14:textFill>
            <w14:solidFill>
              <w14:schemeClr w14:val="tx2">
                <w14:lumMod w14:val="60000"/>
                <w14:lumOff w14:val="40000"/>
              </w14:schemeClr>
            </w14:solidFill>
          </w14:textFill>
        </w:rPr>
        <w:t>et al.,</w:t>
      </w:r>
      <w:r>
        <w:rPr>
          <w:color w:val="558ED5" w:themeColor="text2" w:themeTint="99"/>
          <w14:textFill>
            <w14:solidFill>
              <w14:schemeClr w14:val="tx2">
                <w14:lumMod w14:val="60000"/>
                <w14:lumOff w14:val="40000"/>
              </w14:schemeClr>
            </w14:solidFill>
          </w14:textFill>
        </w:rPr>
        <w:t xml:space="preserve"> 2019;  Mibei, 2018</w:t>
      </w:r>
      <w:r>
        <w:rPr>
          <w:color w:val="FF0000"/>
        </w:rPr>
        <w:t>)</w:t>
      </w:r>
      <w:r>
        <w:t xml:space="preserve">.similarly, research in </w:t>
      </w:r>
      <w:r>
        <w:rPr>
          <w:i/>
          <w:iCs/>
        </w:rPr>
        <w:t>Solanum aethiopicun</w:t>
      </w:r>
      <w:r>
        <w:t xml:space="preserve">  and related taxa has shown that leafy tissues serves as primary sites for nitrogen assimilation, explaining their elevated protein content relative to reproductive organ </w:t>
      </w:r>
      <w:r>
        <w:rPr>
          <w:color w:val="558ED5" w:themeColor="text2" w:themeTint="99"/>
          <w14:textFill>
            <w14:solidFill>
              <w14:schemeClr w14:val="tx2">
                <w14:lumMod w14:val="60000"/>
                <w14:lumOff w14:val="40000"/>
              </w14:schemeClr>
            </w14:solidFill>
          </w14:textFill>
        </w:rPr>
        <w:t xml:space="preserve">(Orangi,2024; BOTEY, 2024; Han </w:t>
      </w:r>
      <w:r>
        <w:rPr>
          <w:i/>
          <w:iCs/>
          <w:color w:val="558ED5" w:themeColor="text2" w:themeTint="99"/>
          <w14:textFill>
            <w14:solidFill>
              <w14:schemeClr w14:val="tx2">
                <w14:lumMod w14:val="60000"/>
                <w14:lumOff w14:val="40000"/>
              </w14:schemeClr>
            </w14:solidFill>
          </w14:textFill>
        </w:rPr>
        <w:t>et al.,</w:t>
      </w:r>
      <w:r>
        <w:rPr>
          <w:color w:val="558ED5" w:themeColor="text2" w:themeTint="99"/>
          <w14:textFill>
            <w14:solidFill>
              <w14:schemeClr w14:val="tx2">
                <w14:lumMod w14:val="60000"/>
                <w14:lumOff w14:val="40000"/>
              </w14:schemeClr>
            </w14:solidFill>
          </w14:textFill>
        </w:rPr>
        <w:t xml:space="preserve"> 2021 ). </w:t>
      </w:r>
      <w:r>
        <w:t xml:space="preserve">The high protein values observed in </w:t>
      </w:r>
      <w:r>
        <w:rPr>
          <w:i/>
          <w:iCs/>
        </w:rPr>
        <w:t>Datura innoxia</w:t>
      </w:r>
      <w:r>
        <w:t xml:space="preserve"> and </w:t>
      </w:r>
      <w:r>
        <w:rPr>
          <w:i/>
          <w:iCs/>
        </w:rPr>
        <w:t>Solanum schimperianum</w:t>
      </w:r>
      <w:r>
        <w:t xml:space="preserve"> in the present study suggest their potential as alternative plant-based protein source. </w:t>
      </w:r>
    </w:p>
    <w:p w14:paraId="2F45ECD8">
      <w:pPr>
        <w:spacing w:after="0" w:line="360" w:lineRule="auto"/>
        <w:jc w:val="both"/>
      </w:pPr>
      <w:r>
        <w:t xml:space="preserve">Ash content, which reflects total mineral composition, was markedly higher in leaves than fruits in this study, with values reaching over 30% in some species. This observation is in agreement with </w:t>
      </w:r>
      <w:commentRangeStart w:id="17"/>
      <w:r>
        <w:t>previous reports</w:t>
      </w:r>
      <w:commentRangeEnd w:id="17"/>
      <w:r>
        <w:commentReference w:id="17"/>
      </w:r>
      <w:r>
        <w:t xml:space="preserve"> indicating that leaves accumulate higher concentration of macro-and microelements due to their involvement in physiological process such as photosynthesis and nutrient transport</w:t>
      </w:r>
      <w:r>
        <w:rPr>
          <w:color w:val="558ED5" w:themeColor="text2" w:themeTint="99"/>
          <w14:textFill>
            <w14:solidFill>
              <w14:schemeClr w14:val="tx2">
                <w14:lumMod w14:val="60000"/>
                <w14:lumOff w14:val="40000"/>
              </w14:schemeClr>
            </w14:solidFill>
          </w14:textFill>
        </w:rPr>
        <w:t xml:space="preserve"> (Lu </w:t>
      </w:r>
      <w:r>
        <w:rPr>
          <w:i/>
          <w:iCs/>
          <w:color w:val="558ED5" w:themeColor="text2" w:themeTint="99"/>
          <w14:textFill>
            <w14:solidFill>
              <w14:schemeClr w14:val="tx2">
                <w14:lumMod w14:val="60000"/>
                <w14:lumOff w14:val="40000"/>
              </w14:schemeClr>
            </w14:solidFill>
          </w14:textFill>
        </w:rPr>
        <w:t>et al.,</w:t>
      </w:r>
      <w:r>
        <w:rPr>
          <w:color w:val="558ED5" w:themeColor="text2" w:themeTint="99"/>
          <w14:textFill>
            <w14:solidFill>
              <w14:schemeClr w14:val="tx2">
                <w14:lumMod w14:val="60000"/>
                <w14:lumOff w14:val="40000"/>
              </w14:schemeClr>
            </w14:solidFill>
          </w14:textFill>
        </w:rPr>
        <w:t xml:space="preserve"> 2024;  Song </w:t>
      </w:r>
      <w:r>
        <w:rPr>
          <w:i/>
          <w:iCs/>
          <w:color w:val="558ED5" w:themeColor="text2" w:themeTint="99"/>
          <w14:textFill>
            <w14:solidFill>
              <w14:schemeClr w14:val="tx2">
                <w14:lumMod w14:val="60000"/>
                <w14:lumOff w14:val="40000"/>
              </w14:schemeClr>
            </w14:solidFill>
          </w14:textFill>
        </w:rPr>
        <w:t>et al</w:t>
      </w:r>
      <w:r>
        <w:rPr>
          <w:color w:val="558ED5" w:themeColor="text2" w:themeTint="99"/>
          <w14:textFill>
            <w14:solidFill>
              <w14:schemeClr w14:val="tx2">
                <w14:lumMod w14:val="60000"/>
                <w14:lumOff w14:val="40000"/>
              </w14:schemeClr>
            </w14:solidFill>
          </w14:textFill>
        </w:rPr>
        <w:t>., 2024;</w:t>
      </w:r>
      <w:r>
        <w:t xml:space="preserve"> </w:t>
      </w:r>
      <w:r>
        <w:rPr>
          <w:color w:val="558ED5" w:themeColor="text2" w:themeTint="99"/>
          <w14:textFill>
            <w14:solidFill>
              <w14:schemeClr w14:val="tx2">
                <w14:lumMod w14:val="60000"/>
                <w14:lumOff w14:val="40000"/>
              </w14:schemeClr>
            </w14:solidFill>
          </w14:textFill>
        </w:rPr>
        <w:t>Bhatla and  Kathpalia ,2023;</w:t>
      </w:r>
      <w:r>
        <w:t xml:space="preserve"> </w:t>
      </w:r>
      <w:r>
        <w:rPr>
          <w:color w:val="558ED5" w:themeColor="text2" w:themeTint="99"/>
          <w14:textFill>
            <w14:solidFill>
              <w14:schemeClr w14:val="tx2">
                <w14:lumMod w14:val="60000"/>
                <w14:lumOff w14:val="40000"/>
              </w14:schemeClr>
            </w14:solidFill>
          </w14:textFill>
        </w:rPr>
        <w:t xml:space="preserve">Kumar </w:t>
      </w:r>
      <w:r>
        <w:rPr>
          <w:i/>
          <w:iCs/>
          <w:color w:val="558ED5" w:themeColor="text2" w:themeTint="99"/>
          <w14:textFill>
            <w14:solidFill>
              <w14:schemeClr w14:val="tx2">
                <w14:lumMod w14:val="60000"/>
                <w14:lumOff w14:val="40000"/>
              </w14:schemeClr>
            </w14:solidFill>
          </w14:textFill>
        </w:rPr>
        <w:t>et al.,</w:t>
      </w:r>
      <w:r>
        <w:rPr>
          <w:color w:val="558ED5" w:themeColor="text2" w:themeTint="99"/>
          <w14:textFill>
            <w14:solidFill>
              <w14:schemeClr w14:val="tx2">
                <w14:lumMod w14:val="60000"/>
                <w14:lumOff w14:val="40000"/>
              </w14:schemeClr>
            </w14:solidFill>
          </w14:textFill>
        </w:rPr>
        <w:t xml:space="preserve"> 2021)</w:t>
      </w:r>
      <w:r>
        <w:t xml:space="preserve">.  Comparable studies on medicinal Solanaceous plants have also reported higher ash content in vegetative organs compared to fruits, supporting the current findings </w:t>
      </w:r>
      <w:r>
        <w:rPr>
          <w:color w:val="558ED5" w:themeColor="text2" w:themeTint="99"/>
          <w14:textFill>
            <w14:solidFill>
              <w14:schemeClr w14:val="tx2">
                <w14:lumMod w14:val="60000"/>
                <w14:lumOff w14:val="40000"/>
              </w14:schemeClr>
            </w14:solidFill>
          </w14:textFill>
        </w:rPr>
        <w:t xml:space="preserve">(Achuenu </w:t>
      </w:r>
      <w:r>
        <w:rPr>
          <w:i/>
          <w:iCs/>
          <w:color w:val="558ED5" w:themeColor="text2" w:themeTint="99"/>
          <w14:textFill>
            <w14:solidFill>
              <w14:schemeClr w14:val="tx2">
                <w14:lumMod w14:val="60000"/>
                <w14:lumOff w14:val="40000"/>
              </w14:schemeClr>
            </w14:solidFill>
          </w14:textFill>
        </w:rPr>
        <w:t>et al.,</w:t>
      </w:r>
      <w:r>
        <w:rPr>
          <w:color w:val="558ED5" w:themeColor="text2" w:themeTint="99"/>
          <w14:textFill>
            <w14:solidFill>
              <w14:schemeClr w14:val="tx2">
                <w14:lumMod w14:val="60000"/>
                <w14:lumOff w14:val="40000"/>
              </w14:schemeClr>
            </w14:solidFill>
          </w14:textFill>
        </w:rPr>
        <w:t xml:space="preserve"> 2024; Okoli </w:t>
      </w:r>
      <w:r>
        <w:rPr>
          <w:i/>
          <w:iCs/>
          <w:color w:val="558ED5" w:themeColor="text2" w:themeTint="99"/>
          <w14:textFill>
            <w14:solidFill>
              <w14:schemeClr w14:val="tx2">
                <w14:lumMod w14:val="60000"/>
                <w14:lumOff w14:val="40000"/>
              </w14:schemeClr>
            </w14:solidFill>
          </w14:textFill>
        </w:rPr>
        <w:t>et al</w:t>
      </w:r>
      <w:r>
        <w:rPr>
          <w:color w:val="558ED5" w:themeColor="text2" w:themeTint="99"/>
          <w14:textFill>
            <w14:solidFill>
              <w14:schemeClr w14:val="tx2">
                <w14:lumMod w14:val="60000"/>
                <w14:lumOff w14:val="40000"/>
              </w14:schemeClr>
            </w14:solidFill>
          </w14:textFill>
        </w:rPr>
        <w:t xml:space="preserve">., 2024). </w:t>
      </w:r>
      <w:r>
        <w:t xml:space="preserve">The exceptionally high ash content recorded in </w:t>
      </w:r>
      <w:r>
        <w:rPr>
          <w:i/>
          <w:iCs/>
        </w:rPr>
        <w:t>Lycium persicum</w:t>
      </w:r>
      <w:r>
        <w:t xml:space="preserve"> highlights its potential as a mineral-rich species.  </w:t>
      </w:r>
    </w:p>
    <w:p w14:paraId="4EB614EC">
      <w:pPr>
        <w:spacing w:after="0" w:line="360" w:lineRule="auto"/>
        <w:jc w:val="both"/>
      </w:pPr>
      <w:r>
        <w:t xml:space="preserve">In contrast, fruit samples generally exhibited lower protein and ash contents but maintained moderate carbohydrate levels. The pattern is consistent with biological role of fruits as energy storage organs that facilitate seed development and dispersal. Similar observations have been </w:t>
      </w:r>
      <w:commentRangeStart w:id="18"/>
      <w:r>
        <w:t xml:space="preserve">reported in comparative studies </w:t>
      </w:r>
      <w:commentRangeEnd w:id="18"/>
      <w:r>
        <w:commentReference w:id="18"/>
      </w:r>
      <w:r>
        <w:t>of fruits and leaves, where fruits showed lower protein but retained appreciated carbohydrate and lipid fractions</w:t>
      </w:r>
      <w:r>
        <w:rPr>
          <w:color w:val="F79646" w:themeColor="accent6"/>
          <w14:textFill>
            <w14:solidFill>
              <w14:schemeClr w14:val="accent6"/>
            </w14:solidFill>
          </w14:textFill>
        </w:rPr>
        <w:t xml:space="preserve"> </w:t>
      </w:r>
      <w:r>
        <w:rPr>
          <w:color w:val="558ED5" w:themeColor="text2" w:themeTint="99"/>
          <w14:textFill>
            <w14:solidFill>
              <w14:schemeClr w14:val="tx2">
                <w14:lumMod w14:val="60000"/>
                <w14:lumOff w14:val="40000"/>
              </w14:schemeClr>
            </w14:solidFill>
          </w14:textFill>
        </w:rPr>
        <w:t xml:space="preserve">(Alves </w:t>
      </w:r>
      <w:r>
        <w:rPr>
          <w:i/>
          <w:iCs/>
          <w:color w:val="558ED5" w:themeColor="text2" w:themeTint="99"/>
          <w14:textFill>
            <w14:solidFill>
              <w14:schemeClr w14:val="tx2">
                <w14:lumMod w14:val="60000"/>
                <w14:lumOff w14:val="40000"/>
              </w14:schemeClr>
            </w14:solidFill>
          </w14:textFill>
        </w:rPr>
        <w:t>et al.,</w:t>
      </w:r>
      <w:r>
        <w:rPr>
          <w:color w:val="558ED5" w:themeColor="text2" w:themeTint="99"/>
          <w14:textFill>
            <w14:solidFill>
              <w14:schemeClr w14:val="tx2">
                <w14:lumMod w14:val="60000"/>
                <w14:lumOff w14:val="40000"/>
              </w14:schemeClr>
            </w14:solidFill>
          </w14:textFill>
        </w:rPr>
        <w:t xml:space="preserve"> 2021; Bayang </w:t>
      </w:r>
      <w:r>
        <w:rPr>
          <w:i/>
          <w:iCs/>
          <w:color w:val="558ED5" w:themeColor="text2" w:themeTint="99"/>
          <w14:textFill>
            <w14:solidFill>
              <w14:schemeClr w14:val="tx2">
                <w14:lumMod w14:val="60000"/>
                <w14:lumOff w14:val="40000"/>
              </w14:schemeClr>
            </w14:solidFill>
          </w14:textFill>
        </w:rPr>
        <w:t>et al</w:t>
      </w:r>
      <w:r>
        <w:rPr>
          <w:color w:val="558ED5" w:themeColor="text2" w:themeTint="99"/>
          <w14:textFill>
            <w14:solidFill>
              <w14:schemeClr w14:val="tx2">
                <w14:lumMod w14:val="60000"/>
                <w14:lumOff w14:val="40000"/>
              </w14:schemeClr>
            </w14:solidFill>
          </w14:textFill>
        </w:rPr>
        <w:t xml:space="preserve">., 2021 ). </w:t>
      </w:r>
      <w:r>
        <w:t xml:space="preserve">The relatively higher carbohydrate content in species such as </w:t>
      </w:r>
      <w:r>
        <w:rPr>
          <w:i/>
          <w:iCs/>
        </w:rPr>
        <w:t>Solanum americanum</w:t>
      </w:r>
      <w:r>
        <w:t xml:space="preserve"> and </w:t>
      </w:r>
      <w:r>
        <w:rPr>
          <w:i/>
          <w:iCs/>
        </w:rPr>
        <w:t>S.incanum</w:t>
      </w:r>
      <w:r>
        <w:t xml:space="preserve"> in this study further supports their potential as energy sources. </w:t>
      </w:r>
    </w:p>
    <w:p w14:paraId="20A16A40">
      <w:pPr>
        <w:spacing w:after="0" w:line="360" w:lineRule="auto"/>
        <w:jc w:val="both"/>
        <w:rPr>
          <w:color w:val="558ED5" w:themeColor="text2" w:themeTint="99"/>
          <w14:textFill>
            <w14:solidFill>
              <w14:schemeClr w14:val="tx2">
                <w14:lumMod w14:val="60000"/>
                <w14:lumOff w14:val="40000"/>
              </w14:schemeClr>
            </w14:solidFill>
          </w14:textFill>
        </w:rPr>
      </w:pPr>
      <w:r>
        <w:t>Crude fat content in both leaves and fruits was generally low, which is typical for most leafy vegetables and fruits (</w:t>
      </w:r>
      <w:r>
        <w:rPr>
          <w:color w:val="558ED5" w:themeColor="text2" w:themeTint="99"/>
          <w14:textFill>
            <w14:solidFill>
              <w14:schemeClr w14:val="tx2">
                <w14:lumMod w14:val="60000"/>
                <w14:lumOff w14:val="40000"/>
              </w14:schemeClr>
            </w14:solidFill>
          </w14:textFill>
        </w:rPr>
        <w:t xml:space="preserve">Özcan </w:t>
      </w:r>
      <w:r>
        <w:rPr>
          <w:i/>
          <w:iCs/>
          <w:color w:val="558ED5" w:themeColor="text2" w:themeTint="99"/>
          <w14:textFill>
            <w14:solidFill>
              <w14:schemeClr w14:val="tx2">
                <w14:lumMod w14:val="60000"/>
                <w14:lumOff w14:val="40000"/>
              </w14:schemeClr>
            </w14:solidFill>
          </w14:textFill>
        </w:rPr>
        <w:t>et al.,</w:t>
      </w:r>
      <w:r>
        <w:rPr>
          <w:color w:val="558ED5" w:themeColor="text2" w:themeTint="99"/>
          <w14:textFill>
            <w14:solidFill>
              <w14:schemeClr w14:val="tx2">
                <w14:lumMod w14:val="60000"/>
                <w14:lumOff w14:val="40000"/>
              </w14:schemeClr>
            </w14:solidFill>
          </w14:textFill>
        </w:rPr>
        <w:t xml:space="preserve"> 2020)</w:t>
      </w:r>
      <w:r>
        <w:t xml:space="preserve">.however, slight variations among species were observed with </w:t>
      </w:r>
      <w:r>
        <w:rPr>
          <w:i/>
          <w:iCs/>
        </w:rPr>
        <w:t>Nicotania glauca</w:t>
      </w:r>
      <w:r>
        <w:t xml:space="preserve"> and </w:t>
      </w:r>
      <w:r>
        <w:rPr>
          <w:i/>
          <w:iCs/>
        </w:rPr>
        <w:t xml:space="preserve">Solanum americanum </w:t>
      </w:r>
      <w:r>
        <w:t>showing relatively higher values. Previous studies have similarly reported low fat content in solanaceous plants, indicating that these species are not primary source of lipids but may still contribute essential fatty acids in small amounts</w:t>
      </w:r>
      <w:r>
        <w:rPr>
          <w:color w:val="558ED5" w:themeColor="text2" w:themeTint="99"/>
          <w14:textFill>
            <w14:solidFill>
              <w14:schemeClr w14:val="tx2">
                <w14:lumMod w14:val="60000"/>
                <w14:lumOff w14:val="40000"/>
              </w14:schemeClr>
            </w14:solidFill>
          </w14:textFill>
        </w:rPr>
        <w:t xml:space="preserve"> (Bahadır </w:t>
      </w:r>
      <w:r>
        <w:rPr>
          <w:i/>
          <w:iCs/>
          <w:color w:val="558ED5" w:themeColor="text2" w:themeTint="99"/>
          <w14:textFill>
            <w14:solidFill>
              <w14:schemeClr w14:val="tx2">
                <w14:lumMod w14:val="60000"/>
                <w14:lumOff w14:val="40000"/>
              </w14:schemeClr>
            </w14:solidFill>
          </w14:textFill>
        </w:rPr>
        <w:t>et al</w:t>
      </w:r>
      <w:r>
        <w:rPr>
          <w:color w:val="558ED5" w:themeColor="text2" w:themeTint="99"/>
          <w14:textFill>
            <w14:solidFill>
              <w14:schemeClr w14:val="tx2">
                <w14:lumMod w14:val="60000"/>
                <w14:lumOff w14:val="40000"/>
              </w14:schemeClr>
            </w14:solidFill>
          </w14:textFill>
        </w:rPr>
        <w:t xml:space="preserve">., 2024; Konopka </w:t>
      </w:r>
      <w:r>
        <w:rPr>
          <w:i/>
          <w:iCs/>
          <w:color w:val="558ED5" w:themeColor="text2" w:themeTint="99"/>
          <w14:textFill>
            <w14:solidFill>
              <w14:schemeClr w14:val="tx2">
                <w14:lumMod w14:val="60000"/>
                <w14:lumOff w14:val="40000"/>
              </w14:schemeClr>
            </w14:solidFill>
          </w14:textFill>
        </w:rPr>
        <w:t>et al.,</w:t>
      </w:r>
      <w:r>
        <w:rPr>
          <w:color w:val="558ED5" w:themeColor="text2" w:themeTint="99"/>
          <w14:textFill>
            <w14:solidFill>
              <w14:schemeClr w14:val="tx2">
                <w14:lumMod w14:val="60000"/>
                <w14:lumOff w14:val="40000"/>
              </w14:schemeClr>
            </w14:solidFill>
          </w14:textFill>
        </w:rPr>
        <w:t xml:space="preserve"> 2023; Staveckienė </w:t>
      </w:r>
      <w:r>
        <w:rPr>
          <w:i/>
          <w:iCs/>
          <w:color w:val="558ED5" w:themeColor="text2" w:themeTint="99"/>
          <w14:textFill>
            <w14:solidFill>
              <w14:schemeClr w14:val="tx2">
                <w14:lumMod w14:val="60000"/>
                <w14:lumOff w14:val="40000"/>
              </w14:schemeClr>
            </w14:solidFill>
          </w14:textFill>
        </w:rPr>
        <w:t>et al.,</w:t>
      </w:r>
      <w:r>
        <w:rPr>
          <w:color w:val="558ED5" w:themeColor="text2" w:themeTint="99"/>
          <w14:textFill>
            <w14:solidFill>
              <w14:schemeClr w14:val="tx2">
                <w14:lumMod w14:val="60000"/>
                <w14:lumOff w14:val="40000"/>
              </w14:schemeClr>
            </w14:solidFill>
          </w14:textFill>
        </w:rPr>
        <w:t xml:space="preserve"> 2023).</w:t>
      </w:r>
    </w:p>
    <w:p w14:paraId="4C04BA97">
      <w:pPr>
        <w:spacing w:after="0" w:line="360" w:lineRule="auto"/>
        <w:jc w:val="both"/>
      </w:pPr>
      <w:r>
        <w:t xml:space="preserve">Crude fiber content showed notable variation, with leaves containing significantly higher levels than fruits. This agrees with </w:t>
      </w:r>
      <w:commentRangeStart w:id="19"/>
      <w:r>
        <w:t>earlier reports</w:t>
      </w:r>
      <w:commentRangeEnd w:id="19"/>
      <w:r>
        <w:commentReference w:id="19"/>
      </w:r>
      <w:r>
        <w:t xml:space="preserve"> that structural carbohydrates are more abundant in vegetative tissues due to the presence of cellulose and lignin in cell walls. However, some studies have reported higher fiber content in fruits depending on species and developmental</w:t>
      </w:r>
      <w:r>
        <w:rPr>
          <w:color w:val="558ED5" w:themeColor="text2" w:themeTint="99"/>
          <w14:textFill>
            <w14:solidFill>
              <w14:schemeClr w14:val="tx2">
                <w14:lumMod w14:val="60000"/>
                <w14:lumOff w14:val="40000"/>
              </w14:schemeClr>
            </w14:solidFill>
          </w14:textFill>
        </w:rPr>
        <w:t xml:space="preserve"> </w:t>
      </w:r>
      <w:r>
        <w:rPr>
          <w:color w:val="000000" w:themeColor="text1"/>
          <w14:textFill>
            <w14:solidFill>
              <w14:schemeClr w14:val="tx1"/>
            </w14:solidFill>
          </w14:textFill>
        </w:rPr>
        <w:t>s</w:t>
      </w:r>
      <w:r>
        <w:t xml:space="preserve">tage </w:t>
      </w:r>
      <w:r>
        <w:rPr>
          <w:color w:val="558ED5" w:themeColor="text2" w:themeTint="99"/>
          <w14:textFill>
            <w14:solidFill>
              <w14:schemeClr w14:val="tx2">
                <w14:lumMod w14:val="60000"/>
                <w14:lumOff w14:val="40000"/>
              </w14:schemeClr>
            </w14:solidFill>
          </w14:textFill>
        </w:rPr>
        <w:t xml:space="preserve">(Ma </w:t>
      </w:r>
      <w:r>
        <w:rPr>
          <w:i/>
          <w:iCs/>
          <w:color w:val="558ED5" w:themeColor="text2" w:themeTint="99"/>
          <w14:textFill>
            <w14:solidFill>
              <w14:schemeClr w14:val="tx2">
                <w14:lumMod w14:val="60000"/>
                <w14:lumOff w14:val="40000"/>
              </w14:schemeClr>
            </w14:solidFill>
          </w14:textFill>
        </w:rPr>
        <w:t>et al</w:t>
      </w:r>
      <w:r>
        <w:rPr>
          <w:color w:val="558ED5" w:themeColor="text2" w:themeTint="99"/>
          <w14:textFill>
            <w14:solidFill>
              <w14:schemeClr w14:val="tx2">
                <w14:lumMod w14:val="60000"/>
                <w14:lumOff w14:val="40000"/>
              </w14:schemeClr>
            </w14:solidFill>
          </w14:textFill>
        </w:rPr>
        <w:t>.,2023;</w:t>
      </w:r>
      <w:r>
        <w:t xml:space="preserve"> </w:t>
      </w:r>
      <w:r>
        <w:rPr>
          <w:color w:val="558ED5" w:themeColor="text2" w:themeTint="99"/>
          <w14:textFill>
            <w14:solidFill>
              <w14:schemeClr w14:val="tx2">
                <w14:lumMod w14:val="60000"/>
                <w14:lumOff w14:val="40000"/>
              </w14:schemeClr>
            </w14:solidFill>
          </w14:textFill>
        </w:rPr>
        <w:t xml:space="preserve">Zhang </w:t>
      </w:r>
      <w:r>
        <w:rPr>
          <w:i/>
          <w:iCs/>
          <w:color w:val="558ED5" w:themeColor="text2" w:themeTint="99"/>
          <w14:textFill>
            <w14:solidFill>
              <w14:schemeClr w14:val="tx2">
                <w14:lumMod w14:val="60000"/>
                <w14:lumOff w14:val="40000"/>
              </w14:schemeClr>
            </w14:solidFill>
          </w14:textFill>
        </w:rPr>
        <w:t xml:space="preserve">et al., </w:t>
      </w:r>
      <w:r>
        <w:rPr>
          <w:color w:val="558ED5" w:themeColor="text2" w:themeTint="99"/>
          <w14:textFill>
            <w14:solidFill>
              <w14:schemeClr w14:val="tx2">
                <w14:lumMod w14:val="60000"/>
                <w14:lumOff w14:val="40000"/>
              </w14:schemeClr>
            </w14:solidFill>
          </w14:textFill>
        </w:rPr>
        <w:t>2020 )</w:t>
      </w:r>
      <w:r>
        <w:t xml:space="preserve">, indicating that fiber distribution may vary with ecological and genetic factors. The high fiber content observed in </w:t>
      </w:r>
      <w:r>
        <w:rPr>
          <w:i/>
          <w:iCs/>
        </w:rPr>
        <w:t>Solanum villosum</w:t>
      </w:r>
      <w:r>
        <w:t xml:space="preserve"> suggests its potential importance in dietary applications, particularly for digestive health.  </w:t>
      </w:r>
    </w:p>
    <w:p w14:paraId="284730AC">
      <w:pPr>
        <w:spacing w:after="0" w:line="360" w:lineRule="auto"/>
        <w:jc w:val="both"/>
      </w:pPr>
      <w:r>
        <w:t>The observed variations among species in all proximate parameters highlight the influence of genetic diversity, environmental conditions, and geographical locations</w:t>
      </w:r>
      <w:r>
        <w:rPr>
          <w:color w:val="558ED5" w:themeColor="text2" w:themeTint="99"/>
          <w14:textFill>
            <w14:solidFill>
              <w14:schemeClr w14:val="tx2">
                <w14:lumMod w14:val="60000"/>
                <w14:lumOff w14:val="40000"/>
              </w14:schemeClr>
            </w14:solidFill>
          </w14:textFill>
        </w:rPr>
        <w:t xml:space="preserve"> (  García </w:t>
      </w:r>
      <w:r>
        <w:rPr>
          <w:i/>
          <w:iCs/>
          <w:color w:val="558ED5" w:themeColor="text2" w:themeTint="99"/>
          <w14:textFill>
            <w14:solidFill>
              <w14:schemeClr w14:val="tx2">
                <w14:lumMod w14:val="60000"/>
                <w14:lumOff w14:val="40000"/>
              </w14:schemeClr>
            </w14:solidFill>
          </w14:textFill>
        </w:rPr>
        <w:t>et al</w:t>
      </w:r>
      <w:r>
        <w:rPr>
          <w:color w:val="558ED5" w:themeColor="text2" w:themeTint="99"/>
          <w14:textFill>
            <w14:solidFill>
              <w14:schemeClr w14:val="tx2">
                <w14:lumMod w14:val="60000"/>
                <w14:lumOff w14:val="40000"/>
              </w14:schemeClr>
            </w14:solidFill>
          </w14:textFill>
        </w:rPr>
        <w:t xml:space="preserve">., 2025; Imran </w:t>
      </w:r>
      <w:r>
        <w:rPr>
          <w:i/>
          <w:iCs/>
          <w:color w:val="558ED5" w:themeColor="text2" w:themeTint="99"/>
          <w14:textFill>
            <w14:solidFill>
              <w14:schemeClr w14:val="tx2">
                <w14:lumMod w14:val="60000"/>
                <w14:lumOff w14:val="40000"/>
              </w14:schemeClr>
            </w14:solidFill>
          </w14:textFill>
        </w:rPr>
        <w:t xml:space="preserve">et al., </w:t>
      </w:r>
      <w:r>
        <w:rPr>
          <w:color w:val="558ED5" w:themeColor="text2" w:themeTint="99"/>
          <w14:textFill>
            <w14:solidFill>
              <w14:schemeClr w14:val="tx2">
                <w14:lumMod w14:val="60000"/>
                <w14:lumOff w14:val="40000"/>
              </w14:schemeClr>
            </w14:solidFill>
          </w14:textFill>
        </w:rPr>
        <w:t xml:space="preserve"> 2024;     Buba </w:t>
      </w:r>
      <w:r>
        <w:rPr>
          <w:i/>
          <w:iCs/>
          <w:color w:val="558ED5" w:themeColor="text2" w:themeTint="99"/>
          <w14:textFill>
            <w14:solidFill>
              <w14:schemeClr w14:val="tx2">
                <w14:lumMod w14:val="60000"/>
                <w14:lumOff w14:val="40000"/>
              </w14:schemeClr>
            </w14:solidFill>
          </w14:textFill>
        </w:rPr>
        <w:t>et al</w:t>
      </w:r>
      <w:r>
        <w:rPr>
          <w:color w:val="558ED5" w:themeColor="text2" w:themeTint="99"/>
          <w14:textFill>
            <w14:solidFill>
              <w14:schemeClr w14:val="tx2">
                <w14:lumMod w14:val="60000"/>
                <w14:lumOff w14:val="40000"/>
              </w14:schemeClr>
            </w14:solidFill>
          </w14:textFill>
        </w:rPr>
        <w:t>., 2022)</w:t>
      </w:r>
      <w:r>
        <w:t xml:space="preserve">, particularly within Sudan’s diverse ecological zones. Similar conclusions have been drawn in </w:t>
      </w:r>
      <w:commentRangeStart w:id="20"/>
      <w:r>
        <w:t>previous studies</w:t>
      </w:r>
      <w:commentRangeEnd w:id="20"/>
      <w:r>
        <w:commentReference w:id="20"/>
      </w:r>
      <w:r>
        <w:t>, where nutrient composition was shown to vary significantly across species and growth conditions. The variability underscores the importance of region –specific studies in evaluating plant nutritional potential.</w:t>
      </w:r>
    </w:p>
    <w:p w14:paraId="45632C22">
      <w:pPr>
        <w:spacing w:after="0" w:line="360" w:lineRule="auto"/>
        <w:jc w:val="both"/>
      </w:pPr>
      <w:r>
        <w:t xml:space="preserve">Overall, finding of this study are in strong agreement with previous literature, confirming that leaves are nutritionally superior to fruits in terms of protein, mineral, and fiber, while fruits primarily contribute energy through carbohydrates. The study also expands existing knowledge by providing new data on unexplored </w:t>
      </w:r>
      <w:r>
        <w:rPr>
          <w:i/>
          <w:iCs/>
        </w:rPr>
        <w:t xml:space="preserve">Solanaceous </w:t>
      </w:r>
      <w:r>
        <w:t>species in Sudan, highlighting their potential    role in improving food security and nutritional</w:t>
      </w:r>
      <w:commentRangeStart w:id="21"/>
      <w:r>
        <w:t>ly</w:t>
      </w:r>
      <w:commentRangeEnd w:id="21"/>
      <w:r>
        <w:commentReference w:id="21"/>
      </w:r>
      <w:r>
        <w:t xml:space="preserve"> diversity.    </w:t>
      </w:r>
    </w:p>
    <w:p w14:paraId="3F943B72">
      <w:pPr>
        <w:spacing w:after="0" w:line="240" w:lineRule="auto"/>
        <w:rPr>
          <w:b/>
          <w:bCs/>
        </w:rPr>
      </w:pPr>
      <w:r>
        <w:rPr>
          <w:b/>
          <w:bCs/>
        </w:rPr>
        <w:t>4. Conclusion</w:t>
      </w:r>
    </w:p>
    <w:p w14:paraId="0566DBE0">
      <w:pPr>
        <w:spacing w:after="0" w:line="360" w:lineRule="auto"/>
        <w:jc w:val="both"/>
      </w:pPr>
      <w:r>
        <w:t xml:space="preserve">The present study provides a comprehensive evaluation of the proximate composition of leaves and fruits of selected solanaceous species collected from different regions of Sudan. The results clearly demonstrate significant variation in nutritional constituents among species and between plant organs. </w:t>
      </w:r>
    </w:p>
    <w:p w14:paraId="538A90BF">
      <w:pPr>
        <w:spacing w:after="0" w:line="360" w:lineRule="auto"/>
        <w:jc w:val="both"/>
      </w:pPr>
      <w:r>
        <w:t xml:space="preserve">Leaves were consistently found to be richer in crude protein, ash, and crude fiber compare to fruits, highlighting their superior nutritional value and potential as important dietary resources. In contrast, fruits exhibit comparatively lower levels of protein and minerals but contributed moderate amounts of carbohydrates, reflecting their role as energy source. Among the studied species, </w:t>
      </w:r>
      <w:r>
        <w:rPr>
          <w:i/>
          <w:iCs/>
        </w:rPr>
        <w:t>Datura innoxia</w:t>
      </w:r>
      <w:r>
        <w:t xml:space="preserve"> and </w:t>
      </w:r>
      <w:r>
        <w:rPr>
          <w:i/>
          <w:iCs/>
        </w:rPr>
        <w:t>Solanum schimprianum</w:t>
      </w:r>
      <w:r>
        <w:t xml:space="preserve"> showed notably high protein content, while </w:t>
      </w:r>
      <w:r>
        <w:rPr>
          <w:i/>
          <w:iCs/>
        </w:rPr>
        <w:t>Lycium persicum</w:t>
      </w:r>
      <w:r>
        <w:t xml:space="preserve"> was characterized by exceptionally high ash content, indicating its richness in mineral elements.</w:t>
      </w:r>
    </w:p>
    <w:p w14:paraId="5B77F777">
      <w:pPr>
        <w:spacing w:after="0" w:line="360" w:lineRule="auto"/>
        <w:jc w:val="both"/>
      </w:pPr>
      <w:r>
        <w:t>The observed interspecific variability emphasizes the influence of genetic and environmental factors on nutrient composition and underscores the importance of evaluating indigenous plant species under local conditions. The findings also highlight the nutritional potential of underutilization solanaceous species in Sudan, suggesting their possible contribution to food security, dietary diversification, and the development of plant-based nutritional products.</w:t>
      </w:r>
    </w:p>
    <w:p w14:paraId="51B87025">
      <w:pPr>
        <w:spacing w:after="0" w:line="360" w:lineRule="auto"/>
        <w:jc w:val="both"/>
      </w:pPr>
      <w:r>
        <w:t>Overall, this study contributes valuable baseline data on the proximate composition of selected solanaceous plants and provides a scientific foundation for further investigations into their phytochemical properties, pharmacological potential and possible applications in food and health sectors.</w:t>
      </w:r>
    </w:p>
    <w:p w14:paraId="733246DB">
      <w:pPr>
        <w:spacing w:after="0" w:line="360" w:lineRule="auto"/>
        <w:jc w:val="both"/>
      </w:pPr>
    </w:p>
    <w:p w14:paraId="5FBDEB5D">
      <w:pPr>
        <w:spacing w:after="0" w:line="360" w:lineRule="auto"/>
        <w:jc w:val="both"/>
      </w:pPr>
    </w:p>
    <w:p w14:paraId="0A38B217">
      <w:pPr>
        <w:rPr>
          <w:rFonts w:ascii="Arial" w:hAnsi="Arial" w:eastAsia="Times New Roman" w:cs="Arial"/>
          <w:b/>
          <w:bCs/>
          <w:lang w:val="en-GB" w:eastAsia="en-GB"/>
        </w:rPr>
      </w:pPr>
      <w:r>
        <w:rPr>
          <w:rFonts w:ascii="Arial" w:hAnsi="Arial" w:eastAsia="Times New Roman" w:cs="Arial"/>
          <w:b/>
          <w:bCs/>
          <w:lang w:val="en-GB" w:eastAsia="en-GB"/>
        </w:rPr>
        <w:t>COMPETING INTERESTS DISCLAIMER:</w:t>
      </w:r>
    </w:p>
    <w:p w14:paraId="272900A4">
      <w:pPr>
        <w:rPr>
          <w:rFonts w:ascii="Calibri" w:hAnsi="Calibri" w:eastAsia="Times New Roman" w:cs="Times New Roman"/>
          <w:lang w:val="en-GB" w:eastAsia="en-GB"/>
        </w:rPr>
      </w:pPr>
      <w:r>
        <w:rPr>
          <w:rFonts w:ascii="Arial" w:hAnsi="Arial" w:eastAsia="Times New Roman" w:cs="Arial"/>
          <w:lang w:val="en-GB" w:eastAsia="en-GB"/>
        </w:rPr>
        <w:t>Authors have declared that they have no known competing financial interests OR non-financial interests OR personal relationships that could have appeared to influence the work reported in this paper.</w:t>
      </w:r>
    </w:p>
    <w:p w14:paraId="5D1985B1">
      <w:pPr>
        <w:spacing w:after="0" w:line="360" w:lineRule="auto"/>
        <w:jc w:val="both"/>
      </w:pPr>
    </w:p>
    <w:p w14:paraId="3D5805E0">
      <w:pPr>
        <w:tabs>
          <w:tab w:val="left" w:pos="938"/>
        </w:tabs>
        <w:spacing w:after="0" w:line="360" w:lineRule="auto"/>
        <w:jc w:val="both"/>
        <w:rPr>
          <w:b/>
          <w:bCs/>
        </w:rPr>
      </w:pPr>
      <w:r>
        <w:rPr>
          <w:b/>
          <w:bCs/>
        </w:rPr>
        <w:t xml:space="preserve">5. References </w:t>
      </w:r>
      <w:r>
        <w:rPr>
          <w:b/>
          <w:bCs/>
        </w:rPr>
        <w:tab/>
      </w:r>
    </w:p>
    <w:p w14:paraId="7B75CD11">
      <w:r>
        <w:t>Achuenu, C., Emesi, I. C., Dashe, R., Edah, A. O., &amp; Mshelia, S. S. (2024). Investigation On the Comparative Proximate and Elemental Compositions of the Fruit and Leaf of Solanum Aethiopicum Cultivated in Jos. Fudma Journal of Sciences, 8(6), 380-384.</w:t>
      </w:r>
    </w:p>
    <w:p w14:paraId="778B703F">
      <w:r>
        <w:t>Aguirre, M., Kiegle, E., Leo, G., &amp; Ezquer, I. (2018). Carbohydrate reserves and seed development: An overview. Plant reproduction, 31(3), 263-290.</w:t>
      </w:r>
    </w:p>
    <w:p w14:paraId="3CA722FC">
      <w:r>
        <w:t>Alves, E., Simoes, A., &amp; Domingues, M. R. (2021). Fruit seeds and their oils as promising sources of value-added lipids from agro-industrial byproducts: Oil content, lipid composition, lipid analysis, biological activity and potential biotechnological applications. Critical Reviews in Food Science and Nutrition, 61(8), 1305-1339.</w:t>
      </w:r>
    </w:p>
    <w:p w14:paraId="2B9F1B3D">
      <w:r>
        <w:t>Bahadır, S., Abdulla, M. F., Mostafa, K., Kavas, M., Hacıkamiloğlu, S., Kurt, O., &amp; Yıldırım, K. (2024). Exploring the role of FAT genes in Solanaceae species through genome‐wide analysis and genome editing. The Plant Genome, 17(4), e20506.</w:t>
      </w:r>
    </w:p>
    <w:p w14:paraId="387AFF86">
      <w:r>
        <w:t>Bayang, J. P., Laya, A., Kolla, M. C., &amp; Koubala, B. B. (2021). Variation of physical properties, nutritional value and bioactive nutrients in dry and fresh wild edible fruits of twenty-three species from Far North region of Cameroon. Journal of Agriculture and Food Research, 4, 100146.</w:t>
      </w:r>
    </w:p>
    <w:p w14:paraId="7B08B592">
      <w:r>
        <w:t>Bhatla, S. C., &amp; Kathpalia, R. (2023). Essential and functional mineral elements. In Plant physiology, development and metabolism (pp. 25-49). Singapore: Springer Nature Singapore.</w:t>
      </w:r>
    </w:p>
    <w:p w14:paraId="473F0B95">
      <w:commentRangeStart w:id="22"/>
      <w:r>
        <w:t>Bhatla, S. C., &amp; Kathpalia, R. (2023). Essential and functional mineral elements. In Plant physiology, development and metabolism (pp. 25-49). Singapore: Springer Nature Singapore.</w:t>
      </w:r>
      <w:commentRangeEnd w:id="22"/>
      <w:r>
        <w:commentReference w:id="22"/>
      </w:r>
    </w:p>
    <w:p w14:paraId="63EE09A3">
      <w:r>
        <w:t>B</w:t>
      </w:r>
      <w:commentRangeStart w:id="23"/>
      <w:r>
        <w:t>OTEY</w:t>
      </w:r>
      <w:commentRangeEnd w:id="23"/>
      <w:r>
        <w:commentReference w:id="23"/>
      </w:r>
      <w:r>
        <w:t>, H. M. (2022). Environment, Physiological and Biochemical Effects on Seed Germination Characteristics of African Eggplant (Solanum aethiopicum L.) (Doctoral dissertation, University of Eldoret).</w:t>
      </w:r>
    </w:p>
    <w:p w14:paraId="784A4015">
      <w:r>
        <w:t>Buba, U. M., Abdul, S. D., &amp; Ibrahim, H. (2022). Genetic diversity studies, heritability, correlation and proximate analysis among acha (Digitaria exilis) accessions. Journal of Agripreneurship and Sustainable Development, 5(2), 11-24.</w:t>
      </w:r>
    </w:p>
    <w:p w14:paraId="04944543">
      <w:r>
        <w:t>Crang, R., Lyons-Sobaski, S., &amp; Wise, R. (2018). Fruits, seeds, and seedlings. In Plant Anatomy: A Concept-Based Approach to the Structure of Seed Plants (pp. 649-678). Cham: Springer International Publishing.</w:t>
      </w:r>
    </w:p>
    <w:p w14:paraId="6125D7DC">
      <w:r>
        <w:t>García, L., Veneros, J., Bolaños-Carriel, C., Guadalupe, G. A., Garcia, H., Mori-Zabarburú, R. C., &amp; Chavez, S. G. (2025). Agro-Morphological Traits, Proximate Composition, and Phenotypic Plasticity of Coffea arabica in Contrasting and Very Close Environments in Northern Peru. Agronomy, 15(11), 2465.</w:t>
      </w:r>
    </w:p>
    <w:p w14:paraId="3C951825">
      <w:r>
        <w:t>Haliński, Ł. P., Topolewska, A., Rynkowska, A., Mika, A., Urasińska, M., Czerski, M., &amp; Stepnowski, P. (2019). Impact of plant domestication on selected nutrient and anti-nutrient compounds in Solanaceae with edible leaves (Solanum spp.). Genetic resources and crop evolution, 66(1), 89-103.</w:t>
      </w:r>
    </w:p>
    <w:p w14:paraId="1EB7732C">
      <w:r>
        <w:t>Han, M., Opoku, K. N., Bissah, N. A., &amp; Su, T. (2021). Solanum aethiopicum: The nutrient-rich vegetable crop with great economic, genetic biodiversity and pharmaceutical potential. Horticulturae, 7(6), 126.</w:t>
      </w:r>
    </w:p>
    <w:p w14:paraId="4683C33B">
      <w:r>
        <w:t>Imran, M., Lee, S. G., Park, S. Y., Park, H. M., Kim, E. H., Oh, S. W., ... &amp; Kim, M. J. (2024). Influence of environmental factors and genotype on natural variation in the chemical composition of maize seeds. Sustainability, 16(23), 10451.</w:t>
      </w:r>
    </w:p>
    <w:p w14:paraId="7DD27F2B">
      <w:r>
        <w:t>Jan, S., Iram, S., Bashir, O., Shah, S. N., Kamal, M. A., Rahman, S., ... &amp; Jan, A. T. (2024). Unleashed treasures of Solanaceae: mechanistic insights into phytochemicals with therapeutic potential for combatting human diseases. Plants, 13(5), 724.</w:t>
      </w:r>
    </w:p>
    <w:p w14:paraId="0B7C9A09">
      <w:r>
        <w:t>Konopka, I., Tańska, M., Dąbrowski, G., Ogrodowska, D., &amp; Czaplicki, S. (2023). Edible oils from selected unconventional sources—A comprehensive review of fatty acid composition and phytochemicals content. Applied Sciences, 13(23), 12829.</w:t>
      </w:r>
    </w:p>
    <w:p w14:paraId="795C970D">
      <w:r>
        <w:t>Kumar, R., Joshi, R., Kumar, R., Srivatsan, V., Satyakam, Chawla, A., ... &amp; Kumar, S. (2022). Nutritional quality evaluation and proteome profile of forage species of Western Himalaya. Grassland Science, 68(3), 214-225.</w:t>
      </w:r>
    </w:p>
    <w:p w14:paraId="34BE36DF">
      <w:r>
        <w:t>Kumar, S., Kumar, S., &amp; Mohapatra, T. (2021). Interaction between macro‐and micro-nutrients in plants. Frontiers in Plant Science, 12, 665583.</w:t>
      </w:r>
    </w:p>
    <w:p w14:paraId="23ED8AD5">
      <w:r>
        <w:t>Kushwaha, M., &amp; Tiwari, P. (2025). Unveiled assets of Solanaceae family plants: Mechanistic understanding of phytochemicals with therapeutic efficacy in addressing human ailments. International Journal of Environmental Pollution and Environmental Modelling, 8(2), 99-112.</w:t>
      </w:r>
    </w:p>
    <w:p w14:paraId="1F87E1D7">
      <w:r>
        <w:t>Lu, Y., Luo, Z., Sun, Q., Deng, Q., Wu, L., Liao, J., ... &amp; Yuan, J. (2024). The stoichiometry of soil macro and microelements plays a critical role in regulating Camellia oleifera nutrient accumulation and production. Journal of Soils and Sediments, 24(4), 1680-1693.</w:t>
      </w:r>
    </w:p>
    <w:p w14:paraId="650E8A74">
      <w:r>
        <w:t>Ma, Y., Wang, Z., Li, Y., Feng, X., Song, L., Gao, H., &amp; Cao, B. (2023). Fruit morphological and nutritional quality features of goji berry (Lycium barbarum L.) during fruit development. Scientia Horticulturae, 308, 111555.</w:t>
      </w:r>
    </w:p>
    <w:p w14:paraId="2C82A84D">
      <w:commentRangeStart w:id="24"/>
      <w:r>
        <w:t>Mibei, E. K. (2018). Application of metabolomics in assessment of functional diversity and quality traits of selected African solanaceae accessions (Doctoral dissertation, JKUAT-AGRICULTURE).</w:t>
      </w:r>
      <w:commentRangeEnd w:id="24"/>
      <w:r>
        <w:commentReference w:id="24"/>
      </w:r>
    </w:p>
    <w:p w14:paraId="7D803C21">
      <w:r>
        <w:t>Okoli, N. A., Nwafor, I. C., Ihegboro, M., Emma-Okafor, L. C., Nwosu, B. O., Onwuchekwa, C. U., &amp; Ibeawuchi, I. I. (2024). Integrated application of wood ash and inorganic fertilizer sources on vegetative growth, fruit yield, and nutrient quality of Solanum aethiopicum L. International Journal of Recycling of Organic Waste in Agriculture, 13(3).</w:t>
      </w:r>
    </w:p>
    <w:p w14:paraId="041F52F0">
      <w:commentRangeStart w:id="25"/>
      <w:r>
        <w:t>Orangi, B. K. (2024). Effect of Nitrogen Rates and Sources on Plant Growth, Yield, Quality and Nitrogen Use Efficiency on African Nightshade Varieties (Solanum spp) in Kenya (Doctoral dissertation, JKUAT-CoANRE).</w:t>
      </w:r>
      <w:commentRangeEnd w:id="25"/>
      <w:r>
        <w:commentReference w:id="25"/>
      </w:r>
    </w:p>
    <w:p w14:paraId="4FC05B00">
      <w:r>
        <w:t>Özcan, M. M., Al Juhaimi, F., Ahmed, I. A. M., Babiker, E. E., &amp; Ghafoor, K. (2020). Antioxidant activity, fatty acid composition, phenolic compounds and mineral contents of stem, leave and fruits of two morphs of wild myrtle plants. Journal of Food Measurement and Characterization, 14(3), 1376-1382.</w:t>
      </w:r>
    </w:p>
    <w:p w14:paraId="627CCF37">
      <w:r>
        <w:t>Parolin, P., Waldhoff, D., &amp; Piedade, M. T. (2010). Fruit and seed chemistry, biomass and dispersal. In Amazonian floodplain forests: ecophysiology, biodiversity and sustainable management (pp. 243-258). Dordrecht: Springer Netherlands.</w:t>
      </w:r>
    </w:p>
    <w:p w14:paraId="24D4792C">
      <w:r>
        <w:t xml:space="preserve">Quadri, A. L., Njinga, N. S., Kola-Mustapha, A. T., Amusa, T. O., Atolani, O., Oladiji, A. T., ... &amp; Kambizi, L. (2021). Elemental composition and proximate analysis of five commonly used African medicinal plants. </w:t>
      </w:r>
      <w:commentRangeStart w:id="26"/>
      <w:r>
        <w:t>Plant Archives.</w:t>
      </w:r>
      <w:commentRangeEnd w:id="26"/>
      <w:r>
        <w:commentReference w:id="26"/>
      </w:r>
    </w:p>
    <w:p w14:paraId="718511AC">
      <w:r>
        <w:t>Ralte, L., Bhardwaj, U., &amp; Singh, Y. T. (2021). Traditionally used edible Solanaceae plants of Mizoram, India have high antioxidant and antimicrobial potential for effective phytopharmaceutical and nutraceutical formulations. Heliyon, 7(9).</w:t>
      </w:r>
      <w:r>
        <w:commentReference w:id="27"/>
      </w:r>
    </w:p>
    <w:p w14:paraId="5B0A8B5A">
      <w:r>
        <w:t>Shahid, M., Singh, R. K., &amp; Thushar, S. (2023). Proximate composition and nutritional values of selected wild plants of the United Arab Emirates. Molecules, 28(3), 1504.</w:t>
      </w:r>
    </w:p>
    <w:p w14:paraId="284F48F2">
      <w:r>
        <w:t>Song, J., Yang, J., &amp; Jeong, B. R. (2024). Characterization of physiology, photosynthesis, and nutrition based on induced deficiencies of macro-and micronutrients in basil (Ocimum basilicum L.). Agronomy, 14(1), 208.</w:t>
      </w:r>
    </w:p>
    <w:p w14:paraId="500C173C">
      <w:r>
        <w:t>Staveckienė, J., Kulaitienė, J., Levickienė, D., &amp; Vaitkevičienė, N. (2023). Changes in Fatty Acid Content in Solanum spp. Fruits during Ripening. Plants, 12(2), 268.</w:t>
      </w:r>
    </w:p>
    <w:p w14:paraId="1BE5C8ED">
      <w:r>
        <w:t>Staveckienė, J., Medveckienė, B., Vaštakaitė-Kairienė, V., Kulaitienė, J., &amp; Jarienė, E. (2024). Amino Acid Changes during Maturation in Solanum Fruit. Agriculture, 14(6), 802.</w:t>
      </w:r>
    </w:p>
    <w:p w14:paraId="2BB09DB4">
      <w:r>
        <w:t>Tejada-Alvarado, J. J., Meléndez-Mori, J. B., Vilca-Valqui, N. C., Neri, J. C., Ayala-Tocto, R. Y., Huaman-Huaman, E., ... &amp; Goñas, M. (2023). Impact of wild solanaceae rootstocks on morphological and physiological response, yield, and fruit quality of tomato (Solanum lycopersicum L.) grown under deficit irrigation conditions. Heliyon, 9(1).</w:t>
      </w:r>
      <w:r>
        <w:commentReference w:id="28"/>
      </w:r>
    </w:p>
    <w:p w14:paraId="77A2AB06">
      <w:r>
        <w:t>Uzoekwe, N. M., &amp; Ezenwajiugo, C. E. (2023). Phytochemicals, Elemental and Proximate analyses of Piper Guineense Leaves. Journal of Applied Sciences &amp; Environmental Management, 27(4).</w:t>
      </w:r>
    </w:p>
    <w:p w14:paraId="4A091639">
      <w:r>
        <w:t>Yadav, S. A., &amp; Koshi, F. S. (2022). Phytochemicals from Solanaceae Family and Their Anticancer. Medicinal plants, 231.</w:t>
      </w:r>
    </w:p>
    <w:p w14:paraId="646D9602">
      <w:r>
        <w:t>Zhang, Q., Wang, L., Wang, Z., Liu, Z., Zhao, Z., Zhou, G., ... &amp; Liu, P. (2020). Variations of the nutritional composition of jujube fruit (Ziziphus jujuba Mill.) during maturation stages. International Journal of Food Properties, 23(1), 1066-1081.</w:t>
      </w:r>
    </w:p>
    <w:sectPr>
      <w:headerReference r:id="rId9" w:type="first"/>
      <w:footerReference r:id="rId12" w:type="first"/>
      <w:headerReference r:id="rId7" w:type="default"/>
      <w:footerReference r:id="rId10" w:type="default"/>
      <w:headerReference r:id="rId8" w:type="even"/>
      <w:footerReference r:id="rId11" w:type="even"/>
      <w:pgSz w:w="12240" w:h="15840"/>
      <w:pgMar w:top="1440" w:right="1440" w:bottom="1440" w:left="1440" w:header="720" w:footer="720"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juliet dodo" w:date="2026-05-06T20:24:06Z" w:initials="">
    <w:p w14:paraId="06383ACF">
      <w:pPr>
        <w:pStyle w:val="5"/>
        <w:rPr>
          <w:rFonts w:hint="default"/>
          <w:lang w:val="en-US"/>
        </w:rPr>
      </w:pPr>
      <w:r>
        <w:rPr>
          <w:rFonts w:hint="default"/>
          <w:lang w:val="en-US"/>
        </w:rPr>
        <w:t>Provide the year for the first reference.</w:t>
      </w:r>
    </w:p>
  </w:comment>
  <w:comment w:id="1" w:author="juliet dodo" w:date="2026-05-06T20:28:19Z" w:initials="">
    <w:p w14:paraId="2BD7FE4F">
      <w:pPr>
        <w:pStyle w:val="5"/>
        <w:rPr>
          <w:rFonts w:hint="default"/>
          <w:lang w:val="en-US"/>
        </w:rPr>
      </w:pPr>
      <w:r>
        <w:rPr>
          <w:rFonts w:hint="default"/>
          <w:lang w:val="en-US"/>
        </w:rPr>
        <w:t>AOAC not “AOCS”</w:t>
      </w:r>
    </w:p>
  </w:comment>
  <w:comment w:id="2" w:author="juliet dodo" w:date="2026-05-06T20:29:14Z" w:initials="">
    <w:p w14:paraId="60CE4472">
      <w:pPr>
        <w:pStyle w:val="5"/>
        <w:rPr>
          <w:rFonts w:hint="default"/>
          <w:lang w:val="en-US"/>
        </w:rPr>
      </w:pPr>
      <w:r>
        <w:rPr>
          <w:rFonts w:hint="default"/>
          <w:lang w:val="en-US"/>
        </w:rPr>
        <w:t>“Three” not 3 at the beginning of a sentence.</w:t>
      </w:r>
    </w:p>
  </w:comment>
  <w:comment w:id="3" w:author="juliet dodo" w:date="2026-05-06T20:30:22Z" w:initials="">
    <w:p w14:paraId="7509F572">
      <w:pPr>
        <w:pStyle w:val="5"/>
        <w:rPr>
          <w:rFonts w:hint="default"/>
          <w:lang w:val="en-US"/>
        </w:rPr>
      </w:pPr>
      <w:r>
        <w:rPr>
          <w:rFonts w:hint="default"/>
          <w:lang w:val="en-US"/>
        </w:rPr>
        <w:t>Use equation here to write these expression.</w:t>
      </w:r>
    </w:p>
  </w:comment>
  <w:comment w:id="4" w:author="juliet dodo" w:date="2026-05-06T20:31:13Z" w:initials="">
    <w:p w14:paraId="6A1514CE">
      <w:pPr>
        <w:pStyle w:val="5"/>
        <w:rPr>
          <w:rFonts w:hint="default"/>
          <w:lang w:val="en-US"/>
        </w:rPr>
      </w:pPr>
      <w:r>
        <w:rPr>
          <w:rFonts w:hint="default"/>
          <w:lang w:val="en-US"/>
        </w:rPr>
        <w:t>Always start a sentence with a letter, not figure.</w:t>
      </w:r>
    </w:p>
  </w:comment>
  <w:comment w:id="5" w:author="juliet dodo" w:date="2026-05-06T20:32:12Z" w:initials="">
    <w:p w14:paraId="5491321B">
      <w:pPr>
        <w:pStyle w:val="5"/>
        <w:rPr>
          <w:rFonts w:hint="default"/>
          <w:lang w:val="en-US"/>
        </w:rPr>
      </w:pPr>
      <w:r>
        <w:rPr>
          <w:rFonts w:hint="default"/>
          <w:lang w:val="en-US"/>
        </w:rPr>
        <w:t>Define this figure</w:t>
      </w:r>
    </w:p>
  </w:comment>
  <w:comment w:id="6" w:author="juliet dodo" w:date="2026-05-06T20:32:40Z" w:initials="">
    <w:p w14:paraId="729DEB5D">
      <w:pPr>
        <w:pStyle w:val="5"/>
        <w:rPr>
          <w:rFonts w:hint="default"/>
          <w:lang w:val="en-US"/>
        </w:rPr>
      </w:pPr>
      <w:r>
        <w:rPr>
          <w:rFonts w:hint="default"/>
          <w:lang w:val="en-US"/>
        </w:rPr>
        <w:t>Use equation here.</w:t>
      </w:r>
    </w:p>
  </w:comment>
  <w:comment w:id="7" w:author="juliet dodo" w:date="2026-05-06T20:33:11Z" w:initials="">
    <w:p w14:paraId="50F662BF">
      <w:pPr>
        <w:pStyle w:val="5"/>
        <w:rPr>
          <w:rFonts w:hint="default"/>
          <w:lang w:val="en-US"/>
        </w:rPr>
      </w:pPr>
      <w:r>
        <w:rPr>
          <w:rFonts w:hint="default"/>
          <w:lang w:val="en-US"/>
        </w:rPr>
        <w:t>Five.</w:t>
      </w:r>
    </w:p>
  </w:comment>
  <w:comment w:id="8" w:author="juliet dodo" w:date="2026-05-06T20:33:27Z" w:initials="">
    <w:p w14:paraId="27F1CCF5">
      <w:pPr>
        <w:pStyle w:val="5"/>
        <w:rPr>
          <w:rFonts w:hint="default"/>
          <w:lang w:val="en-US"/>
        </w:rPr>
      </w:pPr>
      <w:r>
        <w:rPr>
          <w:rFonts w:hint="default"/>
          <w:lang w:val="en-US"/>
        </w:rPr>
        <w:t>AOAC</w:t>
      </w:r>
    </w:p>
  </w:comment>
  <w:comment w:id="9" w:author="juliet dodo" w:date="2026-05-06T20:33:48Z" w:initials="">
    <w:p w14:paraId="34366918">
      <w:pPr>
        <w:pStyle w:val="5"/>
        <w:rPr>
          <w:rFonts w:hint="default"/>
          <w:lang w:val="en-US"/>
        </w:rPr>
      </w:pPr>
      <w:r>
        <w:rPr>
          <w:rFonts w:hint="default"/>
          <w:lang w:val="en-US"/>
        </w:rPr>
        <w:t>Use equation here.</w:t>
      </w:r>
    </w:p>
  </w:comment>
  <w:comment w:id="10" w:author="juliet dodo" w:date="2026-05-06T20:34:35Z" w:initials="">
    <w:p w14:paraId="0E7B571E">
      <w:pPr>
        <w:pStyle w:val="5"/>
        <w:rPr>
          <w:rFonts w:hint="default"/>
          <w:lang w:val="en-US"/>
        </w:rPr>
      </w:pPr>
      <w:r>
        <w:rPr>
          <w:rFonts w:hint="default"/>
          <w:lang w:val="en-US"/>
        </w:rPr>
        <w:t>Use SI unit of cm</w:t>
      </w:r>
      <w:r>
        <w:rPr>
          <w:rFonts w:hint="default"/>
          <w:vertAlign w:val="superscript"/>
          <w:lang w:val="en-US"/>
        </w:rPr>
        <w:t>3</w:t>
      </w:r>
    </w:p>
  </w:comment>
  <w:comment w:id="11" w:author="juliet dodo" w:date="2026-05-06T20:35:07Z" w:initials="">
    <w:p w14:paraId="3748D2FA">
      <w:pPr>
        <w:pStyle w:val="5"/>
      </w:pPr>
      <w:r>
        <w:rPr>
          <w:rFonts w:hint="default"/>
          <w:lang w:val="en-US"/>
        </w:rPr>
        <w:t xml:space="preserve"> cm</w:t>
      </w:r>
      <w:r>
        <w:rPr>
          <w:rFonts w:hint="default"/>
          <w:vertAlign w:val="superscript"/>
          <w:lang w:val="en-US"/>
        </w:rPr>
        <w:t>3</w:t>
      </w:r>
    </w:p>
  </w:comment>
  <w:comment w:id="12" w:author="juliet dodo" w:date="2026-05-06T20:35:42Z" w:initials="">
    <w:p w14:paraId="14660787">
      <w:pPr>
        <w:pStyle w:val="5"/>
        <w:rPr>
          <w:rFonts w:hint="default"/>
          <w:lang w:val="en-US"/>
        </w:rPr>
      </w:pPr>
      <w:r>
        <w:rPr>
          <w:rFonts w:hint="default"/>
          <w:lang w:val="en-US"/>
        </w:rPr>
        <w:t>Use equation here</w:t>
      </w:r>
    </w:p>
  </w:comment>
  <w:comment w:id="13" w:author="juliet dodo" w:date="2026-05-06T20:36:21Z" w:initials="">
    <w:p w14:paraId="46BCF56F">
      <w:pPr>
        <w:pStyle w:val="5"/>
        <w:rPr>
          <w:rFonts w:hint="default"/>
          <w:lang w:val="en-US"/>
        </w:rPr>
      </w:pPr>
      <w:r>
        <w:rPr>
          <w:rFonts w:hint="default"/>
          <w:lang w:val="en-US"/>
        </w:rPr>
        <w:t>T</w:t>
      </w:r>
    </w:p>
  </w:comment>
  <w:comment w:id="14" w:author="juliet dodo" w:date="2026-05-06T20:38:11Z" w:initials="">
    <w:p w14:paraId="3BF6EFE3">
      <w:pPr>
        <w:pStyle w:val="5"/>
        <w:rPr>
          <w:rFonts w:hint="default"/>
          <w:lang w:val="en-US"/>
        </w:rPr>
      </w:pPr>
      <w:r>
        <w:rPr>
          <w:rFonts w:hint="default"/>
          <w:lang w:val="en-US"/>
        </w:rPr>
        <w:t>All the readings carry no standard deviation showing that only reading was taken, which is analytically wrong. No error margin.</w:t>
      </w:r>
    </w:p>
  </w:comment>
  <w:comment w:id="15" w:author="juliet dodo" w:date="2026-05-06T20:40:26Z" w:initials="">
    <w:p w14:paraId="4CF5C3A0">
      <w:pPr>
        <w:pStyle w:val="5"/>
        <w:rPr>
          <w:rFonts w:hint="default"/>
          <w:lang w:val="en-US"/>
        </w:rPr>
      </w:pPr>
      <w:r>
        <w:rPr>
          <w:rFonts w:hint="default"/>
          <w:lang w:val="en-US"/>
        </w:rPr>
        <w:t>Same here. Some figures are 2, 3, and 4 decimal places. Kindly harmonize them for consistency.</w:t>
      </w:r>
    </w:p>
  </w:comment>
  <w:comment w:id="16" w:author="juliet dodo" w:date="2026-05-06T20:42:48Z" w:initials="">
    <w:p w14:paraId="60D1B71F">
      <w:pPr>
        <w:pStyle w:val="5"/>
        <w:rPr>
          <w:rFonts w:hint="default"/>
          <w:lang w:val="en-US"/>
        </w:rPr>
      </w:pPr>
      <w:r>
        <w:rPr>
          <w:rFonts w:hint="default"/>
          <w:lang w:val="en-US"/>
        </w:rPr>
        <w:t>By who?</w:t>
      </w:r>
    </w:p>
  </w:comment>
  <w:comment w:id="17" w:author="juliet dodo" w:date="2026-05-06T20:44:19Z" w:initials="">
    <w:p w14:paraId="71C688B8">
      <w:pPr>
        <w:pStyle w:val="5"/>
        <w:rPr>
          <w:rFonts w:hint="default"/>
          <w:lang w:val="en-US"/>
        </w:rPr>
      </w:pPr>
      <w:r>
        <w:rPr>
          <w:rFonts w:hint="default"/>
          <w:lang w:val="en-US"/>
        </w:rPr>
        <w:t>By who?</w:t>
      </w:r>
    </w:p>
  </w:comment>
  <w:comment w:id="18" w:author="juliet dodo" w:date="2026-05-06T20:45:37Z" w:initials="">
    <w:p w14:paraId="5768C8E2">
      <w:pPr>
        <w:pStyle w:val="5"/>
        <w:rPr>
          <w:rFonts w:hint="default"/>
          <w:lang w:val="en-US"/>
        </w:rPr>
      </w:pPr>
      <w:r>
        <w:rPr>
          <w:rFonts w:hint="default"/>
          <w:lang w:val="en-US"/>
        </w:rPr>
        <w:t>By who?</w:t>
      </w:r>
    </w:p>
  </w:comment>
  <w:comment w:id="19" w:author="juliet dodo" w:date="2026-05-06T20:47:02Z" w:initials="">
    <w:p w14:paraId="56BDE727">
      <w:pPr>
        <w:pStyle w:val="5"/>
        <w:rPr>
          <w:rFonts w:hint="default"/>
          <w:lang w:val="en-US"/>
        </w:rPr>
      </w:pPr>
      <w:r>
        <w:rPr>
          <w:rFonts w:hint="default"/>
          <w:lang w:val="en-US"/>
        </w:rPr>
        <w:t>By who?</w:t>
      </w:r>
    </w:p>
  </w:comment>
  <w:comment w:id="20" w:author="juliet dodo" w:date="2026-05-06T20:48:23Z" w:initials="">
    <w:p w14:paraId="080414DF">
      <w:pPr>
        <w:pStyle w:val="5"/>
        <w:rPr>
          <w:rFonts w:hint="default"/>
          <w:lang w:val="en-US"/>
        </w:rPr>
      </w:pPr>
      <w:r>
        <w:rPr>
          <w:rFonts w:hint="default"/>
          <w:lang w:val="en-US"/>
        </w:rPr>
        <w:t>By who?</w:t>
      </w:r>
    </w:p>
  </w:comment>
  <w:comment w:id="21" w:author="juliet dodo" w:date="2026-05-06T20:50:00Z" w:initials="">
    <w:p w14:paraId="13EA05A9">
      <w:pPr>
        <w:pStyle w:val="5"/>
        <w:rPr>
          <w:rFonts w:hint="default"/>
          <w:lang w:val="en-US"/>
        </w:rPr>
      </w:pPr>
      <w:r>
        <w:rPr>
          <w:rFonts w:hint="default"/>
          <w:lang w:val="en-US"/>
        </w:rPr>
        <w:t>delete</w:t>
      </w:r>
    </w:p>
  </w:comment>
  <w:comment w:id="22" w:author="juliet dodo" w:date="2026-05-06T20:52:54Z" w:initials="">
    <w:p w14:paraId="6FB075FA">
      <w:pPr>
        <w:pStyle w:val="5"/>
        <w:rPr>
          <w:rFonts w:hint="default"/>
          <w:lang w:val="en-US"/>
        </w:rPr>
      </w:pPr>
      <w:r>
        <w:rPr>
          <w:rFonts w:hint="default"/>
          <w:lang w:val="en-US"/>
        </w:rPr>
        <w:t>Duplication. Delete.</w:t>
      </w:r>
    </w:p>
  </w:comment>
  <w:comment w:id="23" w:author="juliet dodo" w:date="2026-05-06T20:53:27Z" w:initials="">
    <w:p w14:paraId="3F736D24">
      <w:pPr>
        <w:pStyle w:val="5"/>
        <w:rPr>
          <w:rFonts w:hint="default"/>
          <w:lang w:val="en-US"/>
        </w:rPr>
      </w:pPr>
      <w:r>
        <w:rPr>
          <w:rFonts w:hint="default"/>
          <w:lang w:val="en-US"/>
        </w:rPr>
        <w:t>Lower case.</w:t>
      </w:r>
    </w:p>
  </w:comment>
  <w:comment w:id="24" w:author="juliet dodo" w:date="2026-05-06T20:54:46Z" w:initials="">
    <w:p w14:paraId="367BEEDF">
      <w:pPr>
        <w:pStyle w:val="5"/>
        <w:rPr>
          <w:rFonts w:hint="default"/>
          <w:lang w:val="en-US"/>
        </w:rPr>
      </w:pPr>
      <w:r>
        <w:rPr>
          <w:rFonts w:hint="default"/>
          <w:lang w:val="en-US"/>
        </w:rPr>
        <w:t>Reference as a dissertation properly.</w:t>
      </w:r>
    </w:p>
  </w:comment>
  <w:comment w:id="25" w:author="juliet dodo" w:date="2026-05-06T20:55:39Z" w:initials="">
    <w:p w14:paraId="702474E5">
      <w:pPr>
        <w:pStyle w:val="5"/>
        <w:rPr>
          <w:rFonts w:hint="default"/>
          <w:lang w:val="en-US"/>
        </w:rPr>
      </w:pPr>
      <w:r>
        <w:rPr>
          <w:rFonts w:hint="default"/>
          <w:lang w:val="en-US"/>
        </w:rPr>
        <w:t>Same here. Reference as a dissertation.</w:t>
      </w:r>
    </w:p>
  </w:comment>
  <w:comment w:id="26" w:author="juliet dodo" w:date="2026-05-06T20:56:28Z" w:initials="">
    <w:p w14:paraId="3BBF32AA">
      <w:pPr>
        <w:pStyle w:val="5"/>
        <w:rPr>
          <w:rFonts w:hint="default"/>
          <w:lang w:val="en-US"/>
        </w:rPr>
      </w:pPr>
      <w:r>
        <w:rPr>
          <w:rFonts w:hint="default"/>
          <w:lang w:val="en-US"/>
        </w:rPr>
        <w:t>Incomplete reference.</w:t>
      </w:r>
    </w:p>
  </w:comment>
  <w:comment w:id="27" w:author="juliet dodo" w:date="2026-05-06T20:57:02Z" w:initials="">
    <w:p w14:paraId="5C7EDB29">
      <w:pPr>
        <w:pStyle w:val="5"/>
        <w:rPr>
          <w:rFonts w:hint="default"/>
          <w:lang w:val="en-US"/>
        </w:rPr>
      </w:pPr>
      <w:r>
        <w:rPr>
          <w:rFonts w:hint="default"/>
          <w:lang w:val="en-US"/>
        </w:rPr>
        <w:t>No page numbers</w:t>
      </w:r>
    </w:p>
  </w:comment>
  <w:comment w:id="28" w:author="juliet dodo" w:date="2026-05-06T20:57:53Z" w:initials="">
    <w:p w14:paraId="6E58A20F">
      <w:pPr>
        <w:pStyle w:val="5"/>
        <w:rPr>
          <w:rFonts w:hint="default"/>
          <w:lang w:val="en-US"/>
        </w:rPr>
      </w:pPr>
      <w:r>
        <w:rPr>
          <w:rFonts w:hint="default"/>
          <w:lang w:val="en-US"/>
        </w:rPr>
        <w:t>Incomplete refence</w:t>
      </w:r>
      <w:bookmarkStart w:id="0" w:name="_GoBack"/>
      <w:bookmarkEnd w:id="0"/>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6383ACF" w15:done="0"/>
  <w15:commentEx w15:paraId="2BD7FE4F" w15:done="0"/>
  <w15:commentEx w15:paraId="60CE4472" w15:done="0"/>
  <w15:commentEx w15:paraId="7509F572" w15:done="0"/>
  <w15:commentEx w15:paraId="6A1514CE" w15:done="0"/>
  <w15:commentEx w15:paraId="5491321B" w15:done="0"/>
  <w15:commentEx w15:paraId="729DEB5D" w15:done="0"/>
  <w15:commentEx w15:paraId="50F662BF" w15:done="0"/>
  <w15:commentEx w15:paraId="27F1CCF5" w15:done="0"/>
  <w15:commentEx w15:paraId="34366918" w15:done="0"/>
  <w15:commentEx w15:paraId="0E7B571E" w15:done="0"/>
  <w15:commentEx w15:paraId="3748D2FA" w15:done="0"/>
  <w15:commentEx w15:paraId="14660787" w15:done="0"/>
  <w15:commentEx w15:paraId="46BCF56F" w15:done="0"/>
  <w15:commentEx w15:paraId="3BF6EFE3" w15:done="0"/>
  <w15:commentEx w15:paraId="4CF5C3A0" w15:done="0"/>
  <w15:commentEx w15:paraId="60D1B71F" w15:done="0"/>
  <w15:commentEx w15:paraId="71C688B8" w15:done="0"/>
  <w15:commentEx w15:paraId="5768C8E2" w15:done="0"/>
  <w15:commentEx w15:paraId="56BDE727" w15:done="0"/>
  <w15:commentEx w15:paraId="080414DF" w15:done="0"/>
  <w15:commentEx w15:paraId="13EA05A9" w15:done="0"/>
  <w15:commentEx w15:paraId="6FB075FA" w15:done="0"/>
  <w15:commentEx w15:paraId="3F736D24" w15:done="0"/>
  <w15:commentEx w15:paraId="367BEEDF" w15:done="0"/>
  <w15:commentEx w15:paraId="702474E5" w15:done="0"/>
  <w15:commentEx w15:paraId="3BBF32AA" w15:done="0"/>
  <w15:commentEx w15:paraId="5C7EDB29" w15:done="0"/>
  <w15:commentEx w15:paraId="6E58A20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Microsoft YaHe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2B0453">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108DB">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8C12A">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35A526">
    <w:pPr>
      <w:pStyle w:val="7"/>
    </w:pPr>
    <w:r>
      <w:pict>
        <v:shape id="PowerPlusWaterMarkObject1204934173" o:spid="_x0000_s2051" o:spt="136" type="#_x0000_t136" style="position:absolute;left:0pt;height:104.65pt;width:555.0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2E502">
    <w:pPr>
      <w:pStyle w:val="7"/>
    </w:pPr>
    <w:r>
      <w:pict>
        <v:shape id="PowerPlusWaterMarkObject1204934172" o:spid="_x0000_s2050" o:spt="136" type="#_x0000_t136" style="position:absolute;left:0pt;height:104.65pt;width:555.0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82FC98">
    <w:pPr>
      <w:pStyle w:val="7"/>
    </w:pPr>
    <w:r>
      <w:pict>
        <v:shape id="PowerPlusWaterMarkObject1204934171" o:spid="_x0000_s2049" o:spt="136" type="#_x0000_t136" style="position:absolute;left:0pt;height:104.65pt;width:555.05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path="t" trim="f" xscale="f" string="UNDER PEER REVIEW" style="font-family:Calibri;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uliet dodo">
    <w15:presenceInfo w15:providerId="WPS Office" w15:userId="24734116317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doNotDisplayPageBoundaries w:val="1"/>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318"/>
    <w:rsid w:val="000232BE"/>
    <w:rsid w:val="00034F2C"/>
    <w:rsid w:val="00037129"/>
    <w:rsid w:val="000506BC"/>
    <w:rsid w:val="000556A5"/>
    <w:rsid w:val="00073C3D"/>
    <w:rsid w:val="000E0533"/>
    <w:rsid w:val="00101FF1"/>
    <w:rsid w:val="001B0A3E"/>
    <w:rsid w:val="001B0A3F"/>
    <w:rsid w:val="001B0C35"/>
    <w:rsid w:val="001C1BAD"/>
    <w:rsid w:val="001C4C16"/>
    <w:rsid w:val="00211154"/>
    <w:rsid w:val="002130F1"/>
    <w:rsid w:val="002140A8"/>
    <w:rsid w:val="0021419C"/>
    <w:rsid w:val="00216233"/>
    <w:rsid w:val="00264BA9"/>
    <w:rsid w:val="002A76A4"/>
    <w:rsid w:val="002C7DA3"/>
    <w:rsid w:val="0030070F"/>
    <w:rsid w:val="00310D35"/>
    <w:rsid w:val="0034020E"/>
    <w:rsid w:val="00363A5E"/>
    <w:rsid w:val="00372906"/>
    <w:rsid w:val="00374BD0"/>
    <w:rsid w:val="003933BA"/>
    <w:rsid w:val="003955EC"/>
    <w:rsid w:val="003C71FC"/>
    <w:rsid w:val="00404E5B"/>
    <w:rsid w:val="00472966"/>
    <w:rsid w:val="00481C4C"/>
    <w:rsid w:val="004B51E2"/>
    <w:rsid w:val="004D49D8"/>
    <w:rsid w:val="004E630E"/>
    <w:rsid w:val="005049F5"/>
    <w:rsid w:val="005205B7"/>
    <w:rsid w:val="00523B87"/>
    <w:rsid w:val="00524C99"/>
    <w:rsid w:val="0052739F"/>
    <w:rsid w:val="00534060"/>
    <w:rsid w:val="005377CE"/>
    <w:rsid w:val="00547517"/>
    <w:rsid w:val="005475AB"/>
    <w:rsid w:val="005554E5"/>
    <w:rsid w:val="005775F7"/>
    <w:rsid w:val="00577F2B"/>
    <w:rsid w:val="005B07ED"/>
    <w:rsid w:val="005B5C63"/>
    <w:rsid w:val="005D5CD7"/>
    <w:rsid w:val="005E45FC"/>
    <w:rsid w:val="005F601E"/>
    <w:rsid w:val="006228F1"/>
    <w:rsid w:val="00665850"/>
    <w:rsid w:val="00674D4C"/>
    <w:rsid w:val="00677525"/>
    <w:rsid w:val="006B5AEE"/>
    <w:rsid w:val="006D023A"/>
    <w:rsid w:val="006F0358"/>
    <w:rsid w:val="00720385"/>
    <w:rsid w:val="007C34BB"/>
    <w:rsid w:val="007C54B0"/>
    <w:rsid w:val="007D1443"/>
    <w:rsid w:val="008026AB"/>
    <w:rsid w:val="00820586"/>
    <w:rsid w:val="00840405"/>
    <w:rsid w:val="008634FD"/>
    <w:rsid w:val="00951921"/>
    <w:rsid w:val="009C4B0E"/>
    <w:rsid w:val="009D7C47"/>
    <w:rsid w:val="00A57D92"/>
    <w:rsid w:val="00A74A3B"/>
    <w:rsid w:val="00A8764A"/>
    <w:rsid w:val="00A93701"/>
    <w:rsid w:val="00AA5177"/>
    <w:rsid w:val="00AD16F4"/>
    <w:rsid w:val="00AF17F8"/>
    <w:rsid w:val="00B20BC4"/>
    <w:rsid w:val="00B214EA"/>
    <w:rsid w:val="00B679BE"/>
    <w:rsid w:val="00B72A65"/>
    <w:rsid w:val="00B9384C"/>
    <w:rsid w:val="00B959B3"/>
    <w:rsid w:val="00BB6E94"/>
    <w:rsid w:val="00BC05C9"/>
    <w:rsid w:val="00BD43E7"/>
    <w:rsid w:val="00BD546B"/>
    <w:rsid w:val="00BF5318"/>
    <w:rsid w:val="00C01767"/>
    <w:rsid w:val="00C1617E"/>
    <w:rsid w:val="00C23173"/>
    <w:rsid w:val="00C719FC"/>
    <w:rsid w:val="00CA680F"/>
    <w:rsid w:val="00CC5369"/>
    <w:rsid w:val="00CC7AD9"/>
    <w:rsid w:val="00CE5297"/>
    <w:rsid w:val="00D53F30"/>
    <w:rsid w:val="00D7551E"/>
    <w:rsid w:val="00DC4CDF"/>
    <w:rsid w:val="00E0210E"/>
    <w:rsid w:val="00ED7209"/>
    <w:rsid w:val="00F4161E"/>
    <w:rsid w:val="00F47578"/>
    <w:rsid w:val="00F8794A"/>
    <w:rsid w:val="00FB5ECA"/>
    <w:rsid w:val="00FE2459"/>
    <w:rsid w:val="00FF245C"/>
    <w:rsid w:val="00FF3C82"/>
    <w:rsid w:val="15076350"/>
    <w:rsid w:val="175354C4"/>
    <w:rsid w:val="1880365D"/>
    <w:rsid w:val="2CD61D26"/>
    <w:rsid w:val="3D1541B0"/>
    <w:rsid w:val="3F4C585B"/>
    <w:rsid w:val="476A6742"/>
    <w:rsid w:val="48FD7E09"/>
    <w:rsid w:val="504A6B47"/>
    <w:rsid w:val="53CB1F03"/>
    <w:rsid w:val="5ADA61A4"/>
    <w:rsid w:val="63331CA0"/>
    <w:rsid w:val="6AC61400"/>
    <w:rsid w:val="709014CD"/>
    <w:rsid w:val="727A5117"/>
    <w:rsid w:val="7DE51208"/>
    <w:rsid w:val="7E7860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60" w:semiHidden="0" w:name="Light Shading"/>
    <w:lsdException w:qFormat="1"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semiHidden/>
    <w:unhideWhenUsed/>
    <w:qFormat/>
    <w:uiPriority w:val="99"/>
    <w:pPr>
      <w:spacing w:after="0" w:line="240" w:lineRule="auto"/>
    </w:pPr>
    <w:rPr>
      <w:rFonts w:ascii="Tahoma" w:hAnsi="Tahoma" w:cs="Tahoma"/>
      <w:sz w:val="16"/>
      <w:szCs w:val="16"/>
    </w:rPr>
  </w:style>
  <w:style w:type="paragraph" w:styleId="5">
    <w:name w:val="annotation text"/>
    <w:basedOn w:val="1"/>
    <w:semiHidden/>
    <w:unhideWhenUsed/>
    <w:uiPriority w:val="99"/>
    <w:pPr>
      <w:jc w:val="left"/>
    </w:pPr>
  </w:style>
  <w:style w:type="paragraph" w:styleId="6">
    <w:name w:val="footer"/>
    <w:basedOn w:val="1"/>
    <w:link w:val="17"/>
    <w:unhideWhenUsed/>
    <w:uiPriority w:val="99"/>
    <w:pPr>
      <w:tabs>
        <w:tab w:val="center" w:pos="4680"/>
        <w:tab w:val="right" w:pos="9360"/>
      </w:tabs>
      <w:spacing w:after="0" w:line="240" w:lineRule="auto"/>
    </w:pPr>
  </w:style>
  <w:style w:type="paragraph" w:styleId="7">
    <w:name w:val="header"/>
    <w:basedOn w:val="1"/>
    <w:link w:val="16"/>
    <w:unhideWhenUsed/>
    <w:qFormat/>
    <w:uiPriority w:val="99"/>
    <w:pPr>
      <w:tabs>
        <w:tab w:val="center" w:pos="4680"/>
        <w:tab w:val="right" w:pos="9360"/>
      </w:tabs>
      <w:spacing w:after="0" w:line="240" w:lineRule="auto"/>
    </w:pPr>
  </w:style>
  <w:style w:type="character" w:styleId="8">
    <w:name w:val="Hyperlink"/>
    <w:basedOn w:val="2"/>
    <w:unhideWhenUsed/>
    <w:uiPriority w:val="99"/>
    <w:rPr>
      <w:color w:val="0000FF" w:themeColor="hyperlink"/>
      <w:u w:val="single"/>
      <w14:textFill>
        <w14:solidFill>
          <w14:schemeClr w14:val="hlink"/>
        </w14:solidFill>
      </w14:textFill>
    </w:rPr>
  </w:style>
  <w:style w:type="table" w:styleId="9">
    <w:name w:val="Light Shading"/>
    <w:basedOn w:val="3"/>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0">
    <w:name w:val="Light Shading Accent 1"/>
    <w:basedOn w:val="3"/>
    <w:qFormat/>
    <w:uiPriority w:val="60"/>
    <w:pPr>
      <w:spacing w:after="0" w:line="240" w:lineRule="auto"/>
    </w:pPr>
    <w:rPr>
      <w:color w:val="376092" w:themeColor="accent1" w:themeShade="BF"/>
    </w:rPr>
    <w:tblPr>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1">
    <w:name w:val="Light Shading Accent 4"/>
    <w:basedOn w:val="3"/>
    <w:qFormat/>
    <w:uiPriority w:val="60"/>
    <w:pPr>
      <w:spacing w:after="0" w:line="240" w:lineRule="auto"/>
    </w:pPr>
    <w:rPr>
      <w:color w:val="604A7B" w:themeColor="accent4" w:themeShade="BF"/>
    </w:rPr>
    <w:tblPr>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2">
    <w:name w:val="Light List"/>
    <w:basedOn w:val="3"/>
    <w:qFormat/>
    <w:uiPriority w:val="61"/>
    <w:pPr>
      <w:spacing w:after="0" w:line="240" w:lineRule="auto"/>
    </w:p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character" w:customStyle="1" w:styleId="13">
    <w:name w:val="Balloon Text Char"/>
    <w:basedOn w:val="2"/>
    <w:link w:val="4"/>
    <w:semiHidden/>
    <w:qFormat/>
    <w:uiPriority w:val="99"/>
    <w:rPr>
      <w:rFonts w:ascii="Tahoma" w:hAnsi="Tahoma" w:cs="Tahoma"/>
      <w:sz w:val="16"/>
      <w:szCs w:val="16"/>
    </w:rPr>
  </w:style>
  <w:style w:type="paragraph" w:styleId="14">
    <w:name w:val="List Paragraph"/>
    <w:basedOn w:val="1"/>
    <w:qFormat/>
    <w:uiPriority w:val="34"/>
    <w:pPr>
      <w:ind w:left="720"/>
      <w:contextualSpacing/>
    </w:pPr>
  </w:style>
  <w:style w:type="character" w:customStyle="1" w:styleId="15">
    <w:name w:val="Unresolved Mention"/>
    <w:basedOn w:val="2"/>
    <w:semiHidden/>
    <w:unhideWhenUsed/>
    <w:uiPriority w:val="99"/>
    <w:rPr>
      <w:color w:val="605E5C"/>
      <w:shd w:val="clear" w:color="auto" w:fill="E1DFDD"/>
    </w:rPr>
  </w:style>
  <w:style w:type="character" w:customStyle="1" w:styleId="16">
    <w:name w:val="Header Char"/>
    <w:basedOn w:val="2"/>
    <w:link w:val="7"/>
    <w:qFormat/>
    <w:uiPriority w:val="99"/>
  </w:style>
  <w:style w:type="character" w:customStyle="1" w:styleId="17">
    <w:name w:val="Footer Char"/>
    <w:basedOn w:val="2"/>
    <w:link w:val="6"/>
    <w:qFormat/>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3.xml"/><Relationship Id="rId11" Type="http://schemas.openxmlformats.org/officeDocument/2006/relationships/footer" Target="footer2.xml"/><Relationship Id="rId10" Type="http://schemas.openxmlformats.org/officeDocument/2006/relationships/footer" Target="footer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51"/>
    <customShpInfo spid="_x0000_s2050"/>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SACC</Company>
  <Pages>13</Pages>
  <Words>1099</Words>
  <Characters>6472</Characters>
  <Lines>194</Lines>
  <Paragraphs>54</Paragraphs>
  <TotalTime>19</TotalTime>
  <ScaleCrop>false</ScaleCrop>
  <LinksUpToDate>false</LinksUpToDate>
  <CharactersWithSpaces>7776</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2026-05-02T07:21:00Z</dcterms:created>
  <dc:creator>Maher</dc:creator>
  <cp:lastModifiedBy>juliet dodo</cp:lastModifiedBy>
  <dcterms:modified xsi:type="dcterms:W3CDTF">2026-05-06T19:58:02Z</dcterms:modified>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eyJoZGlkIjoiNzAwMjAzMzYxMWI4ZjYwY2Q1YjIyZmYwMDg3Mzk4YWIiLCJ1c2VySWQiOiIxNjY2NTg1MzYyNzQyIn0=</vt:lpwstr>
  </property>
  <property fmtid="{D5CDD505-2E9C-101B-9397-08002B2CF9AE}" pid="3" name="KSOProductBuildVer">
    <vt:lpwstr>1033-12.1.0.25242</vt:lpwstr>
  </property>
  <property fmtid="{D5CDD505-2E9C-101B-9397-08002B2CF9AE}" pid="4" name="ICV">
    <vt:lpwstr>BFB3B42ADC114EB6B375DD5A5AD8FA3D_12</vt:lpwstr>
  </property>
</Properties>
</file>