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69694" w14:textId="77777777" w:rsidR="004971E4" w:rsidRPr="004971E4" w:rsidRDefault="004971E4" w:rsidP="004971E4">
      <w:pPr>
        <w:spacing w:after="200"/>
        <w:jc w:val="right"/>
        <w:rPr>
          <w:rFonts w:ascii="Arial" w:hAnsi="Arial" w:cs="Arial"/>
          <w:b/>
          <w:bCs/>
          <w:i/>
          <w:iCs/>
          <w:color w:val="000000" w:themeColor="text1"/>
          <w:sz w:val="36"/>
          <w:szCs w:val="36"/>
          <w:u w:val="single"/>
          <w:lang w:val="en-US"/>
        </w:rPr>
      </w:pPr>
      <w:r w:rsidRPr="004971E4">
        <w:rPr>
          <w:rFonts w:ascii="Arial" w:hAnsi="Arial" w:cs="Arial"/>
          <w:b/>
          <w:bCs/>
          <w:i/>
          <w:iCs/>
          <w:color w:val="000000" w:themeColor="text1"/>
          <w:sz w:val="36"/>
          <w:szCs w:val="36"/>
          <w:u w:val="single"/>
          <w:lang w:val="en-US"/>
        </w:rPr>
        <w:t>Original Research Article</w:t>
      </w:r>
    </w:p>
    <w:p w14:paraId="08E73703" w14:textId="28239A95" w:rsidR="00511253" w:rsidRPr="00A1241F" w:rsidRDefault="00FF31BF" w:rsidP="005D0912">
      <w:pPr>
        <w:spacing w:after="200"/>
        <w:jc w:val="right"/>
        <w:rPr>
          <w:rFonts w:ascii="Arial" w:hAnsi="Arial" w:cs="Arial"/>
          <w:color w:val="000000" w:themeColor="text1"/>
          <w:sz w:val="36"/>
          <w:szCs w:val="36"/>
        </w:rPr>
      </w:pPr>
      <w:r w:rsidRPr="00A1241F">
        <w:rPr>
          <w:rFonts w:ascii="Arial" w:hAnsi="Arial" w:cs="Arial"/>
          <w:b/>
          <w:bCs/>
          <w:color w:val="000000" w:themeColor="text1"/>
          <w:sz w:val="36"/>
          <w:szCs w:val="36"/>
        </w:rPr>
        <w:t xml:space="preserve">Growth </w:t>
      </w:r>
      <w:r w:rsidR="005D73AC" w:rsidRPr="00A1241F">
        <w:rPr>
          <w:rFonts w:ascii="Arial" w:hAnsi="Arial" w:cs="Arial"/>
          <w:b/>
          <w:bCs/>
          <w:color w:val="000000" w:themeColor="text1"/>
          <w:sz w:val="36"/>
          <w:szCs w:val="36"/>
        </w:rPr>
        <w:t>p</w:t>
      </w:r>
      <w:r w:rsidRPr="00A1241F">
        <w:rPr>
          <w:rFonts w:ascii="Arial" w:hAnsi="Arial" w:cs="Arial"/>
          <w:b/>
          <w:bCs/>
          <w:color w:val="000000" w:themeColor="text1"/>
          <w:sz w:val="36"/>
          <w:szCs w:val="36"/>
        </w:rPr>
        <w:t xml:space="preserve">erformance of HD-K75 </w:t>
      </w:r>
      <w:r w:rsidR="005D73AC" w:rsidRPr="00A1241F">
        <w:rPr>
          <w:rFonts w:ascii="Arial" w:hAnsi="Arial" w:cs="Arial"/>
          <w:b/>
          <w:bCs/>
          <w:color w:val="000000" w:themeColor="text1"/>
          <w:sz w:val="36"/>
          <w:szCs w:val="36"/>
        </w:rPr>
        <w:t>p</w:t>
      </w:r>
      <w:r w:rsidRPr="00A1241F">
        <w:rPr>
          <w:rFonts w:ascii="Arial" w:hAnsi="Arial" w:cs="Arial"/>
          <w:b/>
          <w:bCs/>
          <w:color w:val="000000" w:themeColor="text1"/>
          <w:sz w:val="36"/>
          <w:szCs w:val="36"/>
        </w:rPr>
        <w:t xml:space="preserve">igs and the </w:t>
      </w:r>
      <w:r w:rsidR="005D73AC" w:rsidRPr="00A1241F">
        <w:rPr>
          <w:rFonts w:ascii="Arial" w:hAnsi="Arial" w:cs="Arial"/>
          <w:b/>
          <w:bCs/>
          <w:color w:val="000000" w:themeColor="text1"/>
          <w:sz w:val="36"/>
          <w:szCs w:val="36"/>
        </w:rPr>
        <w:t>i</w:t>
      </w:r>
      <w:r w:rsidRPr="00A1241F">
        <w:rPr>
          <w:rFonts w:ascii="Arial" w:hAnsi="Arial" w:cs="Arial"/>
          <w:b/>
          <w:bCs/>
          <w:color w:val="000000" w:themeColor="text1"/>
          <w:sz w:val="36"/>
          <w:szCs w:val="36"/>
        </w:rPr>
        <w:t xml:space="preserve">nfluence of </w:t>
      </w:r>
      <w:r w:rsidR="005D73AC" w:rsidRPr="00A1241F">
        <w:rPr>
          <w:rFonts w:ascii="Arial" w:hAnsi="Arial" w:cs="Arial"/>
          <w:b/>
          <w:bCs/>
          <w:color w:val="000000" w:themeColor="text1"/>
          <w:sz w:val="36"/>
          <w:szCs w:val="36"/>
        </w:rPr>
        <w:t>n</w:t>
      </w:r>
      <w:r w:rsidRPr="00A1241F">
        <w:rPr>
          <w:rFonts w:ascii="Arial" w:hAnsi="Arial" w:cs="Arial"/>
          <w:b/>
          <w:bCs/>
          <w:color w:val="000000" w:themeColor="text1"/>
          <w:sz w:val="36"/>
          <w:szCs w:val="36"/>
        </w:rPr>
        <w:t>on-</w:t>
      </w:r>
      <w:r w:rsidR="005D73AC" w:rsidRPr="00A1241F">
        <w:rPr>
          <w:rFonts w:ascii="Arial" w:hAnsi="Arial" w:cs="Arial"/>
          <w:b/>
          <w:bCs/>
          <w:color w:val="000000" w:themeColor="text1"/>
          <w:sz w:val="36"/>
          <w:szCs w:val="36"/>
        </w:rPr>
        <w:t>g</w:t>
      </w:r>
      <w:r w:rsidRPr="00A1241F">
        <w:rPr>
          <w:rFonts w:ascii="Arial" w:hAnsi="Arial" w:cs="Arial"/>
          <w:b/>
          <w:bCs/>
          <w:color w:val="000000" w:themeColor="text1"/>
          <w:sz w:val="36"/>
          <w:szCs w:val="36"/>
        </w:rPr>
        <w:t xml:space="preserve">enetic </w:t>
      </w:r>
      <w:r w:rsidR="005D73AC" w:rsidRPr="00A1241F">
        <w:rPr>
          <w:rFonts w:ascii="Arial" w:hAnsi="Arial" w:cs="Arial"/>
          <w:b/>
          <w:bCs/>
          <w:color w:val="000000" w:themeColor="text1"/>
          <w:sz w:val="36"/>
          <w:szCs w:val="36"/>
        </w:rPr>
        <w:t>f</w:t>
      </w:r>
      <w:r w:rsidRPr="00A1241F">
        <w:rPr>
          <w:rFonts w:ascii="Arial" w:hAnsi="Arial" w:cs="Arial"/>
          <w:b/>
          <w:bCs/>
          <w:color w:val="000000" w:themeColor="text1"/>
          <w:sz w:val="36"/>
          <w:szCs w:val="36"/>
        </w:rPr>
        <w:t xml:space="preserve">actors on </w:t>
      </w:r>
      <w:r w:rsidR="005D73AC" w:rsidRPr="00A1241F">
        <w:rPr>
          <w:rFonts w:ascii="Arial" w:hAnsi="Arial" w:cs="Arial"/>
          <w:b/>
          <w:bCs/>
          <w:color w:val="000000" w:themeColor="text1"/>
          <w:sz w:val="36"/>
          <w:szCs w:val="36"/>
        </w:rPr>
        <w:t>b</w:t>
      </w:r>
      <w:r w:rsidRPr="00A1241F">
        <w:rPr>
          <w:rFonts w:ascii="Arial" w:hAnsi="Arial" w:cs="Arial"/>
          <w:b/>
          <w:bCs/>
          <w:color w:val="000000" w:themeColor="text1"/>
          <w:sz w:val="36"/>
          <w:szCs w:val="36"/>
        </w:rPr>
        <w:t xml:space="preserve">ody </w:t>
      </w:r>
      <w:r w:rsidR="005D73AC" w:rsidRPr="00A1241F">
        <w:rPr>
          <w:rFonts w:ascii="Arial" w:hAnsi="Arial" w:cs="Arial"/>
          <w:b/>
          <w:bCs/>
          <w:color w:val="000000" w:themeColor="text1"/>
          <w:sz w:val="36"/>
          <w:szCs w:val="36"/>
        </w:rPr>
        <w:t>w</w:t>
      </w:r>
      <w:r w:rsidRPr="00A1241F">
        <w:rPr>
          <w:rFonts w:ascii="Arial" w:hAnsi="Arial" w:cs="Arial"/>
          <w:b/>
          <w:bCs/>
          <w:color w:val="000000" w:themeColor="text1"/>
          <w:sz w:val="36"/>
          <w:szCs w:val="36"/>
        </w:rPr>
        <w:t xml:space="preserve">eight at </w:t>
      </w:r>
      <w:r w:rsidR="005D73AC" w:rsidRPr="00A1241F">
        <w:rPr>
          <w:rFonts w:ascii="Arial" w:hAnsi="Arial" w:cs="Arial"/>
          <w:b/>
          <w:bCs/>
          <w:color w:val="000000" w:themeColor="text1"/>
          <w:sz w:val="36"/>
          <w:szCs w:val="36"/>
        </w:rPr>
        <w:t>d</w:t>
      </w:r>
      <w:r w:rsidRPr="00A1241F">
        <w:rPr>
          <w:rFonts w:ascii="Arial" w:hAnsi="Arial" w:cs="Arial"/>
          <w:b/>
          <w:bCs/>
          <w:color w:val="000000" w:themeColor="text1"/>
          <w:sz w:val="36"/>
          <w:szCs w:val="36"/>
        </w:rPr>
        <w:t xml:space="preserve">ifferent </w:t>
      </w:r>
      <w:r w:rsidR="005D73AC" w:rsidRPr="00A1241F">
        <w:rPr>
          <w:rFonts w:ascii="Arial" w:hAnsi="Arial" w:cs="Arial"/>
          <w:b/>
          <w:bCs/>
          <w:color w:val="000000" w:themeColor="text1"/>
          <w:sz w:val="36"/>
          <w:szCs w:val="36"/>
        </w:rPr>
        <w:t>a</w:t>
      </w:r>
      <w:r w:rsidRPr="00A1241F">
        <w:rPr>
          <w:rFonts w:ascii="Arial" w:hAnsi="Arial" w:cs="Arial"/>
          <w:b/>
          <w:bCs/>
          <w:color w:val="000000" w:themeColor="text1"/>
          <w:sz w:val="36"/>
          <w:szCs w:val="36"/>
        </w:rPr>
        <w:t>ges</w:t>
      </w:r>
    </w:p>
    <w:p w14:paraId="54A8C27E" w14:textId="77777777" w:rsidR="00F13674" w:rsidRPr="005D0912" w:rsidRDefault="00F13674" w:rsidP="005D0912">
      <w:pPr>
        <w:spacing w:before="200" w:after="100"/>
        <w:jc w:val="right"/>
        <w:rPr>
          <w:rFonts w:ascii="Arial" w:hAnsi="Arial" w:cs="Arial"/>
          <w:b/>
          <w:bCs/>
          <w:caps/>
          <w:color w:val="000000" w:themeColor="text1"/>
          <w:sz w:val="20"/>
          <w:szCs w:val="20"/>
        </w:rPr>
      </w:pPr>
    </w:p>
    <w:p w14:paraId="610B0060" w14:textId="693A384F" w:rsidR="00511253" w:rsidRPr="005D0912" w:rsidRDefault="00FF31BF" w:rsidP="006E4BA2">
      <w:pPr>
        <w:spacing w:before="200" w:after="100"/>
        <w:rPr>
          <w:rFonts w:ascii="Arial" w:hAnsi="Arial" w:cs="Arial"/>
          <w:color w:val="000000" w:themeColor="text1"/>
          <w:sz w:val="20"/>
          <w:szCs w:val="20"/>
        </w:rPr>
      </w:pPr>
      <w:r w:rsidRPr="005D0912">
        <w:rPr>
          <w:rFonts w:ascii="Arial" w:hAnsi="Arial" w:cs="Arial"/>
          <w:b/>
          <w:bCs/>
          <w:caps/>
          <w:color w:val="000000" w:themeColor="text1"/>
          <w:sz w:val="20"/>
          <w:szCs w:val="20"/>
        </w:rPr>
        <w:t>ABSTRACT</w:t>
      </w:r>
    </w:p>
    <w:p w14:paraId="7E1A3D3C" w14:textId="717C4808" w:rsidR="00511253" w:rsidRPr="005D0912" w:rsidRDefault="00FF31BF">
      <w:pPr>
        <w:spacing w:before="60" w:after="60" w:line="276" w:lineRule="auto"/>
        <w:jc w:val="both"/>
        <w:rPr>
          <w:rFonts w:ascii="Arial" w:hAnsi="Arial" w:cs="Arial"/>
          <w:color w:val="000000" w:themeColor="text1"/>
          <w:sz w:val="20"/>
          <w:szCs w:val="20"/>
        </w:rPr>
      </w:pPr>
      <w:r w:rsidRPr="005D0912">
        <w:rPr>
          <w:rFonts w:ascii="Arial" w:hAnsi="Arial" w:cs="Arial"/>
          <w:color w:val="000000" w:themeColor="text1"/>
          <w:sz w:val="20"/>
          <w:szCs w:val="20"/>
        </w:rPr>
        <w:t xml:space="preserve">The present investigation was undertaken to evaluate the growth performance of HD-K75 pigs and to assess the effects of season of birth, sex, and parity on body weight at birth, weaning (42 days), five months, and eight months of age. Performance records of 1,416 HD-K75 pigs maintained at the nucleus herd of ICAR-All India Coordinated Research Project (AICRP) on Pigs, Assam Agricultural University (AAU), </w:t>
      </w:r>
      <w:proofErr w:type="spellStart"/>
      <w:r w:rsidRPr="005D0912">
        <w:rPr>
          <w:rFonts w:ascii="Arial" w:hAnsi="Arial" w:cs="Arial"/>
          <w:color w:val="000000" w:themeColor="text1"/>
          <w:sz w:val="20"/>
          <w:szCs w:val="20"/>
        </w:rPr>
        <w:t>Khanapara</w:t>
      </w:r>
      <w:proofErr w:type="spellEnd"/>
      <w:r w:rsidRPr="005D0912">
        <w:rPr>
          <w:rFonts w:ascii="Arial" w:hAnsi="Arial" w:cs="Arial"/>
          <w:color w:val="000000" w:themeColor="text1"/>
          <w:sz w:val="20"/>
          <w:szCs w:val="20"/>
        </w:rPr>
        <w:t>, Guwahati were utilized. Data were analysed by least-squares analysis of variance following the model of Harvey (1990), and subclass means were compared using Duncan's Multiple Range Test (DMRT). The overall least-squares means (LSM ± SE) for body weight at birth, weaning, five months, and eight months of age were 1.059 ± 0.004, 11.779 ± 0.039, 45.178 ± 0.289, and 75.371 ± 0.515 kg, respectively. Season of birth exerted no significant effect on body weight at any of the ages studied. Sex had a significant influence only on birth weight, with male piglets being significantly heavier than females, whereas parity significantly affected body weight at birth and weaning but not at later ages. These findings indicate that HD-K75 pigs perform satisfactorily under the intensive management system practised at the nucleus herd and are well adapted to the agroclimatic conditions of Assam.</w:t>
      </w:r>
    </w:p>
    <w:p w14:paraId="4FAC293F" w14:textId="77777777" w:rsidR="00511253" w:rsidRPr="005D0912" w:rsidRDefault="00511253">
      <w:pPr>
        <w:spacing w:before="120"/>
        <w:rPr>
          <w:rFonts w:ascii="Arial" w:hAnsi="Arial" w:cs="Arial"/>
          <w:color w:val="000000" w:themeColor="text1"/>
          <w:sz w:val="20"/>
          <w:szCs w:val="20"/>
        </w:rPr>
      </w:pPr>
    </w:p>
    <w:p w14:paraId="1AB738DF" w14:textId="77777777" w:rsidR="00511253" w:rsidRPr="005D0912" w:rsidRDefault="00FF31BF">
      <w:pPr>
        <w:spacing w:after="120"/>
        <w:rPr>
          <w:rFonts w:ascii="Arial" w:hAnsi="Arial" w:cs="Arial"/>
          <w:color w:val="000000" w:themeColor="text1"/>
          <w:sz w:val="20"/>
          <w:szCs w:val="20"/>
        </w:rPr>
      </w:pPr>
      <w:r w:rsidRPr="005D0912">
        <w:rPr>
          <w:rFonts w:ascii="Arial" w:hAnsi="Arial" w:cs="Arial"/>
          <w:b/>
          <w:bCs/>
          <w:color w:val="000000" w:themeColor="text1"/>
          <w:sz w:val="20"/>
          <w:szCs w:val="20"/>
        </w:rPr>
        <w:t xml:space="preserve">Keywords: </w:t>
      </w:r>
      <w:r w:rsidRPr="005D0912">
        <w:rPr>
          <w:rFonts w:ascii="Arial" w:hAnsi="Arial" w:cs="Arial"/>
          <w:i/>
          <w:iCs/>
          <w:color w:val="000000" w:themeColor="text1"/>
          <w:sz w:val="20"/>
          <w:szCs w:val="20"/>
        </w:rPr>
        <w:t>HD-K75; growth traits; least-squares analysis; non-genetic factors; pig; Northeast India</w:t>
      </w:r>
    </w:p>
    <w:p w14:paraId="020D7478" w14:textId="77777777" w:rsidR="00511253" w:rsidRPr="005D0912" w:rsidRDefault="00FF31BF">
      <w:pPr>
        <w:spacing w:before="200" w:after="100"/>
        <w:rPr>
          <w:rFonts w:ascii="Arial" w:hAnsi="Arial" w:cs="Arial"/>
          <w:color w:val="000000" w:themeColor="text1"/>
          <w:sz w:val="20"/>
          <w:szCs w:val="20"/>
        </w:rPr>
      </w:pPr>
      <w:r w:rsidRPr="005D0912">
        <w:rPr>
          <w:rFonts w:ascii="Arial" w:hAnsi="Arial" w:cs="Arial"/>
          <w:b/>
          <w:bCs/>
          <w:caps/>
          <w:color w:val="000000" w:themeColor="text1"/>
          <w:sz w:val="20"/>
          <w:szCs w:val="20"/>
        </w:rPr>
        <w:t>1. INTRODUCTION</w:t>
      </w:r>
    </w:p>
    <w:p w14:paraId="5939CE93" w14:textId="176FC124"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 xml:space="preserve">Pig farming constitutes a crucial component of the agricultural economy and socio-cultural </w:t>
      </w:r>
      <w:r w:rsidR="00F63A1D" w:rsidRPr="005D0912">
        <w:rPr>
          <w:rFonts w:ascii="Arial" w:hAnsi="Arial" w:cs="Arial"/>
          <w:color w:val="000000" w:themeColor="text1"/>
          <w:sz w:val="20"/>
          <w:szCs w:val="20"/>
        </w:rPr>
        <w:t>practices</w:t>
      </w:r>
      <w:r w:rsidRPr="005D0912">
        <w:rPr>
          <w:rFonts w:ascii="Arial" w:hAnsi="Arial" w:cs="Arial"/>
          <w:color w:val="000000" w:themeColor="text1"/>
          <w:sz w:val="20"/>
          <w:szCs w:val="20"/>
        </w:rPr>
        <w:t xml:space="preserve"> of tribal communities in Northeast India. Assam leads all northeastern states in pig population, with 2.09 million pigs recorded in the 20</w:t>
      </w:r>
      <w:r w:rsidRPr="005D0912">
        <w:rPr>
          <w:rFonts w:ascii="Arial" w:hAnsi="Arial" w:cs="Arial"/>
          <w:color w:val="000000" w:themeColor="text1"/>
          <w:sz w:val="20"/>
          <w:szCs w:val="20"/>
          <w:vertAlign w:val="superscript"/>
        </w:rPr>
        <w:t>th</w:t>
      </w:r>
      <w:r w:rsidRPr="005D0912">
        <w:rPr>
          <w:rFonts w:ascii="Arial" w:hAnsi="Arial" w:cs="Arial"/>
          <w:color w:val="000000" w:themeColor="text1"/>
          <w:sz w:val="20"/>
          <w:szCs w:val="20"/>
        </w:rPr>
        <w:t xml:space="preserve"> Livestock Census (2019). The piggery sector in Assam represents a significant source of income and livelihood for a substantial proportion of the rural population. Despite this potential, the growth and development of the industry </w:t>
      </w:r>
      <w:r w:rsidR="00F13674" w:rsidRPr="005D0912">
        <w:rPr>
          <w:rFonts w:ascii="Arial" w:hAnsi="Arial" w:cs="Arial"/>
          <w:color w:val="000000" w:themeColor="text1"/>
          <w:sz w:val="20"/>
          <w:szCs w:val="20"/>
        </w:rPr>
        <w:t>have</w:t>
      </w:r>
      <w:r w:rsidRPr="005D0912">
        <w:rPr>
          <w:rFonts w:ascii="Arial" w:hAnsi="Arial" w:cs="Arial"/>
          <w:color w:val="000000" w:themeColor="text1"/>
          <w:sz w:val="20"/>
          <w:szCs w:val="20"/>
        </w:rPr>
        <w:t xml:space="preserve"> been constrained by an inadequate supply of quality germplasm possessing both high production performance and adaptability to the prevailing agroclimatic conditions.</w:t>
      </w:r>
    </w:p>
    <w:p w14:paraId="19B6B2FA" w14:textId="77777777"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 xml:space="preserve">To address this challenge, the ICAR-All India Coordinated Research Project (AICRP) on Pigs, Assam Agricultural University (AAU), </w:t>
      </w:r>
      <w:proofErr w:type="spellStart"/>
      <w:r w:rsidRPr="005D0912">
        <w:rPr>
          <w:rFonts w:ascii="Arial" w:hAnsi="Arial" w:cs="Arial"/>
          <w:color w:val="000000" w:themeColor="text1"/>
          <w:sz w:val="20"/>
          <w:szCs w:val="20"/>
        </w:rPr>
        <w:t>Khanapara</w:t>
      </w:r>
      <w:proofErr w:type="spellEnd"/>
      <w:r w:rsidRPr="005D0912">
        <w:rPr>
          <w:rFonts w:ascii="Arial" w:hAnsi="Arial" w:cs="Arial"/>
          <w:color w:val="000000" w:themeColor="text1"/>
          <w:sz w:val="20"/>
          <w:szCs w:val="20"/>
        </w:rPr>
        <w:t xml:space="preserve">, Guwahati, developed a composite pig variety designated HD-K75, comprising 75% Hampshire and 25% indigenous inheritance. This variety has demonstrated superior production performance alongside satisfactory adaptability to local conditions, and has gained progressive acceptance among farmers in the region (Das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2023). The AICRP on Pigs maintains the nucleus herd of HD-K75 and disseminates quality germplasm to farmers, thereby supporting the establishment of multiplier herds under field conditions.</w:t>
      </w:r>
    </w:p>
    <w:p w14:paraId="10FCD593" w14:textId="572A8A10"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 xml:space="preserve">Growth is a fundamental trait in livestock improvement programmes, since it directly determines the efficiency of meat production (Pragna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2018). Body weight at birth, weaning, and post-weaning ages are routinely employed as selection criteria in pig improvement programmes, as they reliably reflect the genetic potential of animals for growth (Mungate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1999). However, accurate genetic evaluation requires a thorough understanding and adequate statistical accounting of the non-genetic sources of variation</w:t>
      </w:r>
      <w:r w:rsidR="00F63A1D" w:rsidRPr="005D0912">
        <w:rPr>
          <w:rFonts w:ascii="Arial" w:hAnsi="Arial" w:cs="Arial"/>
          <w:color w:val="000000" w:themeColor="text1"/>
          <w:sz w:val="20"/>
          <w:szCs w:val="20"/>
        </w:rPr>
        <w:t xml:space="preserve"> </w:t>
      </w:r>
      <w:r w:rsidRPr="005D0912">
        <w:rPr>
          <w:rFonts w:ascii="Arial" w:hAnsi="Arial" w:cs="Arial"/>
          <w:color w:val="000000" w:themeColor="text1"/>
          <w:sz w:val="20"/>
          <w:szCs w:val="20"/>
        </w:rPr>
        <w:t>such as season of birth, sex, and parity</w:t>
      </w:r>
      <w:r w:rsidR="00F63A1D" w:rsidRPr="005D0912">
        <w:rPr>
          <w:rFonts w:ascii="Arial" w:hAnsi="Arial" w:cs="Arial"/>
          <w:color w:val="000000" w:themeColor="text1"/>
          <w:sz w:val="20"/>
          <w:szCs w:val="20"/>
        </w:rPr>
        <w:t xml:space="preserve"> </w:t>
      </w:r>
      <w:r w:rsidRPr="005D0912">
        <w:rPr>
          <w:rFonts w:ascii="Arial" w:hAnsi="Arial" w:cs="Arial"/>
          <w:color w:val="000000" w:themeColor="text1"/>
          <w:sz w:val="20"/>
          <w:szCs w:val="20"/>
        </w:rPr>
        <w:t xml:space="preserve">that influence these traits. Literature pertaining to the </w:t>
      </w:r>
      <w:r w:rsidRPr="005D0912">
        <w:rPr>
          <w:rFonts w:ascii="Arial" w:hAnsi="Arial" w:cs="Arial"/>
          <w:color w:val="000000" w:themeColor="text1"/>
          <w:sz w:val="20"/>
          <w:szCs w:val="20"/>
        </w:rPr>
        <w:lastRenderedPageBreak/>
        <w:t>growth performance of HD-K75 pigs under nucleus herd conditions in Assam is limited, which underscores the relevance of the present investigation. Therefore, the present study was undertaken to estimate the growth performance of HD-K75 pigs and to evaluate the influence of season of birth, sex, and parity on body weight at different ages.</w:t>
      </w:r>
    </w:p>
    <w:p w14:paraId="4E9A1715" w14:textId="77777777" w:rsidR="00511253" w:rsidRPr="005D0912" w:rsidRDefault="00FF31BF">
      <w:pPr>
        <w:spacing w:before="200" w:after="100"/>
        <w:rPr>
          <w:rFonts w:ascii="Arial" w:hAnsi="Arial" w:cs="Arial"/>
          <w:color w:val="000000" w:themeColor="text1"/>
          <w:sz w:val="20"/>
          <w:szCs w:val="20"/>
        </w:rPr>
      </w:pPr>
      <w:r w:rsidRPr="005D0912">
        <w:rPr>
          <w:rFonts w:ascii="Arial" w:hAnsi="Arial" w:cs="Arial"/>
          <w:b/>
          <w:bCs/>
          <w:caps/>
          <w:color w:val="000000" w:themeColor="text1"/>
          <w:sz w:val="20"/>
          <w:szCs w:val="20"/>
        </w:rPr>
        <w:t>2. MATERIALS AND METHODS</w:t>
      </w:r>
    </w:p>
    <w:p w14:paraId="087460B1" w14:textId="01E1774F" w:rsidR="00511253" w:rsidRPr="005D0912" w:rsidRDefault="00FF31BF">
      <w:pPr>
        <w:spacing w:before="140" w:after="60"/>
        <w:rPr>
          <w:rFonts w:ascii="Arial" w:hAnsi="Arial" w:cs="Arial"/>
          <w:color w:val="000000" w:themeColor="text1"/>
          <w:sz w:val="20"/>
          <w:szCs w:val="20"/>
        </w:rPr>
      </w:pPr>
      <w:r w:rsidRPr="005D0912">
        <w:rPr>
          <w:rFonts w:ascii="Arial" w:hAnsi="Arial" w:cs="Arial"/>
          <w:b/>
          <w:bCs/>
          <w:color w:val="000000" w:themeColor="text1"/>
          <w:sz w:val="20"/>
          <w:szCs w:val="20"/>
        </w:rPr>
        <w:t xml:space="preserve">2.1 </w:t>
      </w:r>
      <w:r w:rsidR="00633514" w:rsidRPr="005D0912">
        <w:rPr>
          <w:rFonts w:ascii="Arial" w:hAnsi="Arial" w:cs="Arial"/>
          <w:b/>
          <w:bCs/>
          <w:color w:val="000000" w:themeColor="text1"/>
          <w:sz w:val="20"/>
          <w:szCs w:val="20"/>
        </w:rPr>
        <w:t>ANIMALS AND DATA</w:t>
      </w:r>
    </w:p>
    <w:p w14:paraId="73AE1487" w14:textId="77777777"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 xml:space="preserve">Performance records of 1,416 HD-K75 pigs maintained at the nucleus herd of AICRP on Pigs, AAU, </w:t>
      </w:r>
      <w:proofErr w:type="spellStart"/>
      <w:r w:rsidRPr="005D0912">
        <w:rPr>
          <w:rFonts w:ascii="Arial" w:hAnsi="Arial" w:cs="Arial"/>
          <w:color w:val="000000" w:themeColor="text1"/>
          <w:sz w:val="20"/>
          <w:szCs w:val="20"/>
        </w:rPr>
        <w:t>Khanapara</w:t>
      </w:r>
      <w:proofErr w:type="spellEnd"/>
      <w:r w:rsidRPr="005D0912">
        <w:rPr>
          <w:rFonts w:ascii="Arial" w:hAnsi="Arial" w:cs="Arial"/>
          <w:color w:val="000000" w:themeColor="text1"/>
          <w:sz w:val="20"/>
          <w:szCs w:val="20"/>
        </w:rPr>
        <w:t>, Guwahati, were utilized in the present study. Data were collected from history sheets and herd registers, and included information on animal identification, date of birth, sire and dam identification number, sex, dam parity, and body weight recorded at birth, weaning (42 days), five months, and eight months of age. All animals were reared under a uniform intensive management system with standardized feeding, housing, and health care practices.</w:t>
      </w:r>
    </w:p>
    <w:p w14:paraId="78568204" w14:textId="2417450A" w:rsidR="00511253" w:rsidRPr="005D0912" w:rsidRDefault="00FF31BF">
      <w:pPr>
        <w:spacing w:before="140" w:after="60"/>
        <w:rPr>
          <w:rFonts w:ascii="Arial" w:hAnsi="Arial" w:cs="Arial"/>
          <w:color w:val="000000" w:themeColor="text1"/>
          <w:sz w:val="20"/>
          <w:szCs w:val="20"/>
        </w:rPr>
      </w:pPr>
      <w:r w:rsidRPr="005D0912">
        <w:rPr>
          <w:rFonts w:ascii="Arial" w:hAnsi="Arial" w:cs="Arial"/>
          <w:b/>
          <w:bCs/>
          <w:color w:val="000000" w:themeColor="text1"/>
          <w:sz w:val="20"/>
          <w:szCs w:val="20"/>
        </w:rPr>
        <w:t xml:space="preserve">2.2 </w:t>
      </w:r>
      <w:r w:rsidR="00633514" w:rsidRPr="005D0912">
        <w:rPr>
          <w:rFonts w:ascii="Arial" w:hAnsi="Arial" w:cs="Arial"/>
          <w:b/>
          <w:bCs/>
          <w:color w:val="000000" w:themeColor="text1"/>
          <w:sz w:val="20"/>
          <w:szCs w:val="20"/>
        </w:rPr>
        <w:t>CLASSIFICATION OF DATA</w:t>
      </w:r>
    </w:p>
    <w:p w14:paraId="29C6C0C6" w14:textId="7E1DBEB3"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Data were classified according to three non-genetic factors: (</w:t>
      </w:r>
      <w:proofErr w:type="spellStart"/>
      <w:r w:rsidRPr="005D0912">
        <w:rPr>
          <w:rFonts w:ascii="Arial" w:hAnsi="Arial" w:cs="Arial"/>
          <w:color w:val="000000" w:themeColor="text1"/>
          <w:sz w:val="20"/>
          <w:szCs w:val="20"/>
        </w:rPr>
        <w:t>i</w:t>
      </w:r>
      <w:proofErr w:type="spellEnd"/>
      <w:r w:rsidRPr="005D0912">
        <w:rPr>
          <w:rFonts w:ascii="Arial" w:hAnsi="Arial" w:cs="Arial"/>
          <w:color w:val="000000" w:themeColor="text1"/>
          <w:sz w:val="20"/>
          <w:szCs w:val="20"/>
        </w:rPr>
        <w:t>) season of birth</w:t>
      </w:r>
      <w:r w:rsidR="005D73AC" w:rsidRPr="005D0912">
        <w:rPr>
          <w:rFonts w:ascii="Arial" w:hAnsi="Arial" w:cs="Arial"/>
          <w:color w:val="000000" w:themeColor="text1"/>
          <w:sz w:val="20"/>
          <w:szCs w:val="20"/>
        </w:rPr>
        <w:t xml:space="preserve">- </w:t>
      </w:r>
      <w:r w:rsidRPr="005D0912">
        <w:rPr>
          <w:rFonts w:ascii="Arial" w:hAnsi="Arial" w:cs="Arial"/>
          <w:color w:val="000000" w:themeColor="text1"/>
          <w:sz w:val="20"/>
          <w:szCs w:val="20"/>
        </w:rPr>
        <w:t>S1: March to May, S2: June to September, S3: October to November, and S4: December to February; (ii) sex</w:t>
      </w:r>
      <w:r w:rsidR="005D73AC" w:rsidRPr="005D0912">
        <w:rPr>
          <w:rFonts w:ascii="Arial" w:hAnsi="Arial" w:cs="Arial"/>
          <w:color w:val="000000" w:themeColor="text1"/>
          <w:sz w:val="20"/>
          <w:szCs w:val="20"/>
        </w:rPr>
        <w:t xml:space="preserve">- </w:t>
      </w:r>
      <w:r w:rsidRPr="005D0912">
        <w:rPr>
          <w:rFonts w:ascii="Arial" w:hAnsi="Arial" w:cs="Arial"/>
          <w:color w:val="000000" w:themeColor="text1"/>
          <w:sz w:val="20"/>
          <w:szCs w:val="20"/>
        </w:rPr>
        <w:t>male and female; and (iii) dam parity</w:t>
      </w:r>
      <w:r w:rsidR="005D73AC" w:rsidRPr="005D0912">
        <w:rPr>
          <w:rFonts w:ascii="Arial" w:hAnsi="Arial" w:cs="Arial"/>
          <w:color w:val="000000" w:themeColor="text1"/>
          <w:sz w:val="20"/>
          <w:szCs w:val="20"/>
        </w:rPr>
        <w:t xml:space="preserve">- </w:t>
      </w:r>
      <w:r w:rsidRPr="005D0912">
        <w:rPr>
          <w:rFonts w:ascii="Arial" w:hAnsi="Arial" w:cs="Arial"/>
          <w:color w:val="000000" w:themeColor="text1"/>
          <w:sz w:val="20"/>
          <w:szCs w:val="20"/>
        </w:rPr>
        <w:t>parity 1, parity 2, and parity 3. Records with missing information were excluded from analysis.</w:t>
      </w:r>
    </w:p>
    <w:p w14:paraId="48DE465E" w14:textId="28533220" w:rsidR="00511253" w:rsidRPr="005D0912" w:rsidRDefault="00FF31BF">
      <w:pPr>
        <w:spacing w:before="140" w:after="60"/>
        <w:rPr>
          <w:rFonts w:ascii="Arial" w:hAnsi="Arial" w:cs="Arial"/>
          <w:color w:val="000000" w:themeColor="text1"/>
          <w:sz w:val="20"/>
          <w:szCs w:val="20"/>
        </w:rPr>
      </w:pPr>
      <w:r w:rsidRPr="005D0912">
        <w:rPr>
          <w:rFonts w:ascii="Arial" w:hAnsi="Arial" w:cs="Arial"/>
          <w:b/>
          <w:bCs/>
          <w:color w:val="000000" w:themeColor="text1"/>
          <w:sz w:val="20"/>
          <w:szCs w:val="20"/>
        </w:rPr>
        <w:t xml:space="preserve">2.3 </w:t>
      </w:r>
      <w:r w:rsidR="00633514" w:rsidRPr="005D0912">
        <w:rPr>
          <w:rFonts w:ascii="Arial" w:hAnsi="Arial" w:cs="Arial"/>
          <w:b/>
          <w:bCs/>
          <w:color w:val="000000" w:themeColor="text1"/>
          <w:sz w:val="20"/>
          <w:szCs w:val="20"/>
        </w:rPr>
        <w:t>STATISTICAL ANALYSIS</w:t>
      </w:r>
    </w:p>
    <w:p w14:paraId="123E6735" w14:textId="3B417ABC" w:rsidR="00511253" w:rsidRPr="005D0912" w:rsidRDefault="00FF31BF">
      <w:pPr>
        <w:spacing w:before="60" w:after="60" w:line="276" w:lineRule="auto"/>
        <w:jc w:val="both"/>
        <w:rPr>
          <w:rFonts w:ascii="Arial" w:hAnsi="Arial" w:cs="Arial"/>
          <w:color w:val="000000" w:themeColor="text1"/>
          <w:sz w:val="20"/>
          <w:szCs w:val="20"/>
        </w:rPr>
      </w:pPr>
      <w:r w:rsidRPr="005D0912">
        <w:rPr>
          <w:rFonts w:ascii="Arial" w:hAnsi="Arial" w:cs="Arial"/>
          <w:color w:val="000000" w:themeColor="text1"/>
          <w:sz w:val="20"/>
          <w:szCs w:val="20"/>
        </w:rPr>
        <w:t>Data were analysed using least-squares analysis of variance to evaluate the effects of the above non-genetic factors on body weight, following the methodology described by Harvey (1990). The statistical model employed was:</w:t>
      </w:r>
    </w:p>
    <w:p w14:paraId="7F0A14AC" w14:textId="77777777" w:rsidR="00511253" w:rsidRPr="005D0912" w:rsidRDefault="00FF31BF">
      <w:pPr>
        <w:spacing w:before="100" w:after="100"/>
        <w:jc w:val="center"/>
        <w:rPr>
          <w:rFonts w:ascii="Arial" w:hAnsi="Arial" w:cs="Arial"/>
          <w:color w:val="000000" w:themeColor="text1"/>
          <w:sz w:val="20"/>
          <w:szCs w:val="20"/>
        </w:rPr>
      </w:pPr>
      <w:proofErr w:type="spellStart"/>
      <w:r w:rsidRPr="005D0912">
        <w:rPr>
          <w:rFonts w:ascii="Arial" w:hAnsi="Arial" w:cs="Arial"/>
          <w:i/>
          <w:iCs/>
          <w:color w:val="000000" w:themeColor="text1"/>
          <w:sz w:val="20"/>
          <w:szCs w:val="20"/>
        </w:rPr>
        <w:t>Y</w:t>
      </w:r>
      <w:r w:rsidRPr="005D0912">
        <w:rPr>
          <w:rFonts w:ascii="Arial" w:hAnsi="Arial" w:cs="Arial"/>
          <w:i/>
          <w:iCs/>
          <w:color w:val="000000" w:themeColor="text1"/>
          <w:sz w:val="20"/>
          <w:szCs w:val="20"/>
          <w:vertAlign w:val="subscript"/>
        </w:rPr>
        <w:t>ijkl</w:t>
      </w:r>
      <w:proofErr w:type="spellEnd"/>
      <w:r w:rsidRPr="005D0912">
        <w:rPr>
          <w:rFonts w:ascii="Arial" w:hAnsi="Arial" w:cs="Arial"/>
          <w:i/>
          <w:iCs/>
          <w:color w:val="000000" w:themeColor="text1"/>
          <w:sz w:val="20"/>
          <w:szCs w:val="20"/>
          <w:vertAlign w:val="subscript"/>
        </w:rPr>
        <w:t xml:space="preserve"> </w:t>
      </w:r>
      <w:r w:rsidRPr="005D0912">
        <w:rPr>
          <w:rFonts w:ascii="Arial" w:hAnsi="Arial" w:cs="Arial"/>
          <w:i/>
          <w:iCs/>
          <w:color w:val="000000" w:themeColor="text1"/>
          <w:sz w:val="20"/>
          <w:szCs w:val="20"/>
        </w:rPr>
        <w:t>= µ + S</w:t>
      </w:r>
      <w:r w:rsidRPr="005D0912">
        <w:rPr>
          <w:rFonts w:ascii="Arial" w:hAnsi="Arial" w:cs="Arial"/>
          <w:i/>
          <w:iCs/>
          <w:color w:val="000000" w:themeColor="text1"/>
          <w:sz w:val="20"/>
          <w:szCs w:val="20"/>
          <w:vertAlign w:val="subscript"/>
        </w:rPr>
        <w:t xml:space="preserve">i </w:t>
      </w:r>
      <w:r w:rsidRPr="005D0912">
        <w:rPr>
          <w:rFonts w:ascii="Arial" w:hAnsi="Arial" w:cs="Arial"/>
          <w:i/>
          <w:iCs/>
          <w:color w:val="000000" w:themeColor="text1"/>
          <w:sz w:val="20"/>
          <w:szCs w:val="20"/>
        </w:rPr>
        <w:t xml:space="preserve">+ </w:t>
      </w:r>
      <w:proofErr w:type="spellStart"/>
      <w:r w:rsidRPr="005D0912">
        <w:rPr>
          <w:rFonts w:ascii="Arial" w:hAnsi="Arial" w:cs="Arial"/>
          <w:i/>
          <w:iCs/>
          <w:color w:val="000000" w:themeColor="text1"/>
          <w:sz w:val="20"/>
          <w:szCs w:val="20"/>
        </w:rPr>
        <w:t>X</w:t>
      </w:r>
      <w:r w:rsidRPr="005D0912">
        <w:rPr>
          <w:rFonts w:ascii="Arial" w:hAnsi="Arial" w:cs="Arial"/>
          <w:i/>
          <w:iCs/>
          <w:color w:val="000000" w:themeColor="text1"/>
          <w:sz w:val="20"/>
          <w:szCs w:val="20"/>
          <w:vertAlign w:val="subscript"/>
        </w:rPr>
        <w:t>j</w:t>
      </w:r>
      <w:proofErr w:type="spellEnd"/>
      <w:r w:rsidRPr="005D0912">
        <w:rPr>
          <w:rFonts w:ascii="Arial" w:hAnsi="Arial" w:cs="Arial"/>
          <w:i/>
          <w:iCs/>
          <w:color w:val="000000" w:themeColor="text1"/>
          <w:sz w:val="20"/>
          <w:szCs w:val="20"/>
        </w:rPr>
        <w:t xml:space="preserve"> + P</w:t>
      </w:r>
      <w:r w:rsidRPr="005D0912">
        <w:rPr>
          <w:rFonts w:ascii="Arial" w:hAnsi="Arial" w:cs="Arial"/>
          <w:i/>
          <w:iCs/>
          <w:color w:val="000000" w:themeColor="text1"/>
          <w:sz w:val="20"/>
          <w:szCs w:val="20"/>
          <w:vertAlign w:val="subscript"/>
        </w:rPr>
        <w:t>k</w:t>
      </w:r>
      <w:r w:rsidRPr="005D0912">
        <w:rPr>
          <w:rFonts w:ascii="Arial" w:hAnsi="Arial" w:cs="Arial"/>
          <w:i/>
          <w:iCs/>
          <w:color w:val="000000" w:themeColor="text1"/>
          <w:sz w:val="20"/>
          <w:szCs w:val="20"/>
        </w:rPr>
        <w:t xml:space="preserve"> + </w:t>
      </w:r>
      <w:proofErr w:type="spellStart"/>
      <w:r w:rsidRPr="005D0912">
        <w:rPr>
          <w:rFonts w:ascii="Arial" w:hAnsi="Arial" w:cs="Arial"/>
          <w:i/>
          <w:iCs/>
          <w:color w:val="000000" w:themeColor="text1"/>
          <w:sz w:val="20"/>
          <w:szCs w:val="20"/>
        </w:rPr>
        <w:t>e</w:t>
      </w:r>
      <w:r w:rsidRPr="005D0912">
        <w:rPr>
          <w:rFonts w:ascii="Arial" w:hAnsi="Arial" w:cs="Arial"/>
          <w:i/>
          <w:iCs/>
          <w:color w:val="000000" w:themeColor="text1"/>
          <w:sz w:val="20"/>
          <w:szCs w:val="20"/>
          <w:vertAlign w:val="subscript"/>
        </w:rPr>
        <w:t>ijkl</w:t>
      </w:r>
      <w:proofErr w:type="spellEnd"/>
    </w:p>
    <w:p w14:paraId="40C80212" w14:textId="77777777"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 xml:space="preserve">where </w:t>
      </w:r>
      <w:proofErr w:type="spellStart"/>
      <w:r w:rsidRPr="005D0912">
        <w:rPr>
          <w:rFonts w:ascii="Arial" w:hAnsi="Arial" w:cs="Arial"/>
          <w:color w:val="000000" w:themeColor="text1"/>
          <w:sz w:val="20"/>
          <w:szCs w:val="20"/>
        </w:rPr>
        <w:t>Y</w:t>
      </w:r>
      <w:r w:rsidRPr="005D0912">
        <w:rPr>
          <w:rFonts w:ascii="Arial" w:hAnsi="Arial" w:cs="Arial"/>
          <w:color w:val="000000" w:themeColor="text1"/>
          <w:sz w:val="20"/>
          <w:szCs w:val="20"/>
          <w:vertAlign w:val="subscript"/>
        </w:rPr>
        <w:t>ijkl</w:t>
      </w:r>
      <w:proofErr w:type="spellEnd"/>
      <w:r w:rsidRPr="005D0912">
        <w:rPr>
          <w:rFonts w:ascii="Arial" w:hAnsi="Arial" w:cs="Arial"/>
          <w:color w:val="000000" w:themeColor="text1"/>
          <w:sz w:val="20"/>
          <w:szCs w:val="20"/>
          <w:vertAlign w:val="subscript"/>
        </w:rPr>
        <w:t xml:space="preserve"> </w:t>
      </w:r>
      <w:r w:rsidRPr="005D0912">
        <w:rPr>
          <w:rFonts w:ascii="Arial" w:hAnsi="Arial" w:cs="Arial"/>
          <w:color w:val="000000" w:themeColor="text1"/>
          <w:sz w:val="20"/>
          <w:szCs w:val="20"/>
        </w:rPr>
        <w:t>is the observation on the l-</w:t>
      </w:r>
      <w:proofErr w:type="spellStart"/>
      <w:r w:rsidRPr="005D0912">
        <w:rPr>
          <w:rFonts w:ascii="Arial" w:hAnsi="Arial" w:cs="Arial"/>
          <w:color w:val="000000" w:themeColor="text1"/>
          <w:sz w:val="20"/>
          <w:szCs w:val="20"/>
        </w:rPr>
        <w:t>th</w:t>
      </w:r>
      <w:proofErr w:type="spellEnd"/>
      <w:r w:rsidRPr="005D0912">
        <w:rPr>
          <w:rFonts w:ascii="Arial" w:hAnsi="Arial" w:cs="Arial"/>
          <w:color w:val="000000" w:themeColor="text1"/>
          <w:sz w:val="20"/>
          <w:szCs w:val="20"/>
        </w:rPr>
        <w:t xml:space="preserve"> animal born in the </w:t>
      </w:r>
      <w:proofErr w:type="spellStart"/>
      <w:r w:rsidRPr="005D0912">
        <w:rPr>
          <w:rFonts w:ascii="Arial" w:hAnsi="Arial" w:cs="Arial"/>
          <w:color w:val="000000" w:themeColor="text1"/>
          <w:sz w:val="20"/>
          <w:szCs w:val="20"/>
        </w:rPr>
        <w:t>i-th</w:t>
      </w:r>
      <w:proofErr w:type="spellEnd"/>
      <w:r w:rsidRPr="005D0912">
        <w:rPr>
          <w:rFonts w:ascii="Arial" w:hAnsi="Arial" w:cs="Arial"/>
          <w:color w:val="000000" w:themeColor="text1"/>
          <w:sz w:val="20"/>
          <w:szCs w:val="20"/>
        </w:rPr>
        <w:t xml:space="preserve"> season, of the j-</w:t>
      </w:r>
      <w:proofErr w:type="spellStart"/>
      <w:r w:rsidRPr="005D0912">
        <w:rPr>
          <w:rFonts w:ascii="Arial" w:hAnsi="Arial" w:cs="Arial"/>
          <w:color w:val="000000" w:themeColor="text1"/>
          <w:sz w:val="20"/>
          <w:szCs w:val="20"/>
        </w:rPr>
        <w:t>th</w:t>
      </w:r>
      <w:proofErr w:type="spellEnd"/>
      <w:r w:rsidRPr="005D0912">
        <w:rPr>
          <w:rFonts w:ascii="Arial" w:hAnsi="Arial" w:cs="Arial"/>
          <w:color w:val="000000" w:themeColor="text1"/>
          <w:sz w:val="20"/>
          <w:szCs w:val="20"/>
        </w:rPr>
        <w:t xml:space="preserve"> sex, from the k-</w:t>
      </w:r>
      <w:proofErr w:type="spellStart"/>
      <w:r w:rsidRPr="005D0912">
        <w:rPr>
          <w:rFonts w:ascii="Arial" w:hAnsi="Arial" w:cs="Arial"/>
          <w:color w:val="000000" w:themeColor="text1"/>
          <w:sz w:val="20"/>
          <w:szCs w:val="20"/>
        </w:rPr>
        <w:t>th</w:t>
      </w:r>
      <w:proofErr w:type="spellEnd"/>
      <w:r w:rsidRPr="005D0912">
        <w:rPr>
          <w:rFonts w:ascii="Arial" w:hAnsi="Arial" w:cs="Arial"/>
          <w:color w:val="000000" w:themeColor="text1"/>
          <w:sz w:val="20"/>
          <w:szCs w:val="20"/>
        </w:rPr>
        <w:t xml:space="preserve"> parity; µ is the overall population mean; Si is the fixed effect of </w:t>
      </w:r>
      <w:proofErr w:type="spellStart"/>
      <w:r w:rsidRPr="005D0912">
        <w:rPr>
          <w:rFonts w:ascii="Arial" w:hAnsi="Arial" w:cs="Arial"/>
          <w:color w:val="000000" w:themeColor="text1"/>
          <w:sz w:val="20"/>
          <w:szCs w:val="20"/>
        </w:rPr>
        <w:t>i-th</w:t>
      </w:r>
      <w:proofErr w:type="spellEnd"/>
      <w:r w:rsidRPr="005D0912">
        <w:rPr>
          <w:rFonts w:ascii="Arial" w:hAnsi="Arial" w:cs="Arial"/>
          <w:color w:val="000000" w:themeColor="text1"/>
          <w:sz w:val="20"/>
          <w:szCs w:val="20"/>
        </w:rPr>
        <w:t xml:space="preserve"> season of birth (</w:t>
      </w:r>
      <w:proofErr w:type="spellStart"/>
      <w:r w:rsidRPr="005D0912">
        <w:rPr>
          <w:rFonts w:ascii="Arial" w:hAnsi="Arial" w:cs="Arial"/>
          <w:color w:val="000000" w:themeColor="text1"/>
          <w:sz w:val="20"/>
          <w:szCs w:val="20"/>
        </w:rPr>
        <w:t>i</w:t>
      </w:r>
      <w:proofErr w:type="spellEnd"/>
      <w:r w:rsidRPr="005D0912">
        <w:rPr>
          <w:rFonts w:ascii="Arial" w:hAnsi="Arial" w:cs="Arial"/>
          <w:color w:val="000000" w:themeColor="text1"/>
          <w:sz w:val="20"/>
          <w:szCs w:val="20"/>
        </w:rPr>
        <w:t xml:space="preserve"> = 1, 2, 3, 4); </w:t>
      </w:r>
      <w:proofErr w:type="spellStart"/>
      <w:r w:rsidRPr="005D0912">
        <w:rPr>
          <w:rFonts w:ascii="Arial" w:hAnsi="Arial" w:cs="Arial"/>
          <w:color w:val="000000" w:themeColor="text1"/>
          <w:sz w:val="20"/>
          <w:szCs w:val="20"/>
        </w:rPr>
        <w:t>Xj</w:t>
      </w:r>
      <w:proofErr w:type="spellEnd"/>
      <w:r w:rsidRPr="005D0912">
        <w:rPr>
          <w:rFonts w:ascii="Arial" w:hAnsi="Arial" w:cs="Arial"/>
          <w:color w:val="000000" w:themeColor="text1"/>
          <w:sz w:val="20"/>
          <w:szCs w:val="20"/>
        </w:rPr>
        <w:t xml:space="preserve"> is the fixed effect of j-</w:t>
      </w:r>
      <w:proofErr w:type="spellStart"/>
      <w:r w:rsidRPr="005D0912">
        <w:rPr>
          <w:rFonts w:ascii="Arial" w:hAnsi="Arial" w:cs="Arial"/>
          <w:color w:val="000000" w:themeColor="text1"/>
          <w:sz w:val="20"/>
          <w:szCs w:val="20"/>
        </w:rPr>
        <w:t>th</w:t>
      </w:r>
      <w:proofErr w:type="spellEnd"/>
      <w:r w:rsidRPr="005D0912">
        <w:rPr>
          <w:rFonts w:ascii="Arial" w:hAnsi="Arial" w:cs="Arial"/>
          <w:color w:val="000000" w:themeColor="text1"/>
          <w:sz w:val="20"/>
          <w:szCs w:val="20"/>
        </w:rPr>
        <w:t xml:space="preserve"> sex (j = 1, 2); Pk is the fixed effect of k-</w:t>
      </w:r>
      <w:proofErr w:type="spellStart"/>
      <w:r w:rsidRPr="005D0912">
        <w:rPr>
          <w:rFonts w:ascii="Arial" w:hAnsi="Arial" w:cs="Arial"/>
          <w:color w:val="000000" w:themeColor="text1"/>
          <w:sz w:val="20"/>
          <w:szCs w:val="20"/>
        </w:rPr>
        <w:t>th</w:t>
      </w:r>
      <w:proofErr w:type="spellEnd"/>
      <w:r w:rsidRPr="005D0912">
        <w:rPr>
          <w:rFonts w:ascii="Arial" w:hAnsi="Arial" w:cs="Arial"/>
          <w:color w:val="000000" w:themeColor="text1"/>
          <w:sz w:val="20"/>
          <w:szCs w:val="20"/>
        </w:rPr>
        <w:t xml:space="preserve"> parity (k = 1, 2, 3); and </w:t>
      </w:r>
      <w:proofErr w:type="spellStart"/>
      <w:r w:rsidRPr="005D0912">
        <w:rPr>
          <w:rFonts w:ascii="Arial" w:hAnsi="Arial" w:cs="Arial"/>
          <w:color w:val="000000" w:themeColor="text1"/>
          <w:sz w:val="20"/>
          <w:szCs w:val="20"/>
        </w:rPr>
        <w:t>eijkl</w:t>
      </w:r>
      <w:proofErr w:type="spellEnd"/>
      <w:r w:rsidRPr="005D0912">
        <w:rPr>
          <w:rFonts w:ascii="Arial" w:hAnsi="Arial" w:cs="Arial"/>
          <w:color w:val="000000" w:themeColor="text1"/>
          <w:sz w:val="20"/>
          <w:szCs w:val="20"/>
        </w:rPr>
        <w:t xml:space="preserve"> is the random error assumed to be independently and identically distributed as N(0, σ²e). Differences among subclass means were tested using Duncan's Multiple Range Test (DMRT), as modified by Kramer (1957). Means within a column bearing different superscripts differ significantly (P &lt; 0.05).</w:t>
      </w:r>
    </w:p>
    <w:p w14:paraId="5404427B" w14:textId="77777777" w:rsidR="00511253" w:rsidRPr="005D0912" w:rsidRDefault="00FF31BF">
      <w:pPr>
        <w:spacing w:before="200" w:after="100"/>
        <w:rPr>
          <w:rFonts w:ascii="Arial" w:hAnsi="Arial" w:cs="Arial"/>
          <w:color w:val="000000" w:themeColor="text1"/>
          <w:sz w:val="20"/>
          <w:szCs w:val="20"/>
        </w:rPr>
      </w:pPr>
      <w:r w:rsidRPr="005D0912">
        <w:rPr>
          <w:rFonts w:ascii="Arial" w:hAnsi="Arial" w:cs="Arial"/>
          <w:b/>
          <w:bCs/>
          <w:caps/>
          <w:color w:val="000000" w:themeColor="text1"/>
          <w:sz w:val="20"/>
          <w:szCs w:val="20"/>
        </w:rPr>
        <w:t>3. RESULTS AND DISCUSSION</w:t>
      </w:r>
    </w:p>
    <w:p w14:paraId="42774FA3" w14:textId="52CDBECE" w:rsidR="00511253" w:rsidRPr="005D0912" w:rsidRDefault="00FF31BF">
      <w:pPr>
        <w:spacing w:before="140" w:after="60"/>
        <w:rPr>
          <w:rFonts w:ascii="Arial" w:hAnsi="Arial" w:cs="Arial"/>
          <w:color w:val="000000" w:themeColor="text1"/>
          <w:sz w:val="20"/>
          <w:szCs w:val="20"/>
        </w:rPr>
      </w:pPr>
      <w:r w:rsidRPr="005D0912">
        <w:rPr>
          <w:rFonts w:ascii="Arial" w:hAnsi="Arial" w:cs="Arial"/>
          <w:b/>
          <w:bCs/>
          <w:color w:val="000000" w:themeColor="text1"/>
          <w:sz w:val="20"/>
          <w:szCs w:val="20"/>
        </w:rPr>
        <w:t xml:space="preserve">3.1 </w:t>
      </w:r>
      <w:r w:rsidR="00633514" w:rsidRPr="005D0912">
        <w:rPr>
          <w:rFonts w:ascii="Arial" w:hAnsi="Arial" w:cs="Arial"/>
          <w:b/>
          <w:bCs/>
          <w:color w:val="000000" w:themeColor="text1"/>
          <w:sz w:val="20"/>
          <w:szCs w:val="20"/>
        </w:rPr>
        <w:t>OVERALL GROWTH PERFORMANCE</w:t>
      </w:r>
    </w:p>
    <w:p w14:paraId="7636E9B7" w14:textId="77777777"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The overall least-squares means (LSM ± SE) for body weight at birth, weaning, five months, and eight months of age in HD-K75 pigs were 1.059 ± 0.004 kg, 11.779 ± 0.039 kg, 45.178 ± 0.289 kg, and 75.371 ± 0.515 kg, respectively (Table 1). These estimates reflect satisfactory growth performance of HD-K75 pigs under the prevailing intensive management conditions at the nucleus herd.</w:t>
      </w:r>
    </w:p>
    <w:p w14:paraId="33B118F4" w14:textId="69895603" w:rsidR="00511253" w:rsidRPr="005D0912" w:rsidRDefault="00FF31BF">
      <w:pPr>
        <w:spacing w:before="140" w:after="60"/>
        <w:rPr>
          <w:rFonts w:ascii="Arial" w:hAnsi="Arial" w:cs="Arial"/>
          <w:color w:val="000000" w:themeColor="text1"/>
          <w:sz w:val="20"/>
          <w:szCs w:val="20"/>
        </w:rPr>
      </w:pPr>
      <w:r w:rsidRPr="005D0912">
        <w:rPr>
          <w:rFonts w:ascii="Arial" w:hAnsi="Arial" w:cs="Arial"/>
          <w:b/>
          <w:bCs/>
          <w:color w:val="000000" w:themeColor="text1"/>
          <w:sz w:val="20"/>
          <w:szCs w:val="20"/>
        </w:rPr>
        <w:t xml:space="preserve">3.1.1 </w:t>
      </w:r>
      <w:r w:rsidR="00633514" w:rsidRPr="005D0912">
        <w:rPr>
          <w:rFonts w:ascii="Arial" w:hAnsi="Arial" w:cs="Arial"/>
          <w:b/>
          <w:bCs/>
          <w:color w:val="000000" w:themeColor="text1"/>
          <w:sz w:val="20"/>
          <w:szCs w:val="20"/>
        </w:rPr>
        <w:t xml:space="preserve">Body Weight </w:t>
      </w:r>
      <w:r w:rsidR="00633514">
        <w:rPr>
          <w:rFonts w:ascii="Arial" w:hAnsi="Arial" w:cs="Arial"/>
          <w:b/>
          <w:bCs/>
          <w:color w:val="000000" w:themeColor="text1"/>
          <w:sz w:val="20"/>
          <w:szCs w:val="20"/>
        </w:rPr>
        <w:t>a</w:t>
      </w:r>
      <w:r w:rsidR="00633514" w:rsidRPr="005D0912">
        <w:rPr>
          <w:rFonts w:ascii="Arial" w:hAnsi="Arial" w:cs="Arial"/>
          <w:b/>
          <w:bCs/>
          <w:color w:val="000000" w:themeColor="text1"/>
          <w:sz w:val="20"/>
          <w:szCs w:val="20"/>
        </w:rPr>
        <w:t>t Birth</w:t>
      </w:r>
    </w:p>
    <w:p w14:paraId="2C170BB4" w14:textId="77777777"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 xml:space="preserve">The overall LSM for birth weight in HD-K75 pigs (1.059 ± 0.004 kg; n = 1,416) was comparable to reports by Naha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(2017) in ¾ Landrace × ½ indigenous pigs (1.06 ± 0.02 kg), Adeoye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(2016) in Large White pigs (1.05 ± 0.01 kg), Devendran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(2015) in ½ Large White Yorkshire × ½ indigenous crosses (1.03 ± 0.01 kg), and Bayan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(2024) in HD-K75 pigs (1.001 ± 0.001 kg). Higher birth weights have been reported in Landrace (1.44 ± 0.49 kg; </w:t>
      </w:r>
      <w:proofErr w:type="spellStart"/>
      <w:r w:rsidRPr="005D0912">
        <w:rPr>
          <w:rFonts w:ascii="Arial" w:hAnsi="Arial" w:cs="Arial"/>
          <w:color w:val="000000" w:themeColor="text1"/>
          <w:sz w:val="20"/>
          <w:szCs w:val="20"/>
        </w:rPr>
        <w:t>Eyovwunu</w:t>
      </w:r>
      <w:proofErr w:type="spellEnd"/>
      <w:r w:rsidRPr="005D0912">
        <w:rPr>
          <w:rFonts w:ascii="Arial" w:hAnsi="Arial" w:cs="Arial"/>
          <w:color w:val="000000" w:themeColor="text1"/>
          <w:sz w:val="20"/>
          <w:szCs w:val="20"/>
        </w:rPr>
        <w:t xml:space="preserv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2016), Duroc (1.40 ± 0.08 kg; Kaushik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2017), ¾ Hampshire × </w:t>
      </w:r>
      <w:proofErr w:type="spellStart"/>
      <w:r w:rsidRPr="005D0912">
        <w:rPr>
          <w:rFonts w:ascii="Arial" w:hAnsi="Arial" w:cs="Arial"/>
          <w:color w:val="000000" w:themeColor="text1"/>
          <w:sz w:val="20"/>
          <w:szCs w:val="20"/>
        </w:rPr>
        <w:t>Jharsuk</w:t>
      </w:r>
      <w:proofErr w:type="spellEnd"/>
      <w:r w:rsidRPr="005D0912">
        <w:rPr>
          <w:rFonts w:ascii="Arial" w:hAnsi="Arial" w:cs="Arial"/>
          <w:color w:val="000000" w:themeColor="text1"/>
          <w:sz w:val="20"/>
          <w:szCs w:val="20"/>
        </w:rPr>
        <w:t xml:space="preserve"> crosses (1.36 ± 0.02 kg; Kumar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2018), and Hampshire × indigenous crosses (1.25 ± 0.34 kg; Singh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2020). Markedly lower birth weights are characteristic of indigenous pig breeds of Northeast India, such as </w:t>
      </w:r>
      <w:proofErr w:type="spellStart"/>
      <w:r w:rsidRPr="005D0912">
        <w:rPr>
          <w:rFonts w:ascii="Arial" w:hAnsi="Arial" w:cs="Arial"/>
          <w:color w:val="000000" w:themeColor="text1"/>
          <w:sz w:val="20"/>
          <w:szCs w:val="20"/>
        </w:rPr>
        <w:t>Tenyi</w:t>
      </w:r>
      <w:proofErr w:type="spellEnd"/>
      <w:r w:rsidRPr="005D0912">
        <w:rPr>
          <w:rFonts w:ascii="Arial" w:hAnsi="Arial" w:cs="Arial"/>
          <w:color w:val="000000" w:themeColor="text1"/>
          <w:sz w:val="20"/>
          <w:szCs w:val="20"/>
        </w:rPr>
        <w:t xml:space="preserve"> Vo pigs of Nagaland (0.34–0.38 kg; </w:t>
      </w:r>
      <w:proofErr w:type="spellStart"/>
      <w:r w:rsidRPr="005D0912">
        <w:rPr>
          <w:rFonts w:ascii="Arial" w:hAnsi="Arial" w:cs="Arial"/>
          <w:color w:val="000000" w:themeColor="text1"/>
          <w:sz w:val="20"/>
          <w:szCs w:val="20"/>
        </w:rPr>
        <w:t>Lanuyanger</w:t>
      </w:r>
      <w:proofErr w:type="spellEnd"/>
      <w:r w:rsidRPr="005D0912">
        <w:rPr>
          <w:rFonts w:ascii="Arial" w:hAnsi="Arial" w:cs="Arial"/>
          <w:color w:val="000000" w:themeColor="text1"/>
          <w:sz w:val="20"/>
          <w:szCs w:val="20"/>
        </w:rPr>
        <w:t xml:space="preserve"> </w:t>
      </w:r>
      <w:r w:rsidRPr="005D0912">
        <w:rPr>
          <w:rFonts w:ascii="Arial" w:hAnsi="Arial" w:cs="Arial"/>
          <w:i/>
          <w:iCs/>
          <w:color w:val="000000" w:themeColor="text1"/>
          <w:sz w:val="20"/>
          <w:szCs w:val="20"/>
        </w:rPr>
        <w:lastRenderedPageBreak/>
        <w:t>et al.</w:t>
      </w:r>
      <w:r w:rsidRPr="005D0912">
        <w:rPr>
          <w:rFonts w:ascii="Arial" w:hAnsi="Arial" w:cs="Arial"/>
          <w:color w:val="000000" w:themeColor="text1"/>
          <w:sz w:val="20"/>
          <w:szCs w:val="20"/>
        </w:rPr>
        <w:t xml:space="preserve">, 2023; </w:t>
      </w:r>
      <w:proofErr w:type="spellStart"/>
      <w:r w:rsidRPr="005D0912">
        <w:rPr>
          <w:rFonts w:ascii="Arial" w:hAnsi="Arial" w:cs="Arial"/>
          <w:color w:val="000000" w:themeColor="text1"/>
          <w:sz w:val="20"/>
          <w:szCs w:val="20"/>
        </w:rPr>
        <w:t>Losou</w:t>
      </w:r>
      <w:proofErr w:type="spellEnd"/>
      <w:r w:rsidRPr="005D0912">
        <w:rPr>
          <w:rFonts w:ascii="Arial" w:hAnsi="Arial" w:cs="Arial"/>
          <w:color w:val="000000" w:themeColor="text1"/>
          <w:sz w:val="20"/>
          <w:szCs w:val="20"/>
        </w:rPr>
        <w:t xml:space="preserv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2022) and </w:t>
      </w:r>
      <w:proofErr w:type="spellStart"/>
      <w:r w:rsidRPr="005D0912">
        <w:rPr>
          <w:rFonts w:ascii="Arial" w:hAnsi="Arial" w:cs="Arial"/>
          <w:color w:val="000000" w:themeColor="text1"/>
          <w:sz w:val="20"/>
          <w:szCs w:val="20"/>
        </w:rPr>
        <w:t>Suwo</w:t>
      </w:r>
      <w:proofErr w:type="spellEnd"/>
      <w:r w:rsidRPr="005D0912">
        <w:rPr>
          <w:rFonts w:ascii="Arial" w:hAnsi="Arial" w:cs="Arial"/>
          <w:color w:val="000000" w:themeColor="text1"/>
          <w:sz w:val="20"/>
          <w:szCs w:val="20"/>
        </w:rPr>
        <w:t xml:space="preserve"> pigs (0.49 ± 0.01 kg; Zaman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2017), reflecting the influence of a lower degree of exotic inheritance in those genotypes.</w:t>
      </w:r>
    </w:p>
    <w:p w14:paraId="0B28C1AD" w14:textId="40E2ED8F" w:rsidR="00511253" w:rsidRPr="005D0912" w:rsidRDefault="00FF31BF">
      <w:pPr>
        <w:spacing w:before="140" w:after="60"/>
        <w:rPr>
          <w:rFonts w:ascii="Arial" w:hAnsi="Arial" w:cs="Arial"/>
          <w:color w:val="000000" w:themeColor="text1"/>
          <w:sz w:val="20"/>
          <w:szCs w:val="20"/>
        </w:rPr>
      </w:pPr>
      <w:r w:rsidRPr="005D0912">
        <w:rPr>
          <w:rFonts w:ascii="Arial" w:hAnsi="Arial" w:cs="Arial"/>
          <w:b/>
          <w:bCs/>
          <w:color w:val="000000" w:themeColor="text1"/>
          <w:sz w:val="20"/>
          <w:szCs w:val="20"/>
        </w:rPr>
        <w:t xml:space="preserve">3.1.2 </w:t>
      </w:r>
      <w:r w:rsidR="00633514" w:rsidRPr="005D0912">
        <w:rPr>
          <w:rFonts w:ascii="Arial" w:hAnsi="Arial" w:cs="Arial"/>
          <w:b/>
          <w:bCs/>
          <w:color w:val="000000" w:themeColor="text1"/>
          <w:sz w:val="20"/>
          <w:szCs w:val="20"/>
        </w:rPr>
        <w:t xml:space="preserve">Body Weight </w:t>
      </w:r>
      <w:r w:rsidR="00633514">
        <w:rPr>
          <w:rFonts w:ascii="Arial" w:hAnsi="Arial" w:cs="Arial"/>
          <w:b/>
          <w:bCs/>
          <w:color w:val="000000" w:themeColor="text1"/>
          <w:sz w:val="20"/>
          <w:szCs w:val="20"/>
        </w:rPr>
        <w:t>a</w:t>
      </w:r>
      <w:r w:rsidR="00633514" w:rsidRPr="005D0912">
        <w:rPr>
          <w:rFonts w:ascii="Arial" w:hAnsi="Arial" w:cs="Arial"/>
          <w:b/>
          <w:bCs/>
          <w:color w:val="000000" w:themeColor="text1"/>
          <w:sz w:val="20"/>
          <w:szCs w:val="20"/>
        </w:rPr>
        <w:t>t Weaning</w:t>
      </w:r>
    </w:p>
    <w:p w14:paraId="359AAFB0" w14:textId="01EF8CA0"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 xml:space="preserve">The LSM for weaning weight (11.779 ± 0.039 kg; n = 1,372) is among the higher estimates reported for crossbred pigs in India. Comparable values </w:t>
      </w:r>
      <w:r w:rsidR="00655710" w:rsidRPr="005D0912">
        <w:rPr>
          <w:rFonts w:ascii="Arial" w:hAnsi="Arial" w:cs="Arial"/>
          <w:color w:val="000000" w:themeColor="text1"/>
          <w:sz w:val="20"/>
          <w:szCs w:val="20"/>
        </w:rPr>
        <w:t>were</w:t>
      </w:r>
      <w:r w:rsidRPr="005D0912">
        <w:rPr>
          <w:rFonts w:ascii="Arial" w:hAnsi="Arial" w:cs="Arial"/>
          <w:color w:val="000000" w:themeColor="text1"/>
          <w:sz w:val="20"/>
          <w:szCs w:val="20"/>
        </w:rPr>
        <w:t xml:space="preserve"> obtained by Kalita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(2006) in ¾ Hampshire × ¼ indigenous pigs (10.618 ± 0.109 kg). Substantially lower weaning weights have been documented in indigenous breeds such as </w:t>
      </w:r>
      <w:proofErr w:type="spellStart"/>
      <w:r w:rsidRPr="005D0912">
        <w:rPr>
          <w:rFonts w:ascii="Arial" w:hAnsi="Arial" w:cs="Arial"/>
          <w:color w:val="000000" w:themeColor="text1"/>
          <w:sz w:val="20"/>
          <w:szCs w:val="20"/>
        </w:rPr>
        <w:t>Agonda</w:t>
      </w:r>
      <w:proofErr w:type="spellEnd"/>
      <w:r w:rsidRPr="005D0912">
        <w:rPr>
          <w:rFonts w:ascii="Arial" w:hAnsi="Arial" w:cs="Arial"/>
          <w:color w:val="000000" w:themeColor="text1"/>
          <w:sz w:val="20"/>
          <w:szCs w:val="20"/>
        </w:rPr>
        <w:t xml:space="preserve"> Goan pigs (3.76 ± 0.12 kg; </w:t>
      </w:r>
      <w:proofErr w:type="spellStart"/>
      <w:r w:rsidRPr="005D0912">
        <w:rPr>
          <w:rFonts w:ascii="Arial" w:hAnsi="Arial" w:cs="Arial"/>
          <w:color w:val="000000" w:themeColor="text1"/>
          <w:sz w:val="20"/>
          <w:szCs w:val="20"/>
        </w:rPr>
        <w:t>Chakurkar</w:t>
      </w:r>
      <w:proofErr w:type="spellEnd"/>
      <w:r w:rsidRPr="005D0912">
        <w:rPr>
          <w:rFonts w:ascii="Arial" w:hAnsi="Arial" w:cs="Arial"/>
          <w:color w:val="000000" w:themeColor="text1"/>
          <w:sz w:val="20"/>
          <w:szCs w:val="20"/>
        </w:rPr>
        <w:t xml:space="preserv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2023), </w:t>
      </w:r>
      <w:proofErr w:type="spellStart"/>
      <w:r w:rsidRPr="005D0912">
        <w:rPr>
          <w:rFonts w:ascii="Arial" w:hAnsi="Arial" w:cs="Arial"/>
          <w:color w:val="000000" w:themeColor="text1"/>
          <w:sz w:val="20"/>
          <w:szCs w:val="20"/>
        </w:rPr>
        <w:t>Suwo</w:t>
      </w:r>
      <w:proofErr w:type="spellEnd"/>
      <w:r w:rsidRPr="005D0912">
        <w:rPr>
          <w:rFonts w:ascii="Arial" w:hAnsi="Arial" w:cs="Arial"/>
          <w:color w:val="000000" w:themeColor="text1"/>
          <w:sz w:val="20"/>
          <w:szCs w:val="20"/>
        </w:rPr>
        <w:t xml:space="preserve"> pigs of Nagaland (3.91 ± 0.10 kg; Zaman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2017), Nigerian indigenous pigs (4.17 ± 0.20 kg; Adeoye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2016), and </w:t>
      </w:r>
      <w:proofErr w:type="spellStart"/>
      <w:r w:rsidRPr="005D0912">
        <w:rPr>
          <w:rFonts w:ascii="Arial" w:hAnsi="Arial" w:cs="Arial"/>
          <w:color w:val="000000" w:themeColor="text1"/>
          <w:sz w:val="20"/>
          <w:szCs w:val="20"/>
        </w:rPr>
        <w:t>Tenyi</w:t>
      </w:r>
      <w:proofErr w:type="spellEnd"/>
      <w:r w:rsidRPr="005D0912">
        <w:rPr>
          <w:rFonts w:ascii="Arial" w:hAnsi="Arial" w:cs="Arial"/>
          <w:color w:val="000000" w:themeColor="text1"/>
          <w:sz w:val="20"/>
          <w:szCs w:val="20"/>
        </w:rPr>
        <w:t xml:space="preserve"> Vo pigs (4.32 ± 0.43 kg; </w:t>
      </w:r>
      <w:proofErr w:type="spellStart"/>
      <w:r w:rsidRPr="005D0912">
        <w:rPr>
          <w:rFonts w:ascii="Arial" w:hAnsi="Arial" w:cs="Arial"/>
          <w:color w:val="000000" w:themeColor="text1"/>
          <w:sz w:val="20"/>
          <w:szCs w:val="20"/>
        </w:rPr>
        <w:t>Yeptho</w:t>
      </w:r>
      <w:proofErr w:type="spellEnd"/>
      <w:r w:rsidRPr="005D0912">
        <w:rPr>
          <w:rFonts w:ascii="Arial" w:hAnsi="Arial" w:cs="Arial"/>
          <w:color w:val="000000" w:themeColor="text1"/>
          <w:sz w:val="20"/>
          <w:szCs w:val="20"/>
        </w:rPr>
        <w:t xml:space="preserv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2022). The pronounced difference in weaning </w:t>
      </w:r>
      <w:r w:rsidR="00655710" w:rsidRPr="005D0912">
        <w:rPr>
          <w:rFonts w:ascii="Arial" w:hAnsi="Arial" w:cs="Arial"/>
          <w:color w:val="000000" w:themeColor="text1"/>
          <w:sz w:val="20"/>
          <w:szCs w:val="20"/>
        </w:rPr>
        <w:t xml:space="preserve">weighted </w:t>
      </w:r>
      <w:r w:rsidRPr="005D0912">
        <w:rPr>
          <w:rFonts w:ascii="Arial" w:hAnsi="Arial" w:cs="Arial"/>
          <w:color w:val="000000" w:themeColor="text1"/>
          <w:sz w:val="20"/>
          <w:szCs w:val="20"/>
        </w:rPr>
        <w:t>between HD-K75 and indigenous breeds may be attributed to differences in genetic composition, management system, nutritional inputs, and age at weaning.</w:t>
      </w:r>
    </w:p>
    <w:p w14:paraId="0A52C25D" w14:textId="17F8120F" w:rsidR="00511253" w:rsidRPr="005D0912" w:rsidRDefault="00FF31BF">
      <w:pPr>
        <w:spacing w:before="140" w:after="60"/>
        <w:rPr>
          <w:rFonts w:ascii="Arial" w:hAnsi="Arial" w:cs="Arial"/>
          <w:color w:val="000000" w:themeColor="text1"/>
          <w:sz w:val="20"/>
          <w:szCs w:val="20"/>
        </w:rPr>
      </w:pPr>
      <w:r w:rsidRPr="005D0912">
        <w:rPr>
          <w:rFonts w:ascii="Arial" w:hAnsi="Arial" w:cs="Arial"/>
          <w:b/>
          <w:bCs/>
          <w:color w:val="000000" w:themeColor="text1"/>
          <w:sz w:val="20"/>
          <w:szCs w:val="20"/>
        </w:rPr>
        <w:t xml:space="preserve">3.1.3 </w:t>
      </w:r>
      <w:r w:rsidR="00633514" w:rsidRPr="005D0912">
        <w:rPr>
          <w:rFonts w:ascii="Arial" w:hAnsi="Arial" w:cs="Arial"/>
          <w:b/>
          <w:bCs/>
          <w:color w:val="000000" w:themeColor="text1"/>
          <w:sz w:val="20"/>
          <w:szCs w:val="20"/>
        </w:rPr>
        <w:t xml:space="preserve">Body Weight </w:t>
      </w:r>
      <w:r w:rsidR="00633514">
        <w:rPr>
          <w:rFonts w:ascii="Arial" w:hAnsi="Arial" w:cs="Arial"/>
          <w:b/>
          <w:bCs/>
          <w:color w:val="000000" w:themeColor="text1"/>
          <w:sz w:val="20"/>
          <w:szCs w:val="20"/>
        </w:rPr>
        <w:t>a</w:t>
      </w:r>
      <w:r w:rsidR="00633514" w:rsidRPr="005D0912">
        <w:rPr>
          <w:rFonts w:ascii="Arial" w:hAnsi="Arial" w:cs="Arial"/>
          <w:b/>
          <w:bCs/>
          <w:color w:val="000000" w:themeColor="text1"/>
          <w:sz w:val="20"/>
          <w:szCs w:val="20"/>
        </w:rPr>
        <w:t>t Five Months</w:t>
      </w:r>
    </w:p>
    <w:p w14:paraId="23F731F1" w14:textId="77777777"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 xml:space="preserve">The LSM for body weight at five months of age (45.178 ± 0.289 kg; n = 111) was considerably higher than figures reported for several indigenous and crossbred genotypes, including </w:t>
      </w:r>
      <w:proofErr w:type="spellStart"/>
      <w:r w:rsidRPr="005D0912">
        <w:rPr>
          <w:rFonts w:ascii="Arial" w:hAnsi="Arial" w:cs="Arial"/>
          <w:color w:val="000000" w:themeColor="text1"/>
          <w:sz w:val="20"/>
          <w:szCs w:val="20"/>
        </w:rPr>
        <w:t>Zovawk</w:t>
      </w:r>
      <w:proofErr w:type="spellEnd"/>
      <w:r w:rsidRPr="005D0912">
        <w:rPr>
          <w:rFonts w:ascii="Arial" w:hAnsi="Arial" w:cs="Arial"/>
          <w:color w:val="000000" w:themeColor="text1"/>
          <w:sz w:val="20"/>
          <w:szCs w:val="20"/>
        </w:rPr>
        <w:t xml:space="preserve"> pigs of Mizoram (12.65 ± 3.4 kg; </w:t>
      </w:r>
      <w:proofErr w:type="spellStart"/>
      <w:r w:rsidRPr="005D0912">
        <w:rPr>
          <w:rFonts w:ascii="Arial" w:hAnsi="Arial" w:cs="Arial"/>
          <w:color w:val="000000" w:themeColor="text1"/>
          <w:sz w:val="20"/>
          <w:szCs w:val="20"/>
        </w:rPr>
        <w:t>Zosangpuii</w:t>
      </w:r>
      <w:proofErr w:type="spellEnd"/>
      <w:r w:rsidRPr="005D0912">
        <w:rPr>
          <w:rFonts w:ascii="Arial" w:hAnsi="Arial" w:cs="Arial"/>
          <w:color w:val="000000" w:themeColor="text1"/>
          <w:sz w:val="20"/>
          <w:szCs w:val="20"/>
        </w:rPr>
        <w:t xml:space="preserv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2020), Niang Megha pigs of Meghalaya (16.45 ± 1.23 kg; Kadirvel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2020), </w:t>
      </w:r>
      <w:proofErr w:type="spellStart"/>
      <w:r w:rsidRPr="005D0912">
        <w:rPr>
          <w:rFonts w:ascii="Arial" w:hAnsi="Arial" w:cs="Arial"/>
          <w:color w:val="000000" w:themeColor="text1"/>
          <w:sz w:val="20"/>
          <w:szCs w:val="20"/>
        </w:rPr>
        <w:t>Agonda</w:t>
      </w:r>
      <w:proofErr w:type="spellEnd"/>
      <w:r w:rsidRPr="005D0912">
        <w:rPr>
          <w:rFonts w:ascii="Arial" w:hAnsi="Arial" w:cs="Arial"/>
          <w:color w:val="000000" w:themeColor="text1"/>
          <w:sz w:val="20"/>
          <w:szCs w:val="20"/>
        </w:rPr>
        <w:t xml:space="preserve"> Goan pigs of Goa (17.92 ± 0.83 kg; </w:t>
      </w:r>
      <w:proofErr w:type="spellStart"/>
      <w:r w:rsidRPr="005D0912">
        <w:rPr>
          <w:rFonts w:ascii="Arial" w:hAnsi="Arial" w:cs="Arial"/>
          <w:color w:val="000000" w:themeColor="text1"/>
          <w:sz w:val="20"/>
          <w:szCs w:val="20"/>
        </w:rPr>
        <w:t>Chakurkar</w:t>
      </w:r>
      <w:proofErr w:type="spellEnd"/>
      <w:r w:rsidRPr="005D0912">
        <w:rPr>
          <w:rFonts w:ascii="Arial" w:hAnsi="Arial" w:cs="Arial"/>
          <w:color w:val="000000" w:themeColor="text1"/>
          <w:sz w:val="20"/>
          <w:szCs w:val="20"/>
        </w:rPr>
        <w:t xml:space="preserv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2023), and Tamworth × Jharkhand desi pigs (23.70 ± 0.55 kg; Kadirvel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2020). The superior five-month weight of HD-K75 is consistent with its higher proportion of Hampshire inheritance and the uniform management practices at the nucleus herd.</w:t>
      </w:r>
    </w:p>
    <w:p w14:paraId="5D43C151" w14:textId="6D24ADE9" w:rsidR="00511253" w:rsidRPr="005D0912" w:rsidRDefault="00FF31BF">
      <w:pPr>
        <w:spacing w:before="140" w:after="60"/>
        <w:rPr>
          <w:rFonts w:ascii="Arial" w:hAnsi="Arial" w:cs="Arial"/>
          <w:color w:val="000000" w:themeColor="text1"/>
          <w:sz w:val="20"/>
          <w:szCs w:val="20"/>
        </w:rPr>
      </w:pPr>
      <w:r w:rsidRPr="005D0912">
        <w:rPr>
          <w:rFonts w:ascii="Arial" w:hAnsi="Arial" w:cs="Arial"/>
          <w:b/>
          <w:bCs/>
          <w:color w:val="000000" w:themeColor="text1"/>
          <w:sz w:val="20"/>
          <w:szCs w:val="20"/>
        </w:rPr>
        <w:t xml:space="preserve">3.1.4 </w:t>
      </w:r>
      <w:r w:rsidR="00633514" w:rsidRPr="005D0912">
        <w:rPr>
          <w:rFonts w:ascii="Arial" w:hAnsi="Arial" w:cs="Arial"/>
          <w:b/>
          <w:bCs/>
          <w:color w:val="000000" w:themeColor="text1"/>
          <w:sz w:val="20"/>
          <w:szCs w:val="20"/>
        </w:rPr>
        <w:t xml:space="preserve">Body Weight </w:t>
      </w:r>
      <w:r w:rsidR="00633514">
        <w:rPr>
          <w:rFonts w:ascii="Arial" w:hAnsi="Arial" w:cs="Arial"/>
          <w:b/>
          <w:bCs/>
          <w:color w:val="000000" w:themeColor="text1"/>
          <w:sz w:val="20"/>
          <w:szCs w:val="20"/>
        </w:rPr>
        <w:t>a</w:t>
      </w:r>
      <w:r w:rsidR="00633514" w:rsidRPr="005D0912">
        <w:rPr>
          <w:rFonts w:ascii="Arial" w:hAnsi="Arial" w:cs="Arial"/>
          <w:b/>
          <w:bCs/>
          <w:color w:val="000000" w:themeColor="text1"/>
          <w:sz w:val="20"/>
          <w:szCs w:val="20"/>
        </w:rPr>
        <w:t>t Eight Months</w:t>
      </w:r>
    </w:p>
    <w:p w14:paraId="0B5C274E" w14:textId="77777777"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 xml:space="preserve">The LSM for body weight at eight months of age (75.371 ± 0.515 kg; n = 111) was comparable to that reported by Bayan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(2024) in the same genotype (71.229 ± 0.110 kg). Substantially lower eight-month weights have been reported in indigenous and low-exotic-inheritance crossbreds, including local indigenous pigs of Assam (32.45 ± 1.48 kg; Singh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2020), </w:t>
      </w:r>
      <w:proofErr w:type="spellStart"/>
      <w:r w:rsidRPr="005D0912">
        <w:rPr>
          <w:rFonts w:ascii="Arial" w:hAnsi="Arial" w:cs="Arial"/>
          <w:color w:val="000000" w:themeColor="text1"/>
          <w:sz w:val="20"/>
          <w:szCs w:val="20"/>
        </w:rPr>
        <w:t>Zovawk</w:t>
      </w:r>
      <w:proofErr w:type="spellEnd"/>
      <w:r w:rsidRPr="005D0912">
        <w:rPr>
          <w:rFonts w:ascii="Arial" w:hAnsi="Arial" w:cs="Arial"/>
          <w:color w:val="000000" w:themeColor="text1"/>
          <w:sz w:val="20"/>
          <w:szCs w:val="20"/>
        </w:rPr>
        <w:t xml:space="preserve"> pigs (23.79 ± 5.2 kg; </w:t>
      </w:r>
      <w:proofErr w:type="spellStart"/>
      <w:r w:rsidRPr="005D0912">
        <w:rPr>
          <w:rFonts w:ascii="Arial" w:hAnsi="Arial" w:cs="Arial"/>
          <w:color w:val="000000" w:themeColor="text1"/>
          <w:sz w:val="20"/>
          <w:szCs w:val="20"/>
        </w:rPr>
        <w:t>Zosangpuii</w:t>
      </w:r>
      <w:proofErr w:type="spellEnd"/>
      <w:r w:rsidRPr="005D0912">
        <w:rPr>
          <w:rFonts w:ascii="Arial" w:hAnsi="Arial" w:cs="Arial"/>
          <w:color w:val="000000" w:themeColor="text1"/>
          <w:sz w:val="20"/>
          <w:szCs w:val="20"/>
        </w:rPr>
        <w:t xml:space="preserv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2020), Wak </w:t>
      </w:r>
      <w:proofErr w:type="spellStart"/>
      <w:r w:rsidRPr="005D0912">
        <w:rPr>
          <w:rFonts w:ascii="Arial" w:hAnsi="Arial" w:cs="Arial"/>
          <w:color w:val="000000" w:themeColor="text1"/>
          <w:sz w:val="20"/>
          <w:szCs w:val="20"/>
        </w:rPr>
        <w:t>Chambil</w:t>
      </w:r>
      <w:proofErr w:type="spellEnd"/>
      <w:r w:rsidRPr="005D0912">
        <w:rPr>
          <w:rFonts w:ascii="Arial" w:hAnsi="Arial" w:cs="Arial"/>
          <w:color w:val="000000" w:themeColor="text1"/>
          <w:sz w:val="20"/>
          <w:szCs w:val="20"/>
        </w:rPr>
        <w:t xml:space="preserve"> pigs of Meghalaya (27.59 ± 1.53 kg; Kadirvel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2021), and </w:t>
      </w:r>
      <w:proofErr w:type="spellStart"/>
      <w:r w:rsidRPr="005D0912">
        <w:rPr>
          <w:rFonts w:ascii="Arial" w:hAnsi="Arial" w:cs="Arial"/>
          <w:color w:val="000000" w:themeColor="text1"/>
          <w:sz w:val="20"/>
          <w:szCs w:val="20"/>
        </w:rPr>
        <w:t>Agonda</w:t>
      </w:r>
      <w:proofErr w:type="spellEnd"/>
      <w:r w:rsidRPr="005D0912">
        <w:rPr>
          <w:rFonts w:ascii="Arial" w:hAnsi="Arial" w:cs="Arial"/>
          <w:color w:val="000000" w:themeColor="text1"/>
          <w:sz w:val="20"/>
          <w:szCs w:val="20"/>
        </w:rPr>
        <w:t xml:space="preserve"> Goan pigs of Goa (34.53 ± 1.53 kg; </w:t>
      </w:r>
      <w:proofErr w:type="spellStart"/>
      <w:r w:rsidRPr="005D0912">
        <w:rPr>
          <w:rFonts w:ascii="Arial" w:hAnsi="Arial" w:cs="Arial"/>
          <w:color w:val="000000" w:themeColor="text1"/>
          <w:sz w:val="20"/>
          <w:szCs w:val="20"/>
        </w:rPr>
        <w:t>Chakurkar</w:t>
      </w:r>
      <w:proofErr w:type="spellEnd"/>
      <w:r w:rsidRPr="005D0912">
        <w:rPr>
          <w:rFonts w:ascii="Arial" w:hAnsi="Arial" w:cs="Arial"/>
          <w:color w:val="000000" w:themeColor="text1"/>
          <w:sz w:val="20"/>
          <w:szCs w:val="20"/>
        </w:rPr>
        <w:t xml:space="preserv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2023). The eight-month weight of HD-K75 is indicative of its potential for commercial slaughter at a market-acceptable weight within a reasonable production cycle.</w:t>
      </w:r>
    </w:p>
    <w:p w14:paraId="695C9DDF" w14:textId="4B78877C" w:rsidR="00511253" w:rsidRPr="005D0912" w:rsidRDefault="00FF31BF">
      <w:pPr>
        <w:spacing w:before="140" w:after="60"/>
        <w:rPr>
          <w:rFonts w:ascii="Arial" w:hAnsi="Arial" w:cs="Arial"/>
          <w:color w:val="000000" w:themeColor="text1"/>
          <w:sz w:val="20"/>
          <w:szCs w:val="20"/>
        </w:rPr>
      </w:pPr>
      <w:r w:rsidRPr="005D0912">
        <w:rPr>
          <w:rFonts w:ascii="Arial" w:hAnsi="Arial" w:cs="Arial"/>
          <w:b/>
          <w:bCs/>
          <w:color w:val="000000" w:themeColor="text1"/>
          <w:sz w:val="20"/>
          <w:szCs w:val="20"/>
        </w:rPr>
        <w:t xml:space="preserve">3.2 </w:t>
      </w:r>
      <w:r w:rsidR="00633514" w:rsidRPr="005D0912">
        <w:rPr>
          <w:rFonts w:ascii="Arial" w:hAnsi="Arial" w:cs="Arial"/>
          <w:b/>
          <w:bCs/>
          <w:color w:val="000000" w:themeColor="text1"/>
          <w:sz w:val="20"/>
          <w:szCs w:val="20"/>
        </w:rPr>
        <w:t>EFFECTS OF NON-GENETIC FACTORS ON BODY WEIGHT</w:t>
      </w:r>
    </w:p>
    <w:p w14:paraId="2121593E" w14:textId="77777777"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The results of least-squares analysis of variance examining the effects of season of birth, sex, and parity on body weight at different ages are presented in Table 2.</w:t>
      </w:r>
    </w:p>
    <w:p w14:paraId="17696236" w14:textId="0A5923AC" w:rsidR="00511253" w:rsidRPr="005D0912" w:rsidRDefault="00FF31BF">
      <w:pPr>
        <w:spacing w:before="140" w:after="60"/>
        <w:rPr>
          <w:rFonts w:ascii="Arial" w:hAnsi="Arial" w:cs="Arial"/>
          <w:color w:val="000000" w:themeColor="text1"/>
          <w:sz w:val="20"/>
          <w:szCs w:val="20"/>
        </w:rPr>
      </w:pPr>
      <w:r w:rsidRPr="005D0912">
        <w:rPr>
          <w:rFonts w:ascii="Arial" w:hAnsi="Arial" w:cs="Arial"/>
          <w:b/>
          <w:bCs/>
          <w:color w:val="000000" w:themeColor="text1"/>
          <w:sz w:val="20"/>
          <w:szCs w:val="20"/>
        </w:rPr>
        <w:t xml:space="preserve">3.2.1 </w:t>
      </w:r>
      <w:r w:rsidR="00633514" w:rsidRPr="005D0912">
        <w:rPr>
          <w:rFonts w:ascii="Arial" w:hAnsi="Arial" w:cs="Arial"/>
          <w:b/>
          <w:bCs/>
          <w:color w:val="000000" w:themeColor="text1"/>
          <w:sz w:val="20"/>
          <w:szCs w:val="20"/>
        </w:rPr>
        <w:t xml:space="preserve">Effect </w:t>
      </w:r>
      <w:r w:rsidR="00633514">
        <w:rPr>
          <w:rFonts w:ascii="Arial" w:hAnsi="Arial" w:cs="Arial"/>
          <w:b/>
          <w:bCs/>
          <w:color w:val="000000" w:themeColor="text1"/>
          <w:sz w:val="20"/>
          <w:szCs w:val="20"/>
        </w:rPr>
        <w:t>o</w:t>
      </w:r>
      <w:r w:rsidR="00633514" w:rsidRPr="005D0912">
        <w:rPr>
          <w:rFonts w:ascii="Arial" w:hAnsi="Arial" w:cs="Arial"/>
          <w:b/>
          <w:bCs/>
          <w:color w:val="000000" w:themeColor="text1"/>
          <w:sz w:val="20"/>
          <w:szCs w:val="20"/>
        </w:rPr>
        <w:t xml:space="preserve">f Season </w:t>
      </w:r>
      <w:r w:rsidR="00633514">
        <w:rPr>
          <w:rFonts w:ascii="Arial" w:hAnsi="Arial" w:cs="Arial"/>
          <w:b/>
          <w:bCs/>
          <w:color w:val="000000" w:themeColor="text1"/>
          <w:sz w:val="20"/>
          <w:szCs w:val="20"/>
        </w:rPr>
        <w:t>o</w:t>
      </w:r>
      <w:r w:rsidR="00633514" w:rsidRPr="005D0912">
        <w:rPr>
          <w:rFonts w:ascii="Arial" w:hAnsi="Arial" w:cs="Arial"/>
          <w:b/>
          <w:bCs/>
          <w:color w:val="000000" w:themeColor="text1"/>
          <w:sz w:val="20"/>
          <w:szCs w:val="20"/>
        </w:rPr>
        <w:t>f Birth</w:t>
      </w:r>
    </w:p>
    <w:p w14:paraId="40E97E6B" w14:textId="47795ACB"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 xml:space="preserve">Season of birth did not exert a significant influence on body weight at any of the ages studied (Table 2). This finding is in agreement with reports by </w:t>
      </w:r>
      <w:proofErr w:type="spellStart"/>
      <w:r w:rsidRPr="005D0912">
        <w:rPr>
          <w:rFonts w:ascii="Arial" w:hAnsi="Arial" w:cs="Arial"/>
          <w:color w:val="000000" w:themeColor="text1"/>
          <w:sz w:val="20"/>
          <w:szCs w:val="20"/>
        </w:rPr>
        <w:t>Palve</w:t>
      </w:r>
      <w:proofErr w:type="spellEnd"/>
      <w:r w:rsidRPr="005D0912">
        <w:rPr>
          <w:rFonts w:ascii="Arial" w:hAnsi="Arial" w:cs="Arial"/>
          <w:color w:val="000000" w:themeColor="text1"/>
          <w:sz w:val="20"/>
          <w:szCs w:val="20"/>
        </w:rPr>
        <w:t xml:space="preserv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(2000), Pradeep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(2004), Kumari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(2005), Kaushik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(2017), and Bey (2018</w:t>
      </w:r>
      <w:r w:rsidRPr="006E5648">
        <w:rPr>
          <w:rFonts w:ascii="Arial" w:hAnsi="Arial" w:cs="Arial"/>
          <w:color w:val="FF0000"/>
          <w:sz w:val="20"/>
          <w:szCs w:val="20"/>
        </w:rPr>
        <w:t>)</w:t>
      </w:r>
      <w:r w:rsidR="006E5648" w:rsidRPr="006E5648">
        <w:rPr>
          <w:color w:val="FF0000"/>
        </w:rPr>
        <w:t xml:space="preserve">- </w:t>
      </w:r>
      <w:r w:rsidR="006E5648" w:rsidRPr="006E5648">
        <w:rPr>
          <w:rFonts w:ascii="Arial" w:hAnsi="Arial" w:cs="Arial"/>
          <w:color w:val="FF0000"/>
          <w:sz w:val="20"/>
          <w:szCs w:val="20"/>
        </w:rPr>
        <w:t>this citation is not listed in the bibliography!</w:t>
      </w:r>
      <w:r w:rsidRPr="005D0912">
        <w:rPr>
          <w:rFonts w:ascii="Arial" w:hAnsi="Arial" w:cs="Arial"/>
          <w:color w:val="000000" w:themeColor="text1"/>
          <w:sz w:val="20"/>
          <w:szCs w:val="20"/>
        </w:rPr>
        <w:t xml:space="preserve">. The non-significance of season may be attributed to the standardized intensive management system, uniform feeding schedule, and temperature-regulated housing maintained at the nucleus herd, which effectively buffer seasonal climatic variation. In contrast, significant seasonal effects on body weight have been reported by Prakash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(2008), Naha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(2017), </w:t>
      </w:r>
      <w:proofErr w:type="spellStart"/>
      <w:r w:rsidRPr="005D0912">
        <w:rPr>
          <w:rFonts w:ascii="Arial" w:hAnsi="Arial" w:cs="Arial"/>
          <w:color w:val="000000" w:themeColor="text1"/>
          <w:sz w:val="20"/>
          <w:szCs w:val="20"/>
        </w:rPr>
        <w:t>Gowrimanokari</w:t>
      </w:r>
      <w:proofErr w:type="spellEnd"/>
      <w:r w:rsidRPr="005D0912">
        <w:rPr>
          <w:rFonts w:ascii="Arial" w:hAnsi="Arial" w:cs="Arial"/>
          <w:color w:val="000000" w:themeColor="text1"/>
          <w:sz w:val="20"/>
          <w:szCs w:val="20"/>
        </w:rPr>
        <w:t xml:space="preserv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(2018), Reddy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(2022), and Bayan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(2024), possibly reflecting greater agroclimatic variation and less-controlled management in those studies.</w:t>
      </w:r>
    </w:p>
    <w:p w14:paraId="58A3AFAD" w14:textId="77777777" w:rsidR="00511253" w:rsidRPr="005D0912" w:rsidRDefault="00FF31BF">
      <w:pPr>
        <w:spacing w:before="140" w:after="60"/>
        <w:rPr>
          <w:rFonts w:ascii="Arial" w:hAnsi="Arial" w:cs="Arial"/>
          <w:color w:val="000000" w:themeColor="text1"/>
          <w:sz w:val="20"/>
          <w:szCs w:val="20"/>
        </w:rPr>
      </w:pPr>
      <w:r w:rsidRPr="005D0912">
        <w:rPr>
          <w:rFonts w:ascii="Arial" w:hAnsi="Arial" w:cs="Arial"/>
          <w:b/>
          <w:bCs/>
          <w:color w:val="000000" w:themeColor="text1"/>
          <w:sz w:val="20"/>
          <w:szCs w:val="20"/>
        </w:rPr>
        <w:t>3.2.2 Effect of Sex</w:t>
      </w:r>
    </w:p>
    <w:p w14:paraId="1A9773C4" w14:textId="0EFF3D70"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 xml:space="preserve">Sex had a significant effect on body weight at birth (P &lt; 0.05), with male piglets recording a significantly higher mean birth weight (1.066 ± 0.005 kg) compared to female piglets (1.052 ± 0.005 kg). The influence of sex on body weight at weaning, five months, and eight months of age was not significant, although males tended to be heavier at all post-weaning stages. The significant sex effect on birth weight </w:t>
      </w:r>
      <w:r w:rsidRPr="005D0912">
        <w:rPr>
          <w:rFonts w:ascii="Arial" w:hAnsi="Arial" w:cs="Arial"/>
          <w:color w:val="000000" w:themeColor="text1"/>
          <w:sz w:val="20"/>
          <w:szCs w:val="20"/>
        </w:rPr>
        <w:lastRenderedPageBreak/>
        <w:t xml:space="preserve">observed in the present study is consistent with the findings of Deka and </w:t>
      </w:r>
      <w:proofErr w:type="spellStart"/>
      <w:r w:rsidRPr="005D0912">
        <w:rPr>
          <w:rFonts w:ascii="Arial" w:hAnsi="Arial" w:cs="Arial"/>
          <w:color w:val="000000" w:themeColor="text1"/>
          <w:sz w:val="20"/>
          <w:szCs w:val="20"/>
        </w:rPr>
        <w:t>Bardoloi</w:t>
      </w:r>
      <w:proofErr w:type="spellEnd"/>
      <w:r w:rsidRPr="005D0912">
        <w:rPr>
          <w:rFonts w:ascii="Arial" w:hAnsi="Arial" w:cs="Arial"/>
          <w:color w:val="000000" w:themeColor="text1"/>
          <w:sz w:val="20"/>
          <w:szCs w:val="20"/>
        </w:rPr>
        <w:t xml:space="preserve"> (2004), Kalita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(2006),</w:t>
      </w:r>
      <w:r w:rsidR="0066198F" w:rsidRPr="005D0912">
        <w:rPr>
          <w:rFonts w:ascii="Arial" w:hAnsi="Arial" w:cs="Arial"/>
          <w:color w:val="000000" w:themeColor="text1"/>
          <w:sz w:val="20"/>
          <w:szCs w:val="20"/>
        </w:rPr>
        <w:t xml:space="preserve"> </w:t>
      </w:r>
      <w:r w:rsidRPr="005D0912">
        <w:rPr>
          <w:rFonts w:ascii="Arial" w:hAnsi="Arial" w:cs="Arial"/>
          <w:color w:val="000000" w:themeColor="text1"/>
          <w:sz w:val="20"/>
          <w:szCs w:val="20"/>
        </w:rPr>
        <w:t xml:space="preserve">Lalremruata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(2015), Aier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(2020), and Buthelezi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(2024). A non-significant sex effect on birth weight was reported by Kalita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(2001), Deka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(2004), Devendran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(2015), and Bey (2018)</w:t>
      </w:r>
      <w:r w:rsidR="006E5648" w:rsidRPr="006E5648">
        <w:rPr>
          <w:color w:val="FF0000"/>
        </w:rPr>
        <w:t>-</w:t>
      </w:r>
      <w:r w:rsidR="006E5648">
        <w:t xml:space="preserve"> </w:t>
      </w:r>
      <w:r w:rsidR="006E5648" w:rsidRPr="006E5648">
        <w:rPr>
          <w:rFonts w:ascii="Arial" w:hAnsi="Arial" w:cs="Arial"/>
          <w:color w:val="FF0000"/>
          <w:sz w:val="20"/>
          <w:szCs w:val="20"/>
        </w:rPr>
        <w:t>this citation is not listed in the bibliography!</w:t>
      </w:r>
      <w:r w:rsidRPr="006E5648">
        <w:rPr>
          <w:rFonts w:ascii="Arial" w:hAnsi="Arial" w:cs="Arial"/>
          <w:color w:val="FF0000"/>
          <w:sz w:val="20"/>
          <w:szCs w:val="20"/>
        </w:rPr>
        <w:t xml:space="preserve">. </w:t>
      </w:r>
      <w:r w:rsidRPr="005D0912">
        <w:rPr>
          <w:rFonts w:ascii="Arial" w:hAnsi="Arial" w:cs="Arial"/>
          <w:color w:val="000000" w:themeColor="text1"/>
          <w:sz w:val="20"/>
          <w:szCs w:val="20"/>
        </w:rPr>
        <w:t xml:space="preserve">Significant sex effects at weaning and older ages have been reported by Banik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(2013), Chusi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(2015), Reddy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(2022), and Bayan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(2024), which may reflect the differential expression of sex hormones at later developmental stages and variation in management practices among studies.</w:t>
      </w:r>
    </w:p>
    <w:p w14:paraId="3F40D99B" w14:textId="77777777" w:rsidR="00511253" w:rsidRPr="005D0912" w:rsidRDefault="00FF31BF">
      <w:pPr>
        <w:spacing w:before="140" w:after="60"/>
        <w:rPr>
          <w:rFonts w:ascii="Arial" w:hAnsi="Arial" w:cs="Arial"/>
          <w:color w:val="000000" w:themeColor="text1"/>
          <w:sz w:val="20"/>
          <w:szCs w:val="20"/>
        </w:rPr>
      </w:pPr>
      <w:r w:rsidRPr="005D0912">
        <w:rPr>
          <w:rFonts w:ascii="Arial" w:hAnsi="Arial" w:cs="Arial"/>
          <w:b/>
          <w:bCs/>
          <w:color w:val="000000" w:themeColor="text1"/>
          <w:sz w:val="20"/>
          <w:szCs w:val="20"/>
        </w:rPr>
        <w:t>3.2.3 Effect of Parity</w:t>
      </w:r>
    </w:p>
    <w:p w14:paraId="35E8DA03" w14:textId="531486EE" w:rsidR="00511253" w:rsidRPr="005D0912" w:rsidRDefault="00FF31BF">
      <w:pPr>
        <w:spacing w:before="60" w:after="60" w:line="276" w:lineRule="auto"/>
        <w:ind w:firstLine="720"/>
        <w:jc w:val="both"/>
        <w:rPr>
          <w:rFonts w:ascii="Arial" w:hAnsi="Arial" w:cs="Arial"/>
          <w:color w:val="000000" w:themeColor="text1"/>
          <w:sz w:val="20"/>
          <w:szCs w:val="20"/>
        </w:rPr>
      </w:pPr>
      <w:r w:rsidRPr="005D0912">
        <w:rPr>
          <w:rFonts w:ascii="Arial" w:hAnsi="Arial" w:cs="Arial"/>
          <w:color w:val="000000" w:themeColor="text1"/>
          <w:sz w:val="20"/>
          <w:szCs w:val="20"/>
        </w:rPr>
        <w:t xml:space="preserve">Parity significantly influenced body weight at birth and at weaning, but not at five months or eight months of age. Piglets born to third-parity sows had the highest birth weight (1.075 ± 0.007 kg) and weaning weight (11.905 ± 0.079 kg), while piglets from first-parity sows recorded the lowest values (1.037 ± 0.008 kg and 11.701 ± 0.083 kg at birth and weaning, respectively). A progressive increase in body weight from parity 1 to parity 3 was observed, a trend consistent with reports by Knecht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(2015), Kaushik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(2017), </w:t>
      </w:r>
      <w:proofErr w:type="spellStart"/>
      <w:r w:rsidRPr="005D0912">
        <w:rPr>
          <w:rFonts w:ascii="Arial" w:hAnsi="Arial" w:cs="Arial"/>
          <w:color w:val="000000" w:themeColor="text1"/>
          <w:sz w:val="20"/>
          <w:szCs w:val="20"/>
        </w:rPr>
        <w:t>Gowrimanokari</w:t>
      </w:r>
      <w:proofErr w:type="spellEnd"/>
      <w:r w:rsidRPr="005D0912">
        <w:rPr>
          <w:rFonts w:ascii="Arial" w:hAnsi="Arial" w:cs="Arial"/>
          <w:color w:val="000000" w:themeColor="text1"/>
          <w:sz w:val="20"/>
          <w:szCs w:val="20"/>
        </w:rPr>
        <w:t xml:space="preserv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(2018), and Bayan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(2024). Significant parity effects on birth weight alone were reported by Buthelezi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(2024), while Adeoye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(2016) reported significant parity effects specifically at weaning. Aier </w:t>
      </w:r>
      <w:r w:rsidRPr="005D0912">
        <w:rPr>
          <w:rFonts w:ascii="Arial" w:hAnsi="Arial" w:cs="Arial"/>
          <w:i/>
          <w:iCs/>
          <w:color w:val="000000" w:themeColor="text1"/>
          <w:sz w:val="20"/>
          <w:szCs w:val="20"/>
        </w:rPr>
        <w:t>et al.</w:t>
      </w:r>
      <w:r w:rsidRPr="005D0912">
        <w:rPr>
          <w:rFonts w:ascii="Arial" w:hAnsi="Arial" w:cs="Arial"/>
          <w:color w:val="000000" w:themeColor="text1"/>
          <w:sz w:val="20"/>
          <w:szCs w:val="20"/>
        </w:rPr>
        <w:t xml:space="preserve"> (2020) found parity to exert a non-significant influence on both birth and weaning weights. The superior birth and weaning weights of piglets from third-parity sows may be explained by greater physiological maturity of older sows, increased body reserves, enhanced uterine capacity, and improved mammary gland development and secretory function, leading to superior prenatal nutrition and higher colostrum and milk yield in early lactation. The non-significant parity effect at five and eight months of age suggests that post-weaning growth is primarily governed by the individual genetic potential of the animal and uniform environmental management, rather than the dam's parity.</w:t>
      </w:r>
    </w:p>
    <w:p w14:paraId="4100829A" w14:textId="77777777" w:rsidR="00511253" w:rsidRPr="005D0912" w:rsidRDefault="00511253">
      <w:pPr>
        <w:spacing w:before="200"/>
        <w:rPr>
          <w:rFonts w:ascii="Arial" w:hAnsi="Arial" w:cs="Arial"/>
          <w:color w:val="000000" w:themeColor="text1"/>
          <w:sz w:val="20"/>
          <w:szCs w:val="20"/>
        </w:rPr>
      </w:pPr>
    </w:p>
    <w:p w14:paraId="4B9F1BCC" w14:textId="77777777" w:rsidR="00511253" w:rsidRPr="005D0912" w:rsidRDefault="00FF31BF">
      <w:pPr>
        <w:spacing w:before="160" w:after="80"/>
        <w:jc w:val="center"/>
        <w:rPr>
          <w:rFonts w:ascii="Arial" w:hAnsi="Arial" w:cs="Arial"/>
          <w:color w:val="000000" w:themeColor="text1"/>
          <w:sz w:val="20"/>
          <w:szCs w:val="20"/>
        </w:rPr>
      </w:pPr>
      <w:r w:rsidRPr="005D0912">
        <w:rPr>
          <w:rFonts w:ascii="Arial" w:hAnsi="Arial" w:cs="Arial"/>
          <w:b/>
          <w:bCs/>
          <w:color w:val="000000" w:themeColor="text1"/>
          <w:sz w:val="20"/>
          <w:szCs w:val="20"/>
        </w:rPr>
        <w:t>Table 1. Least-squares means (LSM ± SE) and results of Duncan's Multiple Range Test (DMRT) for body weight at birth, weaning, five months, and eight months of age in HD-K75 pigs classified by season of birth, sex, and parity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790"/>
        <w:gridCol w:w="1790"/>
        <w:gridCol w:w="1790"/>
        <w:gridCol w:w="1790"/>
      </w:tblGrid>
      <w:tr w:rsidR="00511253" w:rsidRPr="005D0912" w14:paraId="49262250" w14:textId="77777777" w:rsidTr="00F13674">
        <w:tc>
          <w:tcPr>
            <w:tcW w:w="2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1FA3062"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Sub-class</w:t>
            </w:r>
          </w:p>
        </w:tc>
        <w:tc>
          <w:tcPr>
            <w:tcW w:w="179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61F002F"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Birth weight (kg)</w:t>
            </w:r>
          </w:p>
        </w:tc>
        <w:tc>
          <w:tcPr>
            <w:tcW w:w="179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E56EA15" w14:textId="094E49BB"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Weaning weight (kg)</w:t>
            </w:r>
          </w:p>
        </w:tc>
        <w:tc>
          <w:tcPr>
            <w:tcW w:w="179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75F0DC1"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Body weight at 5 months (kg)</w:t>
            </w:r>
          </w:p>
        </w:tc>
        <w:tc>
          <w:tcPr>
            <w:tcW w:w="179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49F950F"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Body weight at 8 months (kg)</w:t>
            </w:r>
          </w:p>
        </w:tc>
      </w:tr>
      <w:tr w:rsidR="00511253" w:rsidRPr="005D0912" w14:paraId="466CA80C" w14:textId="77777777" w:rsidTr="00F13674">
        <w:tc>
          <w:tcPr>
            <w:tcW w:w="22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6FF23F0" w14:textId="77777777" w:rsidR="00511253" w:rsidRPr="005D0912" w:rsidRDefault="00511253">
            <w:pPr>
              <w:jc w:val="center"/>
              <w:rPr>
                <w:rFonts w:ascii="Arial" w:hAnsi="Arial" w:cs="Arial"/>
                <w:color w:val="000000" w:themeColor="text1"/>
                <w:sz w:val="20"/>
                <w:szCs w:val="20"/>
              </w:rPr>
            </w:pPr>
          </w:p>
        </w:tc>
        <w:tc>
          <w:tcPr>
            <w:tcW w:w="179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51295F7"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LSM ± SE (N)</w:t>
            </w:r>
          </w:p>
        </w:tc>
        <w:tc>
          <w:tcPr>
            <w:tcW w:w="179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50FEE2A"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LSM ± SE (N)</w:t>
            </w:r>
          </w:p>
        </w:tc>
        <w:tc>
          <w:tcPr>
            <w:tcW w:w="179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F307508"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LSM ± SE (N)</w:t>
            </w:r>
          </w:p>
        </w:tc>
        <w:tc>
          <w:tcPr>
            <w:tcW w:w="179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106A174"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LSM ± SE (N)</w:t>
            </w:r>
          </w:p>
        </w:tc>
      </w:tr>
      <w:tr w:rsidR="00511253" w:rsidRPr="005D0912" w14:paraId="35621981" w14:textId="77777777" w:rsidTr="00F13674">
        <w:tc>
          <w:tcPr>
            <w:tcW w:w="220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5177A415" w14:textId="77777777" w:rsidR="00511253" w:rsidRPr="005D0912" w:rsidRDefault="00FF31BF">
            <w:pPr>
              <w:rPr>
                <w:rFonts w:ascii="Arial" w:hAnsi="Arial" w:cs="Arial"/>
                <w:color w:val="000000" w:themeColor="text1"/>
                <w:sz w:val="20"/>
                <w:szCs w:val="20"/>
              </w:rPr>
            </w:pPr>
            <w:r w:rsidRPr="005D0912">
              <w:rPr>
                <w:rFonts w:ascii="Arial" w:hAnsi="Arial" w:cs="Arial"/>
                <w:b/>
                <w:bCs/>
                <w:color w:val="000000" w:themeColor="text1"/>
                <w:sz w:val="20"/>
                <w:szCs w:val="20"/>
              </w:rPr>
              <w:t>Overall mean (µ)</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75DE9DA8"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1.059 ± 0.004 (1416)</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785322AD"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11.779 ± 0.039 (1372)</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28662F60"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45.178 ± 0.289 (111)</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73343855"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75.371 ± 0.515 (111)</w:t>
            </w:r>
          </w:p>
        </w:tc>
      </w:tr>
      <w:tr w:rsidR="00511253" w:rsidRPr="005D0912" w14:paraId="3205F639" w14:textId="77777777" w:rsidTr="00F13674">
        <w:tc>
          <w:tcPr>
            <w:tcW w:w="220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0F7930D3" w14:textId="77777777" w:rsidR="00511253" w:rsidRPr="005D0912" w:rsidRDefault="00FF31BF">
            <w:pPr>
              <w:rPr>
                <w:rFonts w:ascii="Arial" w:hAnsi="Arial" w:cs="Arial"/>
                <w:color w:val="000000" w:themeColor="text1"/>
                <w:sz w:val="20"/>
                <w:szCs w:val="20"/>
              </w:rPr>
            </w:pPr>
            <w:r w:rsidRPr="005D0912">
              <w:rPr>
                <w:rFonts w:ascii="Arial" w:hAnsi="Arial" w:cs="Arial"/>
                <w:b/>
                <w:bCs/>
                <w:color w:val="000000" w:themeColor="text1"/>
                <w:sz w:val="20"/>
                <w:szCs w:val="20"/>
              </w:rPr>
              <w:t>Season of birth</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3752C2A7" w14:textId="77777777" w:rsidR="00511253" w:rsidRPr="005D0912" w:rsidRDefault="00511253">
            <w:pPr>
              <w:jc w:val="center"/>
              <w:rPr>
                <w:rFonts w:ascii="Arial" w:hAnsi="Arial" w:cs="Arial"/>
                <w:color w:val="000000" w:themeColor="text1"/>
                <w:sz w:val="20"/>
                <w:szCs w:val="20"/>
              </w:rPr>
            </w:pP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7D025CC0" w14:textId="77777777" w:rsidR="00511253" w:rsidRPr="005D0912" w:rsidRDefault="00511253">
            <w:pPr>
              <w:jc w:val="center"/>
              <w:rPr>
                <w:rFonts w:ascii="Arial" w:hAnsi="Arial" w:cs="Arial"/>
                <w:color w:val="000000" w:themeColor="text1"/>
                <w:sz w:val="20"/>
                <w:szCs w:val="20"/>
              </w:rPr>
            </w:pP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5EAD3B04" w14:textId="77777777" w:rsidR="00511253" w:rsidRPr="005D0912" w:rsidRDefault="00511253">
            <w:pPr>
              <w:jc w:val="center"/>
              <w:rPr>
                <w:rFonts w:ascii="Arial" w:hAnsi="Arial" w:cs="Arial"/>
                <w:color w:val="000000" w:themeColor="text1"/>
                <w:sz w:val="20"/>
                <w:szCs w:val="20"/>
              </w:rPr>
            </w:pP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36BDFFAA" w14:textId="77777777" w:rsidR="00511253" w:rsidRPr="005D0912" w:rsidRDefault="00511253">
            <w:pPr>
              <w:jc w:val="center"/>
              <w:rPr>
                <w:rFonts w:ascii="Arial" w:hAnsi="Arial" w:cs="Arial"/>
                <w:color w:val="000000" w:themeColor="text1"/>
                <w:sz w:val="20"/>
                <w:szCs w:val="20"/>
              </w:rPr>
            </w:pPr>
          </w:p>
        </w:tc>
      </w:tr>
      <w:tr w:rsidR="00511253" w:rsidRPr="005D0912" w14:paraId="08D9AC6B" w14:textId="77777777" w:rsidTr="00F13674">
        <w:tc>
          <w:tcPr>
            <w:tcW w:w="220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29C3BDE7" w14:textId="77777777" w:rsidR="00511253" w:rsidRPr="005D0912" w:rsidRDefault="00FF31BF">
            <w:pPr>
              <w:rPr>
                <w:rFonts w:ascii="Arial" w:hAnsi="Arial" w:cs="Arial"/>
                <w:color w:val="000000" w:themeColor="text1"/>
                <w:sz w:val="20"/>
                <w:szCs w:val="20"/>
              </w:rPr>
            </w:pPr>
            <w:r w:rsidRPr="005D0912">
              <w:rPr>
                <w:rFonts w:ascii="Arial" w:hAnsi="Arial" w:cs="Arial"/>
                <w:color w:val="000000" w:themeColor="text1"/>
                <w:sz w:val="20"/>
                <w:szCs w:val="20"/>
              </w:rPr>
              <w:t xml:space="preserve">  S1 (Mar–May)</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55590E8C"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1.042 ± 0.011 (311)</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54900393"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11.771 ± 0.111 (307)</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33E5FBC4"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18F84E1F"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w:t>
            </w:r>
          </w:p>
        </w:tc>
      </w:tr>
      <w:tr w:rsidR="00511253" w:rsidRPr="005D0912" w14:paraId="63BC63EA" w14:textId="77777777" w:rsidTr="00F13674">
        <w:tc>
          <w:tcPr>
            <w:tcW w:w="220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21B83E58" w14:textId="77777777" w:rsidR="00511253" w:rsidRPr="005D0912" w:rsidRDefault="00FF31BF">
            <w:pPr>
              <w:rPr>
                <w:rFonts w:ascii="Arial" w:hAnsi="Arial" w:cs="Arial"/>
                <w:color w:val="000000" w:themeColor="text1"/>
                <w:sz w:val="20"/>
                <w:szCs w:val="20"/>
              </w:rPr>
            </w:pPr>
            <w:r w:rsidRPr="005D0912">
              <w:rPr>
                <w:rFonts w:ascii="Arial" w:hAnsi="Arial" w:cs="Arial"/>
                <w:color w:val="000000" w:themeColor="text1"/>
                <w:sz w:val="20"/>
                <w:szCs w:val="20"/>
              </w:rPr>
              <w:t xml:space="preserve">  S2 (Jun–Sep)</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343C75A9"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1.067 ± 0.007 (275)</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0E7A9702"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11.711 ± 0.076 (260)</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0FFFED90"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44.941 ± 0.321 (35)</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68496BE0"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74.915 ± 0.572 (35)</w:t>
            </w:r>
          </w:p>
        </w:tc>
      </w:tr>
      <w:tr w:rsidR="00511253" w:rsidRPr="005D0912" w14:paraId="30E36C99" w14:textId="77777777" w:rsidTr="00F13674">
        <w:tc>
          <w:tcPr>
            <w:tcW w:w="220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4D51E54B" w14:textId="77777777" w:rsidR="00511253" w:rsidRPr="005D0912" w:rsidRDefault="00FF31BF">
            <w:pPr>
              <w:rPr>
                <w:rFonts w:ascii="Arial" w:hAnsi="Arial" w:cs="Arial"/>
                <w:color w:val="000000" w:themeColor="text1"/>
                <w:sz w:val="20"/>
                <w:szCs w:val="20"/>
              </w:rPr>
            </w:pPr>
            <w:r w:rsidRPr="005D0912">
              <w:rPr>
                <w:rFonts w:ascii="Arial" w:hAnsi="Arial" w:cs="Arial"/>
                <w:color w:val="000000" w:themeColor="text1"/>
                <w:sz w:val="20"/>
                <w:szCs w:val="20"/>
              </w:rPr>
              <w:t xml:space="preserve">  S3 (Oct–Nov)</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59D64D8E"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1.061 ± 0.006 (649)</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0D6A1C3A"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11.844 ± 0.065 (628)</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3AC9962B"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45.416 ± 0.376 (76)</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6292B2D4"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75.827 ± 0.669 (76)</w:t>
            </w:r>
          </w:p>
        </w:tc>
      </w:tr>
      <w:tr w:rsidR="00511253" w:rsidRPr="005D0912" w14:paraId="50A81F4F" w14:textId="77777777" w:rsidTr="00F13674">
        <w:tc>
          <w:tcPr>
            <w:tcW w:w="220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1FC9ED8B" w14:textId="77777777" w:rsidR="00511253" w:rsidRPr="005D0912" w:rsidRDefault="00FF31BF">
            <w:pPr>
              <w:rPr>
                <w:rFonts w:ascii="Arial" w:hAnsi="Arial" w:cs="Arial"/>
                <w:color w:val="000000" w:themeColor="text1"/>
                <w:sz w:val="20"/>
                <w:szCs w:val="20"/>
              </w:rPr>
            </w:pPr>
            <w:r w:rsidRPr="005D0912">
              <w:rPr>
                <w:rFonts w:ascii="Arial" w:hAnsi="Arial" w:cs="Arial"/>
                <w:color w:val="000000" w:themeColor="text1"/>
                <w:sz w:val="20"/>
                <w:szCs w:val="20"/>
              </w:rPr>
              <w:t xml:space="preserve">  S4 (Dec–Feb)</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20AABDAC"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1.067 ± 0.009 (181)</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513B3099"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11.789 ± 0.099 (177)</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66C43180"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0FABE620"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w:t>
            </w:r>
          </w:p>
        </w:tc>
      </w:tr>
      <w:tr w:rsidR="00511253" w:rsidRPr="005D0912" w14:paraId="7215D551" w14:textId="77777777" w:rsidTr="00F13674">
        <w:tc>
          <w:tcPr>
            <w:tcW w:w="220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5CC5F0B1" w14:textId="77777777" w:rsidR="00511253" w:rsidRPr="005D0912" w:rsidRDefault="00FF31BF">
            <w:pPr>
              <w:rPr>
                <w:rFonts w:ascii="Arial" w:hAnsi="Arial" w:cs="Arial"/>
                <w:color w:val="000000" w:themeColor="text1"/>
                <w:sz w:val="20"/>
                <w:szCs w:val="20"/>
              </w:rPr>
            </w:pPr>
            <w:r w:rsidRPr="005D0912">
              <w:rPr>
                <w:rFonts w:ascii="Arial" w:hAnsi="Arial" w:cs="Arial"/>
                <w:b/>
                <w:bCs/>
                <w:color w:val="000000" w:themeColor="text1"/>
                <w:sz w:val="20"/>
                <w:szCs w:val="20"/>
              </w:rPr>
              <w:t>Sex</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30AF8BB8" w14:textId="77777777" w:rsidR="00511253" w:rsidRPr="005D0912" w:rsidRDefault="00511253">
            <w:pPr>
              <w:jc w:val="center"/>
              <w:rPr>
                <w:rFonts w:ascii="Arial" w:hAnsi="Arial" w:cs="Arial"/>
                <w:color w:val="000000" w:themeColor="text1"/>
                <w:sz w:val="20"/>
                <w:szCs w:val="20"/>
              </w:rPr>
            </w:pP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598FEE61" w14:textId="77777777" w:rsidR="00511253" w:rsidRPr="005D0912" w:rsidRDefault="00511253">
            <w:pPr>
              <w:jc w:val="center"/>
              <w:rPr>
                <w:rFonts w:ascii="Arial" w:hAnsi="Arial" w:cs="Arial"/>
                <w:color w:val="000000" w:themeColor="text1"/>
                <w:sz w:val="20"/>
                <w:szCs w:val="20"/>
              </w:rPr>
            </w:pP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01B8E598" w14:textId="77777777" w:rsidR="00511253" w:rsidRPr="005D0912" w:rsidRDefault="00511253">
            <w:pPr>
              <w:jc w:val="center"/>
              <w:rPr>
                <w:rFonts w:ascii="Arial" w:hAnsi="Arial" w:cs="Arial"/>
                <w:color w:val="000000" w:themeColor="text1"/>
                <w:sz w:val="20"/>
                <w:szCs w:val="20"/>
              </w:rPr>
            </w:pP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2D4CB057" w14:textId="77777777" w:rsidR="00511253" w:rsidRPr="005D0912" w:rsidRDefault="00511253">
            <w:pPr>
              <w:jc w:val="center"/>
              <w:rPr>
                <w:rFonts w:ascii="Arial" w:hAnsi="Arial" w:cs="Arial"/>
                <w:color w:val="000000" w:themeColor="text1"/>
                <w:sz w:val="20"/>
                <w:szCs w:val="20"/>
              </w:rPr>
            </w:pPr>
          </w:p>
        </w:tc>
      </w:tr>
      <w:tr w:rsidR="00511253" w:rsidRPr="005D0912" w14:paraId="22E5FD42" w14:textId="77777777" w:rsidTr="00F13674">
        <w:tc>
          <w:tcPr>
            <w:tcW w:w="220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4AA581DB" w14:textId="77777777" w:rsidR="00511253" w:rsidRPr="005D0912" w:rsidRDefault="00FF31BF">
            <w:pPr>
              <w:rPr>
                <w:rFonts w:ascii="Arial" w:hAnsi="Arial" w:cs="Arial"/>
                <w:color w:val="000000" w:themeColor="text1"/>
                <w:sz w:val="20"/>
                <w:szCs w:val="20"/>
              </w:rPr>
            </w:pPr>
            <w:r w:rsidRPr="005D0912">
              <w:rPr>
                <w:rFonts w:ascii="Arial" w:hAnsi="Arial" w:cs="Arial"/>
                <w:color w:val="000000" w:themeColor="text1"/>
                <w:sz w:val="20"/>
                <w:szCs w:val="20"/>
              </w:rPr>
              <w:t xml:space="preserve">  Male</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4A738B18"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1.066</w:t>
            </w:r>
            <w:r w:rsidRPr="005D0912">
              <w:rPr>
                <w:rFonts w:ascii="Arial" w:hAnsi="Arial" w:cs="Arial"/>
                <w:color w:val="000000" w:themeColor="text1"/>
                <w:sz w:val="20"/>
                <w:szCs w:val="20"/>
                <w:vertAlign w:val="superscript"/>
              </w:rPr>
              <w:t>b</w:t>
            </w:r>
            <w:r w:rsidRPr="005D0912">
              <w:rPr>
                <w:rFonts w:ascii="Arial" w:hAnsi="Arial" w:cs="Arial"/>
                <w:color w:val="000000" w:themeColor="text1"/>
                <w:sz w:val="20"/>
                <w:szCs w:val="20"/>
              </w:rPr>
              <w:t xml:space="preserve"> ± 0.005 (651)</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4DABFE12"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11.814 ± 0.052 (633)</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5A3ED706"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45.204 ± 0.349 (51)</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37CBDCE5"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75.168 ± 0.623 (51)</w:t>
            </w:r>
          </w:p>
        </w:tc>
      </w:tr>
      <w:tr w:rsidR="00511253" w:rsidRPr="005D0912" w14:paraId="7D93E32B" w14:textId="77777777" w:rsidTr="00F13674">
        <w:tc>
          <w:tcPr>
            <w:tcW w:w="220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6C318C10" w14:textId="77777777" w:rsidR="00511253" w:rsidRPr="005D0912" w:rsidRDefault="00FF31BF">
            <w:pPr>
              <w:rPr>
                <w:rFonts w:ascii="Arial" w:hAnsi="Arial" w:cs="Arial"/>
                <w:color w:val="000000" w:themeColor="text1"/>
                <w:sz w:val="20"/>
                <w:szCs w:val="20"/>
              </w:rPr>
            </w:pPr>
            <w:r w:rsidRPr="005D0912">
              <w:rPr>
                <w:rFonts w:ascii="Arial" w:hAnsi="Arial" w:cs="Arial"/>
                <w:color w:val="000000" w:themeColor="text1"/>
                <w:sz w:val="20"/>
                <w:szCs w:val="20"/>
              </w:rPr>
              <w:t xml:space="preserve">  Female</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43D73FC4"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1.052</w:t>
            </w:r>
            <w:r w:rsidRPr="005D0912">
              <w:rPr>
                <w:rFonts w:ascii="Arial" w:hAnsi="Arial" w:cs="Arial"/>
                <w:color w:val="000000" w:themeColor="text1"/>
                <w:sz w:val="20"/>
                <w:szCs w:val="20"/>
                <w:vertAlign w:val="superscript"/>
              </w:rPr>
              <w:t>a</w:t>
            </w:r>
            <w:r w:rsidRPr="005D0912">
              <w:rPr>
                <w:rFonts w:ascii="Arial" w:hAnsi="Arial" w:cs="Arial"/>
                <w:color w:val="000000" w:themeColor="text1"/>
                <w:sz w:val="20"/>
                <w:szCs w:val="20"/>
              </w:rPr>
              <w:t xml:space="preserve"> ± 0.005 </w:t>
            </w:r>
            <w:r w:rsidRPr="005D0912">
              <w:rPr>
                <w:rFonts w:ascii="Arial" w:hAnsi="Arial" w:cs="Arial"/>
                <w:color w:val="000000" w:themeColor="text1"/>
                <w:sz w:val="20"/>
                <w:szCs w:val="20"/>
              </w:rPr>
              <w:lastRenderedPageBreak/>
              <w:t>(765)</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33B62915"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lastRenderedPageBreak/>
              <w:t xml:space="preserve">11.743 ± 0.049 </w:t>
            </w:r>
            <w:r w:rsidRPr="005D0912">
              <w:rPr>
                <w:rFonts w:ascii="Arial" w:hAnsi="Arial" w:cs="Arial"/>
                <w:color w:val="000000" w:themeColor="text1"/>
                <w:sz w:val="20"/>
                <w:szCs w:val="20"/>
              </w:rPr>
              <w:lastRenderedPageBreak/>
              <w:t>(739)</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6E52CD2A"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lastRenderedPageBreak/>
              <w:t xml:space="preserve">45.152 ± 0.313 </w:t>
            </w:r>
            <w:r w:rsidRPr="005D0912">
              <w:rPr>
                <w:rFonts w:ascii="Arial" w:hAnsi="Arial" w:cs="Arial"/>
                <w:color w:val="000000" w:themeColor="text1"/>
                <w:sz w:val="20"/>
                <w:szCs w:val="20"/>
              </w:rPr>
              <w:lastRenderedPageBreak/>
              <w:t>(60)</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7995A97C"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lastRenderedPageBreak/>
              <w:t xml:space="preserve">75.574 ± 0.558 </w:t>
            </w:r>
            <w:r w:rsidRPr="005D0912">
              <w:rPr>
                <w:rFonts w:ascii="Arial" w:hAnsi="Arial" w:cs="Arial"/>
                <w:color w:val="000000" w:themeColor="text1"/>
                <w:sz w:val="20"/>
                <w:szCs w:val="20"/>
              </w:rPr>
              <w:lastRenderedPageBreak/>
              <w:t>(60)</w:t>
            </w:r>
          </w:p>
        </w:tc>
      </w:tr>
      <w:tr w:rsidR="00511253" w:rsidRPr="005D0912" w14:paraId="447736FB" w14:textId="77777777" w:rsidTr="00F13674">
        <w:tc>
          <w:tcPr>
            <w:tcW w:w="220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2D7EE2D5" w14:textId="77777777" w:rsidR="00511253" w:rsidRPr="005D0912" w:rsidRDefault="00FF31BF">
            <w:pPr>
              <w:rPr>
                <w:rFonts w:ascii="Arial" w:hAnsi="Arial" w:cs="Arial"/>
                <w:color w:val="000000" w:themeColor="text1"/>
                <w:sz w:val="20"/>
                <w:szCs w:val="20"/>
              </w:rPr>
            </w:pPr>
            <w:r w:rsidRPr="005D0912">
              <w:rPr>
                <w:rFonts w:ascii="Arial" w:hAnsi="Arial" w:cs="Arial"/>
                <w:b/>
                <w:bCs/>
                <w:color w:val="000000" w:themeColor="text1"/>
                <w:sz w:val="20"/>
                <w:szCs w:val="20"/>
              </w:rPr>
              <w:lastRenderedPageBreak/>
              <w:t>Parity</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77D0C2BE" w14:textId="77777777" w:rsidR="00511253" w:rsidRPr="005D0912" w:rsidRDefault="00511253">
            <w:pPr>
              <w:jc w:val="center"/>
              <w:rPr>
                <w:rFonts w:ascii="Arial" w:hAnsi="Arial" w:cs="Arial"/>
                <w:color w:val="000000" w:themeColor="text1"/>
                <w:sz w:val="20"/>
                <w:szCs w:val="20"/>
              </w:rPr>
            </w:pP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1ECBEA29" w14:textId="77777777" w:rsidR="00511253" w:rsidRPr="005D0912" w:rsidRDefault="00511253">
            <w:pPr>
              <w:jc w:val="center"/>
              <w:rPr>
                <w:rFonts w:ascii="Arial" w:hAnsi="Arial" w:cs="Arial"/>
                <w:color w:val="000000" w:themeColor="text1"/>
                <w:sz w:val="20"/>
                <w:szCs w:val="20"/>
              </w:rPr>
            </w:pP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0FE2F98B" w14:textId="77777777" w:rsidR="00511253" w:rsidRPr="005D0912" w:rsidRDefault="00511253">
            <w:pPr>
              <w:jc w:val="center"/>
              <w:rPr>
                <w:rFonts w:ascii="Arial" w:hAnsi="Arial" w:cs="Arial"/>
                <w:color w:val="000000" w:themeColor="text1"/>
                <w:sz w:val="20"/>
                <w:szCs w:val="20"/>
              </w:rPr>
            </w:pP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118C0A63" w14:textId="77777777" w:rsidR="00511253" w:rsidRPr="005D0912" w:rsidRDefault="00511253">
            <w:pPr>
              <w:jc w:val="center"/>
              <w:rPr>
                <w:rFonts w:ascii="Arial" w:hAnsi="Arial" w:cs="Arial"/>
                <w:color w:val="000000" w:themeColor="text1"/>
                <w:sz w:val="20"/>
                <w:szCs w:val="20"/>
              </w:rPr>
            </w:pPr>
          </w:p>
        </w:tc>
      </w:tr>
      <w:tr w:rsidR="00511253" w:rsidRPr="005D0912" w14:paraId="56F2AE11" w14:textId="77777777" w:rsidTr="00F13674">
        <w:tc>
          <w:tcPr>
            <w:tcW w:w="220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2C850BCF" w14:textId="77777777" w:rsidR="00511253" w:rsidRPr="005D0912" w:rsidRDefault="00FF31BF">
            <w:pPr>
              <w:rPr>
                <w:rFonts w:ascii="Arial" w:hAnsi="Arial" w:cs="Arial"/>
                <w:color w:val="000000" w:themeColor="text1"/>
                <w:sz w:val="20"/>
                <w:szCs w:val="20"/>
              </w:rPr>
            </w:pPr>
            <w:r w:rsidRPr="005D0912">
              <w:rPr>
                <w:rFonts w:ascii="Arial" w:hAnsi="Arial" w:cs="Arial"/>
                <w:color w:val="000000" w:themeColor="text1"/>
                <w:sz w:val="20"/>
                <w:szCs w:val="20"/>
              </w:rPr>
              <w:t xml:space="preserve">  Parity 1</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0722C8C3"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1.037</w:t>
            </w:r>
            <w:r w:rsidRPr="005D0912">
              <w:rPr>
                <w:rFonts w:ascii="Arial" w:hAnsi="Arial" w:cs="Arial"/>
                <w:color w:val="000000" w:themeColor="text1"/>
                <w:sz w:val="20"/>
                <w:szCs w:val="20"/>
                <w:vertAlign w:val="superscript"/>
              </w:rPr>
              <w:t>a</w:t>
            </w:r>
            <w:r w:rsidRPr="005D0912">
              <w:rPr>
                <w:rFonts w:ascii="Arial" w:hAnsi="Arial" w:cs="Arial"/>
                <w:color w:val="000000" w:themeColor="text1"/>
                <w:sz w:val="20"/>
                <w:szCs w:val="20"/>
              </w:rPr>
              <w:t xml:space="preserve"> ± 0.008 (430)</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5C7C9C08"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11.701</w:t>
            </w:r>
            <w:r w:rsidRPr="005D0912">
              <w:rPr>
                <w:rFonts w:ascii="Arial" w:hAnsi="Arial" w:cs="Arial"/>
                <w:color w:val="000000" w:themeColor="text1"/>
                <w:sz w:val="20"/>
                <w:szCs w:val="20"/>
                <w:vertAlign w:val="superscript"/>
              </w:rPr>
              <w:t>a</w:t>
            </w:r>
            <w:r w:rsidRPr="005D0912">
              <w:rPr>
                <w:rFonts w:ascii="Arial" w:hAnsi="Arial" w:cs="Arial"/>
                <w:color w:val="000000" w:themeColor="text1"/>
                <w:sz w:val="20"/>
                <w:szCs w:val="20"/>
              </w:rPr>
              <w:t xml:space="preserve"> ± 0.083 (410)</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337ACBC7"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45.198 ± 0.577 (10)</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08E86837"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74.775 ± 1.029 (10)</w:t>
            </w:r>
          </w:p>
        </w:tc>
      </w:tr>
      <w:tr w:rsidR="00511253" w:rsidRPr="005D0912" w14:paraId="61AD1D31" w14:textId="77777777" w:rsidTr="00F13674">
        <w:tc>
          <w:tcPr>
            <w:tcW w:w="220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370CA2D6" w14:textId="77777777" w:rsidR="00511253" w:rsidRPr="005D0912" w:rsidRDefault="00FF31BF">
            <w:pPr>
              <w:rPr>
                <w:rFonts w:ascii="Arial" w:hAnsi="Arial" w:cs="Arial"/>
                <w:color w:val="000000" w:themeColor="text1"/>
                <w:sz w:val="20"/>
                <w:szCs w:val="20"/>
              </w:rPr>
            </w:pPr>
            <w:r w:rsidRPr="005D0912">
              <w:rPr>
                <w:rFonts w:ascii="Arial" w:hAnsi="Arial" w:cs="Arial"/>
                <w:color w:val="000000" w:themeColor="text1"/>
                <w:sz w:val="20"/>
                <w:szCs w:val="20"/>
              </w:rPr>
              <w:t xml:space="preserve">  Parity 2</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7ACFAB5A"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1.067</w:t>
            </w:r>
            <w:r w:rsidRPr="005D0912">
              <w:rPr>
                <w:rFonts w:ascii="Arial" w:hAnsi="Arial" w:cs="Arial"/>
                <w:color w:val="000000" w:themeColor="text1"/>
                <w:sz w:val="20"/>
                <w:szCs w:val="20"/>
                <w:vertAlign w:val="superscript"/>
              </w:rPr>
              <w:t>b</w:t>
            </w:r>
            <w:r w:rsidRPr="005D0912">
              <w:rPr>
                <w:rFonts w:ascii="Arial" w:hAnsi="Arial" w:cs="Arial"/>
                <w:color w:val="000000" w:themeColor="text1"/>
                <w:sz w:val="20"/>
                <w:szCs w:val="20"/>
              </w:rPr>
              <w:t xml:space="preserve"> ± 0.008 (482)</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0BEDA411"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11.731</w:t>
            </w:r>
            <w:r w:rsidRPr="005D0912">
              <w:rPr>
                <w:rFonts w:ascii="Arial" w:hAnsi="Arial" w:cs="Arial"/>
                <w:color w:val="000000" w:themeColor="text1"/>
                <w:sz w:val="20"/>
                <w:szCs w:val="20"/>
                <w:vertAlign w:val="superscript"/>
              </w:rPr>
              <w:t>a</w:t>
            </w:r>
            <w:r w:rsidRPr="005D0912">
              <w:rPr>
                <w:rFonts w:ascii="Arial" w:hAnsi="Arial" w:cs="Arial"/>
                <w:color w:val="000000" w:themeColor="text1"/>
                <w:sz w:val="20"/>
                <w:szCs w:val="20"/>
              </w:rPr>
              <w:t xml:space="preserve"> ± 0.080 (471)</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36BBEA22"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6211D88A"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w:t>
            </w:r>
          </w:p>
        </w:tc>
      </w:tr>
      <w:tr w:rsidR="00511253" w:rsidRPr="005D0912" w14:paraId="2FAC13CD" w14:textId="77777777" w:rsidTr="00F13674">
        <w:tc>
          <w:tcPr>
            <w:tcW w:w="220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4945D2B1" w14:textId="77777777" w:rsidR="00511253" w:rsidRPr="005D0912" w:rsidRDefault="00FF31BF">
            <w:pPr>
              <w:rPr>
                <w:rFonts w:ascii="Arial" w:hAnsi="Arial" w:cs="Arial"/>
                <w:color w:val="000000" w:themeColor="text1"/>
                <w:sz w:val="20"/>
                <w:szCs w:val="20"/>
              </w:rPr>
            </w:pPr>
            <w:r w:rsidRPr="005D0912">
              <w:rPr>
                <w:rFonts w:ascii="Arial" w:hAnsi="Arial" w:cs="Arial"/>
                <w:color w:val="000000" w:themeColor="text1"/>
                <w:sz w:val="20"/>
                <w:szCs w:val="20"/>
              </w:rPr>
              <w:t xml:space="preserve">  Parity 3</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16B0ADBD"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1.075</w:t>
            </w:r>
            <w:r w:rsidRPr="005D0912">
              <w:rPr>
                <w:rFonts w:ascii="Arial" w:hAnsi="Arial" w:cs="Arial"/>
                <w:color w:val="000000" w:themeColor="text1"/>
                <w:sz w:val="20"/>
                <w:szCs w:val="20"/>
                <w:vertAlign w:val="superscript"/>
              </w:rPr>
              <w:t>b</w:t>
            </w:r>
            <w:r w:rsidRPr="005D0912">
              <w:rPr>
                <w:rFonts w:ascii="Arial" w:hAnsi="Arial" w:cs="Arial"/>
                <w:color w:val="000000" w:themeColor="text1"/>
                <w:sz w:val="20"/>
                <w:szCs w:val="20"/>
              </w:rPr>
              <w:t xml:space="preserve"> ± 0.007 (504)</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1305F28C"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11.905</w:t>
            </w:r>
            <w:r w:rsidRPr="005D0912">
              <w:rPr>
                <w:rFonts w:ascii="Arial" w:hAnsi="Arial" w:cs="Arial"/>
                <w:color w:val="000000" w:themeColor="text1"/>
                <w:sz w:val="20"/>
                <w:szCs w:val="20"/>
                <w:vertAlign w:val="superscript"/>
              </w:rPr>
              <w:t>b</w:t>
            </w:r>
            <w:r w:rsidRPr="005D0912">
              <w:rPr>
                <w:rFonts w:ascii="Arial" w:hAnsi="Arial" w:cs="Arial"/>
                <w:color w:val="000000" w:themeColor="text1"/>
                <w:sz w:val="20"/>
                <w:szCs w:val="20"/>
              </w:rPr>
              <w:t xml:space="preserve"> ± 0.079 (491)</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663691E4"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45.158 ± 0.197 (101)</w:t>
            </w:r>
          </w:p>
        </w:tc>
        <w:tc>
          <w:tcPr>
            <w:tcW w:w="1790" w:type="dxa"/>
            <w:tcBorders>
              <w:top w:val="single" w:sz="4" w:space="0" w:color="AAAAAA"/>
              <w:left w:val="single" w:sz="4" w:space="0" w:color="AAAAAA"/>
              <w:bottom w:val="single" w:sz="4" w:space="0" w:color="AAAAAA"/>
              <w:right w:val="single" w:sz="4" w:space="0" w:color="AAAAAA"/>
            </w:tcBorders>
            <w:tcMar>
              <w:top w:w="50" w:type="dxa"/>
              <w:left w:w="100" w:type="dxa"/>
              <w:bottom w:w="50" w:type="dxa"/>
              <w:right w:w="100" w:type="dxa"/>
            </w:tcMar>
            <w:vAlign w:val="center"/>
          </w:tcPr>
          <w:p w14:paraId="5687B809"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75.968 ± 0.350 (101)</w:t>
            </w:r>
          </w:p>
        </w:tc>
      </w:tr>
    </w:tbl>
    <w:p w14:paraId="778073D7" w14:textId="6AF5768D" w:rsidR="00511253" w:rsidRPr="005D0912" w:rsidRDefault="00FF31BF">
      <w:pPr>
        <w:spacing w:before="80" w:after="80"/>
        <w:rPr>
          <w:rFonts w:ascii="Arial" w:hAnsi="Arial" w:cs="Arial"/>
          <w:color w:val="000000" w:themeColor="text1"/>
          <w:sz w:val="20"/>
          <w:szCs w:val="20"/>
        </w:rPr>
      </w:pPr>
      <w:r w:rsidRPr="005D0912">
        <w:rPr>
          <w:rFonts w:ascii="Arial" w:hAnsi="Arial" w:cs="Arial"/>
          <w:i/>
          <w:iCs/>
          <w:color w:val="000000" w:themeColor="text1"/>
          <w:sz w:val="20"/>
          <w:szCs w:val="20"/>
        </w:rPr>
        <w:t>Means within a column with different superscripts (a, b) differ significantly (P &lt; 0.05</w:t>
      </w:r>
      <w:r w:rsidR="00633514">
        <w:rPr>
          <w:rFonts w:ascii="Arial" w:hAnsi="Arial" w:cs="Arial"/>
          <w:i/>
          <w:iCs/>
          <w:color w:val="000000" w:themeColor="text1"/>
          <w:sz w:val="20"/>
          <w:szCs w:val="20"/>
        </w:rPr>
        <w:t>)</w:t>
      </w:r>
    </w:p>
    <w:p w14:paraId="15E8ED2E" w14:textId="77777777" w:rsidR="00511253" w:rsidRPr="005D0912" w:rsidRDefault="00511253">
      <w:pPr>
        <w:spacing w:before="200"/>
        <w:rPr>
          <w:rFonts w:ascii="Arial" w:hAnsi="Arial" w:cs="Arial"/>
          <w:color w:val="000000" w:themeColor="text1"/>
          <w:sz w:val="20"/>
          <w:szCs w:val="20"/>
        </w:rPr>
      </w:pPr>
    </w:p>
    <w:p w14:paraId="23DFAABF" w14:textId="77777777" w:rsidR="00511253" w:rsidRPr="005D0912" w:rsidRDefault="00FF31BF">
      <w:pPr>
        <w:spacing w:before="160" w:after="80"/>
        <w:jc w:val="center"/>
        <w:rPr>
          <w:rFonts w:ascii="Arial" w:hAnsi="Arial" w:cs="Arial"/>
          <w:color w:val="000000" w:themeColor="text1"/>
          <w:sz w:val="20"/>
          <w:szCs w:val="20"/>
        </w:rPr>
      </w:pPr>
      <w:r w:rsidRPr="005D0912">
        <w:rPr>
          <w:rFonts w:ascii="Arial" w:hAnsi="Arial" w:cs="Arial"/>
          <w:b/>
          <w:bCs/>
          <w:color w:val="000000" w:themeColor="text1"/>
          <w:sz w:val="20"/>
          <w:szCs w:val="20"/>
        </w:rPr>
        <w:t>Table 2. Least-squares analysis of variance for the effects of season of birth, sex, and parity on body weight (kg) at birth, weaning, five months, and eight months of age in HD-K75 pigs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91"/>
        <w:gridCol w:w="605"/>
        <w:gridCol w:w="790"/>
        <w:gridCol w:w="850"/>
        <w:gridCol w:w="605"/>
        <w:gridCol w:w="790"/>
        <w:gridCol w:w="739"/>
        <w:gridCol w:w="494"/>
        <w:gridCol w:w="790"/>
        <w:gridCol w:w="661"/>
        <w:gridCol w:w="494"/>
        <w:gridCol w:w="790"/>
        <w:gridCol w:w="661"/>
      </w:tblGrid>
      <w:tr w:rsidR="00511253" w:rsidRPr="005D0912" w14:paraId="619CA898" w14:textId="77777777" w:rsidTr="00F13674">
        <w:tc>
          <w:tcPr>
            <w:tcW w:w="144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6A61B3B"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Source of variation</w:t>
            </w:r>
          </w:p>
        </w:tc>
        <w:tc>
          <w:tcPr>
            <w:tcW w:w="1980" w:type="dxa"/>
            <w:gridSpan w:val="3"/>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D6F88F7"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Birth weight</w:t>
            </w:r>
          </w:p>
        </w:tc>
        <w:tc>
          <w:tcPr>
            <w:tcW w:w="1980" w:type="dxa"/>
            <w:gridSpan w:val="3"/>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AE64019"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Weaning weight</w:t>
            </w:r>
          </w:p>
        </w:tc>
        <w:tc>
          <w:tcPr>
            <w:tcW w:w="1980" w:type="dxa"/>
            <w:gridSpan w:val="3"/>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E35ED26"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Body weight at 5 months</w:t>
            </w:r>
          </w:p>
        </w:tc>
        <w:tc>
          <w:tcPr>
            <w:tcW w:w="1980" w:type="dxa"/>
            <w:gridSpan w:val="3"/>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5D7C491"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Body weight at 8 months</w:t>
            </w:r>
          </w:p>
        </w:tc>
      </w:tr>
      <w:tr w:rsidR="00511253" w:rsidRPr="005D0912" w14:paraId="424B71B2" w14:textId="77777777" w:rsidTr="00F13674">
        <w:tc>
          <w:tcPr>
            <w:tcW w:w="144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1FCB8B8" w14:textId="77777777" w:rsidR="00511253" w:rsidRPr="005D0912" w:rsidRDefault="00511253">
            <w:pPr>
              <w:jc w:val="center"/>
              <w:rPr>
                <w:rFonts w:ascii="Arial" w:hAnsi="Arial" w:cs="Arial"/>
                <w:color w:val="000000" w:themeColor="text1"/>
                <w:sz w:val="20"/>
                <w:szCs w:val="20"/>
              </w:rPr>
            </w:pPr>
          </w:p>
        </w:tc>
        <w:tc>
          <w:tcPr>
            <w:tcW w:w="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7473B17" w14:textId="77777777" w:rsidR="00511253" w:rsidRPr="005D0912" w:rsidRDefault="00FF31BF">
            <w:pPr>
              <w:jc w:val="center"/>
              <w:rPr>
                <w:rFonts w:ascii="Arial" w:hAnsi="Arial" w:cs="Arial"/>
                <w:color w:val="000000" w:themeColor="text1"/>
                <w:sz w:val="20"/>
                <w:szCs w:val="20"/>
              </w:rPr>
            </w:pPr>
            <w:proofErr w:type="spellStart"/>
            <w:r w:rsidRPr="005D0912">
              <w:rPr>
                <w:rFonts w:ascii="Arial" w:hAnsi="Arial" w:cs="Arial"/>
                <w:b/>
                <w:bCs/>
                <w:color w:val="000000" w:themeColor="text1"/>
                <w:sz w:val="20"/>
                <w:szCs w:val="20"/>
              </w:rPr>
              <w:t>df</w:t>
            </w:r>
            <w:proofErr w:type="spellEnd"/>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2B2CFCD"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MSS</w:t>
            </w:r>
          </w:p>
        </w:tc>
        <w:tc>
          <w:tcPr>
            <w:tcW w:w="6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0DABB46"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F</w:t>
            </w:r>
          </w:p>
        </w:tc>
        <w:tc>
          <w:tcPr>
            <w:tcW w:w="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24F3111" w14:textId="77777777" w:rsidR="00511253" w:rsidRPr="005D0912" w:rsidRDefault="00FF31BF">
            <w:pPr>
              <w:jc w:val="center"/>
              <w:rPr>
                <w:rFonts w:ascii="Arial" w:hAnsi="Arial" w:cs="Arial"/>
                <w:color w:val="000000" w:themeColor="text1"/>
                <w:sz w:val="20"/>
                <w:szCs w:val="20"/>
              </w:rPr>
            </w:pPr>
            <w:proofErr w:type="spellStart"/>
            <w:r w:rsidRPr="005D0912">
              <w:rPr>
                <w:rFonts w:ascii="Arial" w:hAnsi="Arial" w:cs="Arial"/>
                <w:b/>
                <w:bCs/>
                <w:color w:val="000000" w:themeColor="text1"/>
                <w:sz w:val="20"/>
                <w:szCs w:val="20"/>
              </w:rPr>
              <w:t>df</w:t>
            </w:r>
            <w:proofErr w:type="spellEnd"/>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31A1B57"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MSS</w:t>
            </w:r>
          </w:p>
        </w:tc>
        <w:tc>
          <w:tcPr>
            <w:tcW w:w="6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B979AFE"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F</w:t>
            </w:r>
          </w:p>
        </w:tc>
        <w:tc>
          <w:tcPr>
            <w:tcW w:w="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221D991" w14:textId="77777777" w:rsidR="00511253" w:rsidRPr="005D0912" w:rsidRDefault="00FF31BF">
            <w:pPr>
              <w:jc w:val="center"/>
              <w:rPr>
                <w:rFonts w:ascii="Arial" w:hAnsi="Arial" w:cs="Arial"/>
                <w:color w:val="000000" w:themeColor="text1"/>
                <w:sz w:val="20"/>
                <w:szCs w:val="20"/>
              </w:rPr>
            </w:pPr>
            <w:proofErr w:type="spellStart"/>
            <w:r w:rsidRPr="005D0912">
              <w:rPr>
                <w:rFonts w:ascii="Arial" w:hAnsi="Arial" w:cs="Arial"/>
                <w:b/>
                <w:bCs/>
                <w:color w:val="000000" w:themeColor="text1"/>
                <w:sz w:val="20"/>
                <w:szCs w:val="20"/>
              </w:rPr>
              <w:t>df</w:t>
            </w:r>
            <w:proofErr w:type="spellEnd"/>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7A45A9B"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MSS</w:t>
            </w:r>
          </w:p>
        </w:tc>
        <w:tc>
          <w:tcPr>
            <w:tcW w:w="6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734B85C"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F</w:t>
            </w:r>
          </w:p>
        </w:tc>
        <w:tc>
          <w:tcPr>
            <w:tcW w:w="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C918945" w14:textId="77777777" w:rsidR="00511253" w:rsidRPr="005D0912" w:rsidRDefault="00FF31BF">
            <w:pPr>
              <w:jc w:val="center"/>
              <w:rPr>
                <w:rFonts w:ascii="Arial" w:hAnsi="Arial" w:cs="Arial"/>
                <w:color w:val="000000" w:themeColor="text1"/>
                <w:sz w:val="20"/>
                <w:szCs w:val="20"/>
              </w:rPr>
            </w:pPr>
            <w:proofErr w:type="spellStart"/>
            <w:r w:rsidRPr="005D0912">
              <w:rPr>
                <w:rFonts w:ascii="Arial" w:hAnsi="Arial" w:cs="Arial"/>
                <w:b/>
                <w:bCs/>
                <w:color w:val="000000" w:themeColor="text1"/>
                <w:sz w:val="20"/>
                <w:szCs w:val="20"/>
              </w:rPr>
              <w:t>df</w:t>
            </w:r>
            <w:proofErr w:type="spellEnd"/>
          </w:p>
        </w:tc>
        <w:tc>
          <w:tcPr>
            <w:tcW w:w="9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64C12D4"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MSS</w:t>
            </w:r>
          </w:p>
        </w:tc>
        <w:tc>
          <w:tcPr>
            <w:tcW w:w="6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F7B251C" w14:textId="77777777" w:rsidR="00511253" w:rsidRPr="005D0912" w:rsidRDefault="00FF31BF">
            <w:pPr>
              <w:jc w:val="center"/>
              <w:rPr>
                <w:rFonts w:ascii="Arial" w:hAnsi="Arial" w:cs="Arial"/>
                <w:color w:val="000000" w:themeColor="text1"/>
                <w:sz w:val="20"/>
                <w:szCs w:val="20"/>
              </w:rPr>
            </w:pPr>
            <w:r w:rsidRPr="005D0912">
              <w:rPr>
                <w:rFonts w:ascii="Arial" w:hAnsi="Arial" w:cs="Arial"/>
                <w:b/>
                <w:bCs/>
                <w:color w:val="000000" w:themeColor="text1"/>
                <w:sz w:val="20"/>
                <w:szCs w:val="20"/>
              </w:rPr>
              <w:t>F</w:t>
            </w:r>
          </w:p>
        </w:tc>
      </w:tr>
      <w:tr w:rsidR="00511253" w:rsidRPr="005D0912" w14:paraId="4A2B86E9" w14:textId="77777777" w:rsidTr="00F13674">
        <w:tc>
          <w:tcPr>
            <w:tcW w:w="144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6355A14A" w14:textId="77777777" w:rsidR="00511253" w:rsidRPr="005D0912" w:rsidRDefault="00FF31BF">
            <w:pPr>
              <w:rPr>
                <w:rFonts w:ascii="Arial" w:hAnsi="Arial" w:cs="Arial"/>
                <w:color w:val="000000" w:themeColor="text1"/>
                <w:sz w:val="20"/>
                <w:szCs w:val="20"/>
              </w:rPr>
            </w:pPr>
            <w:r w:rsidRPr="005D0912">
              <w:rPr>
                <w:rFonts w:ascii="Arial" w:hAnsi="Arial" w:cs="Arial"/>
                <w:b/>
                <w:bCs/>
                <w:color w:val="000000" w:themeColor="text1"/>
                <w:sz w:val="20"/>
                <w:szCs w:val="20"/>
              </w:rPr>
              <w:t>Season of birth</w:t>
            </w: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671975BD"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3</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56C6B60A"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0.0241</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20428A6E"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1.816 NS</w:t>
            </w: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33C56DE9"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3</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38165637"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0.9934</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4BF65C43"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0.728 NS</w:t>
            </w: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453E5FD7"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04EF8B5C"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4.2454</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74C1EA23"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 xml:space="preserve">1.460 </w:t>
            </w:r>
            <w:r w:rsidRPr="005D0912">
              <w:rPr>
                <w:rFonts w:ascii="Arial" w:hAnsi="Arial" w:cs="Arial"/>
                <w:color w:val="000000" w:themeColor="text1"/>
                <w:sz w:val="20"/>
                <w:szCs w:val="20"/>
                <w:vertAlign w:val="superscript"/>
              </w:rPr>
              <w:t>NS</w:t>
            </w: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4E4036E0"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10861A73"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15.634</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03B176E9"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 xml:space="preserve">1.695 </w:t>
            </w:r>
            <w:r w:rsidRPr="005D0912">
              <w:rPr>
                <w:rFonts w:ascii="Arial" w:hAnsi="Arial" w:cs="Arial"/>
                <w:color w:val="000000" w:themeColor="text1"/>
                <w:sz w:val="20"/>
                <w:szCs w:val="20"/>
                <w:vertAlign w:val="superscript"/>
              </w:rPr>
              <w:t>NS</w:t>
            </w:r>
          </w:p>
        </w:tc>
      </w:tr>
      <w:tr w:rsidR="00511253" w:rsidRPr="005D0912" w14:paraId="77840017" w14:textId="77777777" w:rsidTr="00F13674">
        <w:tc>
          <w:tcPr>
            <w:tcW w:w="144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02E37051" w14:textId="77777777" w:rsidR="00511253" w:rsidRPr="005D0912" w:rsidRDefault="00FF31BF">
            <w:pPr>
              <w:rPr>
                <w:rFonts w:ascii="Arial" w:hAnsi="Arial" w:cs="Arial"/>
                <w:color w:val="000000" w:themeColor="text1"/>
                <w:sz w:val="20"/>
                <w:szCs w:val="20"/>
              </w:rPr>
            </w:pPr>
            <w:r w:rsidRPr="005D0912">
              <w:rPr>
                <w:rFonts w:ascii="Arial" w:hAnsi="Arial" w:cs="Arial"/>
                <w:b/>
                <w:bCs/>
                <w:color w:val="000000" w:themeColor="text1"/>
                <w:sz w:val="20"/>
                <w:szCs w:val="20"/>
              </w:rPr>
              <w:t>Sex</w:t>
            </w: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6A587478"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5E78FD68"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0.0624</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629E5925"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4.696*</w:t>
            </w: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6FCEBC87"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692369F2"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1.6874</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0EA46021"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1.237 NS</w:t>
            </w: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53088517"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08E6988D"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0.0717</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117720DB"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 xml:space="preserve">0.025 </w:t>
            </w:r>
            <w:r w:rsidRPr="005D0912">
              <w:rPr>
                <w:rFonts w:ascii="Arial" w:hAnsi="Arial" w:cs="Arial"/>
                <w:color w:val="000000" w:themeColor="text1"/>
                <w:sz w:val="20"/>
                <w:szCs w:val="20"/>
                <w:vertAlign w:val="superscript"/>
              </w:rPr>
              <w:t>NS</w:t>
            </w: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22343DEA"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4937F101"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4.4921</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022599A5"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 xml:space="preserve">0.487 </w:t>
            </w:r>
            <w:r w:rsidRPr="005D0912">
              <w:rPr>
                <w:rFonts w:ascii="Arial" w:hAnsi="Arial" w:cs="Arial"/>
                <w:color w:val="000000" w:themeColor="text1"/>
                <w:sz w:val="20"/>
                <w:szCs w:val="20"/>
                <w:vertAlign w:val="superscript"/>
              </w:rPr>
              <w:t>NS</w:t>
            </w:r>
          </w:p>
        </w:tc>
      </w:tr>
      <w:tr w:rsidR="00511253" w:rsidRPr="005D0912" w14:paraId="47341006" w14:textId="77777777" w:rsidTr="00F13674">
        <w:tc>
          <w:tcPr>
            <w:tcW w:w="144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1E04788F" w14:textId="77777777" w:rsidR="00511253" w:rsidRPr="005D0912" w:rsidRDefault="00FF31BF">
            <w:pPr>
              <w:rPr>
                <w:rFonts w:ascii="Arial" w:hAnsi="Arial" w:cs="Arial"/>
                <w:color w:val="000000" w:themeColor="text1"/>
                <w:sz w:val="20"/>
                <w:szCs w:val="20"/>
              </w:rPr>
            </w:pPr>
            <w:r w:rsidRPr="005D0912">
              <w:rPr>
                <w:rFonts w:ascii="Arial" w:hAnsi="Arial" w:cs="Arial"/>
                <w:b/>
                <w:bCs/>
                <w:color w:val="000000" w:themeColor="text1"/>
                <w:sz w:val="20"/>
                <w:szCs w:val="20"/>
              </w:rPr>
              <w:t>Parity</w:t>
            </w: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2C91B648"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2</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6D0AA1B3"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0.1672</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4BEA3D0C"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12.567*</w:t>
            </w: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7434DA49"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2</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2AA71610"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4.7974</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67061AE2"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3.516*</w:t>
            </w: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70423D58"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383852BA"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0.0109</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63CA89DA"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 xml:space="preserve">0.004 </w:t>
            </w:r>
            <w:r w:rsidRPr="005D0912">
              <w:rPr>
                <w:rFonts w:ascii="Arial" w:hAnsi="Arial" w:cs="Arial"/>
                <w:color w:val="000000" w:themeColor="text1"/>
                <w:sz w:val="20"/>
                <w:szCs w:val="20"/>
                <w:vertAlign w:val="superscript"/>
              </w:rPr>
              <w:t>NS</w:t>
            </w: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6C1759B1"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56D8D1E9"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10.081</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56F9C62A"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 xml:space="preserve">1.093 </w:t>
            </w:r>
            <w:r w:rsidRPr="005D0912">
              <w:rPr>
                <w:rFonts w:ascii="Arial" w:hAnsi="Arial" w:cs="Arial"/>
                <w:color w:val="000000" w:themeColor="text1"/>
                <w:sz w:val="20"/>
                <w:szCs w:val="20"/>
                <w:vertAlign w:val="superscript"/>
              </w:rPr>
              <w:t>NS</w:t>
            </w:r>
          </w:p>
        </w:tc>
      </w:tr>
      <w:tr w:rsidR="00511253" w:rsidRPr="005D0912" w14:paraId="275E53AF" w14:textId="77777777" w:rsidTr="00F13674">
        <w:tc>
          <w:tcPr>
            <w:tcW w:w="144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33579D0F" w14:textId="77777777" w:rsidR="00511253" w:rsidRPr="005D0912" w:rsidRDefault="00FF31BF">
            <w:pPr>
              <w:rPr>
                <w:rFonts w:ascii="Arial" w:hAnsi="Arial" w:cs="Arial"/>
                <w:color w:val="000000" w:themeColor="text1"/>
                <w:sz w:val="20"/>
                <w:szCs w:val="20"/>
              </w:rPr>
            </w:pPr>
            <w:r w:rsidRPr="005D0912">
              <w:rPr>
                <w:rFonts w:ascii="Arial" w:hAnsi="Arial" w:cs="Arial"/>
                <w:b/>
                <w:bCs/>
                <w:color w:val="000000" w:themeColor="text1"/>
                <w:sz w:val="20"/>
                <w:szCs w:val="20"/>
              </w:rPr>
              <w:t>Error</w:t>
            </w: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43310AFC"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1409</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4B7F4AC6"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0.0133</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6D6476FA" w14:textId="77777777" w:rsidR="00511253" w:rsidRPr="005D0912" w:rsidRDefault="00511253">
            <w:pPr>
              <w:jc w:val="center"/>
              <w:rPr>
                <w:rFonts w:ascii="Arial" w:hAnsi="Arial" w:cs="Arial"/>
                <w:color w:val="000000" w:themeColor="text1"/>
                <w:sz w:val="20"/>
                <w:szCs w:val="20"/>
              </w:rPr>
            </w:pP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423547FC"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1365</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11176F6F"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1.3643</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4B1AA37B" w14:textId="77777777" w:rsidR="00511253" w:rsidRPr="005D0912" w:rsidRDefault="00511253">
            <w:pPr>
              <w:jc w:val="center"/>
              <w:rPr>
                <w:rFonts w:ascii="Arial" w:hAnsi="Arial" w:cs="Arial"/>
                <w:color w:val="000000" w:themeColor="text1"/>
                <w:sz w:val="20"/>
                <w:szCs w:val="20"/>
              </w:rPr>
            </w:pP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57FE7B53"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107</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58CE1098"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2.9079</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745F7134" w14:textId="77777777" w:rsidR="00511253" w:rsidRPr="005D0912" w:rsidRDefault="00511253">
            <w:pPr>
              <w:jc w:val="center"/>
              <w:rPr>
                <w:rFonts w:ascii="Arial" w:hAnsi="Arial" w:cs="Arial"/>
                <w:color w:val="000000" w:themeColor="text1"/>
                <w:sz w:val="20"/>
                <w:szCs w:val="20"/>
              </w:rPr>
            </w:pPr>
          </w:p>
        </w:tc>
        <w:tc>
          <w:tcPr>
            <w:tcW w:w="48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0C86DDDE"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107</w:t>
            </w:r>
          </w:p>
        </w:tc>
        <w:tc>
          <w:tcPr>
            <w:tcW w:w="9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2CFA386F" w14:textId="77777777" w:rsidR="00511253" w:rsidRPr="005D0912" w:rsidRDefault="00FF31BF">
            <w:pPr>
              <w:jc w:val="center"/>
              <w:rPr>
                <w:rFonts w:ascii="Arial" w:hAnsi="Arial" w:cs="Arial"/>
                <w:color w:val="000000" w:themeColor="text1"/>
                <w:sz w:val="20"/>
                <w:szCs w:val="20"/>
              </w:rPr>
            </w:pPr>
            <w:r w:rsidRPr="005D0912">
              <w:rPr>
                <w:rFonts w:ascii="Arial" w:hAnsi="Arial" w:cs="Arial"/>
                <w:color w:val="000000" w:themeColor="text1"/>
                <w:sz w:val="20"/>
                <w:szCs w:val="20"/>
              </w:rPr>
              <w:t>9.2226</w:t>
            </w:r>
          </w:p>
        </w:tc>
        <w:tc>
          <w:tcPr>
            <w:tcW w:w="600" w:type="dxa"/>
            <w:tcBorders>
              <w:top w:val="single" w:sz="4" w:space="0" w:color="AAAAAA"/>
              <w:left w:val="single" w:sz="4" w:space="0" w:color="AAAAAA"/>
              <w:bottom w:val="single" w:sz="4" w:space="0" w:color="AAAAAA"/>
              <w:right w:val="single" w:sz="4" w:space="0" w:color="AAAAAA"/>
            </w:tcBorders>
            <w:tcMar>
              <w:top w:w="50" w:type="dxa"/>
              <w:left w:w="80" w:type="dxa"/>
              <w:bottom w:w="50" w:type="dxa"/>
              <w:right w:w="80" w:type="dxa"/>
            </w:tcMar>
            <w:vAlign w:val="center"/>
          </w:tcPr>
          <w:p w14:paraId="1653C94D" w14:textId="77777777" w:rsidR="00511253" w:rsidRPr="005D0912" w:rsidRDefault="00511253">
            <w:pPr>
              <w:jc w:val="center"/>
              <w:rPr>
                <w:rFonts w:ascii="Arial" w:hAnsi="Arial" w:cs="Arial"/>
                <w:color w:val="000000" w:themeColor="text1"/>
                <w:sz w:val="20"/>
                <w:szCs w:val="20"/>
              </w:rPr>
            </w:pPr>
          </w:p>
        </w:tc>
      </w:tr>
    </w:tbl>
    <w:p w14:paraId="68BD29B4" w14:textId="77777777" w:rsidR="00511253" w:rsidRPr="005D0912" w:rsidRDefault="00FF31BF">
      <w:pPr>
        <w:spacing w:before="80" w:after="80"/>
        <w:rPr>
          <w:rFonts w:ascii="Arial" w:hAnsi="Arial" w:cs="Arial"/>
          <w:color w:val="000000" w:themeColor="text1"/>
          <w:sz w:val="20"/>
          <w:szCs w:val="20"/>
        </w:rPr>
      </w:pPr>
      <w:proofErr w:type="spellStart"/>
      <w:r w:rsidRPr="005D0912">
        <w:rPr>
          <w:rFonts w:ascii="Arial" w:hAnsi="Arial" w:cs="Arial"/>
          <w:i/>
          <w:iCs/>
          <w:color w:val="000000" w:themeColor="text1"/>
          <w:sz w:val="20"/>
          <w:szCs w:val="20"/>
        </w:rPr>
        <w:t>df</w:t>
      </w:r>
      <w:proofErr w:type="spellEnd"/>
      <w:r w:rsidRPr="005D0912">
        <w:rPr>
          <w:rFonts w:ascii="Arial" w:hAnsi="Arial" w:cs="Arial"/>
          <w:i/>
          <w:iCs/>
          <w:color w:val="000000" w:themeColor="text1"/>
          <w:sz w:val="20"/>
          <w:szCs w:val="20"/>
        </w:rPr>
        <w:t xml:space="preserve"> = degrees of freedom; MSS = mean sum of squares; NS = non-significant; * P &lt; 0.05</w:t>
      </w:r>
    </w:p>
    <w:p w14:paraId="3BF5C305" w14:textId="77777777" w:rsidR="00511253" w:rsidRPr="005D0912" w:rsidRDefault="00511253">
      <w:pPr>
        <w:spacing w:before="160"/>
        <w:rPr>
          <w:rFonts w:ascii="Arial" w:hAnsi="Arial" w:cs="Arial"/>
          <w:color w:val="000000" w:themeColor="text1"/>
          <w:sz w:val="20"/>
          <w:szCs w:val="20"/>
        </w:rPr>
      </w:pPr>
    </w:p>
    <w:p w14:paraId="5E476E7B" w14:textId="77777777" w:rsidR="00511253" w:rsidRPr="005D0912" w:rsidRDefault="00FF31BF">
      <w:pPr>
        <w:spacing w:before="200" w:after="100"/>
        <w:rPr>
          <w:rFonts w:ascii="Arial" w:hAnsi="Arial" w:cs="Arial"/>
          <w:color w:val="000000" w:themeColor="text1"/>
          <w:sz w:val="20"/>
          <w:szCs w:val="20"/>
        </w:rPr>
      </w:pPr>
      <w:r w:rsidRPr="005D0912">
        <w:rPr>
          <w:rFonts w:ascii="Arial" w:hAnsi="Arial" w:cs="Arial"/>
          <w:b/>
          <w:bCs/>
          <w:caps/>
          <w:color w:val="000000" w:themeColor="text1"/>
          <w:sz w:val="20"/>
          <w:szCs w:val="20"/>
        </w:rPr>
        <w:t>4. CONCLUSION</w:t>
      </w:r>
    </w:p>
    <w:p w14:paraId="75665273" w14:textId="40471565" w:rsidR="00511253" w:rsidRDefault="00FF31BF" w:rsidP="00455644">
      <w:pPr>
        <w:spacing w:before="60" w:after="60" w:line="276" w:lineRule="auto"/>
        <w:jc w:val="both"/>
        <w:rPr>
          <w:rFonts w:ascii="Arial" w:hAnsi="Arial" w:cs="Arial"/>
          <w:color w:val="000000" w:themeColor="text1"/>
          <w:sz w:val="20"/>
          <w:szCs w:val="20"/>
        </w:rPr>
      </w:pPr>
      <w:r w:rsidRPr="005D0912">
        <w:rPr>
          <w:rFonts w:ascii="Arial" w:hAnsi="Arial" w:cs="Arial"/>
          <w:color w:val="000000" w:themeColor="text1"/>
          <w:sz w:val="20"/>
          <w:szCs w:val="20"/>
        </w:rPr>
        <w:t xml:space="preserve">The present study demonstrates that HD-K75 pigs maintained at the AICRP nucleus herd, AAU, </w:t>
      </w:r>
      <w:proofErr w:type="spellStart"/>
      <w:r w:rsidRPr="005D0912">
        <w:rPr>
          <w:rFonts w:ascii="Arial" w:hAnsi="Arial" w:cs="Arial"/>
          <w:color w:val="000000" w:themeColor="text1"/>
          <w:sz w:val="20"/>
          <w:szCs w:val="20"/>
        </w:rPr>
        <w:t>Khanapara</w:t>
      </w:r>
      <w:proofErr w:type="spellEnd"/>
      <w:r w:rsidRPr="005D0912">
        <w:rPr>
          <w:rFonts w:ascii="Arial" w:hAnsi="Arial" w:cs="Arial"/>
          <w:color w:val="000000" w:themeColor="text1"/>
          <w:sz w:val="20"/>
          <w:szCs w:val="20"/>
        </w:rPr>
        <w:t>, exhibit satisfactory growth performance across all ages evaluated, reflecting their genetic potential and adaptability to the agroclimatic conditions of Assam. Season of birth did not significantly influence body weight at any age, indicating effective buffering by the intensive management system. Sex significantly affected birth weight, with males being heavier at birth, while parity significantly influenced body weight at birth and weaning, with higher-parity sows producing heavier piglets</w:t>
      </w:r>
      <w:r w:rsidR="005D73AC" w:rsidRPr="005D0912">
        <w:rPr>
          <w:rFonts w:ascii="Arial" w:hAnsi="Arial" w:cs="Arial"/>
          <w:color w:val="000000" w:themeColor="text1"/>
          <w:sz w:val="20"/>
          <w:szCs w:val="20"/>
        </w:rPr>
        <w:t xml:space="preserve"> </w:t>
      </w:r>
      <w:r w:rsidRPr="005D0912">
        <w:rPr>
          <w:rFonts w:ascii="Arial" w:hAnsi="Arial" w:cs="Arial"/>
          <w:color w:val="000000" w:themeColor="text1"/>
          <w:sz w:val="20"/>
          <w:szCs w:val="20"/>
        </w:rPr>
        <w:t>likely due to greater physiological maturity and improved mammary function. Post-weaning growth was largely independent of both sex and parity effects under the uniform management conditions of the nucleus herd. Extended field-level evaluation of HD-K75 across diverse agro-climatic zones of Assam and neighbouring states is recommended to comprehensively assess the production potential and adaptability of this genotype under varying management and environmental conditions.</w:t>
      </w:r>
    </w:p>
    <w:p w14:paraId="720EC46F" w14:textId="77777777" w:rsidR="00C71178" w:rsidRPr="005D0912" w:rsidRDefault="00C71178" w:rsidP="00455644">
      <w:pPr>
        <w:spacing w:before="60" w:after="60" w:line="276" w:lineRule="auto"/>
        <w:jc w:val="both"/>
        <w:rPr>
          <w:rFonts w:ascii="Arial" w:hAnsi="Arial" w:cs="Arial"/>
          <w:color w:val="000000" w:themeColor="text1"/>
          <w:sz w:val="20"/>
          <w:szCs w:val="20"/>
        </w:rPr>
      </w:pPr>
    </w:p>
    <w:p w14:paraId="62439102" w14:textId="77777777" w:rsidR="00455644" w:rsidRPr="00455644" w:rsidRDefault="00455644" w:rsidP="00455644">
      <w:pPr>
        <w:spacing w:before="60" w:after="60" w:line="276" w:lineRule="auto"/>
        <w:jc w:val="both"/>
        <w:rPr>
          <w:rFonts w:ascii="Arial" w:hAnsi="Arial" w:cs="Arial"/>
          <w:b/>
          <w:bCs/>
          <w:color w:val="000000" w:themeColor="text1"/>
          <w:sz w:val="20"/>
          <w:szCs w:val="20"/>
        </w:rPr>
      </w:pPr>
      <w:r w:rsidRPr="00455644">
        <w:rPr>
          <w:rFonts w:ascii="Arial" w:hAnsi="Arial" w:cs="Arial"/>
          <w:b/>
          <w:bCs/>
          <w:color w:val="000000" w:themeColor="text1"/>
          <w:sz w:val="20"/>
          <w:szCs w:val="20"/>
        </w:rPr>
        <w:t>COMPETING INTERESTS</w:t>
      </w:r>
    </w:p>
    <w:p w14:paraId="22094F02" w14:textId="551EF6B5" w:rsidR="005D0912" w:rsidRPr="005D0912" w:rsidRDefault="00455644" w:rsidP="00455644">
      <w:pPr>
        <w:spacing w:before="60" w:after="60" w:line="276" w:lineRule="auto"/>
        <w:jc w:val="both"/>
        <w:rPr>
          <w:rFonts w:ascii="Arial" w:hAnsi="Arial" w:cs="Arial"/>
          <w:color w:val="000000" w:themeColor="text1"/>
          <w:sz w:val="20"/>
          <w:szCs w:val="20"/>
        </w:rPr>
      </w:pPr>
      <w:r w:rsidRPr="00455644">
        <w:rPr>
          <w:rFonts w:ascii="Arial" w:hAnsi="Arial" w:cs="Arial"/>
          <w:color w:val="000000" w:themeColor="text1"/>
          <w:sz w:val="20"/>
          <w:szCs w:val="20"/>
        </w:rPr>
        <w:t>Authors have declared that no competing interests exist.</w:t>
      </w:r>
    </w:p>
    <w:p w14:paraId="22D7EC1F" w14:textId="77777777" w:rsidR="00511253" w:rsidRPr="005D0912" w:rsidRDefault="00FF31BF">
      <w:pPr>
        <w:spacing w:before="200" w:after="100"/>
        <w:rPr>
          <w:rFonts w:ascii="Arial" w:hAnsi="Arial" w:cs="Arial"/>
          <w:color w:val="000000" w:themeColor="text1"/>
          <w:sz w:val="20"/>
          <w:szCs w:val="20"/>
        </w:rPr>
      </w:pPr>
      <w:r w:rsidRPr="005D0912">
        <w:rPr>
          <w:rFonts w:ascii="Arial" w:hAnsi="Arial" w:cs="Arial"/>
          <w:b/>
          <w:bCs/>
          <w:caps/>
          <w:color w:val="000000" w:themeColor="text1"/>
          <w:sz w:val="20"/>
          <w:szCs w:val="20"/>
        </w:rPr>
        <w:t>REFERENCES</w:t>
      </w:r>
    </w:p>
    <w:p w14:paraId="508A2E10" w14:textId="7777777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lastRenderedPageBreak/>
        <w:t xml:space="preserve">Adeoye, A. A.; Udoh, J. E.; </w:t>
      </w:r>
      <w:proofErr w:type="spellStart"/>
      <w:r w:rsidRPr="00F148C1">
        <w:rPr>
          <w:rFonts w:ascii="Arial" w:hAnsi="Arial" w:cs="Arial"/>
          <w:color w:val="000000" w:themeColor="text1"/>
          <w:sz w:val="20"/>
          <w:szCs w:val="20"/>
        </w:rPr>
        <w:t>Ikcobi</w:t>
      </w:r>
      <w:proofErr w:type="spellEnd"/>
      <w:r w:rsidRPr="00F148C1">
        <w:rPr>
          <w:rFonts w:ascii="Arial" w:hAnsi="Arial" w:cs="Arial"/>
          <w:color w:val="000000" w:themeColor="text1"/>
          <w:sz w:val="20"/>
          <w:szCs w:val="20"/>
        </w:rPr>
        <w:t xml:space="preserve">, C. O. N.; </w:t>
      </w:r>
      <w:proofErr w:type="spellStart"/>
      <w:r w:rsidRPr="00F148C1">
        <w:rPr>
          <w:rFonts w:ascii="Arial" w:hAnsi="Arial" w:cs="Arial"/>
          <w:color w:val="000000" w:themeColor="text1"/>
          <w:sz w:val="20"/>
          <w:szCs w:val="20"/>
        </w:rPr>
        <w:t>Adebambo</w:t>
      </w:r>
      <w:proofErr w:type="spellEnd"/>
      <w:r w:rsidRPr="00F148C1">
        <w:rPr>
          <w:rFonts w:ascii="Arial" w:hAnsi="Arial" w:cs="Arial"/>
          <w:color w:val="000000" w:themeColor="text1"/>
          <w:sz w:val="20"/>
          <w:szCs w:val="20"/>
        </w:rPr>
        <w:t>, O. A. and Rotimi, E. A. (2016). Reproductive Performance of ASF-recovered Pigs in South-West Nigeria. World Scientific News, 53(3): 417–429.</w:t>
      </w:r>
    </w:p>
    <w:p w14:paraId="6015FC9E" w14:textId="7777777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 xml:space="preserve">Aier, T.; Zaman, G. U.; Aziz, A.; Goswami, R. N.; Kalita, D.; </w:t>
      </w:r>
      <w:proofErr w:type="spellStart"/>
      <w:r w:rsidRPr="00F148C1">
        <w:rPr>
          <w:rFonts w:ascii="Arial" w:hAnsi="Arial" w:cs="Arial"/>
          <w:color w:val="000000" w:themeColor="text1"/>
          <w:sz w:val="20"/>
          <w:szCs w:val="20"/>
        </w:rPr>
        <w:t>Saharia</w:t>
      </w:r>
      <w:proofErr w:type="spellEnd"/>
      <w:r w:rsidRPr="00F148C1">
        <w:rPr>
          <w:rFonts w:ascii="Arial" w:hAnsi="Arial" w:cs="Arial"/>
          <w:color w:val="000000" w:themeColor="text1"/>
          <w:sz w:val="20"/>
          <w:szCs w:val="20"/>
        </w:rPr>
        <w:t>, S. and Ahmed, K. (2020). Studies on pre- and post-weaning growth performance of Hampshire × Desi half-bred pigs. Journal of Entomology and Zoology Studies, 8(4): 420–423.</w:t>
      </w:r>
    </w:p>
    <w:p w14:paraId="46892D50" w14:textId="42DAA055"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 xml:space="preserve">Banik, S.; Naskar, S.; Pankaj, P. K.; </w:t>
      </w:r>
      <w:proofErr w:type="spellStart"/>
      <w:r w:rsidRPr="00F148C1">
        <w:rPr>
          <w:rFonts w:ascii="Arial" w:hAnsi="Arial" w:cs="Arial"/>
          <w:color w:val="000000" w:themeColor="text1"/>
          <w:sz w:val="20"/>
          <w:szCs w:val="20"/>
        </w:rPr>
        <w:t>Pourouchottamane</w:t>
      </w:r>
      <w:proofErr w:type="spellEnd"/>
      <w:r w:rsidRPr="00F148C1">
        <w:rPr>
          <w:rFonts w:ascii="Arial" w:hAnsi="Arial" w:cs="Arial"/>
          <w:color w:val="000000" w:themeColor="text1"/>
          <w:sz w:val="20"/>
          <w:szCs w:val="20"/>
        </w:rPr>
        <w:t xml:space="preserve">, R.; Barman, K.; Sahoo, N. R. and </w:t>
      </w:r>
      <w:proofErr w:type="spellStart"/>
      <w:r w:rsidRPr="00F148C1">
        <w:rPr>
          <w:rFonts w:ascii="Arial" w:hAnsi="Arial" w:cs="Arial"/>
          <w:color w:val="000000" w:themeColor="text1"/>
          <w:sz w:val="20"/>
          <w:szCs w:val="20"/>
        </w:rPr>
        <w:t>Tamuli</w:t>
      </w:r>
      <w:proofErr w:type="spellEnd"/>
      <w:r w:rsidRPr="00F148C1">
        <w:rPr>
          <w:rFonts w:ascii="Arial" w:hAnsi="Arial" w:cs="Arial"/>
          <w:color w:val="000000" w:themeColor="text1"/>
          <w:sz w:val="20"/>
          <w:szCs w:val="20"/>
        </w:rPr>
        <w:t>, M. K. (2013). Construction of growth band for early selection of indigenous pigs in India. Applied Biological Research, 15(1): 73–77.</w:t>
      </w:r>
      <w:r w:rsidR="00587714">
        <w:rPr>
          <w:rFonts w:ascii="Arial" w:hAnsi="Arial" w:cs="Arial"/>
          <w:color w:val="000000" w:themeColor="text1"/>
          <w:sz w:val="20"/>
          <w:szCs w:val="20"/>
        </w:rPr>
        <w:t xml:space="preserve"> </w:t>
      </w:r>
      <w:hyperlink r:id="rId8" w:history="1">
        <w:r w:rsidR="00587714" w:rsidRPr="00F81C3A">
          <w:rPr>
            <w:rStyle w:val="Hyperlink"/>
            <w:rFonts w:ascii="Arial" w:hAnsi="Arial" w:cs="Arial"/>
            <w:sz w:val="20"/>
            <w:szCs w:val="20"/>
          </w:rPr>
          <w:t>https://www.cabidigitallibrary.org/doi/full/10.5555/20143234801</w:t>
        </w:r>
      </w:hyperlink>
      <w:r w:rsidR="00587714">
        <w:rPr>
          <w:rFonts w:ascii="Arial" w:hAnsi="Arial" w:cs="Arial"/>
          <w:color w:val="000000" w:themeColor="text1"/>
          <w:sz w:val="20"/>
          <w:szCs w:val="20"/>
        </w:rPr>
        <w:t xml:space="preserve"> </w:t>
      </w:r>
    </w:p>
    <w:p w14:paraId="688E141F" w14:textId="0A1A1EAC" w:rsidR="00587714" w:rsidRDefault="00FF31BF" w:rsidP="00F148C1">
      <w:pPr>
        <w:pStyle w:val="ListParagraph"/>
        <w:numPr>
          <w:ilvl w:val="0"/>
          <w:numId w:val="2"/>
        </w:numPr>
        <w:spacing w:before="40" w:after="40"/>
        <w:jc w:val="both"/>
        <w:rPr>
          <w:rFonts w:ascii="Arial" w:hAnsi="Arial" w:cs="Arial"/>
          <w:color w:val="000000" w:themeColor="text1"/>
          <w:sz w:val="20"/>
          <w:szCs w:val="20"/>
        </w:rPr>
      </w:pPr>
      <w:r w:rsidRPr="00587714">
        <w:rPr>
          <w:rFonts w:ascii="Arial" w:hAnsi="Arial" w:cs="Arial"/>
          <w:color w:val="000000" w:themeColor="text1"/>
          <w:sz w:val="20"/>
          <w:szCs w:val="20"/>
        </w:rPr>
        <w:t>Bayan, J.; Zaman, G. U.; Kalita, D.; Goswami, R. N.; Phookan, A.; Akhtar, F. and Sulabh, S. (2024). Least-squares analysis of non-genetic factors on the growth performance traits of HD-K75 pigs. Uttar Pradesh Journal of Zoology, 45(14): 131–143.</w:t>
      </w:r>
      <w:r w:rsidR="00587714" w:rsidRPr="00587714">
        <w:rPr>
          <w:rFonts w:ascii="Arial" w:hAnsi="Arial" w:cs="Arial"/>
          <w:color w:val="000000" w:themeColor="text1"/>
          <w:sz w:val="20"/>
          <w:szCs w:val="20"/>
        </w:rPr>
        <w:t xml:space="preserve"> </w:t>
      </w:r>
      <w:hyperlink r:id="rId9" w:history="1">
        <w:r w:rsidR="00587714" w:rsidRPr="00F81C3A">
          <w:rPr>
            <w:rStyle w:val="Hyperlink"/>
            <w:rFonts w:ascii="Arial" w:hAnsi="Arial" w:cs="Arial"/>
            <w:sz w:val="20"/>
            <w:szCs w:val="20"/>
          </w:rPr>
          <w:t>https://doi.org/10.56557/upjoz/2024/v45i144186</w:t>
        </w:r>
      </w:hyperlink>
      <w:r w:rsidR="00587714" w:rsidRPr="00587714">
        <w:rPr>
          <w:rFonts w:ascii="Arial" w:hAnsi="Arial" w:cs="Arial"/>
          <w:color w:val="000000" w:themeColor="text1"/>
          <w:sz w:val="20"/>
          <w:szCs w:val="20"/>
        </w:rPr>
        <w:t>.</w:t>
      </w:r>
    </w:p>
    <w:p w14:paraId="00E64A5C" w14:textId="4C4E5028" w:rsidR="00511253" w:rsidRPr="00587714" w:rsidRDefault="00FF31BF" w:rsidP="00F148C1">
      <w:pPr>
        <w:pStyle w:val="ListParagraph"/>
        <w:numPr>
          <w:ilvl w:val="0"/>
          <w:numId w:val="2"/>
        </w:numPr>
        <w:spacing w:before="40" w:after="40"/>
        <w:jc w:val="both"/>
        <w:rPr>
          <w:rFonts w:ascii="Arial" w:hAnsi="Arial" w:cs="Arial"/>
          <w:color w:val="000000" w:themeColor="text1"/>
          <w:sz w:val="20"/>
          <w:szCs w:val="20"/>
        </w:rPr>
      </w:pPr>
      <w:r w:rsidRPr="00587714">
        <w:rPr>
          <w:rFonts w:ascii="Arial" w:hAnsi="Arial" w:cs="Arial"/>
          <w:color w:val="000000" w:themeColor="text1"/>
          <w:sz w:val="20"/>
          <w:szCs w:val="20"/>
        </w:rPr>
        <w:t xml:space="preserve">Buthelezi, N. L.; </w:t>
      </w:r>
      <w:proofErr w:type="spellStart"/>
      <w:r w:rsidRPr="00587714">
        <w:rPr>
          <w:rFonts w:ascii="Arial" w:hAnsi="Arial" w:cs="Arial"/>
          <w:color w:val="000000" w:themeColor="text1"/>
          <w:sz w:val="20"/>
          <w:szCs w:val="20"/>
        </w:rPr>
        <w:t>Mtileni</w:t>
      </w:r>
      <w:proofErr w:type="spellEnd"/>
      <w:r w:rsidRPr="00587714">
        <w:rPr>
          <w:rFonts w:ascii="Arial" w:hAnsi="Arial" w:cs="Arial"/>
          <w:color w:val="000000" w:themeColor="text1"/>
          <w:sz w:val="20"/>
          <w:szCs w:val="20"/>
        </w:rPr>
        <w:t xml:space="preserve">, B.; </w:t>
      </w:r>
      <w:proofErr w:type="spellStart"/>
      <w:r w:rsidRPr="00587714">
        <w:rPr>
          <w:rFonts w:ascii="Arial" w:hAnsi="Arial" w:cs="Arial"/>
          <w:color w:val="000000" w:themeColor="text1"/>
          <w:sz w:val="20"/>
          <w:szCs w:val="20"/>
        </w:rPr>
        <w:t>Nephawe</w:t>
      </w:r>
      <w:proofErr w:type="spellEnd"/>
      <w:r w:rsidRPr="00587714">
        <w:rPr>
          <w:rFonts w:ascii="Arial" w:hAnsi="Arial" w:cs="Arial"/>
          <w:color w:val="000000" w:themeColor="text1"/>
          <w:sz w:val="20"/>
          <w:szCs w:val="20"/>
        </w:rPr>
        <w:t xml:space="preserve">, K. A.; Modiba, M. C.; </w:t>
      </w:r>
      <w:proofErr w:type="spellStart"/>
      <w:r w:rsidRPr="00587714">
        <w:rPr>
          <w:rFonts w:ascii="Arial" w:hAnsi="Arial" w:cs="Arial"/>
          <w:color w:val="000000" w:themeColor="text1"/>
          <w:sz w:val="20"/>
          <w:szCs w:val="20"/>
        </w:rPr>
        <w:t>Mpedi</w:t>
      </w:r>
      <w:proofErr w:type="spellEnd"/>
      <w:r w:rsidRPr="00587714">
        <w:rPr>
          <w:rFonts w:ascii="Arial" w:hAnsi="Arial" w:cs="Arial"/>
          <w:color w:val="000000" w:themeColor="text1"/>
          <w:sz w:val="20"/>
          <w:szCs w:val="20"/>
        </w:rPr>
        <w:t>, H.; Idowu, P. A. and Mpofu, T. J. (2024). Effects of parity, season of birth, and sex on within-litter variation and pre-weaning performance of F1 Large White × Landrace pigs. Veterinary World, 17(7): 1459–1468.</w:t>
      </w:r>
      <w:r w:rsidR="00587714">
        <w:rPr>
          <w:rFonts w:ascii="Arial" w:hAnsi="Arial" w:cs="Arial"/>
          <w:color w:val="000000" w:themeColor="text1"/>
          <w:sz w:val="20"/>
          <w:szCs w:val="20"/>
        </w:rPr>
        <w:t xml:space="preserve"> </w:t>
      </w:r>
      <w:hyperlink r:id="rId10" w:history="1">
        <w:r w:rsidR="00587714" w:rsidRPr="00F81C3A">
          <w:rPr>
            <w:rStyle w:val="Hyperlink"/>
            <w:rFonts w:ascii="Arial" w:hAnsi="Arial" w:cs="Arial"/>
            <w:sz w:val="20"/>
            <w:szCs w:val="20"/>
          </w:rPr>
          <w:t>https://doi.org/10.14202/vetworld.2024.1459-1468</w:t>
        </w:r>
      </w:hyperlink>
      <w:r w:rsidR="00587714">
        <w:rPr>
          <w:rFonts w:ascii="Arial" w:hAnsi="Arial" w:cs="Arial"/>
          <w:color w:val="000000" w:themeColor="text1"/>
          <w:sz w:val="20"/>
          <w:szCs w:val="20"/>
        </w:rPr>
        <w:t xml:space="preserve"> </w:t>
      </w:r>
    </w:p>
    <w:p w14:paraId="1DBF52E9" w14:textId="0CD8CA64"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proofErr w:type="spellStart"/>
      <w:r w:rsidRPr="00F148C1">
        <w:rPr>
          <w:rFonts w:ascii="Arial" w:hAnsi="Arial" w:cs="Arial"/>
          <w:color w:val="000000" w:themeColor="text1"/>
          <w:sz w:val="20"/>
          <w:szCs w:val="20"/>
        </w:rPr>
        <w:t>Chakurkar</w:t>
      </w:r>
      <w:proofErr w:type="spellEnd"/>
      <w:r w:rsidRPr="00F148C1">
        <w:rPr>
          <w:rFonts w:ascii="Arial" w:hAnsi="Arial" w:cs="Arial"/>
          <w:color w:val="000000" w:themeColor="text1"/>
          <w:sz w:val="20"/>
          <w:szCs w:val="20"/>
        </w:rPr>
        <w:t xml:space="preserve">, E. B.; Sahu, A. R.; </w:t>
      </w:r>
      <w:proofErr w:type="spellStart"/>
      <w:r w:rsidRPr="00F148C1">
        <w:rPr>
          <w:rFonts w:ascii="Arial" w:hAnsi="Arial" w:cs="Arial"/>
          <w:color w:val="000000" w:themeColor="text1"/>
          <w:sz w:val="20"/>
          <w:szCs w:val="20"/>
        </w:rPr>
        <w:t>Gokuldas</w:t>
      </w:r>
      <w:proofErr w:type="spellEnd"/>
      <w:r w:rsidRPr="00F148C1">
        <w:rPr>
          <w:rFonts w:ascii="Arial" w:hAnsi="Arial" w:cs="Arial"/>
          <w:color w:val="000000" w:themeColor="text1"/>
          <w:sz w:val="20"/>
          <w:szCs w:val="20"/>
        </w:rPr>
        <w:t xml:space="preserve">, P. P.; Banik, S. and Naik, S. (2023). Phenotypic attributes and production performances of </w:t>
      </w:r>
      <w:proofErr w:type="spellStart"/>
      <w:r w:rsidRPr="00F148C1">
        <w:rPr>
          <w:rFonts w:ascii="Arial" w:hAnsi="Arial" w:cs="Arial"/>
          <w:color w:val="000000" w:themeColor="text1"/>
          <w:sz w:val="20"/>
          <w:szCs w:val="20"/>
        </w:rPr>
        <w:t>Agonda</w:t>
      </w:r>
      <w:proofErr w:type="spellEnd"/>
      <w:r w:rsidRPr="00F148C1">
        <w:rPr>
          <w:rFonts w:ascii="Arial" w:hAnsi="Arial" w:cs="Arial"/>
          <w:color w:val="000000" w:themeColor="text1"/>
          <w:sz w:val="20"/>
          <w:szCs w:val="20"/>
        </w:rPr>
        <w:t xml:space="preserve"> Goan pig. Indian Journal of Animal Sciences, 93(7): 711–715.</w:t>
      </w:r>
      <w:r w:rsidR="00587714" w:rsidRPr="00587714">
        <w:t xml:space="preserve"> </w:t>
      </w:r>
      <w:hyperlink r:id="rId11" w:history="1">
        <w:r w:rsidR="00587714" w:rsidRPr="00F81C3A">
          <w:rPr>
            <w:rStyle w:val="Hyperlink"/>
            <w:rFonts w:ascii="Arial" w:hAnsi="Arial" w:cs="Arial"/>
            <w:sz w:val="20"/>
            <w:szCs w:val="20"/>
          </w:rPr>
          <w:t>https://doi.org/10.56093/ijans.v93i7.132349</w:t>
        </w:r>
      </w:hyperlink>
      <w:r w:rsidR="00587714">
        <w:rPr>
          <w:rFonts w:ascii="Arial" w:hAnsi="Arial" w:cs="Arial"/>
          <w:color w:val="000000" w:themeColor="text1"/>
          <w:sz w:val="20"/>
          <w:szCs w:val="20"/>
        </w:rPr>
        <w:t xml:space="preserve"> </w:t>
      </w:r>
    </w:p>
    <w:p w14:paraId="4FDC83EB" w14:textId="1F87CDFC"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Chusi, Z.; Savino, N.; Dhali, A. and Perumal, P. (2015). Phenotypic morphometric parameters of indigenous pig of Nagaland. Indian Journal of Animal Sciences, 85(12): 1334–1337.</w:t>
      </w:r>
      <w:r w:rsidR="006B6F74" w:rsidRPr="006B6F74">
        <w:rPr>
          <w:rFonts w:ascii="Arial" w:hAnsi="Arial" w:cs="Arial"/>
          <w:color w:val="000000" w:themeColor="text1"/>
          <w:sz w:val="20"/>
          <w:szCs w:val="20"/>
        </w:rPr>
        <w:t xml:space="preserve"> </w:t>
      </w:r>
      <w:hyperlink r:id="rId12" w:history="1">
        <w:r w:rsidR="006B6F74" w:rsidRPr="00F81C3A">
          <w:rPr>
            <w:rStyle w:val="Hyperlink"/>
            <w:rFonts w:ascii="Arial" w:hAnsi="Arial" w:cs="Arial"/>
            <w:sz w:val="20"/>
            <w:szCs w:val="20"/>
          </w:rPr>
          <w:t>https://doi.org/10.56093/ijans.v85i12.54392</w:t>
        </w:r>
      </w:hyperlink>
      <w:r w:rsidR="006B6F74">
        <w:rPr>
          <w:rFonts w:ascii="Arial" w:hAnsi="Arial" w:cs="Arial"/>
          <w:color w:val="000000" w:themeColor="text1"/>
          <w:sz w:val="20"/>
          <w:szCs w:val="20"/>
        </w:rPr>
        <w:t xml:space="preserve"> </w:t>
      </w:r>
    </w:p>
    <w:p w14:paraId="59BDBA74" w14:textId="4C2EDEAB"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 xml:space="preserve">Das, E.; Kalita, D.; Goswami, R. N.; Phookan, A.; </w:t>
      </w:r>
      <w:proofErr w:type="spellStart"/>
      <w:r w:rsidRPr="00F148C1">
        <w:rPr>
          <w:rFonts w:ascii="Arial" w:hAnsi="Arial" w:cs="Arial"/>
          <w:color w:val="000000" w:themeColor="text1"/>
          <w:sz w:val="20"/>
          <w:szCs w:val="20"/>
        </w:rPr>
        <w:t>Khanikar</w:t>
      </w:r>
      <w:proofErr w:type="spellEnd"/>
      <w:r w:rsidRPr="00F148C1">
        <w:rPr>
          <w:rFonts w:ascii="Arial" w:hAnsi="Arial" w:cs="Arial"/>
          <w:color w:val="000000" w:themeColor="text1"/>
          <w:sz w:val="20"/>
          <w:szCs w:val="20"/>
        </w:rPr>
        <w:t>, D. and Deka, N. (2023). Growth performance of HD-K75 pigs in the original nucleus herd. International Journal of Veterinary Sciences and Animal Husbandry, 8(6): 24–28.</w:t>
      </w:r>
      <w:r w:rsidR="006B6F74" w:rsidRPr="006B6F74">
        <w:t xml:space="preserve"> </w:t>
      </w:r>
      <w:hyperlink r:id="rId13" w:history="1">
        <w:r w:rsidR="006B6F74" w:rsidRPr="00F81C3A">
          <w:rPr>
            <w:rStyle w:val="Hyperlink"/>
            <w:rFonts w:ascii="Arial" w:hAnsi="Arial" w:cs="Arial"/>
            <w:sz w:val="20"/>
            <w:szCs w:val="20"/>
          </w:rPr>
          <w:t>https://www.veterinarypaper.com/archives/2023/8/6/A/8-5-77</w:t>
        </w:r>
      </w:hyperlink>
      <w:r w:rsidR="006B6F74">
        <w:rPr>
          <w:rFonts w:ascii="Arial" w:hAnsi="Arial" w:cs="Arial"/>
          <w:color w:val="000000" w:themeColor="text1"/>
          <w:sz w:val="20"/>
          <w:szCs w:val="20"/>
        </w:rPr>
        <w:t xml:space="preserve"> </w:t>
      </w:r>
    </w:p>
    <w:p w14:paraId="4332A596" w14:textId="0D77ED56"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Deka, D.; Kalita, D.; Das, D. and Nath, D. R. (2004). Genetic studies on the performance of Hampshire and indigenous crosses. Indian Veterinary Medical Journal, 23(7): 112–115.</w:t>
      </w:r>
    </w:p>
    <w:p w14:paraId="743B5F3C" w14:textId="7777777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 xml:space="preserve">Deka, K. and </w:t>
      </w:r>
      <w:proofErr w:type="spellStart"/>
      <w:r w:rsidRPr="00F148C1">
        <w:rPr>
          <w:rFonts w:ascii="Arial" w:hAnsi="Arial" w:cs="Arial"/>
          <w:color w:val="000000" w:themeColor="text1"/>
          <w:sz w:val="20"/>
          <w:szCs w:val="20"/>
        </w:rPr>
        <w:t>Bardoloi</w:t>
      </w:r>
      <w:proofErr w:type="spellEnd"/>
      <w:r w:rsidRPr="00F148C1">
        <w:rPr>
          <w:rFonts w:ascii="Arial" w:hAnsi="Arial" w:cs="Arial"/>
          <w:color w:val="000000" w:themeColor="text1"/>
          <w:sz w:val="20"/>
          <w:szCs w:val="20"/>
        </w:rPr>
        <w:t>, T. (2004). Factors influencing body weights at different stages of growth and heritability estimates in Hampshire × indigenous pigs in Assam. Indian Veterinary Journal, 81: 527–531.</w:t>
      </w:r>
    </w:p>
    <w:p w14:paraId="24C16667" w14:textId="726DD759"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 xml:space="preserve">Devendran, P.; Gopinathan, A.; Murugan, M. and </w:t>
      </w:r>
      <w:proofErr w:type="spellStart"/>
      <w:r w:rsidRPr="00F148C1">
        <w:rPr>
          <w:rFonts w:ascii="Arial" w:hAnsi="Arial" w:cs="Arial"/>
          <w:color w:val="000000" w:themeColor="text1"/>
          <w:sz w:val="20"/>
          <w:szCs w:val="20"/>
        </w:rPr>
        <w:t>Cauveri</w:t>
      </w:r>
      <w:proofErr w:type="spellEnd"/>
      <w:r w:rsidRPr="00F148C1">
        <w:rPr>
          <w:rFonts w:ascii="Arial" w:hAnsi="Arial" w:cs="Arial"/>
          <w:color w:val="000000" w:themeColor="text1"/>
          <w:sz w:val="20"/>
          <w:szCs w:val="20"/>
        </w:rPr>
        <w:t>, D. (2015). Pre-weaning body weights of Large White Yorkshire (50%) pig generations. Indian Journal of Animal Research, 49(3): 284–287.</w:t>
      </w:r>
      <w:r w:rsidR="006B6F74">
        <w:rPr>
          <w:rFonts w:ascii="Arial" w:hAnsi="Arial" w:cs="Arial"/>
          <w:color w:val="000000" w:themeColor="text1"/>
          <w:sz w:val="20"/>
          <w:szCs w:val="20"/>
        </w:rPr>
        <w:t xml:space="preserve"> </w:t>
      </w:r>
      <w:hyperlink r:id="rId14" w:history="1">
        <w:r w:rsidR="006B6F74" w:rsidRPr="00F81C3A">
          <w:rPr>
            <w:rStyle w:val="Hyperlink"/>
            <w:rFonts w:ascii="Arial" w:hAnsi="Arial" w:cs="Arial"/>
            <w:sz w:val="20"/>
            <w:szCs w:val="20"/>
          </w:rPr>
          <w:t>https://doi.org/10.5958/0976-0555.2015.00117.X</w:t>
        </w:r>
      </w:hyperlink>
      <w:r w:rsidR="006B6F74">
        <w:rPr>
          <w:rFonts w:ascii="Arial" w:hAnsi="Arial" w:cs="Arial"/>
          <w:color w:val="000000" w:themeColor="text1"/>
          <w:sz w:val="20"/>
          <w:szCs w:val="20"/>
        </w:rPr>
        <w:t xml:space="preserve"> </w:t>
      </w:r>
    </w:p>
    <w:p w14:paraId="2A823C96" w14:textId="647177A8"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 xml:space="preserve">Eyovwunu, D.; </w:t>
      </w:r>
      <w:proofErr w:type="spellStart"/>
      <w:r w:rsidRPr="00F148C1">
        <w:rPr>
          <w:rFonts w:ascii="Arial" w:hAnsi="Arial" w:cs="Arial"/>
          <w:color w:val="000000" w:themeColor="text1"/>
          <w:sz w:val="20"/>
          <w:szCs w:val="20"/>
        </w:rPr>
        <w:t>Omeje</w:t>
      </w:r>
      <w:proofErr w:type="spellEnd"/>
      <w:r w:rsidRPr="00F148C1">
        <w:rPr>
          <w:rFonts w:ascii="Arial" w:hAnsi="Arial" w:cs="Arial"/>
          <w:color w:val="000000" w:themeColor="text1"/>
          <w:sz w:val="20"/>
          <w:szCs w:val="20"/>
        </w:rPr>
        <w:t xml:space="preserve">, S. I. and </w:t>
      </w:r>
      <w:proofErr w:type="spellStart"/>
      <w:r w:rsidRPr="00F148C1">
        <w:rPr>
          <w:rFonts w:ascii="Arial" w:hAnsi="Arial" w:cs="Arial"/>
          <w:color w:val="000000" w:themeColor="text1"/>
          <w:sz w:val="20"/>
          <w:szCs w:val="20"/>
        </w:rPr>
        <w:t>Akpodiete</w:t>
      </w:r>
      <w:proofErr w:type="spellEnd"/>
      <w:r w:rsidRPr="00F148C1">
        <w:rPr>
          <w:rFonts w:ascii="Arial" w:hAnsi="Arial" w:cs="Arial"/>
          <w:color w:val="000000" w:themeColor="text1"/>
          <w:sz w:val="20"/>
          <w:szCs w:val="20"/>
        </w:rPr>
        <w:t>, J. O. (2016). Effects of genotype on the reproductive traits of the female pigs. IOSR Journal of Agriculture and Veterinary Science, 9(3): 20–22.</w:t>
      </w:r>
      <w:r w:rsidR="006B6F74">
        <w:rPr>
          <w:rFonts w:ascii="Arial" w:hAnsi="Arial" w:cs="Arial"/>
          <w:color w:val="000000" w:themeColor="text1"/>
          <w:sz w:val="20"/>
          <w:szCs w:val="20"/>
        </w:rPr>
        <w:t xml:space="preserve"> </w:t>
      </w:r>
      <w:hyperlink r:id="rId15" w:history="1">
        <w:r w:rsidR="00FF15AD" w:rsidRPr="00F81C3A">
          <w:rPr>
            <w:rStyle w:val="Hyperlink"/>
            <w:rFonts w:ascii="Arial" w:hAnsi="Arial" w:cs="Arial"/>
            <w:sz w:val="20"/>
            <w:szCs w:val="20"/>
          </w:rPr>
          <w:t xml:space="preserve">https://doi.org/10.9790/2380-09312022     </w:t>
        </w:r>
      </w:hyperlink>
      <w:r w:rsidR="006B6F74">
        <w:rPr>
          <w:rFonts w:ascii="Arial" w:hAnsi="Arial" w:cs="Arial"/>
          <w:color w:val="000000" w:themeColor="text1"/>
          <w:sz w:val="20"/>
          <w:szCs w:val="20"/>
        </w:rPr>
        <w:t xml:space="preserve"> </w:t>
      </w:r>
    </w:p>
    <w:p w14:paraId="615AFEB0" w14:textId="0988A731"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proofErr w:type="spellStart"/>
      <w:r w:rsidRPr="00F148C1">
        <w:rPr>
          <w:rFonts w:ascii="Arial" w:hAnsi="Arial" w:cs="Arial"/>
          <w:color w:val="000000" w:themeColor="text1"/>
          <w:sz w:val="20"/>
          <w:szCs w:val="20"/>
        </w:rPr>
        <w:t>Gowrimanokari</w:t>
      </w:r>
      <w:proofErr w:type="spellEnd"/>
      <w:r w:rsidRPr="00F148C1">
        <w:rPr>
          <w:rFonts w:ascii="Arial" w:hAnsi="Arial" w:cs="Arial"/>
          <w:color w:val="000000" w:themeColor="text1"/>
          <w:sz w:val="20"/>
          <w:szCs w:val="20"/>
        </w:rPr>
        <w:t>, K. V.; Thiagarajan, R.; Venkataramanan, R. and Gopi, H. (2018). Effect of inbreeding on pre-weaning and sow performance traits in Large White Yorkshire pigs. Indian Journal of Animal Research, B-3623: 1–5.</w:t>
      </w:r>
      <w:r w:rsidR="00BB1307">
        <w:rPr>
          <w:rFonts w:ascii="Arial" w:hAnsi="Arial" w:cs="Arial"/>
          <w:color w:val="000000" w:themeColor="text1"/>
          <w:sz w:val="20"/>
          <w:szCs w:val="20"/>
        </w:rPr>
        <w:t xml:space="preserve"> </w:t>
      </w:r>
      <w:hyperlink r:id="rId16" w:history="1">
        <w:r w:rsidR="00BB1307" w:rsidRPr="00F81C3A">
          <w:rPr>
            <w:rStyle w:val="Hyperlink"/>
            <w:rFonts w:ascii="Arial" w:hAnsi="Arial" w:cs="Arial"/>
            <w:sz w:val="20"/>
            <w:szCs w:val="20"/>
          </w:rPr>
          <w:t>https://doi.org/10.18805/ijar.B-3623</w:t>
        </w:r>
      </w:hyperlink>
      <w:r w:rsidR="00BB1307">
        <w:rPr>
          <w:rFonts w:ascii="Arial" w:hAnsi="Arial" w:cs="Arial"/>
          <w:color w:val="000000" w:themeColor="text1"/>
          <w:sz w:val="20"/>
          <w:szCs w:val="20"/>
        </w:rPr>
        <w:t xml:space="preserve"> </w:t>
      </w:r>
    </w:p>
    <w:p w14:paraId="7AE9889D" w14:textId="7777777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Harvey, W. R. (1990). User's Guide for LSMLMW and MIXMDL, PC-2 Version. Ohio State University, Columbus, USA.</w:t>
      </w:r>
    </w:p>
    <w:p w14:paraId="6C2AF7B4" w14:textId="29651A3B"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 xml:space="preserve">Kadirvel, G.; Kumar, R.; Borah, S.; Singh, N.; Devi, Y.; </w:t>
      </w:r>
      <w:proofErr w:type="spellStart"/>
      <w:r w:rsidRPr="00F148C1">
        <w:rPr>
          <w:rFonts w:ascii="Arial" w:hAnsi="Arial" w:cs="Arial"/>
          <w:color w:val="000000" w:themeColor="text1"/>
          <w:sz w:val="20"/>
          <w:szCs w:val="20"/>
        </w:rPr>
        <w:t>Jamatia</w:t>
      </w:r>
      <w:proofErr w:type="spellEnd"/>
      <w:r w:rsidRPr="00F148C1">
        <w:rPr>
          <w:rFonts w:ascii="Arial" w:hAnsi="Arial" w:cs="Arial"/>
          <w:color w:val="000000" w:themeColor="text1"/>
          <w:sz w:val="20"/>
          <w:szCs w:val="20"/>
        </w:rPr>
        <w:t xml:space="preserve">, K. and </w:t>
      </w:r>
      <w:proofErr w:type="spellStart"/>
      <w:r w:rsidRPr="00F148C1">
        <w:rPr>
          <w:rFonts w:ascii="Arial" w:hAnsi="Arial" w:cs="Arial"/>
          <w:color w:val="000000" w:themeColor="text1"/>
          <w:sz w:val="20"/>
          <w:szCs w:val="20"/>
        </w:rPr>
        <w:t>Deori</w:t>
      </w:r>
      <w:proofErr w:type="spellEnd"/>
      <w:r w:rsidRPr="00F148C1">
        <w:rPr>
          <w:rFonts w:ascii="Arial" w:hAnsi="Arial" w:cs="Arial"/>
          <w:color w:val="000000" w:themeColor="text1"/>
          <w:sz w:val="20"/>
          <w:szCs w:val="20"/>
        </w:rPr>
        <w:t xml:space="preserve">, S. (2021). Phenotypic characterization and performance evaluation of Wak </w:t>
      </w:r>
      <w:proofErr w:type="spellStart"/>
      <w:r w:rsidRPr="00F148C1">
        <w:rPr>
          <w:rFonts w:ascii="Arial" w:hAnsi="Arial" w:cs="Arial"/>
          <w:color w:val="000000" w:themeColor="text1"/>
          <w:sz w:val="20"/>
          <w:szCs w:val="20"/>
        </w:rPr>
        <w:t>Chambil</w:t>
      </w:r>
      <w:proofErr w:type="spellEnd"/>
      <w:r w:rsidRPr="00F148C1">
        <w:rPr>
          <w:rFonts w:ascii="Arial" w:hAnsi="Arial" w:cs="Arial"/>
          <w:color w:val="000000" w:themeColor="text1"/>
          <w:sz w:val="20"/>
          <w:szCs w:val="20"/>
        </w:rPr>
        <w:t>: A unique indigenous pig of Northeast India. Indian Journal of Hill Farming, 34: 75–81.</w:t>
      </w:r>
      <w:r w:rsidR="00E46FE3" w:rsidRPr="00E46FE3">
        <w:rPr>
          <w:rFonts w:ascii="Arial" w:hAnsi="Arial" w:cs="Arial"/>
          <w:color w:val="FF0000"/>
          <w:sz w:val="20"/>
          <w:szCs w:val="20"/>
        </w:rPr>
        <w:t>- after Kadirvel et al. 2020</w:t>
      </w:r>
      <w:r w:rsidR="00E46FE3">
        <w:rPr>
          <w:rFonts w:ascii="Arial" w:hAnsi="Arial" w:cs="Arial"/>
          <w:color w:val="FF0000"/>
          <w:sz w:val="20"/>
          <w:szCs w:val="20"/>
        </w:rPr>
        <w:t>.</w:t>
      </w:r>
    </w:p>
    <w:p w14:paraId="476D9A38" w14:textId="6F4AF34F"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 xml:space="preserve">Kadirvel, G.; Singh, N. M.; Rahman, M.; Singh, L. A.; </w:t>
      </w:r>
      <w:proofErr w:type="spellStart"/>
      <w:r w:rsidRPr="00F148C1">
        <w:rPr>
          <w:rFonts w:ascii="Arial" w:hAnsi="Arial" w:cs="Arial"/>
          <w:color w:val="000000" w:themeColor="text1"/>
          <w:sz w:val="20"/>
          <w:szCs w:val="20"/>
        </w:rPr>
        <w:t>Khargharia</w:t>
      </w:r>
      <w:proofErr w:type="spellEnd"/>
      <w:r w:rsidRPr="00F148C1">
        <w:rPr>
          <w:rFonts w:ascii="Arial" w:hAnsi="Arial" w:cs="Arial"/>
          <w:color w:val="000000" w:themeColor="text1"/>
          <w:sz w:val="20"/>
          <w:szCs w:val="20"/>
        </w:rPr>
        <w:t>, G. and Kumar, R. (2020). A comparative evaluation on productive and reproductive traits of Tamworth × Desi and Hampshire × Niang Megha pigs under subtropical hill ecosystem in Eastern Himalayas, India. Indian Journal of Animal Research, 54(11): 1332–1337.</w:t>
      </w:r>
      <w:r w:rsidR="00936E7C" w:rsidRPr="00936E7C">
        <w:t xml:space="preserve"> </w:t>
      </w:r>
      <w:hyperlink r:id="rId17" w:history="1">
        <w:r w:rsidR="00936E7C" w:rsidRPr="00936E7C">
          <w:rPr>
            <w:rStyle w:val="Hyperlink"/>
            <w:rFonts w:ascii="Arial" w:hAnsi="Arial" w:cs="Arial"/>
            <w:sz w:val="20"/>
            <w:szCs w:val="20"/>
          </w:rPr>
          <w:t>https://doi.org/10.18805/ijar.B-3824</w:t>
        </w:r>
      </w:hyperlink>
      <w:r w:rsidR="00936E7C">
        <w:rPr>
          <w:rFonts w:ascii="Arial" w:hAnsi="Arial" w:cs="Arial"/>
          <w:color w:val="000000" w:themeColor="text1"/>
          <w:sz w:val="20"/>
          <w:szCs w:val="20"/>
        </w:rPr>
        <w:t xml:space="preserve"> </w:t>
      </w:r>
      <w:r w:rsidR="00E46FE3" w:rsidRPr="00F148C1">
        <w:rPr>
          <w:rFonts w:ascii="Arial" w:hAnsi="Arial" w:cs="Arial"/>
          <w:color w:val="000000" w:themeColor="text1"/>
          <w:sz w:val="20"/>
          <w:szCs w:val="20"/>
        </w:rPr>
        <w:t>.</w:t>
      </w:r>
      <w:r w:rsidR="00E46FE3" w:rsidRPr="00E46FE3">
        <w:rPr>
          <w:rFonts w:ascii="Arial" w:hAnsi="Arial" w:cs="Arial"/>
          <w:color w:val="FF0000"/>
          <w:sz w:val="20"/>
          <w:szCs w:val="20"/>
        </w:rPr>
        <w:t xml:space="preserve">- </w:t>
      </w:r>
      <w:r w:rsidR="00E46FE3">
        <w:rPr>
          <w:rFonts w:ascii="Arial" w:hAnsi="Arial" w:cs="Arial"/>
          <w:color w:val="FF0000"/>
          <w:sz w:val="20"/>
          <w:szCs w:val="20"/>
        </w:rPr>
        <w:t>before Kadirvel et al. 2021.</w:t>
      </w:r>
    </w:p>
    <w:p w14:paraId="7DE4D692" w14:textId="7777777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lastRenderedPageBreak/>
        <w:t>Kalita, D.; Das, D. and Goswami, R. N. (2001). Body weights of indigenous pigs of Assam and their crosses with Hampshire as affected by various factors. Indian Veterinary Journal, 78: 1024–1027.</w:t>
      </w:r>
    </w:p>
    <w:p w14:paraId="4F08A516" w14:textId="7777777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Kalita, D.; Goswami, R. N. and Deka, D. (2006). Genetic studies on body weight of crossbred pigs of Assam. Indian Veterinary Journal, 83(8): 850–852.</w:t>
      </w:r>
    </w:p>
    <w:p w14:paraId="19B2152F" w14:textId="7777777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Kaushik, P.; Banik, S.; Naskar, S.; Barman, K.; Das, A. K. and Sarma, D. K. (2017). Effect of different genetic and non-genetic factors on pre-weaning litter and growth performance of pigs. Indian Journal of Animal Research, 51(1): 179–181.</w:t>
      </w:r>
    </w:p>
    <w:p w14:paraId="3561A185" w14:textId="57991A94"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 xml:space="preserve">Knecht, D.; </w:t>
      </w:r>
      <w:proofErr w:type="spellStart"/>
      <w:r w:rsidRPr="00F148C1">
        <w:rPr>
          <w:rFonts w:ascii="Arial" w:hAnsi="Arial" w:cs="Arial"/>
          <w:color w:val="000000" w:themeColor="text1"/>
          <w:sz w:val="20"/>
          <w:szCs w:val="20"/>
        </w:rPr>
        <w:t>Srodon</w:t>
      </w:r>
      <w:proofErr w:type="spellEnd"/>
      <w:r w:rsidRPr="00F148C1">
        <w:rPr>
          <w:rFonts w:ascii="Arial" w:hAnsi="Arial" w:cs="Arial"/>
          <w:color w:val="000000" w:themeColor="text1"/>
          <w:sz w:val="20"/>
          <w:szCs w:val="20"/>
        </w:rPr>
        <w:t>, S. and Duzinski, K. (2015). The impact of season, parity and breed on selected reproductive performance parameters of sows. Archives Animal Breeding, 58(1): 49–56.</w:t>
      </w:r>
      <w:r w:rsidR="00434ECD" w:rsidRPr="00434ECD">
        <w:t xml:space="preserve"> </w:t>
      </w:r>
      <w:hyperlink r:id="rId18" w:history="1">
        <w:r w:rsidR="00434ECD" w:rsidRPr="00434ECD">
          <w:rPr>
            <w:rStyle w:val="Hyperlink"/>
            <w:rFonts w:ascii="Arial" w:hAnsi="Arial" w:cs="Arial"/>
            <w:sz w:val="20"/>
            <w:szCs w:val="20"/>
          </w:rPr>
          <w:t>https://doi.org/10.5194/aab-58-49-2015</w:t>
        </w:r>
      </w:hyperlink>
      <w:r w:rsidR="00434ECD">
        <w:rPr>
          <w:rFonts w:ascii="Arial" w:hAnsi="Arial" w:cs="Arial"/>
          <w:color w:val="000000" w:themeColor="text1"/>
          <w:sz w:val="20"/>
          <w:szCs w:val="20"/>
        </w:rPr>
        <w:t xml:space="preserve"> </w:t>
      </w:r>
    </w:p>
    <w:p w14:paraId="7D7E314C" w14:textId="7777777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Kramer, C. Y. (1957). Extension of multiple range tests to group means with unequal numbers of replications. Biometrics, 13: 307–310.</w:t>
      </w:r>
    </w:p>
    <w:p w14:paraId="6D362379" w14:textId="7777777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Kumar, R.; Mandal, B.; Kumari, N. and Patel, N. (2018). Performance of different genetic groups of pigs maintained under AICRP on Pig. International Journal of Current Microbiology and Applied Sciences, 7: 822–826.</w:t>
      </w:r>
    </w:p>
    <w:p w14:paraId="50FBC454" w14:textId="7777777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Kumari, B. P.; Reddy, V. R. C.; Reddy, K. K. and Rao, C. H. (2005). Effect of inbreeding on some economic traits of indigenous pigs. Indian Journal of Animal Sciences, 75(8): 949–952.</w:t>
      </w:r>
    </w:p>
    <w:p w14:paraId="65A7AF98" w14:textId="67979BED"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Lalremruata, C.; Hmar, L. and Kalita, G. (2015). Study on the growth performance and mortality in pre-weaning Burmese piglets reared under field condition of Aizawl, India. Indian Journal of Animal Research, 49(2): 262–264.</w:t>
      </w:r>
      <w:r w:rsidR="00434ECD">
        <w:rPr>
          <w:rFonts w:ascii="Arial" w:hAnsi="Arial" w:cs="Arial"/>
          <w:color w:val="000000" w:themeColor="text1"/>
          <w:sz w:val="20"/>
          <w:szCs w:val="20"/>
        </w:rPr>
        <w:t xml:space="preserve"> </w:t>
      </w:r>
      <w:hyperlink r:id="rId19" w:history="1">
        <w:r w:rsidR="00D14D6B" w:rsidRPr="00F81C3A">
          <w:rPr>
            <w:rStyle w:val="Hyperlink"/>
            <w:rFonts w:ascii="Arial" w:hAnsi="Arial" w:cs="Arial"/>
            <w:sz w:val="20"/>
            <w:szCs w:val="20"/>
          </w:rPr>
          <w:t>https://doi.org/10.5958/0976-0555.2015.00115.6</w:t>
        </w:r>
      </w:hyperlink>
      <w:r w:rsidR="00D14D6B">
        <w:rPr>
          <w:rFonts w:ascii="Arial" w:hAnsi="Arial" w:cs="Arial"/>
          <w:color w:val="000000" w:themeColor="text1"/>
          <w:sz w:val="20"/>
          <w:szCs w:val="20"/>
        </w:rPr>
        <w:t xml:space="preserve"> </w:t>
      </w:r>
    </w:p>
    <w:p w14:paraId="6D083554" w14:textId="7777777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proofErr w:type="spellStart"/>
      <w:r w:rsidRPr="00F148C1">
        <w:rPr>
          <w:rFonts w:ascii="Arial" w:hAnsi="Arial" w:cs="Arial"/>
          <w:color w:val="000000" w:themeColor="text1"/>
          <w:sz w:val="20"/>
          <w:szCs w:val="20"/>
        </w:rPr>
        <w:t>Lanuyanger</w:t>
      </w:r>
      <w:proofErr w:type="spellEnd"/>
      <w:r w:rsidRPr="00F148C1">
        <w:rPr>
          <w:rFonts w:ascii="Arial" w:hAnsi="Arial" w:cs="Arial"/>
          <w:color w:val="000000" w:themeColor="text1"/>
          <w:sz w:val="20"/>
          <w:szCs w:val="20"/>
        </w:rPr>
        <w:t xml:space="preserve">, A.; Nizamuddin, B.; </w:t>
      </w:r>
      <w:proofErr w:type="spellStart"/>
      <w:r w:rsidRPr="00F148C1">
        <w:rPr>
          <w:rFonts w:ascii="Arial" w:hAnsi="Arial" w:cs="Arial"/>
          <w:color w:val="000000" w:themeColor="text1"/>
          <w:sz w:val="20"/>
          <w:szCs w:val="20"/>
        </w:rPr>
        <w:t>Rutsa</w:t>
      </w:r>
      <w:proofErr w:type="spellEnd"/>
      <w:r w:rsidRPr="00F148C1">
        <w:rPr>
          <w:rFonts w:ascii="Arial" w:hAnsi="Arial" w:cs="Arial"/>
          <w:color w:val="000000" w:themeColor="text1"/>
          <w:sz w:val="20"/>
          <w:szCs w:val="20"/>
        </w:rPr>
        <w:t xml:space="preserve">, M. C.; </w:t>
      </w:r>
      <w:proofErr w:type="spellStart"/>
      <w:r w:rsidRPr="00F148C1">
        <w:rPr>
          <w:rFonts w:ascii="Arial" w:hAnsi="Arial" w:cs="Arial"/>
          <w:color w:val="000000" w:themeColor="text1"/>
          <w:sz w:val="20"/>
          <w:szCs w:val="20"/>
        </w:rPr>
        <w:t>Zuyie</w:t>
      </w:r>
      <w:proofErr w:type="spellEnd"/>
      <w:r w:rsidRPr="00F148C1">
        <w:rPr>
          <w:rFonts w:ascii="Arial" w:hAnsi="Arial" w:cs="Arial"/>
          <w:color w:val="000000" w:themeColor="text1"/>
          <w:sz w:val="20"/>
          <w:szCs w:val="20"/>
        </w:rPr>
        <w:t xml:space="preserve">, R.; Vidyarthi, V. K.; Savino, N. and Singh, R. (2023). Productive and reproductive performance of male </w:t>
      </w:r>
      <w:proofErr w:type="spellStart"/>
      <w:r w:rsidRPr="00F148C1">
        <w:rPr>
          <w:rFonts w:ascii="Arial" w:hAnsi="Arial" w:cs="Arial"/>
          <w:color w:val="000000" w:themeColor="text1"/>
          <w:sz w:val="20"/>
          <w:szCs w:val="20"/>
        </w:rPr>
        <w:t>Tenyi</w:t>
      </w:r>
      <w:proofErr w:type="spellEnd"/>
      <w:r w:rsidRPr="00F148C1">
        <w:rPr>
          <w:rFonts w:ascii="Arial" w:hAnsi="Arial" w:cs="Arial"/>
          <w:color w:val="000000" w:themeColor="text1"/>
          <w:sz w:val="20"/>
          <w:szCs w:val="20"/>
        </w:rPr>
        <w:t xml:space="preserve"> Vo pig in field condition. Journal of Zoology, 44(11): 7–14.</w:t>
      </w:r>
    </w:p>
    <w:p w14:paraId="6EF2D2EC" w14:textId="7777777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proofErr w:type="spellStart"/>
      <w:r w:rsidRPr="00F148C1">
        <w:rPr>
          <w:rFonts w:ascii="Arial" w:hAnsi="Arial" w:cs="Arial"/>
          <w:color w:val="000000" w:themeColor="text1"/>
          <w:sz w:val="20"/>
          <w:szCs w:val="20"/>
        </w:rPr>
        <w:t>Losou</w:t>
      </w:r>
      <w:proofErr w:type="spellEnd"/>
      <w:r w:rsidRPr="00F148C1">
        <w:rPr>
          <w:rFonts w:ascii="Arial" w:hAnsi="Arial" w:cs="Arial"/>
          <w:color w:val="000000" w:themeColor="text1"/>
          <w:sz w:val="20"/>
          <w:szCs w:val="20"/>
        </w:rPr>
        <w:t xml:space="preserve">, L.; </w:t>
      </w:r>
      <w:proofErr w:type="spellStart"/>
      <w:r w:rsidRPr="00F148C1">
        <w:rPr>
          <w:rFonts w:ascii="Arial" w:hAnsi="Arial" w:cs="Arial"/>
          <w:color w:val="000000" w:themeColor="text1"/>
          <w:sz w:val="20"/>
          <w:szCs w:val="20"/>
        </w:rPr>
        <w:t>Rutsa</w:t>
      </w:r>
      <w:proofErr w:type="spellEnd"/>
      <w:r w:rsidRPr="00F148C1">
        <w:rPr>
          <w:rFonts w:ascii="Arial" w:hAnsi="Arial" w:cs="Arial"/>
          <w:color w:val="000000" w:themeColor="text1"/>
          <w:sz w:val="20"/>
          <w:szCs w:val="20"/>
        </w:rPr>
        <w:t xml:space="preserve">, M. C.; </w:t>
      </w:r>
      <w:proofErr w:type="spellStart"/>
      <w:r w:rsidRPr="00F148C1">
        <w:rPr>
          <w:rFonts w:ascii="Arial" w:hAnsi="Arial" w:cs="Arial"/>
          <w:color w:val="000000" w:themeColor="text1"/>
          <w:sz w:val="20"/>
          <w:szCs w:val="20"/>
        </w:rPr>
        <w:t>Zuyie</w:t>
      </w:r>
      <w:proofErr w:type="spellEnd"/>
      <w:r w:rsidRPr="00F148C1">
        <w:rPr>
          <w:rFonts w:ascii="Arial" w:hAnsi="Arial" w:cs="Arial"/>
          <w:color w:val="000000" w:themeColor="text1"/>
          <w:sz w:val="20"/>
          <w:szCs w:val="20"/>
        </w:rPr>
        <w:t xml:space="preserve">, R. and Singh, R. (2022). Productive and reproductive performance of female </w:t>
      </w:r>
      <w:proofErr w:type="spellStart"/>
      <w:r w:rsidRPr="00F148C1">
        <w:rPr>
          <w:rFonts w:ascii="Arial" w:hAnsi="Arial" w:cs="Arial"/>
          <w:color w:val="000000" w:themeColor="text1"/>
          <w:sz w:val="20"/>
          <w:szCs w:val="20"/>
        </w:rPr>
        <w:t>Tenyi</w:t>
      </w:r>
      <w:proofErr w:type="spellEnd"/>
      <w:r w:rsidRPr="00F148C1">
        <w:rPr>
          <w:rFonts w:ascii="Arial" w:hAnsi="Arial" w:cs="Arial"/>
          <w:color w:val="000000" w:themeColor="text1"/>
          <w:sz w:val="20"/>
          <w:szCs w:val="20"/>
        </w:rPr>
        <w:t>-Vo pig under field condition. IOSR Journal of Agriculture and Veterinary Science, 15(9): 34–38.</w:t>
      </w:r>
    </w:p>
    <w:p w14:paraId="749287DD" w14:textId="02230B51"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 xml:space="preserve">Mungate, F.; Dzama, K.; </w:t>
      </w:r>
      <w:proofErr w:type="spellStart"/>
      <w:r w:rsidRPr="00F148C1">
        <w:rPr>
          <w:rFonts w:ascii="Arial" w:hAnsi="Arial" w:cs="Arial"/>
          <w:color w:val="000000" w:themeColor="text1"/>
          <w:sz w:val="20"/>
          <w:szCs w:val="20"/>
        </w:rPr>
        <w:t>Mandisodza</w:t>
      </w:r>
      <w:proofErr w:type="spellEnd"/>
      <w:r w:rsidRPr="00F148C1">
        <w:rPr>
          <w:rFonts w:ascii="Arial" w:hAnsi="Arial" w:cs="Arial"/>
          <w:color w:val="000000" w:themeColor="text1"/>
          <w:sz w:val="20"/>
          <w:szCs w:val="20"/>
        </w:rPr>
        <w:t>, K. and Shoniwa, A. (1999). Some non-genetic factors affecting commercial pig production in Zimbabwe. South African Journal of Animal Science, 29(3): 1–8.</w:t>
      </w:r>
      <w:r w:rsidR="00434ECD">
        <w:rPr>
          <w:rFonts w:ascii="Arial" w:hAnsi="Arial" w:cs="Arial"/>
          <w:color w:val="000000" w:themeColor="text1"/>
          <w:sz w:val="20"/>
          <w:szCs w:val="20"/>
        </w:rPr>
        <w:t xml:space="preserve"> </w:t>
      </w:r>
      <w:hyperlink r:id="rId20" w:history="1">
        <w:r w:rsidR="00434ECD" w:rsidRPr="00F81C3A">
          <w:rPr>
            <w:rStyle w:val="Hyperlink"/>
            <w:rFonts w:ascii="Arial" w:hAnsi="Arial" w:cs="Arial"/>
            <w:sz w:val="20"/>
            <w:szCs w:val="20"/>
          </w:rPr>
          <w:t>https://doi.org/10.4314/sajas.v29i3.44202</w:t>
        </w:r>
      </w:hyperlink>
      <w:r w:rsidR="00434ECD">
        <w:rPr>
          <w:rFonts w:ascii="Arial" w:hAnsi="Arial" w:cs="Arial"/>
          <w:color w:val="000000" w:themeColor="text1"/>
          <w:sz w:val="20"/>
          <w:szCs w:val="20"/>
        </w:rPr>
        <w:t xml:space="preserve"> </w:t>
      </w:r>
    </w:p>
    <w:p w14:paraId="34732B49" w14:textId="3EC577CB"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Naha, B. C.; Gaur, G. K.; Patel, B. H. M. and Sahoo, N. R. (2017). Growth and litter traits in crossbred pigs across the non-genetic factors. Indian Journal of Animal Research, 51(4): 798–800.</w:t>
      </w:r>
      <w:r w:rsidR="00434ECD">
        <w:rPr>
          <w:rFonts w:ascii="Arial" w:hAnsi="Arial" w:cs="Arial"/>
          <w:color w:val="000000" w:themeColor="text1"/>
          <w:sz w:val="20"/>
          <w:szCs w:val="20"/>
        </w:rPr>
        <w:t xml:space="preserve"> </w:t>
      </w:r>
      <w:hyperlink r:id="rId21" w:history="1">
        <w:r w:rsidR="00434ECD" w:rsidRPr="00D14D6B">
          <w:rPr>
            <w:rStyle w:val="Hyperlink"/>
            <w:rFonts w:ascii="Arial" w:hAnsi="Arial" w:cs="Arial"/>
            <w:sz w:val="20"/>
            <w:szCs w:val="20"/>
          </w:rPr>
          <w:t>https://doi.org/</w:t>
        </w:r>
        <w:r w:rsidR="00D14D6B" w:rsidRPr="00D14D6B">
          <w:rPr>
            <w:rStyle w:val="Hyperlink"/>
          </w:rPr>
          <w:t xml:space="preserve"> </w:t>
        </w:r>
        <w:r w:rsidR="00D14D6B" w:rsidRPr="00D14D6B">
          <w:rPr>
            <w:rStyle w:val="Hyperlink"/>
            <w:rFonts w:ascii="Arial" w:hAnsi="Arial" w:cs="Arial"/>
            <w:sz w:val="20"/>
            <w:szCs w:val="20"/>
          </w:rPr>
          <w:t xml:space="preserve">10.18805/ijar.v0iOF.8500 </w:t>
        </w:r>
      </w:hyperlink>
      <w:r w:rsidR="00434ECD">
        <w:rPr>
          <w:rFonts w:ascii="Arial" w:hAnsi="Arial" w:cs="Arial"/>
          <w:color w:val="000000" w:themeColor="text1"/>
          <w:sz w:val="20"/>
          <w:szCs w:val="20"/>
        </w:rPr>
        <w:t xml:space="preserve"> </w:t>
      </w:r>
    </w:p>
    <w:p w14:paraId="41506F0E" w14:textId="7777777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proofErr w:type="spellStart"/>
      <w:r w:rsidRPr="00F148C1">
        <w:rPr>
          <w:rFonts w:ascii="Arial" w:hAnsi="Arial" w:cs="Arial"/>
          <w:color w:val="000000" w:themeColor="text1"/>
          <w:sz w:val="20"/>
          <w:szCs w:val="20"/>
        </w:rPr>
        <w:t>Palve</w:t>
      </w:r>
      <w:proofErr w:type="spellEnd"/>
      <w:r w:rsidRPr="00F148C1">
        <w:rPr>
          <w:rFonts w:ascii="Arial" w:hAnsi="Arial" w:cs="Arial"/>
          <w:color w:val="000000" w:themeColor="text1"/>
          <w:sz w:val="20"/>
          <w:szCs w:val="20"/>
        </w:rPr>
        <w:t>, S.; Maitra, D. N.; Pyne, A. K.; Roy, S. K. and Majumdar, S. C. (2000). Effect of season on litter traits of Large White Yorkshire pigs in West Bengal. Indian Veterinary Journal, 77(1): 640–642.</w:t>
      </w:r>
    </w:p>
    <w:p w14:paraId="204BA1CD" w14:textId="7777777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 xml:space="preserve">Pradeep, A. A.; </w:t>
      </w:r>
      <w:proofErr w:type="spellStart"/>
      <w:r w:rsidRPr="00F148C1">
        <w:rPr>
          <w:rFonts w:ascii="Arial" w:hAnsi="Arial" w:cs="Arial"/>
          <w:color w:val="000000" w:themeColor="text1"/>
          <w:sz w:val="20"/>
          <w:szCs w:val="20"/>
        </w:rPr>
        <w:t>Govindaiah</w:t>
      </w:r>
      <w:proofErr w:type="spellEnd"/>
      <w:r w:rsidRPr="00F148C1">
        <w:rPr>
          <w:rFonts w:ascii="Arial" w:hAnsi="Arial" w:cs="Arial"/>
          <w:color w:val="000000" w:themeColor="text1"/>
          <w:sz w:val="20"/>
          <w:szCs w:val="20"/>
        </w:rPr>
        <w:t>, M. G.; Nagaraja, C. S.; Devi, M. V. and Rao, S. S. (2004). Birth weight, weaning weight and pre-weaning pig mortality rate of local and improved piglets of coastal Karnataka region. Indian Journal of Animal Sciences, 74(1): 110–112.</w:t>
      </w:r>
    </w:p>
    <w:p w14:paraId="108AF9CF" w14:textId="7777777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 xml:space="preserve">Pragna, P.; </w:t>
      </w:r>
      <w:proofErr w:type="spellStart"/>
      <w:r w:rsidRPr="00F148C1">
        <w:rPr>
          <w:rFonts w:ascii="Arial" w:hAnsi="Arial" w:cs="Arial"/>
          <w:color w:val="000000" w:themeColor="text1"/>
          <w:sz w:val="20"/>
          <w:szCs w:val="20"/>
        </w:rPr>
        <w:t>Sejian</w:t>
      </w:r>
      <w:proofErr w:type="spellEnd"/>
      <w:r w:rsidRPr="00F148C1">
        <w:rPr>
          <w:rFonts w:ascii="Arial" w:hAnsi="Arial" w:cs="Arial"/>
          <w:color w:val="000000" w:themeColor="text1"/>
          <w:sz w:val="20"/>
          <w:szCs w:val="20"/>
        </w:rPr>
        <w:t xml:space="preserve">, V.; </w:t>
      </w:r>
      <w:proofErr w:type="spellStart"/>
      <w:r w:rsidRPr="00F148C1">
        <w:rPr>
          <w:rFonts w:ascii="Arial" w:hAnsi="Arial" w:cs="Arial"/>
          <w:color w:val="000000" w:themeColor="text1"/>
          <w:sz w:val="20"/>
          <w:szCs w:val="20"/>
        </w:rPr>
        <w:t>Bagath</w:t>
      </w:r>
      <w:proofErr w:type="spellEnd"/>
      <w:r w:rsidRPr="00F148C1">
        <w:rPr>
          <w:rFonts w:ascii="Arial" w:hAnsi="Arial" w:cs="Arial"/>
          <w:color w:val="000000" w:themeColor="text1"/>
          <w:sz w:val="20"/>
          <w:szCs w:val="20"/>
        </w:rPr>
        <w:t>, M.; Krishnan, G.; Archana, P. R.; Soren, N. M.; Beena, V. and Bhatta, R. (2018). Comparative assessment of growth performance of three different indigenous goat breeds exposed to summer heat stress. Journal of Animal Physiology and Animal Nutrition, 102: 825–836.</w:t>
      </w:r>
    </w:p>
    <w:p w14:paraId="3E9E46DA" w14:textId="7777777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Prakash, M. G.; Ravi, A.; Kumari, B. P. and Rao, D. S. (2008). Reproductive and productive performance of crossbred pigs. Indian Journal of Animal Sciences, 78: 1291–1297.</w:t>
      </w:r>
    </w:p>
    <w:p w14:paraId="5910EC11" w14:textId="1C176E21"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Reddy, P. P.; Metta, M.; Hiremath, S. S.; Suresh, J.; Vinoo, R. and Reddy, P. R. (2022). Genetic evaluation of post-weaning growth performances in Large White Yorkshire crossbred pigs. Indian Journal of Animal Research, 59(7): 1092–1097.</w:t>
      </w:r>
      <w:r w:rsidR="00434ECD">
        <w:rPr>
          <w:rFonts w:ascii="Arial" w:hAnsi="Arial" w:cs="Arial"/>
          <w:color w:val="000000" w:themeColor="text1"/>
          <w:sz w:val="20"/>
          <w:szCs w:val="20"/>
        </w:rPr>
        <w:t xml:space="preserve"> </w:t>
      </w:r>
      <w:hyperlink r:id="rId22" w:history="1">
        <w:r w:rsidR="00434ECD" w:rsidRPr="00F81C3A">
          <w:rPr>
            <w:rStyle w:val="Hyperlink"/>
            <w:rFonts w:ascii="Arial" w:hAnsi="Arial" w:cs="Arial"/>
            <w:sz w:val="20"/>
            <w:szCs w:val="20"/>
          </w:rPr>
          <w:t>https://doi.org/10.18805/ijar.B-4833</w:t>
        </w:r>
      </w:hyperlink>
      <w:r w:rsidR="00434ECD">
        <w:rPr>
          <w:rFonts w:ascii="Arial" w:hAnsi="Arial" w:cs="Arial"/>
          <w:color w:val="000000" w:themeColor="text1"/>
          <w:sz w:val="20"/>
          <w:szCs w:val="20"/>
        </w:rPr>
        <w:t xml:space="preserve"> </w:t>
      </w:r>
    </w:p>
    <w:p w14:paraId="793D1DF7" w14:textId="7777777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 xml:space="preserve">Singh, N. M.; Medhi, K.; Gogoi, S. H. and Pathak, B. (2020). Reproductive, growth performance and carcass traits of pigs raised under existing low input tribal backyard pig production system in Dima </w:t>
      </w:r>
      <w:proofErr w:type="spellStart"/>
      <w:r w:rsidRPr="00F148C1">
        <w:rPr>
          <w:rFonts w:ascii="Arial" w:hAnsi="Arial" w:cs="Arial"/>
          <w:color w:val="000000" w:themeColor="text1"/>
          <w:sz w:val="20"/>
          <w:szCs w:val="20"/>
        </w:rPr>
        <w:t>Hasao</w:t>
      </w:r>
      <w:proofErr w:type="spellEnd"/>
      <w:r w:rsidRPr="00F148C1">
        <w:rPr>
          <w:rFonts w:ascii="Arial" w:hAnsi="Arial" w:cs="Arial"/>
          <w:color w:val="000000" w:themeColor="text1"/>
          <w:sz w:val="20"/>
          <w:szCs w:val="20"/>
        </w:rPr>
        <w:t>, Assam, Northeast India. Journal of Entomology and Zoology Studies, 8(4): 12–17.</w:t>
      </w:r>
    </w:p>
    <w:p w14:paraId="38B38C1C" w14:textId="64A1D49D" w:rsidR="00511253" w:rsidRPr="00F148C1" w:rsidRDefault="00FF31BF" w:rsidP="00981F7D">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lastRenderedPageBreak/>
        <w:t>Verma, P. K.; Kumar, R.; Shekhar, S. and Prasad, S. (2020). Growth performance of local pig of Jharkhand under different management systems. Journal of Entomology and Zoology Studies, 8(2): 101–102.</w:t>
      </w:r>
      <w:r w:rsidR="00981F7D" w:rsidRPr="00981F7D">
        <w:rPr>
          <w:rFonts w:ascii="Arial" w:hAnsi="Arial" w:cs="Arial"/>
          <w:color w:val="FF0000"/>
          <w:sz w:val="20"/>
          <w:szCs w:val="20"/>
        </w:rPr>
        <w:t>-</w:t>
      </w:r>
      <w:r w:rsidR="00981F7D" w:rsidRPr="00981F7D">
        <w:rPr>
          <w:color w:val="FF0000"/>
        </w:rPr>
        <w:t xml:space="preserve"> </w:t>
      </w:r>
      <w:r w:rsidR="00981F7D" w:rsidRPr="00981F7D">
        <w:rPr>
          <w:rFonts w:ascii="Arial" w:hAnsi="Arial" w:cs="Arial"/>
          <w:color w:val="FF0000"/>
          <w:sz w:val="20"/>
          <w:szCs w:val="20"/>
        </w:rPr>
        <w:t xml:space="preserve">this </w:t>
      </w:r>
      <w:r w:rsidR="00981F7D">
        <w:rPr>
          <w:rFonts w:ascii="Arial" w:hAnsi="Arial" w:cs="Arial"/>
          <w:color w:val="FF0000"/>
          <w:sz w:val="20"/>
          <w:szCs w:val="20"/>
        </w:rPr>
        <w:t>citation</w:t>
      </w:r>
      <w:r w:rsidR="00981F7D" w:rsidRPr="00981F7D">
        <w:rPr>
          <w:rFonts w:ascii="Arial" w:hAnsi="Arial" w:cs="Arial"/>
          <w:color w:val="FF0000"/>
          <w:sz w:val="20"/>
          <w:szCs w:val="20"/>
        </w:rPr>
        <w:t xml:space="preserve"> does not appear in the text!</w:t>
      </w:r>
    </w:p>
    <w:p w14:paraId="5B12DFEB" w14:textId="7777777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 xml:space="preserve">Yeptho, V.; </w:t>
      </w:r>
      <w:proofErr w:type="spellStart"/>
      <w:r w:rsidRPr="00F148C1">
        <w:rPr>
          <w:rFonts w:ascii="Arial" w:hAnsi="Arial" w:cs="Arial"/>
          <w:color w:val="000000" w:themeColor="text1"/>
          <w:sz w:val="20"/>
          <w:szCs w:val="20"/>
        </w:rPr>
        <w:t>Rutsa</w:t>
      </w:r>
      <w:proofErr w:type="spellEnd"/>
      <w:r w:rsidRPr="00F148C1">
        <w:rPr>
          <w:rFonts w:ascii="Arial" w:hAnsi="Arial" w:cs="Arial"/>
          <w:color w:val="000000" w:themeColor="text1"/>
          <w:sz w:val="20"/>
          <w:szCs w:val="20"/>
        </w:rPr>
        <w:t xml:space="preserve">, M.; </w:t>
      </w:r>
      <w:proofErr w:type="spellStart"/>
      <w:r w:rsidRPr="00F148C1">
        <w:rPr>
          <w:rFonts w:ascii="Arial" w:hAnsi="Arial" w:cs="Arial"/>
          <w:color w:val="000000" w:themeColor="text1"/>
          <w:sz w:val="20"/>
          <w:szCs w:val="20"/>
        </w:rPr>
        <w:t>Zuyie</w:t>
      </w:r>
      <w:proofErr w:type="spellEnd"/>
      <w:r w:rsidRPr="00F148C1">
        <w:rPr>
          <w:rFonts w:ascii="Arial" w:hAnsi="Arial" w:cs="Arial"/>
          <w:color w:val="000000" w:themeColor="text1"/>
          <w:sz w:val="20"/>
          <w:szCs w:val="20"/>
        </w:rPr>
        <w:t xml:space="preserve">, R. and Singh, R. (2022). Growth and reproductive performance of male </w:t>
      </w:r>
      <w:proofErr w:type="spellStart"/>
      <w:r w:rsidRPr="00F148C1">
        <w:rPr>
          <w:rFonts w:ascii="Arial" w:hAnsi="Arial" w:cs="Arial"/>
          <w:color w:val="000000" w:themeColor="text1"/>
          <w:sz w:val="20"/>
          <w:szCs w:val="20"/>
        </w:rPr>
        <w:t>Tenyi</w:t>
      </w:r>
      <w:proofErr w:type="spellEnd"/>
      <w:r w:rsidRPr="00F148C1">
        <w:rPr>
          <w:rFonts w:ascii="Arial" w:hAnsi="Arial" w:cs="Arial"/>
          <w:color w:val="000000" w:themeColor="text1"/>
          <w:sz w:val="20"/>
          <w:szCs w:val="20"/>
        </w:rPr>
        <w:t>-Vo pig under farm condition. Journal of Research in Agriculture and Animal Science, 9(12): 44–49.</w:t>
      </w:r>
    </w:p>
    <w:p w14:paraId="7E251ABA" w14:textId="77777777"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r w:rsidRPr="00F148C1">
        <w:rPr>
          <w:rFonts w:ascii="Arial" w:hAnsi="Arial" w:cs="Arial"/>
          <w:color w:val="000000" w:themeColor="text1"/>
          <w:sz w:val="20"/>
          <w:szCs w:val="20"/>
        </w:rPr>
        <w:t xml:space="preserve">Zaman, G.; Aziz, A. and Kiba, H. Z. (2017). Body weights and body measurements of </w:t>
      </w:r>
      <w:proofErr w:type="spellStart"/>
      <w:r w:rsidRPr="00F148C1">
        <w:rPr>
          <w:rFonts w:ascii="Arial" w:hAnsi="Arial" w:cs="Arial"/>
          <w:color w:val="000000" w:themeColor="text1"/>
          <w:sz w:val="20"/>
          <w:szCs w:val="20"/>
        </w:rPr>
        <w:t>Suwo</w:t>
      </w:r>
      <w:proofErr w:type="spellEnd"/>
      <w:r w:rsidRPr="00F148C1">
        <w:rPr>
          <w:rFonts w:ascii="Arial" w:hAnsi="Arial" w:cs="Arial"/>
          <w:color w:val="000000" w:themeColor="text1"/>
          <w:sz w:val="20"/>
          <w:szCs w:val="20"/>
        </w:rPr>
        <w:t xml:space="preserve"> pigs of Nagaland at different ages. The North-East Veterinarian, 17(1): 6–8.</w:t>
      </w:r>
    </w:p>
    <w:p w14:paraId="707F4209" w14:textId="7D04D9BC" w:rsidR="00511253" w:rsidRPr="00F148C1" w:rsidRDefault="00FF31BF" w:rsidP="00F148C1">
      <w:pPr>
        <w:pStyle w:val="ListParagraph"/>
        <w:numPr>
          <w:ilvl w:val="0"/>
          <w:numId w:val="2"/>
        </w:numPr>
        <w:spacing w:before="40" w:after="40"/>
        <w:jc w:val="both"/>
        <w:rPr>
          <w:rFonts w:ascii="Arial" w:hAnsi="Arial" w:cs="Arial"/>
          <w:color w:val="000000" w:themeColor="text1"/>
          <w:sz w:val="20"/>
          <w:szCs w:val="20"/>
        </w:rPr>
      </w:pPr>
      <w:proofErr w:type="spellStart"/>
      <w:r w:rsidRPr="00F148C1">
        <w:rPr>
          <w:rFonts w:ascii="Arial" w:hAnsi="Arial" w:cs="Arial"/>
          <w:color w:val="000000" w:themeColor="text1"/>
          <w:sz w:val="20"/>
          <w:szCs w:val="20"/>
        </w:rPr>
        <w:t>Zosangpuii</w:t>
      </w:r>
      <w:proofErr w:type="spellEnd"/>
      <w:r w:rsidRPr="00F148C1">
        <w:rPr>
          <w:rFonts w:ascii="Arial" w:hAnsi="Arial" w:cs="Arial"/>
          <w:color w:val="000000" w:themeColor="text1"/>
          <w:sz w:val="20"/>
          <w:szCs w:val="20"/>
        </w:rPr>
        <w:t xml:space="preserve">, J. B.; </w:t>
      </w:r>
      <w:proofErr w:type="spellStart"/>
      <w:r w:rsidRPr="00F148C1">
        <w:rPr>
          <w:rFonts w:ascii="Arial" w:hAnsi="Arial" w:cs="Arial"/>
          <w:color w:val="000000" w:themeColor="text1"/>
          <w:sz w:val="20"/>
          <w:szCs w:val="20"/>
        </w:rPr>
        <w:t>Lalliankimi</w:t>
      </w:r>
      <w:proofErr w:type="spellEnd"/>
      <w:r w:rsidRPr="00F148C1">
        <w:rPr>
          <w:rFonts w:ascii="Arial" w:hAnsi="Arial" w:cs="Arial"/>
          <w:color w:val="000000" w:themeColor="text1"/>
          <w:sz w:val="20"/>
          <w:szCs w:val="20"/>
        </w:rPr>
        <w:t xml:space="preserve">, H.; Hmar, L.; Singh, N. S. and </w:t>
      </w:r>
      <w:proofErr w:type="spellStart"/>
      <w:r w:rsidRPr="00F148C1">
        <w:rPr>
          <w:rFonts w:ascii="Arial" w:hAnsi="Arial" w:cs="Arial"/>
          <w:color w:val="000000" w:themeColor="text1"/>
          <w:sz w:val="20"/>
          <w:szCs w:val="20"/>
        </w:rPr>
        <w:t>Leihang</w:t>
      </w:r>
      <w:proofErr w:type="spellEnd"/>
      <w:r w:rsidRPr="00F148C1">
        <w:rPr>
          <w:rFonts w:ascii="Arial" w:hAnsi="Arial" w:cs="Arial"/>
          <w:color w:val="000000" w:themeColor="text1"/>
          <w:sz w:val="20"/>
          <w:szCs w:val="20"/>
        </w:rPr>
        <w:t>, E. L. (2020). Phenotypic characterization of local pigs (</w:t>
      </w:r>
      <w:proofErr w:type="spellStart"/>
      <w:r w:rsidRPr="00F148C1">
        <w:rPr>
          <w:rFonts w:ascii="Arial" w:hAnsi="Arial" w:cs="Arial"/>
          <w:color w:val="000000" w:themeColor="text1"/>
          <w:sz w:val="20"/>
          <w:szCs w:val="20"/>
        </w:rPr>
        <w:t>Zovawk</w:t>
      </w:r>
      <w:proofErr w:type="spellEnd"/>
      <w:r w:rsidRPr="00F148C1">
        <w:rPr>
          <w:rFonts w:ascii="Arial" w:hAnsi="Arial" w:cs="Arial"/>
          <w:color w:val="000000" w:themeColor="text1"/>
          <w:sz w:val="20"/>
          <w:szCs w:val="20"/>
        </w:rPr>
        <w:t>) in Mizoram. Journal of Entomology and Zoology Studies, 8(5): 336–338.</w:t>
      </w:r>
      <w:r w:rsidR="00434ECD">
        <w:rPr>
          <w:rFonts w:ascii="Arial" w:hAnsi="Arial" w:cs="Arial"/>
          <w:color w:val="000000" w:themeColor="text1"/>
          <w:sz w:val="20"/>
          <w:szCs w:val="20"/>
        </w:rPr>
        <w:t xml:space="preserve"> </w:t>
      </w:r>
      <w:hyperlink r:id="rId23" w:history="1">
        <w:r w:rsidR="00434ECD" w:rsidRPr="00F81C3A">
          <w:rPr>
            <w:rStyle w:val="Hyperlink"/>
            <w:rFonts w:ascii="Arial" w:hAnsi="Arial" w:cs="Arial"/>
            <w:sz w:val="20"/>
            <w:szCs w:val="20"/>
          </w:rPr>
          <w:t>https://doi.org/10.22271/j.ento.2020.v8.i5e.7528</w:t>
        </w:r>
      </w:hyperlink>
      <w:r w:rsidR="00434ECD">
        <w:rPr>
          <w:rFonts w:ascii="Arial" w:hAnsi="Arial" w:cs="Arial"/>
          <w:color w:val="000000" w:themeColor="text1"/>
          <w:sz w:val="20"/>
          <w:szCs w:val="20"/>
        </w:rPr>
        <w:t xml:space="preserve"> </w:t>
      </w:r>
    </w:p>
    <w:sectPr w:rsidR="00511253" w:rsidRPr="00F148C1" w:rsidSect="007B718E">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66050" w14:textId="77777777" w:rsidR="00220FC7" w:rsidRDefault="00220FC7">
      <w:r>
        <w:separator/>
      </w:r>
    </w:p>
  </w:endnote>
  <w:endnote w:type="continuationSeparator" w:id="0">
    <w:p w14:paraId="065CF73D" w14:textId="77777777" w:rsidR="00220FC7" w:rsidRDefault="0022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3F81" w14:textId="77777777" w:rsidR="00FC0B30" w:rsidRDefault="00FC0B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60786" w14:textId="77777777" w:rsidR="00FC0B30" w:rsidRDefault="00FC0B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871C3" w14:textId="77777777" w:rsidR="00FC0B30" w:rsidRDefault="00FC0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9A8D4" w14:textId="77777777" w:rsidR="00220FC7" w:rsidRDefault="00220FC7">
      <w:r>
        <w:separator/>
      </w:r>
    </w:p>
  </w:footnote>
  <w:footnote w:type="continuationSeparator" w:id="0">
    <w:p w14:paraId="2406E7CF" w14:textId="77777777" w:rsidR="00220FC7" w:rsidRDefault="00220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226A2" w14:textId="38A3ABD5" w:rsidR="00FC0B30" w:rsidRDefault="00000000">
    <w:pPr>
      <w:pStyle w:val="Header"/>
    </w:pPr>
    <w:r>
      <w:rPr>
        <w:noProof/>
      </w:rPr>
      <w:pict w14:anchorId="24324C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18626"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B42E" w14:textId="0426B378" w:rsidR="00FC0B30" w:rsidRDefault="00000000">
    <w:pPr>
      <w:pStyle w:val="Header"/>
    </w:pPr>
    <w:r>
      <w:rPr>
        <w:noProof/>
      </w:rPr>
      <w:pict w14:anchorId="09866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18627"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39DA" w14:textId="3273F937" w:rsidR="00FC0B30" w:rsidRDefault="00000000">
    <w:pPr>
      <w:pStyle w:val="Header"/>
    </w:pPr>
    <w:r>
      <w:rPr>
        <w:noProof/>
      </w:rPr>
      <w:pict w14:anchorId="77EBF7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18625"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6D01"/>
    <w:multiLevelType w:val="hybridMultilevel"/>
    <w:tmpl w:val="1D84B1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D0C7977"/>
    <w:multiLevelType w:val="hybridMultilevel"/>
    <w:tmpl w:val="FBCEC9B6"/>
    <w:lvl w:ilvl="0" w:tplc="EEC6C5CA">
      <w:start w:val="1"/>
      <w:numFmt w:val="bullet"/>
      <w:lvlText w:val="●"/>
      <w:lvlJc w:val="left"/>
      <w:pPr>
        <w:ind w:left="720" w:hanging="360"/>
      </w:pPr>
    </w:lvl>
    <w:lvl w:ilvl="1" w:tplc="806E8822">
      <w:start w:val="1"/>
      <w:numFmt w:val="bullet"/>
      <w:lvlText w:val="○"/>
      <w:lvlJc w:val="left"/>
      <w:pPr>
        <w:ind w:left="1440" w:hanging="360"/>
      </w:pPr>
    </w:lvl>
    <w:lvl w:ilvl="2" w:tplc="EAA093F0">
      <w:start w:val="1"/>
      <w:numFmt w:val="bullet"/>
      <w:lvlText w:val="■"/>
      <w:lvlJc w:val="left"/>
      <w:pPr>
        <w:ind w:left="2160" w:hanging="360"/>
      </w:pPr>
    </w:lvl>
    <w:lvl w:ilvl="3" w:tplc="04E8B5CE">
      <w:start w:val="1"/>
      <w:numFmt w:val="bullet"/>
      <w:lvlText w:val="●"/>
      <w:lvlJc w:val="left"/>
      <w:pPr>
        <w:ind w:left="2880" w:hanging="360"/>
      </w:pPr>
    </w:lvl>
    <w:lvl w:ilvl="4" w:tplc="120E1958">
      <w:start w:val="1"/>
      <w:numFmt w:val="bullet"/>
      <w:lvlText w:val="○"/>
      <w:lvlJc w:val="left"/>
      <w:pPr>
        <w:ind w:left="3600" w:hanging="360"/>
      </w:pPr>
    </w:lvl>
    <w:lvl w:ilvl="5" w:tplc="9F8C3A70">
      <w:start w:val="1"/>
      <w:numFmt w:val="bullet"/>
      <w:lvlText w:val="■"/>
      <w:lvlJc w:val="left"/>
      <w:pPr>
        <w:ind w:left="4320" w:hanging="360"/>
      </w:pPr>
    </w:lvl>
    <w:lvl w:ilvl="6" w:tplc="5BFE793A">
      <w:start w:val="1"/>
      <w:numFmt w:val="bullet"/>
      <w:lvlText w:val="●"/>
      <w:lvlJc w:val="left"/>
      <w:pPr>
        <w:ind w:left="5040" w:hanging="360"/>
      </w:pPr>
    </w:lvl>
    <w:lvl w:ilvl="7" w:tplc="15BE6168">
      <w:start w:val="1"/>
      <w:numFmt w:val="bullet"/>
      <w:lvlText w:val="●"/>
      <w:lvlJc w:val="left"/>
      <w:pPr>
        <w:ind w:left="5760" w:hanging="360"/>
      </w:pPr>
    </w:lvl>
    <w:lvl w:ilvl="8" w:tplc="2E700A6E">
      <w:start w:val="1"/>
      <w:numFmt w:val="bullet"/>
      <w:lvlText w:val="●"/>
      <w:lvlJc w:val="left"/>
      <w:pPr>
        <w:ind w:left="6480" w:hanging="360"/>
      </w:pPr>
    </w:lvl>
  </w:abstractNum>
  <w:num w:numId="1" w16cid:durableId="1400982922">
    <w:abstractNumId w:val="1"/>
    <w:lvlOverride w:ilvl="0">
      <w:startOverride w:val="1"/>
    </w:lvlOverride>
  </w:num>
  <w:num w:numId="2" w16cid:durableId="802118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1253"/>
    <w:rsid w:val="00063EA6"/>
    <w:rsid w:val="000C6214"/>
    <w:rsid w:val="000D3F76"/>
    <w:rsid w:val="001E11C3"/>
    <w:rsid w:val="0022054A"/>
    <w:rsid w:val="00220FC7"/>
    <w:rsid w:val="002374CB"/>
    <w:rsid w:val="002D7E7A"/>
    <w:rsid w:val="003202EE"/>
    <w:rsid w:val="003472FE"/>
    <w:rsid w:val="003548E9"/>
    <w:rsid w:val="0035685E"/>
    <w:rsid w:val="00375A85"/>
    <w:rsid w:val="00403B63"/>
    <w:rsid w:val="00434ECD"/>
    <w:rsid w:val="00455644"/>
    <w:rsid w:val="004763AC"/>
    <w:rsid w:val="004971E4"/>
    <w:rsid w:val="004A421A"/>
    <w:rsid w:val="004D20D1"/>
    <w:rsid w:val="00503DE1"/>
    <w:rsid w:val="00511253"/>
    <w:rsid w:val="005614E2"/>
    <w:rsid w:val="00587714"/>
    <w:rsid w:val="00591DD8"/>
    <w:rsid w:val="005D0912"/>
    <w:rsid w:val="005D73AC"/>
    <w:rsid w:val="00601E0A"/>
    <w:rsid w:val="006217CB"/>
    <w:rsid w:val="00633514"/>
    <w:rsid w:val="00655710"/>
    <w:rsid w:val="00660F67"/>
    <w:rsid w:val="0066198F"/>
    <w:rsid w:val="006B6F74"/>
    <w:rsid w:val="006D364E"/>
    <w:rsid w:val="006E4BA2"/>
    <w:rsid w:val="006E5648"/>
    <w:rsid w:val="00713D8B"/>
    <w:rsid w:val="0078161D"/>
    <w:rsid w:val="00784A46"/>
    <w:rsid w:val="007B2307"/>
    <w:rsid w:val="007B718E"/>
    <w:rsid w:val="007C44E3"/>
    <w:rsid w:val="00826BB3"/>
    <w:rsid w:val="00901A1F"/>
    <w:rsid w:val="00936E7C"/>
    <w:rsid w:val="0097298E"/>
    <w:rsid w:val="00981F7D"/>
    <w:rsid w:val="00A03F40"/>
    <w:rsid w:val="00A1241F"/>
    <w:rsid w:val="00A33088"/>
    <w:rsid w:val="00B068B0"/>
    <w:rsid w:val="00B71EFB"/>
    <w:rsid w:val="00B916ED"/>
    <w:rsid w:val="00BA490C"/>
    <w:rsid w:val="00BA57BD"/>
    <w:rsid w:val="00BB1307"/>
    <w:rsid w:val="00C01CDA"/>
    <w:rsid w:val="00C275C3"/>
    <w:rsid w:val="00C36AC5"/>
    <w:rsid w:val="00C453BE"/>
    <w:rsid w:val="00C57ADF"/>
    <w:rsid w:val="00C71178"/>
    <w:rsid w:val="00CB740A"/>
    <w:rsid w:val="00CC6077"/>
    <w:rsid w:val="00CD6B39"/>
    <w:rsid w:val="00D14D6B"/>
    <w:rsid w:val="00D4782B"/>
    <w:rsid w:val="00DC1673"/>
    <w:rsid w:val="00E30DB3"/>
    <w:rsid w:val="00E46FE3"/>
    <w:rsid w:val="00E7040A"/>
    <w:rsid w:val="00E802B5"/>
    <w:rsid w:val="00E87242"/>
    <w:rsid w:val="00EB608B"/>
    <w:rsid w:val="00EC1CA2"/>
    <w:rsid w:val="00ED35B9"/>
    <w:rsid w:val="00F13674"/>
    <w:rsid w:val="00F148C1"/>
    <w:rsid w:val="00F21146"/>
    <w:rsid w:val="00F2764C"/>
    <w:rsid w:val="00F433F5"/>
    <w:rsid w:val="00F63A1D"/>
    <w:rsid w:val="00FC0B30"/>
    <w:rsid w:val="00FF15AD"/>
    <w:rsid w:val="00FF31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75A79"/>
  <w15:docId w15:val="{036CA00B-06FA-4C77-B048-84999FD3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F13674"/>
    <w:pPr>
      <w:tabs>
        <w:tab w:val="center" w:pos="4513"/>
        <w:tab w:val="right" w:pos="9026"/>
      </w:tabs>
    </w:pPr>
  </w:style>
  <w:style w:type="character" w:customStyle="1" w:styleId="HeaderChar">
    <w:name w:val="Header Char"/>
    <w:basedOn w:val="DefaultParagraphFont"/>
    <w:link w:val="Header"/>
    <w:uiPriority w:val="99"/>
    <w:rsid w:val="00F13674"/>
  </w:style>
  <w:style w:type="paragraph" w:styleId="Footer">
    <w:name w:val="footer"/>
    <w:basedOn w:val="Normal"/>
    <w:link w:val="FooterChar"/>
    <w:uiPriority w:val="99"/>
    <w:unhideWhenUsed/>
    <w:rsid w:val="00F13674"/>
    <w:pPr>
      <w:tabs>
        <w:tab w:val="center" w:pos="4513"/>
        <w:tab w:val="right" w:pos="9026"/>
      </w:tabs>
    </w:pPr>
  </w:style>
  <w:style w:type="character" w:customStyle="1" w:styleId="FooterChar">
    <w:name w:val="Footer Char"/>
    <w:basedOn w:val="DefaultParagraphFont"/>
    <w:link w:val="Footer"/>
    <w:uiPriority w:val="99"/>
    <w:rsid w:val="00F13674"/>
  </w:style>
  <w:style w:type="character" w:customStyle="1" w:styleId="UnresolvedMention1">
    <w:name w:val="Unresolved Mention1"/>
    <w:basedOn w:val="DefaultParagraphFont"/>
    <w:uiPriority w:val="99"/>
    <w:semiHidden/>
    <w:unhideWhenUsed/>
    <w:rsid w:val="00CC6077"/>
    <w:rPr>
      <w:color w:val="605E5C"/>
      <w:shd w:val="clear" w:color="auto" w:fill="E1DFDD"/>
    </w:rPr>
  </w:style>
  <w:style w:type="character" w:styleId="LineNumber">
    <w:name w:val="line number"/>
    <w:basedOn w:val="DefaultParagraphFont"/>
    <w:uiPriority w:val="99"/>
    <w:semiHidden/>
    <w:unhideWhenUsed/>
    <w:rsid w:val="005D0912"/>
  </w:style>
  <w:style w:type="character" w:styleId="FollowedHyperlink">
    <w:name w:val="FollowedHyperlink"/>
    <w:basedOn w:val="DefaultParagraphFont"/>
    <w:uiPriority w:val="99"/>
    <w:semiHidden/>
    <w:unhideWhenUsed/>
    <w:rsid w:val="0058771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bidigitallibrary.org/doi/full/10.5555/20143234801" TargetMode="External"/><Relationship Id="rId13" Type="http://schemas.openxmlformats.org/officeDocument/2006/relationships/hyperlink" Target="https://www.veterinarypaper.com/archives/2023/8/6/A/8-5-77" TargetMode="External"/><Relationship Id="rId18" Type="http://schemas.openxmlformats.org/officeDocument/2006/relationships/hyperlink" Target="https://doi.org/10.5194/aab-58-49-2015"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8805/ijar.v0iOF.8500" TargetMode="External"/><Relationship Id="rId7" Type="http://schemas.openxmlformats.org/officeDocument/2006/relationships/endnotes" Target="endnotes.xml"/><Relationship Id="rId12" Type="http://schemas.openxmlformats.org/officeDocument/2006/relationships/hyperlink" Target="https://doi.org/10.56093/ijans.v85i12.54392" TargetMode="External"/><Relationship Id="rId17" Type="http://schemas.openxmlformats.org/officeDocument/2006/relationships/hyperlink" Target="https://doi.org/10.18805/ijar.B-3824"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8805/ijar.B-3623" TargetMode="External"/><Relationship Id="rId20" Type="http://schemas.openxmlformats.org/officeDocument/2006/relationships/hyperlink" Target="https://doi.org/10.4314/sajas.v29i3.44202"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6093/ijans.v93i7.132349"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9790/2380-09312022%20%20%20%20%20" TargetMode="External"/><Relationship Id="rId23" Type="http://schemas.openxmlformats.org/officeDocument/2006/relationships/hyperlink" Target="https://doi.org/10.22271/j.ento.2020.v8.i5e.7528" TargetMode="External"/><Relationship Id="rId28" Type="http://schemas.openxmlformats.org/officeDocument/2006/relationships/header" Target="header3.xml"/><Relationship Id="rId10" Type="http://schemas.openxmlformats.org/officeDocument/2006/relationships/hyperlink" Target="https://doi.org/10.14202/vetworld.2024.1459-1468" TargetMode="External"/><Relationship Id="rId19" Type="http://schemas.openxmlformats.org/officeDocument/2006/relationships/hyperlink" Target="https://doi.org/10.5958/0976-0555.2015.00115.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56557/upjoz/2024/v45i144186" TargetMode="External"/><Relationship Id="rId14" Type="http://schemas.openxmlformats.org/officeDocument/2006/relationships/hyperlink" Target="https://doi.org/10.5958/0976-0555.2015.00117.X" TargetMode="External"/><Relationship Id="rId22" Type="http://schemas.openxmlformats.org/officeDocument/2006/relationships/hyperlink" Target="https://doi.org/10.18805/ijar.B-4833"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BCFFF-B03B-4E57-A137-96F60ACE5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3903</Words>
  <Characters>22250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1022</cp:lastModifiedBy>
  <cp:revision>9</cp:revision>
  <dcterms:created xsi:type="dcterms:W3CDTF">2026-05-12T13:47:00Z</dcterms:created>
  <dcterms:modified xsi:type="dcterms:W3CDTF">2026-05-19T06:50:00Z</dcterms:modified>
</cp:coreProperties>
</file>