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6740"/>
      </w:tblGrid>
      <w:tr w:rsidR="00346D76" w:rsidRPr="002E7402" w14:paraId="62C5E576" w14:textId="77777777">
        <w:trPr>
          <w:trHeight w:val="20"/>
          <w:jc w:val="center"/>
        </w:trPr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5AD9F" w14:textId="77777777" w:rsidR="00346D76" w:rsidRPr="002E7402" w:rsidRDefault="00346D7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27C43" w14:textId="77777777" w:rsidR="00346D76" w:rsidRPr="002E7402" w:rsidRDefault="00346D7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4" w:history="1">
              <w:r w:rsidRPr="002E7402">
                <w:rPr>
                  <w:rStyle w:val="Hyperlink"/>
                  <w:rFonts w:ascii="Arial" w:eastAsiaTheme="majorEastAsia" w:hAnsi="Arial" w:cs="Arial"/>
                  <w:bCs/>
                  <w:noProof/>
                  <w:sz w:val="20"/>
                  <w:szCs w:val="20"/>
                </w:rPr>
                <w:t xml:space="preserve">International Journal of Research and Reports in Hematology </w:t>
              </w:r>
            </w:hyperlink>
          </w:p>
        </w:tc>
      </w:tr>
      <w:tr w:rsidR="00346D76" w:rsidRPr="002E7402" w14:paraId="2DF80F81" w14:textId="77777777">
        <w:trPr>
          <w:trHeight w:val="20"/>
          <w:jc w:val="center"/>
        </w:trPr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0D8E0" w14:textId="77777777" w:rsidR="00346D76" w:rsidRPr="002E7402" w:rsidRDefault="00346D7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CF0A1" w14:textId="77777777" w:rsidR="00346D76" w:rsidRPr="002E7402" w:rsidRDefault="00346D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Ms_IJR2H_159219</w:t>
            </w:r>
          </w:p>
        </w:tc>
      </w:tr>
      <w:tr w:rsidR="00346D76" w:rsidRPr="002E7402" w14:paraId="539B86A6" w14:textId="77777777">
        <w:trPr>
          <w:trHeight w:val="20"/>
          <w:jc w:val="center"/>
        </w:trPr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7987D" w14:textId="77777777" w:rsidR="00346D76" w:rsidRPr="002E7402" w:rsidRDefault="00346D7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1B7F9" w14:textId="77777777" w:rsidR="00346D76" w:rsidRPr="002E7402" w:rsidRDefault="00346D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sz w:val="20"/>
                <w:szCs w:val="20"/>
                <w:lang w:val="en-GB"/>
              </w:rPr>
              <w:t>Silent Multiorgan Injury in Sickle Cell Disease: Redefining Mortality Beyond Pain Crises</w:t>
            </w:r>
          </w:p>
        </w:tc>
      </w:tr>
      <w:tr w:rsidR="00346D76" w:rsidRPr="002E7402" w14:paraId="5A6FBFD3" w14:textId="77777777">
        <w:trPr>
          <w:trHeight w:val="20"/>
          <w:jc w:val="center"/>
        </w:trPr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97B2E" w14:textId="77777777" w:rsidR="00346D76" w:rsidRPr="002E7402" w:rsidRDefault="00346D7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4445" w14:textId="77777777" w:rsidR="00346D76" w:rsidRPr="002E7402" w:rsidRDefault="00346D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A12B328" w14:textId="77777777" w:rsidR="00346D76" w:rsidRPr="002E7402" w:rsidRDefault="00346D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1EE7A2" w14:textId="77777777" w:rsidR="00346D76" w:rsidRPr="002E7402" w:rsidRDefault="00346D76" w:rsidP="00346D7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743B52" w14:textId="77777777" w:rsidR="00346D76" w:rsidRPr="002E7402" w:rsidRDefault="00346D76" w:rsidP="00346D7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E14B04D" w14:textId="77777777" w:rsidR="00346D76" w:rsidRPr="002E7402" w:rsidRDefault="00346D76" w:rsidP="00346D7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E740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1ABC4906" w14:textId="77777777" w:rsidR="00346D76" w:rsidRPr="002E7402" w:rsidRDefault="00346D76" w:rsidP="00346D7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444A36DB" w14:textId="77777777" w:rsidR="00346D76" w:rsidRPr="002E7402" w:rsidRDefault="00346D76" w:rsidP="00346D7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4"/>
        <w:gridCol w:w="4052"/>
        <w:gridCol w:w="2180"/>
      </w:tblGrid>
      <w:tr w:rsidR="00346D76" w:rsidRPr="002E7402" w14:paraId="5BB70130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275AEE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84176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4660" w14:textId="77777777" w:rsidR="00346D76" w:rsidRPr="002E7402" w:rsidRDefault="00346D7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E740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740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1CAA1D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0403119F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56296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793C74B" w14:textId="77777777" w:rsidR="00346D76" w:rsidRPr="002E7402" w:rsidRDefault="00346D7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167EF" w14:textId="77777777" w:rsidR="00346D76" w:rsidRPr="002E7402" w:rsidRDefault="00346D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current review emphasis on the importance of early detection and prevention of organ injury take priority. The HbS if un diagnosed or untreated will end up with </w:t>
            </w:r>
            <w:proofErr w:type="spellStart"/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vasoocculsion</w:t>
            </w:r>
            <w:proofErr w:type="spellEnd"/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infarction of major tissues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ED93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4C7C5D9" w14:textId="77777777" w:rsidR="00346D76" w:rsidRPr="002E7402" w:rsidRDefault="00346D76" w:rsidP="00346D76">
      <w:pPr>
        <w:rPr>
          <w:rFonts w:ascii="Arial" w:hAnsi="Arial" w:cs="Arial"/>
          <w:sz w:val="20"/>
          <w:szCs w:val="20"/>
          <w:lang w:val="en-GB"/>
        </w:rPr>
      </w:pPr>
    </w:p>
    <w:p w14:paraId="7EFDDB70" w14:textId="77777777" w:rsidR="00346D76" w:rsidRPr="002E7402" w:rsidRDefault="00346D76" w:rsidP="00346D76">
      <w:pPr>
        <w:rPr>
          <w:rFonts w:ascii="Arial" w:hAnsi="Arial" w:cs="Arial"/>
          <w:sz w:val="20"/>
          <w:szCs w:val="20"/>
          <w:lang w:val="en-GB"/>
        </w:rPr>
      </w:pPr>
    </w:p>
    <w:p w14:paraId="6BD84E12" w14:textId="55347F5B" w:rsidR="00346D76" w:rsidRPr="002E7402" w:rsidRDefault="00346D76" w:rsidP="00346D76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E740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8B214E" w:rsidRPr="002E740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2E740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64380871" w14:textId="77777777" w:rsidR="00346D76" w:rsidRPr="002E7402" w:rsidRDefault="00346D76" w:rsidP="00346D7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8"/>
        <w:gridCol w:w="985"/>
        <w:gridCol w:w="933"/>
      </w:tblGrid>
      <w:tr w:rsidR="00346D76" w:rsidRPr="002E7402" w14:paraId="2D20D68B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8B349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2E85C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90065" w14:textId="77777777" w:rsidR="00346D76" w:rsidRPr="002E7402" w:rsidRDefault="00346D7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740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740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46D76" w:rsidRPr="002E7402" w14:paraId="31C9A338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D360A5" w14:textId="77777777" w:rsidR="00346D76" w:rsidRPr="002E7402" w:rsidRDefault="00346D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B2F8517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19373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A9A6" w14:textId="77777777" w:rsidR="00346D76" w:rsidRPr="002E7402" w:rsidRDefault="00346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1D59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5415F049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87648D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8293A75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46E0C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EB081" w14:textId="77777777" w:rsidR="00346D76" w:rsidRPr="002E7402" w:rsidRDefault="00346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1F27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50F84BB6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B0078B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41E5655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E2D7DD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02315" w14:textId="77777777" w:rsidR="00346D76" w:rsidRPr="002E7402" w:rsidRDefault="00346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C8C1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4524FE90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7D566A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368FD6B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ED4B4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2C744" w14:textId="77777777" w:rsidR="00346D76" w:rsidRPr="002E7402" w:rsidRDefault="00346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7FA7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2E7A75C0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46AC6F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D51FB29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1D2FC2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F37B" w14:textId="77777777" w:rsidR="00346D76" w:rsidRPr="002E7402" w:rsidRDefault="00346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6C88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40C7DA4F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040026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53866A86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B183C6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92EC0" w14:textId="77777777" w:rsidR="00346D76" w:rsidRPr="002E7402" w:rsidRDefault="00346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433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03B083CD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0EE41C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C51F717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80FCED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7402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40C8D" w14:textId="77777777" w:rsidR="00346D76" w:rsidRPr="002E7402" w:rsidRDefault="00346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721C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126A1B1D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BD0AF8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605A881C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486F9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AA80A" w14:textId="77777777" w:rsidR="00346D76" w:rsidRPr="002E7402" w:rsidRDefault="00346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8091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509056BA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9ED23F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66F482E4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4E5405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32EF" w14:textId="77777777" w:rsidR="00346D76" w:rsidRPr="002E7402" w:rsidRDefault="00346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E2FA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2C5A6329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C0977" w14:textId="77777777" w:rsidR="00346D76" w:rsidRPr="002E7402" w:rsidRDefault="00346D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E740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E7402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E740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1E409A7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5302F8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FA59986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615A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91F7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02785F43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9AD8BD" w14:textId="77777777" w:rsidR="00346D76" w:rsidRPr="002E7402" w:rsidRDefault="00346D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9799105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BD35CC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5A9CC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FD61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270B0BFE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EB4BD4" w14:textId="77777777" w:rsidR="00346D76" w:rsidRPr="002E7402" w:rsidRDefault="00346D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3C8F098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C2A2E7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04DCA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F800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2A97C9F2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D7C9A4" w14:textId="77777777" w:rsidR="00346D76" w:rsidRPr="002E7402" w:rsidRDefault="00346D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E740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A5F8587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243B8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3C9BBF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C72E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EC8E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254E5A6B" w14:textId="77777777" w:rsidTr="006A48EA">
        <w:trPr>
          <w:trHeight w:val="20"/>
          <w:jc w:val="center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2B11E6" w14:textId="77777777" w:rsidR="00346D76" w:rsidRPr="002E7402" w:rsidRDefault="00346D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B5A54E2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774203" w14:textId="77777777" w:rsidR="00346D76" w:rsidRPr="002E7402" w:rsidRDefault="00346D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2C33BF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A0B3D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0FBC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9EF7A69" w14:textId="77777777" w:rsidR="00346D76" w:rsidRPr="002E7402" w:rsidRDefault="00346D76" w:rsidP="00346D7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337E930" w14:textId="77777777" w:rsidR="00346D76" w:rsidRPr="002E7402" w:rsidRDefault="00346D76" w:rsidP="00346D7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2F97E27" w14:textId="77777777" w:rsidR="00346D76" w:rsidRPr="002E7402" w:rsidRDefault="00346D76" w:rsidP="00346D76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E740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8695BFD" w14:textId="77777777" w:rsidR="00346D76" w:rsidRPr="002E7402" w:rsidRDefault="00346D76" w:rsidP="00346D7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2"/>
        <w:gridCol w:w="1194"/>
        <w:gridCol w:w="1100"/>
      </w:tblGrid>
      <w:tr w:rsidR="00346D76" w:rsidRPr="002E7402" w14:paraId="22FCE2F4" w14:textId="77777777">
        <w:trPr>
          <w:trHeight w:val="20"/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ABDC5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05A2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497F43D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A093" w14:textId="77777777" w:rsidR="00346D76" w:rsidRPr="002E7402" w:rsidRDefault="00346D7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740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740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FA0E21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075C9845" w14:textId="77777777">
        <w:trPr>
          <w:trHeight w:val="20"/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B71BF" w14:textId="77777777" w:rsidR="00346D76" w:rsidRPr="002E7402" w:rsidRDefault="00346D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86794B1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BFF7C8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1974F" w14:textId="77777777" w:rsidR="00346D76" w:rsidRPr="002E7402" w:rsidRDefault="00346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A1DF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59A880CF" w14:textId="77777777">
        <w:trPr>
          <w:trHeight w:val="20"/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A41A6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9C521B8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AB7452" w14:textId="77777777" w:rsidR="00346D76" w:rsidRPr="002E7402" w:rsidRDefault="00346D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A5DE2" w14:textId="77777777" w:rsidR="00346D76" w:rsidRPr="002E7402" w:rsidRDefault="00346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76BF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04A40984" w14:textId="77777777">
        <w:trPr>
          <w:trHeight w:val="20"/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62761E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E74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C5A2C79" w14:textId="77777777" w:rsidR="00346D76" w:rsidRPr="002E7402" w:rsidRDefault="00346D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If your answer is NO, please provide a brief, clear suggestion for improvement.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8F40D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653F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52E9D9FB" w14:textId="77777777">
        <w:trPr>
          <w:trHeight w:val="20"/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DC873" w14:textId="77777777" w:rsidR="00346D76" w:rsidRPr="002E7402" w:rsidRDefault="00346D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FCF9FCC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321B8B" w14:textId="77777777" w:rsidR="00346D76" w:rsidRPr="002E7402" w:rsidRDefault="00346D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7371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AEFB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6D76" w:rsidRPr="002E7402" w14:paraId="13AA6EA2" w14:textId="77777777">
        <w:trPr>
          <w:trHeight w:val="20"/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C4354" w14:textId="77777777" w:rsidR="00346D76" w:rsidRPr="002E7402" w:rsidRDefault="00346D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8FE2DB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FEB06C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C2CFF1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B00692" w14:textId="77777777" w:rsidR="00346D76" w:rsidRPr="002E7402" w:rsidRDefault="00346D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90DD2" w14:textId="77777777" w:rsidR="00346D76" w:rsidRPr="002E7402" w:rsidRDefault="00346D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740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F1A7" w14:textId="77777777" w:rsidR="00346D76" w:rsidRPr="002E7402" w:rsidRDefault="00346D7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6303F6" w14:textId="77777777" w:rsidR="00346D76" w:rsidRPr="002E7402" w:rsidRDefault="00346D76" w:rsidP="00346D76">
      <w:pPr>
        <w:rPr>
          <w:rFonts w:ascii="Arial" w:hAnsi="Arial" w:cs="Arial"/>
          <w:sz w:val="20"/>
          <w:szCs w:val="20"/>
          <w:lang w:val="en-GB"/>
        </w:rPr>
      </w:pPr>
    </w:p>
    <w:p w14:paraId="579D3E10" w14:textId="77777777" w:rsidR="002E7402" w:rsidRPr="002E7402" w:rsidRDefault="002E7402" w:rsidP="002E740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E7402">
        <w:rPr>
          <w:rFonts w:ascii="Arial" w:hAnsi="Arial" w:cs="Arial"/>
          <w:b/>
          <w:u w:val="single"/>
        </w:rPr>
        <w:t>Reviewer details:</w:t>
      </w:r>
    </w:p>
    <w:p w14:paraId="4FE5E343" w14:textId="77777777" w:rsidR="00157800" w:rsidRPr="002E7402" w:rsidRDefault="00157800" w:rsidP="00346D76">
      <w:pPr>
        <w:rPr>
          <w:rFonts w:ascii="Arial" w:hAnsi="Arial" w:cs="Arial"/>
          <w:sz w:val="20"/>
          <w:szCs w:val="20"/>
          <w:lang w:val="en-GB"/>
        </w:rPr>
      </w:pPr>
    </w:p>
    <w:p w14:paraId="7CAA9F4D" w14:textId="094E805D" w:rsidR="002E7402" w:rsidRPr="002E7402" w:rsidRDefault="002E7402" w:rsidP="002E7402">
      <w:pPr>
        <w:rPr>
          <w:rFonts w:ascii="Arial" w:hAnsi="Arial" w:cs="Arial"/>
          <w:sz w:val="20"/>
          <w:szCs w:val="20"/>
          <w:lang w:val="en-GB"/>
        </w:rPr>
      </w:pPr>
      <w:r w:rsidRPr="002E7402">
        <w:rPr>
          <w:rFonts w:ascii="Arial" w:hAnsi="Arial" w:cs="Arial"/>
          <w:sz w:val="20"/>
          <w:szCs w:val="20"/>
          <w:lang w:val="en-GB"/>
        </w:rPr>
        <w:t>Sachu Philip</w:t>
      </w:r>
      <w:r w:rsidRPr="002E7402">
        <w:rPr>
          <w:rFonts w:ascii="Arial" w:hAnsi="Arial" w:cs="Arial"/>
          <w:sz w:val="20"/>
          <w:szCs w:val="20"/>
          <w:lang w:val="en-GB"/>
        </w:rPr>
        <w:t xml:space="preserve">, </w:t>
      </w:r>
      <w:r w:rsidRPr="002E7402">
        <w:rPr>
          <w:rFonts w:ascii="Arial" w:hAnsi="Arial" w:cs="Arial"/>
          <w:sz w:val="20"/>
          <w:szCs w:val="20"/>
          <w:lang w:val="en-GB"/>
        </w:rPr>
        <w:t xml:space="preserve">Al Azhar Medical College and </w:t>
      </w:r>
      <w:proofErr w:type="spellStart"/>
      <w:r w:rsidRPr="002E7402">
        <w:rPr>
          <w:rFonts w:ascii="Arial" w:hAnsi="Arial" w:cs="Arial"/>
          <w:sz w:val="20"/>
          <w:szCs w:val="20"/>
          <w:lang w:val="en-GB"/>
        </w:rPr>
        <w:t>Superspeciality</w:t>
      </w:r>
      <w:proofErr w:type="spellEnd"/>
      <w:r w:rsidRPr="002E7402">
        <w:rPr>
          <w:rFonts w:ascii="Arial" w:hAnsi="Arial" w:cs="Arial"/>
          <w:sz w:val="20"/>
          <w:szCs w:val="20"/>
          <w:lang w:val="en-GB"/>
        </w:rPr>
        <w:t xml:space="preserve"> Hospital</w:t>
      </w:r>
      <w:r w:rsidRPr="002E7402">
        <w:rPr>
          <w:rFonts w:ascii="Arial" w:hAnsi="Arial" w:cs="Arial"/>
          <w:sz w:val="20"/>
          <w:szCs w:val="20"/>
          <w:lang w:val="en-GB"/>
        </w:rPr>
        <w:t xml:space="preserve">, </w:t>
      </w:r>
      <w:r w:rsidRPr="002E7402">
        <w:rPr>
          <w:rFonts w:ascii="Arial" w:hAnsi="Arial" w:cs="Arial"/>
          <w:sz w:val="20"/>
          <w:szCs w:val="20"/>
          <w:lang w:val="en-GB"/>
        </w:rPr>
        <w:t>India</w:t>
      </w:r>
    </w:p>
    <w:sectPr w:rsidR="002E7402" w:rsidRPr="002E7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18"/>
    <w:rsid w:val="00051358"/>
    <w:rsid w:val="00157800"/>
    <w:rsid w:val="002E7402"/>
    <w:rsid w:val="00346D76"/>
    <w:rsid w:val="004053BA"/>
    <w:rsid w:val="00500E11"/>
    <w:rsid w:val="006A48EA"/>
    <w:rsid w:val="006D2865"/>
    <w:rsid w:val="00747D0E"/>
    <w:rsid w:val="008444FD"/>
    <w:rsid w:val="008B214E"/>
    <w:rsid w:val="009F2693"/>
    <w:rsid w:val="00B22372"/>
    <w:rsid w:val="00B56B18"/>
    <w:rsid w:val="00F2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7C53"/>
  <w15:chartTrackingRefBased/>
  <w15:docId w15:val="{7F65EF10-1A7A-4CC8-8DF0-DAC6DD97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B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B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B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B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B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B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B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B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B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B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B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B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6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B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6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B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6B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B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B1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semiHidden/>
    <w:unhideWhenUsed/>
    <w:rsid w:val="00346D76"/>
    <w:pPr>
      <w:spacing w:before="100" w:beforeAutospacing="1" w:after="100" w:afterAutospacing="1"/>
    </w:pPr>
    <w:rPr>
      <w:rFonts w:ascii="Arial Unicode MS" w:hAnsi="Arial Unicode MS"/>
    </w:rPr>
  </w:style>
  <w:style w:type="paragraph" w:styleId="BodyText">
    <w:name w:val="Body Text"/>
    <w:basedOn w:val="Normal"/>
    <w:link w:val="BodyTextChar"/>
    <w:semiHidden/>
    <w:unhideWhenUsed/>
    <w:rsid w:val="00346D76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basedOn w:val="DefaultParagraphFont"/>
    <w:link w:val="BodyText"/>
    <w:semiHidden/>
    <w:rsid w:val="00346D76"/>
    <w:rPr>
      <w:rFonts w:ascii="Helvetica" w:eastAsia="MS Mincho" w:hAnsi="Helvetica" w:cs="Times New Roman"/>
      <w:kern w:val="0"/>
      <w:sz w:val="24"/>
      <w:szCs w:val="24"/>
      <w:lang w:val="fr-FR" w:eastAsia="x-none"/>
      <w14:ligatures w14:val="none"/>
    </w:rPr>
  </w:style>
  <w:style w:type="character" w:styleId="Hyperlink">
    <w:name w:val="Hyperlink"/>
    <w:basedOn w:val="DefaultParagraphFont"/>
    <w:uiPriority w:val="99"/>
    <w:unhideWhenUsed/>
    <w:rsid w:val="00346D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8E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57800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2E740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1.reviewerhub.org/ijr2h/jour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SACHU PHILIP</dc:creator>
  <cp:keywords/>
  <dc:description/>
  <cp:lastModifiedBy>SDI 1156</cp:lastModifiedBy>
  <cp:revision>10</cp:revision>
  <dcterms:created xsi:type="dcterms:W3CDTF">2026-05-18T04:06:00Z</dcterms:created>
  <dcterms:modified xsi:type="dcterms:W3CDTF">2026-05-26T11:53:00Z</dcterms:modified>
</cp:coreProperties>
</file>