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771F" w14:textId="77777777" w:rsidR="000F7EE6" w:rsidRDefault="000F7EE6" w:rsidP="000F7EE6">
      <w:pPr>
        <w:rPr>
          <w:b/>
          <w:bCs/>
          <w:sz w:val="28"/>
          <w:szCs w:val="28"/>
        </w:rPr>
      </w:pPr>
      <w:r w:rsidRPr="001E0F17">
        <w:rPr>
          <w:b/>
          <w:bCs/>
          <w:sz w:val="28"/>
          <w:szCs w:val="28"/>
        </w:rPr>
        <w:t>Silent Multiorgan Injury in Sickle Cell Disease: Redefining Mortality Beyond Pain Crises</w:t>
      </w:r>
    </w:p>
    <w:p w14:paraId="4945944D" w14:textId="77777777" w:rsidR="00673A47" w:rsidRDefault="00673A47" w:rsidP="000F7EE6"/>
    <w:p w14:paraId="6DFFEC03" w14:textId="77777777" w:rsidR="0080506F" w:rsidRDefault="0080506F" w:rsidP="000F7EE6"/>
    <w:p w14:paraId="4C6AD958" w14:textId="77777777" w:rsidR="0080506F" w:rsidRPr="005A304D" w:rsidRDefault="0080506F" w:rsidP="000F7EE6"/>
    <w:p w14:paraId="7B35F016" w14:textId="77777777" w:rsidR="000F7EE6" w:rsidRDefault="000F7EE6" w:rsidP="000F7EE6">
      <w:pPr>
        <w:rPr>
          <w:b/>
          <w:bCs/>
        </w:rPr>
      </w:pPr>
      <w:r w:rsidRPr="000F7EE6">
        <w:rPr>
          <w:b/>
          <w:bCs/>
        </w:rPr>
        <w:t>Abstract</w:t>
      </w:r>
    </w:p>
    <w:p w14:paraId="66300C8F" w14:textId="77777777" w:rsidR="00AB5B5A" w:rsidRDefault="00615386" w:rsidP="00615386">
      <w:r>
        <w:t>Sickle cell disease (SCD) mortality has traditionally been linked with sudden painful vaso-occlusive crises and other evident complications that seek medical intervention. Although improvements in disease-modifying therapy and supportive care have led to less frequent and severe acute episodes, early death still accounts for most of the risk with a remaining sizable portion untethered to any led the exploration of more complex hidden contributors of disease progression. Since it became clear that a good part of the cause for morbidity and mortality might come from silent, cumulative damage to multiple organ systems, researchers have been looking into these damages, which are caused by continuous hemolysis, endothelial dysfunction, and repeated microvascular blockage, resulting in subclinical ischemia and progressive tissue damage well before the appearance of symptoms</w:t>
      </w:r>
      <w:r w:rsidR="00AB5B5A">
        <w:t>.</w:t>
      </w:r>
    </w:p>
    <w:p w14:paraId="234BE351" w14:textId="4BB47D19" w:rsidR="00615386" w:rsidRDefault="00615386" w:rsidP="00615386">
      <w:r>
        <w:t>The present article aims to alter the way mortality in sickle cell disease is perceived, by bringing the silent multi-organ damage into the spotlight as a major factor determining long-term prognosis. It also points out the pitfalls of current clinical approaches which focus on patients' episodes of discomfort while missing early signs of organ malfunction. Specifically, the lack of regular, fine monitoring procedures enables subclinical vascular injuries to keep progressing, finally leading to permanent organ failure. By bringing together the understanding of mechanisms with changing clinical scenarios, this article stresses the importance of moving away from a crisis-oriented model of patient's care towards one where early detection and prevention of organ injury take priority.</w:t>
      </w:r>
    </w:p>
    <w:p w14:paraId="708751C1" w14:textId="2228C450" w:rsidR="00D430FD" w:rsidRPr="000F7EE6" w:rsidRDefault="00D430FD" w:rsidP="00615386">
      <w:commentRangeStart w:id="0"/>
      <w:r>
        <w:t>Keywords</w:t>
      </w:r>
      <w:commentRangeEnd w:id="0"/>
      <w:r w:rsidRPr="000F7EE6">
        <w:rPr>
          <w:rStyle w:val="CommentReference"/>
          <w:sz w:val="24"/>
          <w:szCs w:val="24"/>
        </w:rPr>
        <w:commentReference w:id="0"/>
      </w:r>
    </w:p>
    <w:p w14:paraId="1FB61DC8" w14:textId="77777777" w:rsidR="000F7EE6" w:rsidRPr="000F7EE6" w:rsidRDefault="000F7EE6" w:rsidP="000F7EE6">
      <w:pPr>
        <w:rPr>
          <w:b/>
          <w:bCs/>
        </w:rPr>
      </w:pPr>
      <w:r w:rsidRPr="000F7EE6">
        <w:rPr>
          <w:b/>
          <w:bCs/>
        </w:rPr>
        <w:t>1. Introduction</w:t>
      </w:r>
    </w:p>
    <w:p w14:paraId="1F9F2C82" w14:textId="2455F7AA" w:rsidR="009B34C9" w:rsidRDefault="009B34C9" w:rsidP="009B34C9">
      <w:r>
        <w:t xml:space="preserve">Sickle Cell Disease (SCD) is an inherited disorder where the production of normal hemoglobin is disrupted due to the presence of hemoglobin S. If red blood cells carrying this hemoglobin are deoxygenated, they will change shape into a sickle </w:t>
      </w:r>
      <w:r w:rsidRPr="003510EB">
        <w:t>form</w:t>
      </w:r>
      <w:r w:rsidR="00426C1C">
        <w:t xml:space="preserve"> </w:t>
      </w:r>
      <w:r w:rsidR="00711653">
        <w:fldChar w:fldCharType="begin"/>
      </w:r>
      <w:r w:rsidR="00711653">
        <w:instrText xml:space="preserve"> ADDIN ZOTERO_ITEM CSL_CITATION {"citationID":"OMkgdRtv","properties":{"unsorted":false,"formattedCitation":"(Taher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711653">
        <w:fldChar w:fldCharType="separate"/>
      </w:r>
      <w:r w:rsidR="00711653" w:rsidRPr="00711653">
        <w:rPr>
          <w:rFonts w:ascii="Calibri" w:hAnsi="Calibri" w:cs="Calibri"/>
        </w:rPr>
        <w:t>(Taher et al., 2025)</w:t>
      </w:r>
      <w:r w:rsidR="00711653">
        <w:fldChar w:fldCharType="end"/>
      </w:r>
      <w:r>
        <w:t xml:space="preserve">. These misshapen erythrocytes are less flexible, stick more to each other, and their lifespan is much shorter. As a result, hemolysis continues almost all the time and vessel blockage happens </w:t>
      </w:r>
      <w:r w:rsidRPr="003510EB">
        <w:t>unexpectedly</w:t>
      </w:r>
      <w:r w:rsidR="00426C1C">
        <w:t xml:space="preserve"> </w:t>
      </w:r>
      <w:r w:rsidR="00711653">
        <w:fldChar w:fldCharType="begin"/>
      </w:r>
      <w:r w:rsidR="00FC797D">
        <w:instrText xml:space="preserve"> ADDIN ZOTERO_ITEM CSL_CITATION {"citationID":"Mx75YtZm","properties":{"unsorted":false,"formattedCitation":"(Tebbi, 2022a)","plainCitation":"(Tebbi, 2022a)","noteIndex":0},"citationItems":[{"id":2314,"uris":["http://zotero.org/users/19602067/items/9GK7IXE3"],"itemData":{"id":2314,"type":"article-journal","abstract":"Sickle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711653">
        <w:fldChar w:fldCharType="separate"/>
      </w:r>
      <w:r w:rsidR="00FC797D" w:rsidRPr="00FC797D">
        <w:rPr>
          <w:rFonts w:ascii="Calibri" w:hAnsi="Calibri" w:cs="Calibri"/>
        </w:rPr>
        <w:t>(Tebbi, 2022)</w:t>
      </w:r>
      <w:r w:rsidR="00711653">
        <w:fldChar w:fldCharType="end"/>
      </w:r>
      <w:r>
        <w:t xml:space="preserve">. The disease clinically can be very different from one patient to another however it </w:t>
      </w:r>
      <w:r>
        <w:lastRenderedPageBreak/>
        <w:t>is mainly recognized by frequent vaso-occlusive crises causing pain and the occurrence of different acute life-threatening complications such as acute chest syndrome, stroke, or infections that can be deadly. Until now, these very obvious clinical events have been the main focus of both the disease's understanding and its treatment</w:t>
      </w:r>
      <w:r w:rsidR="00F77328">
        <w:t xml:space="preserve"> </w:t>
      </w:r>
      <w:r w:rsidR="009C72E8">
        <w:fldChar w:fldCharType="begin"/>
      </w:r>
      <w:r w:rsidR="009C72E8">
        <w:instrText xml:space="preserve"> ADDIN ZOTERO_ITEM CSL_CITATION {"citationID":"NTKQkG7W","properties":{"unsorted":false,"formattedCitation":"(Musuka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9C72E8">
        <w:fldChar w:fldCharType="separate"/>
      </w:r>
      <w:r w:rsidR="009C72E8" w:rsidRPr="009C72E8">
        <w:rPr>
          <w:rFonts w:ascii="Calibri" w:hAnsi="Calibri" w:cs="Calibri"/>
        </w:rPr>
        <w:t>(Musuka et al., 2024)</w:t>
      </w:r>
      <w:r w:rsidR="009C72E8">
        <w:fldChar w:fldCharType="end"/>
      </w:r>
      <w:r>
        <w:t>.</w:t>
      </w:r>
    </w:p>
    <w:p w14:paraId="387B31BF" w14:textId="77777777" w:rsidR="009B34C9" w:rsidRDefault="009B34C9" w:rsidP="009B34C9"/>
    <w:p w14:paraId="3087A328" w14:textId="110AE7F0" w:rsidR="009B34C9" w:rsidRDefault="009B34C9" w:rsidP="009B34C9">
      <w:r>
        <w:t>Focusing on sudden appearances of severe symptoms as a disease feature has been decisive in therapeutic logic, as the main concern in treatment consists in lessening the occurrence and intensity of pain episodes and in preventing very dangerous complications. Effective treatments such as Hydroxyurea along with better healthcare, vaccination, and controlling infections have changed the reality of the disease in quite a few cases</w:t>
      </w:r>
      <w:r w:rsidR="00F77328">
        <w:t xml:space="preserve"> </w:t>
      </w:r>
      <w:r w:rsidR="009C72E8">
        <w:fldChar w:fldCharType="begin"/>
      </w:r>
      <w:r w:rsidR="009C72E8">
        <w:instrText xml:space="preserve"> ADDIN ZOTERO_ITEM CSL_CITATION {"citationID":"ua4EEP7t","properties":{"unsorted":false,"formattedCitation":"(Adigwe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9C72E8">
        <w:fldChar w:fldCharType="separate"/>
      </w:r>
      <w:r w:rsidR="009C72E8" w:rsidRPr="009C72E8">
        <w:rPr>
          <w:rFonts w:ascii="Calibri" w:hAnsi="Calibri" w:cs="Calibri"/>
        </w:rPr>
        <w:t>(Adigwe et al., 2023)</w:t>
      </w:r>
      <w:r w:rsidR="009C72E8">
        <w:fldChar w:fldCharType="end"/>
      </w:r>
      <w:r>
        <w:t xml:space="preserve">. These achievements have helped to extend life expectancy, especially in developing countries. Yet, even with these changes, patients with sickle cell disease keep having shorter lives, and a lot of them die from complications in their early or middle </w:t>
      </w:r>
      <w:r w:rsidRPr="003510EB">
        <w:t>adulthood</w:t>
      </w:r>
      <w:r w:rsidR="00426C1C">
        <w:t xml:space="preserve"> </w:t>
      </w:r>
      <w:r w:rsidR="0024457A">
        <w:fldChar w:fldCharType="begin"/>
      </w:r>
      <w:r w:rsidR="002D0FC2">
        <w:instrText xml:space="preserve"> ADDIN ZOTERO_ITEM CSL_CITATION {"citationID":"dGtbultg","properties":{"unsorted":false,"formattedCitation":"(Fogliazza et al., 2025a)","plainCitation":"(Fogliazza et al., 2025a)","noteIndex":0},"citationItems":[{"id":2324,"uris":["http://zotero.org/users/19602067/items/UNQCZPL4"],"itemData":{"id":2324,"type":"article-journal","abstract":"Sickle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Medicine","DOI":"10.3390/jcm14238599","ISSN":"2077-0383","issue":"23","language":"en","license":"http://creativecommons.org/licenses/by/3.0/","page":"8599","publisher":"Multidisciplinary Digital Publishing Institute","source":"www.mdpi.com","title":"Chronic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schema":"https://github.com/citation-style-language/schema/raw/master/csl-citation.json"} </w:instrText>
      </w:r>
      <w:r w:rsidR="0024457A">
        <w:fldChar w:fldCharType="separate"/>
      </w:r>
      <w:r w:rsidR="002D0FC2" w:rsidRPr="002D0FC2">
        <w:rPr>
          <w:rFonts w:ascii="Calibri" w:hAnsi="Calibri" w:cs="Calibri"/>
        </w:rPr>
        <w:t>(Fogliazza et al., 2025)</w:t>
      </w:r>
      <w:r w:rsidR="0024457A">
        <w:fldChar w:fldCharType="end"/>
      </w:r>
      <w:r>
        <w:t>.</w:t>
      </w:r>
    </w:p>
    <w:p w14:paraId="016659AB" w14:textId="6A7097FC" w:rsidR="00831576" w:rsidRPr="000F7EE6" w:rsidRDefault="00831576" w:rsidP="00831576">
      <w:r w:rsidRPr="000F7EE6">
        <w:t xml:space="preserve">This observation highlights an important epidemiological paradox. While the burden of acute crises has decreased and survival has improved, mortality remains disproportionately high compared to the general </w:t>
      </w:r>
      <w:r w:rsidRPr="003510EB">
        <w:t>population</w:t>
      </w:r>
      <w:r w:rsidR="00426C1C">
        <w:t xml:space="preserve"> </w:t>
      </w:r>
      <w:r w:rsidR="0024457A">
        <w:fldChar w:fldCharType="begin"/>
      </w:r>
      <w:r w:rsidR="00B715D5">
        <w:instrText xml:space="preserve"> ADDIN ZOTERO_ITEM CSL_CITATION {"citationID":"9aMPODdU","properties":{"unsorted":false,"formattedCitation":"(Quan &amp; Taylor-Robinson, 2026)","plainCitation":"(Quan &amp; Taylor-Robinson, 2026)","noteIndex":0},"citationItems":[{"id":2326,"uris":["http://zotero.org/users/19602067/items/D7EDCE5R"],"itemData":{"id":2326,"type":"article-journal","abstract":"This article discusses key social determinants of health and how they have shaped infectious disease patterns in Vietnam from 1975 to 2025. It suggests a “paradox of progress”: the country’s transition from post-war poverty to dynamic middle-income economy has driven a shift from diseases of deprivation to a more complex profile linked to development itself. Economic growth reduces malnutrition and poverty-related illnesses, yet rapid urbanization, lifestyle changes, and inequality fuel rising chronic diseases and some infection risk factors. Vietnam now faces a “triple burden” of communicable, non-communicable, and climate-related threats, underscoring the need for intersectoral approaches beyond biomedical interventions., Vietnam has undergone a social and economic transformation since the end of the war in 1975. In this Perspective, the authors describe how the progress that has alleviated infectious disease burdens burdens associated with absolute poverty has generated new challenges linked to urbanisation, inequality, and lifestyle changes.","container-title":"Nature Communications","DOI":"10.1038/s41467-026-71419-7","ISSN":"2041-1723","journalAbbreviation":"Nat Commun","page":"3222","PMID":"41932886","PMCID":"PMC13056894","source":"PubMed Central","title":"A “paradox of progress” shapes the social determinants of infectious diseases in Vietnam, 1975–2025","volume":"17","author":[{"family":"Quan","given":"Nguyen Khoi"},{"family":"Taylor-Robinson","given":"Andrew W."}],"issued":{"date-parts":[["2026",4,3]]}}}],"schema":"https://github.com/citation-style-language/schema/raw/master/csl-citation.json"} </w:instrText>
      </w:r>
      <w:r w:rsidR="0024457A">
        <w:fldChar w:fldCharType="separate"/>
      </w:r>
      <w:r w:rsidR="00B715D5" w:rsidRPr="00B715D5">
        <w:rPr>
          <w:rFonts w:ascii="Calibri" w:hAnsi="Calibri" w:cs="Calibri"/>
        </w:rPr>
        <w:t>(Quan &amp; Taylor-Robinson, 2026)</w:t>
      </w:r>
      <w:r w:rsidR="0024457A">
        <w:fldChar w:fldCharType="end"/>
      </w:r>
      <w:r w:rsidRPr="000F7EE6">
        <w:t>. This discrepancy suggests that factors beyond acute, clinically apparent events contribute substantially to disease progression and fatal outcomes. Increasing attention has therefore turned to the role of chronic, subclinical processes that evolve silently over time</w:t>
      </w:r>
      <w:r w:rsidR="00F77328">
        <w:t xml:space="preserve"> </w:t>
      </w:r>
      <w:r w:rsidR="009C72E8">
        <w:fldChar w:fldCharType="begin"/>
      </w:r>
      <w:r w:rsidR="009C72E8">
        <w:instrText xml:space="preserve"> ADDIN ZOTERO_ITEM CSL_CITATION {"citationID":"WTz4u1YN","properties":{"unsorted":false,"formattedCitation":"(Osunkwo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9C72E8">
        <w:fldChar w:fldCharType="separate"/>
      </w:r>
      <w:r w:rsidR="009C72E8" w:rsidRPr="009C72E8">
        <w:rPr>
          <w:rFonts w:ascii="Calibri" w:hAnsi="Calibri" w:cs="Calibri"/>
        </w:rPr>
        <w:t>(Osunkwo et al., 2021)</w:t>
      </w:r>
      <w:r w:rsidR="009C72E8">
        <w:fldChar w:fldCharType="end"/>
      </w:r>
      <w:r w:rsidRPr="000F7EE6">
        <w:t>.</w:t>
      </w:r>
    </w:p>
    <w:p w14:paraId="14A7B8B9" w14:textId="7C83886B" w:rsidR="00831576" w:rsidRDefault="00831576" w:rsidP="009B34C9">
      <w:r w:rsidRPr="000F7EE6">
        <w:t>Central to this emerging perspective is the concept of a “silent injury burden,” which encompasses cumulative, progressive damage to multiple organ systems occurring in the absence of overt symptoms. Persistent hemolysis, endothelial dysfunction, oxidative stress, and recurrent microvascular obstruction create a milieu of chronic tissue hypoxia and inflammation</w:t>
      </w:r>
      <w:r w:rsidR="00F77328">
        <w:t xml:space="preserve"> </w:t>
      </w:r>
      <w:r w:rsidR="009C72E8">
        <w:fldChar w:fldCharType="begin"/>
      </w:r>
      <w:r w:rsidR="009C72E8">
        <w:instrText xml:space="preserve"> ADDIN ZOTERO_ITEM CSL_CITATION {"citationID":"yPOEqMs0","properties":{"unsorted":false,"formattedCitation":"(Taher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9C72E8">
        <w:fldChar w:fldCharType="separate"/>
      </w:r>
      <w:r w:rsidR="009C72E8" w:rsidRPr="009C72E8">
        <w:rPr>
          <w:rFonts w:ascii="Calibri" w:hAnsi="Calibri" w:cs="Calibri"/>
        </w:rPr>
        <w:t>(Taher et al., 2025)</w:t>
      </w:r>
      <w:r w:rsidR="009C72E8">
        <w:fldChar w:fldCharType="end"/>
      </w:r>
      <w:r w:rsidRPr="000F7EE6">
        <w:t>. These processes drive insidious injury to critical organs including the brain, kidneys, heart, and lungs, often preceding clinical detection by years. By the time dysfunction becomes apparent, the underlying damage is frequently advanced and irreversible</w:t>
      </w:r>
      <w:r w:rsidR="00CA4E25">
        <w:fldChar w:fldCharType="begin"/>
      </w:r>
      <w:r w:rsidR="00CA4E25">
        <w:instrText xml:space="preserve"> ADDIN ZOTERO_ITEM CSL_CITATION {"citationID":"K8bziaF0","properties":{"unsorted":false,"formattedCitation":"(Anwar et al., 2026)","plainCitation":"(Anwar et al., 2026)","noteIndex":0},"citationItems":[{"id":2329,"uris":["http://zotero.org/users/19602067/items/86RQWBTV"],"itemData":{"id":2329,"type":"article-journal","abstract":"Reactive oxygen species (ROS) are inevitable byproducts of aerobic metabolism that exert a dual role in biological systems. At physiological levels, tightly regulated ROS levels function as essential signaling molecules regulating cellular communication, immune defense, metabolic adaptation, and maintenance of tissue homeostasis. However, excessive or deregulated ROS production disrupts redox balance and contributes to oxidative stress, a key factor in the onset and progression of numerous pathogenesis. This review provides an updated and integrated overview of ROS biology, summarizing their major types, cellular and molecular sources, and physiological functions, highlighting their significance in physiological redox signaling and oxidative stress-mediated disease mechanisms. Key molecular pathways involved in ROS-induced cell damage, redox imbalance, and signaling dysregulation are discussed. In addition, contemporary and emerging approaches for the detection and quantification of ROS and oxidative stress in clinical and preclinical samples—such as biochemical assays, fluorescent probes, biosensors, and advanced imaging techniques—are critically evaluated. The contribution of oxidative stress to the pathophysiology of major disorders, including cancer, diabetes, cardiovascular diseases, neurodegenerative conditions, and inflammatory disorders, is also examined. Finally, this review highlights future perspectives in precision redox medicine, emphasizing the potential of targeted antioxidant-based diagnostic and therapeutic strategies supported by advances in ROS detection technologies and a deeper understanding of redox-regulated biological processes.","container-title":"International Journal of Molecular Sciences","DOI":"10.3390/ijms27062681","ISSN":"1422-0067","issue":"6","language":"en","license":"http://creativecommons.org/licenses/by/3.0/","page":"2681","publisher":"Multidisciplinary Digital Publishing Institute","source":"www.mdpi.com","title":"Oxidative Stress in Health and Disease: Mechanisms and Therapeutic Perspectives","title-short":"Oxidative Stress in Health and Disease","volume":"27","author":[{"family":"Anwar","given":"Shehwaz"},{"family":"Alharbi","given":"Hajed Obaid A."},{"family":"Babiker","given":"Ali Yousif"},{"family":"Rahmani","given":"Arshad Husain"}],"issued":{"date-parts":[["2026",1]]}}}],"schema":"https://github.com/citation-style-language/schema/raw/master/csl-citation.json"} </w:instrText>
      </w:r>
      <w:r w:rsidR="00CA4E25">
        <w:fldChar w:fldCharType="separate"/>
      </w:r>
      <w:r w:rsidR="00CA4E25" w:rsidRPr="00CA4E25">
        <w:rPr>
          <w:rFonts w:ascii="Calibri" w:hAnsi="Calibri" w:cs="Calibri"/>
        </w:rPr>
        <w:t>(Anwar et al., 2026)</w:t>
      </w:r>
      <w:r w:rsidR="00CA4E25">
        <w:fldChar w:fldCharType="end"/>
      </w:r>
      <w:r w:rsidRPr="000F7EE6">
        <w:t>.</w:t>
      </w:r>
    </w:p>
    <w:p w14:paraId="7F4536B3" w14:textId="18A8AE35" w:rsidR="000F7EE6" w:rsidRDefault="002E6046" w:rsidP="000F7EE6">
      <w:r>
        <w:t>In this context, it is becoming more and more evident that the accumulation of silent, gradual multiorgan harm plays a major role in shaping sickle cell disease mortality rather than being exclusively the result of acute events</w:t>
      </w:r>
      <w:r w:rsidR="00F77328">
        <w:t xml:space="preserve"> </w:t>
      </w:r>
      <w:r w:rsidR="00CA4E25">
        <w:fldChar w:fldCharType="begin"/>
      </w:r>
      <w:r w:rsidR="00CA4E25">
        <w:instrText xml:space="preserve"> ADDIN ZOTERO_ITEM CSL_CITATION {"citationID":"WzTK5CkV","properties":{"unsorted":false,"formattedCitation":"(Delicou et al., 2026)","plainCitation":"(Delicou et al., 2026)","noteIndex":0},"citationItems":[{"id":2331,"uris":["http://zotero.org/users/19602067/items/W29PRVBE"],"itemData":{"id":2331,"type":"article-journal","abstract":"Sickle cell disease (SCD) and transfusion-dependent β-thalassemia are no longer pediatric death sentences. With newborn screening, transfusions, and chelation therapy, patients now survive into their 4th–6th decade. Yet as they age, they face mounting complications -pain that never truly resolves, organs failing one by one, and profound isolation. Ironically, palliative care remains scarce despite the clinical complexity. This narrative review examines end-of-life care in these hemoglobinopathies, focusing on pain management, ethical tensions, and the psychosocial needs that intensify as death approaches. We reviewed literature from 2020 to 2025, international guidelines, and European frameworks. The evidence is clear: terminal SCD involves unpredictable crises and intractable pain; β-thalassemia brings slow cardiac decline and iron-laden organ failure. Both demand early palliative integration, yet both are drastically undertreated. Cultural beliefs heavily shape how families accept or reject end-of-life discussions. Disparities in opioid access, lack of disease-specific referral criteria, and absence of flexible hospice models create barriers that disproportionately harm marginalized patients. We conclude that hemoglobinopathy patients deserve the same anticipatory, culturally informed, multidisciplinary palliative care that we increasingly offer to cancer patients. Health systems must establish referral pathways specific to these diseases, permit palliative transfusions in hospice when appropriate, ensure equitable opioid access, and embed psychosocial support in hemoglobinopathy centers.","container-title":"Mediterranean Journal of Hematology and Infectious Diseases","DOI":"10.4084/MJHID.2026.015","ISSN":"2035-3006","issue":"1","journalAbbreviation":"Mediterr J Hematol Infect Dis","page":"e2026015","PMID":"41641385","PMCID":"PMC12867032","source":"PubMed Central","title":"End-of-Life Care in Sickle Cell Disease and Transfusion-Dependent β-Thalassemia: Clinical, Psychosocial, and Ethical Considerations","title-short":"End-of-Life Care in Sickle Cell Disease and Transfusion-Dependent β-Thalassemia","volume":"18","author":[{"family":"Delicou","given":"Sophia"},{"family":"Xydaki","given":"Katerina"},{"family":"Moraki","given":"Maria"},{"family":"Aforozis","given":"Theodoros"}],"issued":{"date-parts":[["2026",1,1]]}}}],"schema":"https://github.com/citation-style-language/schema/raw/master/csl-citation.json"} </w:instrText>
      </w:r>
      <w:r w:rsidR="00CA4E25">
        <w:fldChar w:fldCharType="separate"/>
      </w:r>
      <w:r w:rsidR="00CA4E25" w:rsidRPr="00CA4E25">
        <w:rPr>
          <w:rFonts w:ascii="Calibri" w:hAnsi="Calibri" w:cs="Calibri"/>
        </w:rPr>
        <w:t>(Delicou et al., 2026)</w:t>
      </w:r>
      <w:r w:rsidR="00CA4E25">
        <w:fldChar w:fldCharType="end"/>
      </w:r>
      <w:r>
        <w:t>. This paradigm advocates for a more comprehensive framework that gives priority to early detection, long-term monitoring, and prevention of subclinical organ damage, challenging the conventional crisis-centered model of care</w:t>
      </w:r>
      <w:r w:rsidR="00F77328">
        <w:t xml:space="preserve"> </w:t>
      </w:r>
      <w:r w:rsidR="00BA56E5">
        <w:fldChar w:fldCharType="begin"/>
      </w:r>
      <w:r w:rsidR="00BA56E5">
        <w:instrText xml:space="preserve"> ADDIN ZOTERO_ITEM CSL_CITATION {"citationID":"f179DnNo","properties":{"unsorted":false,"formattedCitation":"(Emami et al., 2024)","plainCitation":"(Emami et al., 2024)","noteIndex":0},"citationItems":[{"id":2334,"uris":["http://zotero.org/users/19602067/items/W8R4MB45"],"itemData":{"id":2334,"type":"article-journal","abstract":"This study addresses the crucial need for resilient healthcare systems, highlighted by recent global health emergencies such as the Ebola and COVID-19 crises. It identifies a significant gap in the current literature: a lack of practical, actionable frameworks for healthcare resilience. To bridge this gap, the research introduces an innovative framework that blends theoretical resilience concepts with heuristic approaches. This framework, rooted in the principles of monitoring, anticipation, recognition, and learning, is designed to enhance the crisis management capabilities of healthcare systems. The methodology involves a comprehensive literature review, combined with heuristic methods, culminating in a framework that is both academically sound and practically applicable. This framework guides healthcare systems through various stages of crisis management, including data collection, situation analysis, risk anticipation, and response evaluation. It provides a holistic approach to enhancing resilience in healthcare settings. Overall, this paper makes a significant contribution to the field of healthcare system resilience, offering a strategic blueprint for improved crisis response and recovery. It marks an important advancement in aligning theoretical resilience concepts with practical implementation strategies, essential for tackling current and future healthcare challenges.","container-title":"International Journal of Environmental Research and Public Health","DOI":"10.3390/ijerph21030286","ISSN":"1661-7827","issue":"3","journalAbbreviation":"Int J Environ Res Public Health","page":"286","PMID":"38541286","PMCID":"PMC10970665","source":"PubMed Central","title":"Towards Resilient Healthcare Systems: A Framework for Crisis Management","title-short":"Towards Resilient Healthcare Systems","volume":"21","author":[{"family":"Emami","given":"Seyedeh Gelareh"},{"family":"Lorenzoni","given":"Valentina"},{"family":"Turchetti","given":"Giuseppe"}],"issued":{"date-parts":[["2024",2,29]]}}}],"schema":"https://github.com/citation-style-language/schema/raw/master/csl-citation.json"} </w:instrText>
      </w:r>
      <w:r w:rsidR="00BA56E5">
        <w:fldChar w:fldCharType="separate"/>
      </w:r>
      <w:r w:rsidR="00BA56E5" w:rsidRPr="00BA56E5">
        <w:rPr>
          <w:rFonts w:ascii="Calibri" w:hAnsi="Calibri" w:cs="Calibri"/>
        </w:rPr>
        <w:t>(Emami et al., 2024)</w:t>
      </w:r>
      <w:r w:rsidR="00BA56E5">
        <w:fldChar w:fldCharType="end"/>
      </w:r>
      <w:r>
        <w:t>.</w:t>
      </w:r>
    </w:p>
    <w:p w14:paraId="00C34C2E" w14:textId="77777777" w:rsidR="00F609B1" w:rsidRDefault="00F609B1" w:rsidP="00F609B1">
      <w:pPr>
        <w:rPr>
          <w:b/>
          <w:bCs/>
        </w:rPr>
      </w:pPr>
      <w:r w:rsidRPr="00F609B1">
        <w:rPr>
          <w:b/>
          <w:bCs/>
        </w:rPr>
        <w:t>2. Pathophysiological Basis of Silent Injury</w:t>
      </w:r>
    </w:p>
    <w:p w14:paraId="727B6ACE" w14:textId="3D6D757D" w:rsidR="001A652D" w:rsidRPr="00F609B1" w:rsidRDefault="001A652D" w:rsidP="00F609B1">
      <w:r w:rsidRPr="001A652D">
        <w:lastRenderedPageBreak/>
        <w:t>Pathophysiology of Sickle Cell Disease (SCD) is not just about occasional vaso-occlusive episodes. It consists of complex network of chronic intertwined mechanisms that lead to ongoing subclinical tissue injury</w:t>
      </w:r>
      <w:r w:rsidR="00F77328">
        <w:t xml:space="preserve"> </w:t>
      </w:r>
      <w:r w:rsidR="00E00427">
        <w:fldChar w:fldCharType="begin"/>
      </w:r>
      <w:r w:rsidR="00E00427">
        <w:instrText xml:space="preserve"> ADDIN ZOTERO_ITEM CSL_CITATION {"citationID":"Rjkcqrjz","properties":{"unsorted":false,"formattedCitation":"(DuPont et al., 2026)","plainCitation":"(DuPont et al., 2026)","noteIndex":0},"citationItems":[{"id":2337,"uris":["http://zotero.org/users/19602067/items/49IEWA2L"],"itemData":{"id":2337,"type":"article-journal","abstract":"Sickle cell disease (SCD) is the most common inherited clinically relevant blood disorder. Although a deceptively simple monogenetic disorder, the associated complications have multiple downstream effects. In this review, we explore the many facets of SCD, with a particular focus on its impact on the vascular system. Despite progress in understanding the underlying mechanisms of SCD, including Hemoglobin S polymerization, microvascular occlusion, and inflammation, there are still many questions surrounding the condition, especially predicting which affected individuals will acquire specific complications in order to personalize treatments. While current standard of care treatments, including hydroxyurea and chronic red blood cell transfusions, have been proven to be disease-modifying, newer therapies like crizanlizumab and voxelotor have only proven to manage symptoms. Newer gene therapies have been approved; however, it is not clear what impact these will have long-term on the end-organ complications of SCD. There is still a significant need to understand how we optimize and personalize therapies to improve outcomes for patients. This review highlights the importance of recognizing SCD as a vascular disease to understand its multi-organ complications and heterogeneity of effects.","container-title":"Cells","DOI":"10.3390/cells15040326","ISSN":"2073-4409","issue":"4","language":"en","license":"http://creativecommons.org/licenses/by/3.0/","page":"326","publisher":"Multidisciplinary Digital Publishing Institute","source":"www.mdpi.com","title":"Rethinking Sickle Cell Disease as a Systemic Vasculopathy","volume":"15","author":[{"family":"DuPont","given":"Mariana"},{"family":"Galadanci","given":"Najibah A."},{"family":"Patel","given":"Rushil V."},{"family":"Lebensburger","given":"Jeffrey"},{"family":"Kanter","given":"Julie"}],"issued":{"date-parts":[["2026",1]]}}}],"schema":"https://github.com/citation-style-language/schema/raw/master/csl-citation.json"} </w:instrText>
      </w:r>
      <w:r w:rsidR="00E00427">
        <w:fldChar w:fldCharType="separate"/>
      </w:r>
      <w:r w:rsidR="00E00427" w:rsidRPr="00E00427">
        <w:rPr>
          <w:rFonts w:ascii="Calibri" w:hAnsi="Calibri" w:cs="Calibri"/>
        </w:rPr>
        <w:t>(DuPont et al., 2026)</w:t>
      </w:r>
      <w:r w:rsidR="00E00427">
        <w:fldChar w:fldCharType="end"/>
      </w:r>
      <w:r w:rsidRPr="001A652D">
        <w:t>. These mechanisms occur in the microcirculation and the endothelial cells, resulting in a constant physiological stress that gradually leads to organ dysfunction. In contrast to acute complications, these processes are silent and cumulative and constitute the biological basis of progressive multiorgan failure</w:t>
      </w:r>
      <w:r w:rsidR="00F77328">
        <w:t xml:space="preserve"> </w:t>
      </w:r>
      <w:r w:rsidR="008754EA">
        <w:fldChar w:fldCharType="begin"/>
      </w:r>
      <w:r w:rsidR="008754EA">
        <w:instrText xml:space="preserve"> ADDIN ZOTERO_ITEM CSL_CITATION {"citationID":"DNO3DmLg","properties":{"unsorted":false,"formattedCitation":"(Dorneles et al., 2025)","plainCitation":"(Dorneles et al., 2025)","noteIndex":0},"citationItems":[{"id":2340,"uris":["http://zotero.org/users/19602067/items/EFCLRRCZ"],"itemData":{"id":2340,"type":"article-journal","abstract":"A quarter of a century ago, sickle cell disease (SCD) was mainly viewed as a typical genetic disease inherited as a classical Mendelian trait. Therefore, the main focus concerning SCD was on diagnosis, meaning, genotyping, and identification of homozygous and heterozygous individuals carrying the relevant HbS mutant allele. Nowadays, it is well established that sickle cell disease is indeed the result of homozygosis for the HbS variant, although this single feature is not capable of explaining the highly diverse clinical presentation of SCD. In fact, an important feature of SCD is the chronic inflammation that accompanies the sickling of erythrocytes. In this manuscript, we will revisit the early evidence of inflammation in SCD and review what was uncovered during the last 25 years. Here, we describe Sickle cell anemia as a major participant in the history of science. In fact, SCD was the first genetic disease where the causal mutation was identified and is also the first disease for which treatment through genome editing was approved, making this disease a landmark in the road of molecular biology.","container-title":"Hematology Reports","DOI":"10.3390/hematolrep17010002","ISSN":"2038-8330","issue":"1","language":"en","license":"http://creativecommons.org/licenses/by/3.0/","page":"2","publisher":"Multidisciplinary Digital Publishing Institute","source":"www.mdpi.com","title":"Sickle Cell Anemia and Inflammation: A Review of Stones and Landmarks Paving the Road in the Last 25 Years","title-short":"Sickle Cell Anemia and Inflammation","volume":"17","author":[{"family":"Dorneles","given":"Jessica"},{"family":"Menezes Mayer","given":"Amanda","non-dropping-particle":"de"},{"family":"Chies","given":"José Artur Bogo"}],"issued":{"date-parts":[["2025",2]]}}}],"schema":"https://github.com/citation-style-language/schema/raw/master/csl-citation.json"} </w:instrText>
      </w:r>
      <w:r w:rsidR="008754EA">
        <w:fldChar w:fldCharType="separate"/>
      </w:r>
      <w:r w:rsidR="008754EA" w:rsidRPr="008754EA">
        <w:rPr>
          <w:rFonts w:ascii="Calibri" w:hAnsi="Calibri" w:cs="Calibri"/>
        </w:rPr>
        <w:t>(Dorneles et al., 2025)</w:t>
      </w:r>
      <w:r w:rsidR="008754EA">
        <w:fldChar w:fldCharType="end"/>
      </w:r>
      <w:r w:rsidRPr="001A652D">
        <w:t>.</w:t>
      </w:r>
    </w:p>
    <w:p w14:paraId="55D04BA3" w14:textId="77777777" w:rsidR="00F609B1" w:rsidRDefault="00F609B1" w:rsidP="00F609B1">
      <w:pPr>
        <w:rPr>
          <w:b/>
          <w:bCs/>
        </w:rPr>
      </w:pPr>
      <w:r w:rsidRPr="00F609B1">
        <w:rPr>
          <w:b/>
          <w:bCs/>
        </w:rPr>
        <w:t>2.1 Chronic Hemolysis and Endothelial Dysfunction</w:t>
      </w:r>
    </w:p>
    <w:p w14:paraId="67A3951A" w14:textId="7941DAF7" w:rsidR="001A652D" w:rsidRPr="001A652D" w:rsidRDefault="001A652D" w:rsidP="001A652D">
      <w:r w:rsidRPr="001A652D">
        <w:t>Continuous intravascular hemolysis is one of the hallmarks of sickle cell disease and is a major factor in the development of vascular pathologies. The continual breakdown of sickled erythrocytes results in the liberation of cell-free hemoglobin and arginase in the bloodstream</w:t>
      </w:r>
      <w:r w:rsidR="00F77328">
        <w:t xml:space="preserve"> </w:t>
      </w:r>
      <w:r w:rsidR="00BB1870">
        <w:fldChar w:fldCharType="begin"/>
      </w:r>
      <w:r w:rsidR="00BB1870">
        <w:instrText xml:space="preserve"> ADDIN ZOTERO_ITEM CSL_CITATION {"citationID":"vbKHJja4","properties":{"unsorted":false,"formattedCitation":"(Xue &amp; Li, 2024)","plainCitation":"(Xue &amp; Li, 2024)","noteIndex":0},"citationItems":[{"id":2343,"uris":["http://zotero.org/users/19602067/items/MEADVQC4"],"itemData":{"id":2343,"type":"article-journal","abstract":"Sickle cell disease (SCD) is a genetic disorder predominantly affecting individuals of African descent, with a significant global health burden. SCD is characterized by intravascular hemolysis, driven by the polymerization of mutated hemoglobin within red blood cells (RBCs), leading to vascular inflammation, organ damage, and heme toxicity. Clinical manifestations include acute pain crises, hemolytic anemia, and multi-organ dysfunction, imposing substantial morbidity and mortality challenges. Current therapeutic strategies mitigate these complications by increasing the concentration of RBCs with normal hemoglobin via transfusion, inducing fetal hemoglobin, restoring nitric oxide signaling, inhibiting platelet-endothelium interaction, and stabilizing hemoglobin in its oxygenated state. While hydroxyurea and gene therapies show promise, each faces distinct challenges. Hydroxyurea’s efficacy varies among patients, and gene therapies, though effective, are limited by issues of accessibility and affordability. An emerging frontier in SCD management involves harnessing endogenous clearance mechanisms for hemolysis products. A recent work by Heggland et al. showed that CD-36-like proteins mediate heme absorption in hematophagous ectoparasite, a type of parasite that feeds on the blood of its host. This discovery underscores the need for further investigation into scavenger receptors (e.g., CD36, SR-BI, SR-BII) for their possible role in heme uptake and detoxification in mammalian species. In this review, we discussed current SCD therapeutics and the specific stages of pathophysiology they target. We identified the limitations of existing treatments and explored potential future developments for novel SCD therapies. Novel therapeutic targets, including heme scavenging pathways, hold the potential for improving outcomes and reducing the global burden of SCD.","container-title":"Frontiers in Physiology","DOI":"10.3389/fphys.2024.1474569","ISSN":"1664-042X","journalAbbreviation":"Front Physiol","page":"1474569","PMID":"39345787","PMCID":"PMC11427376","source":"PubMed Central","title":"Therapeutics for sickle cell disease intravascular hemolysis","volume":"15","author":[{"family":"Xue","given":"Jianyao"},{"family":"Li","given":"Xiang-An"}],"issued":{"date-parts":[["2024",9,13]]}}}],"schema":"https://github.com/citation-style-language/schema/raw/master/csl-citation.json"} </w:instrText>
      </w:r>
      <w:r w:rsidR="00BB1870">
        <w:fldChar w:fldCharType="separate"/>
      </w:r>
      <w:r w:rsidR="00BB1870" w:rsidRPr="00BB1870">
        <w:rPr>
          <w:rFonts w:ascii="Calibri" w:hAnsi="Calibri" w:cs="Calibri"/>
        </w:rPr>
        <w:t>(Xue &amp; Li, 2024)</w:t>
      </w:r>
      <w:r w:rsidR="00BB1870">
        <w:fldChar w:fldCharType="end"/>
      </w:r>
      <w:r w:rsidRPr="001A652D">
        <w:t>. Cell-free hemoglobin has a great affinity for nitric oxide, which is an indispensable agent of vascular homeostasis. On the other hand, arginase reduces the availability of L-arginine, which is the substrate for nitric oxide production. The decrease in nitric oxide bioavailability leads to impaired vasodilation and may cause vasoconstriction, platelet activation, and leukocyte adhesion</w:t>
      </w:r>
      <w:r w:rsidR="00F77328">
        <w:t xml:space="preserve"> </w:t>
      </w:r>
      <w:r w:rsidR="00BB1870">
        <w:fldChar w:fldCharType="begin"/>
      </w:r>
      <w:r w:rsidR="00BB1870">
        <w:instrText xml:space="preserve"> ADDIN ZOTERO_ITEM CSL_CITATION {"citationID":"HgI144JD","properties":{"unsorted":false,"formattedCitation":"(Kurhaluk &amp; Tkaczenko, 2025)","plainCitation":"(Kurhaluk &amp; Tkaczenko, 2025)","noteIndex":0},"citationItems":[{"id":2346,"uris":["http://zotero.org/users/19602067/items/LTVKRHQR"],"itemData":{"id":2346,"type":"article-journal","abstract":"This narrative review provides an analysis of the role of nitric oxide (NO) and its precursors, particularly L-arginine, in vascular regulation and health, with an emphasis on findings from our experimental research in animal models. NO serves as a critical mediator of vascular function, contributing to vasodilation, the regulation of blood flow, and the prevention of thrombosis. As a primary precursor of NO, L-arginine is essential for maintaining endothelial integrity, modulating mitochondrial function, and reducing oxidative damage. This review synthesises the data and contextualises these findings within the physiological challenges faced by blood donors, such as repeated blood donation and associated oxidative stress. It examines the effects of L-arginine supplementation on mitochondrial respiration, lipid peroxidation, and microsomal oxidation in different conditions, including differences in age, gender, and dietary interventions. The mechanisms by which L-arginine enhances NO production, improves vascular elasticity, and alleviates endothelial dysfunction caused by reduced NO bioavailability are also investigated. By integrating experimental findings with insights from the existing literature, this review provides a perspective on the potential of L-arginine supplementation to address the specific physiological needs of blood donors. It highlights the importance of personalised nutritional approaches in enhancing donor recovery and vascular resilience. In addition, this review assesses the wider implications of L-arginine supplementation in mitigating oxidative stress and preserving vascular function. The interplay between NO bioavailability, dietary factors, and physiological adaptation in blood donors is highlighted, along with the identification of current knowledge gaps and recommendations for future research. By presenting both original experimental evidence and a critical synthesis of the literature, this article highlights the therapeutic potential of NO precursors, particularly L-arginine, in promoting vascular health in the context of blood donation.","container-title":"Nutrients","DOI":"10.3390/nu17040665","ISSN":"2072-6643","issue":"4","journalAbbreviation":"Nutrients","page":"665","PMID":"40004994","PMCID":"PMC11858268","source":"PubMed Central","title":"L-Arginine and Nitric Oxide in Vascular Regulation—Experimental Findings in the Context of Blood Donation","volume":"17","author":[{"family":"Kurhaluk","given":"Natalia"},{"family":"Tkaczenko","given":"Halina"}],"issued":{"date-parts":[["2025",2,13]]}}}],"schema":"https://github.com/citation-style-language/schema/raw/master/csl-citation.json"} </w:instrText>
      </w:r>
      <w:r w:rsidR="00BB1870">
        <w:fldChar w:fldCharType="separate"/>
      </w:r>
      <w:r w:rsidR="00BB1870" w:rsidRPr="00BB1870">
        <w:rPr>
          <w:rFonts w:ascii="Calibri" w:hAnsi="Calibri" w:cs="Calibri"/>
        </w:rPr>
        <w:t>(Kurhaluk &amp; Tkaczenko, 2025)</w:t>
      </w:r>
      <w:r w:rsidR="00BB1870">
        <w:fldChar w:fldCharType="end"/>
      </w:r>
      <w:r w:rsidRPr="001A652D">
        <w:t>.</w:t>
      </w:r>
    </w:p>
    <w:p w14:paraId="099BE6CF" w14:textId="77777777" w:rsidR="001A652D" w:rsidRPr="001A652D" w:rsidRDefault="001A652D" w:rsidP="001A652D"/>
    <w:p w14:paraId="6446BF10" w14:textId="5F601B92" w:rsidR="001A652D" w:rsidRPr="001A652D" w:rsidRDefault="001A652D" w:rsidP="001A652D">
      <w:r w:rsidRPr="001A652D">
        <w:t>Endothelial dysfunction is one of the main outcomes of this disruption. The vascular endothelium, which is usually a regulator of tone and barrier function, changes its characteristics to a pro-inflammatory and pro-adhesive phenotype</w:t>
      </w:r>
      <w:r w:rsidR="00F77328">
        <w:t xml:space="preserve"> </w:t>
      </w:r>
      <w:r w:rsidR="00BB1870">
        <w:fldChar w:fldCharType="begin"/>
      </w:r>
      <w:r w:rsidR="00BB1870">
        <w:instrText xml:space="preserve"> ADDIN ZOTERO_ITEM CSL_CITATION {"citationID":"OybcdcBv","properties":{"unsorted":false,"formattedCitation":"(M\\uc0\\u322{}ynarska et al., 2025)","plainCitation":"(Młynarska et al., 2025)","noteIndex":0},"citationItems":[{"id":2350,"uris":["http://zotero.org/users/19602067/items/V89QEIZK"],"itemData":{"id":2350,"type":"article-journal","abstract":"Endothelial dysfunction plays a central role in the pathogenesis of cardiovascular diseases, driven by a complex interplay of oxidative stress, metabolic imbalances, and adipokine dysregulation. Excessive reactive oxygen species reduce nitric oxide bioavailability by impairing endothelial nitric oxide synthase function, leading to vascular inflammation and impaired vasodilation. Adipose tissue-derived hormones such as leptin, adiponectin, and resistin exert opposing effects on vascular homeostasis, influencing inflammation and oxidative stress in obesity and metabolic syndrome. Dyslipidemia, particularly through oxidized LDL, initiates endothelial injury and foam cell formation, accelerating atherosclerosis. Furthermore, hypertension and obesity exacerbate vascular dysfunction by disrupting the balance between vasodilators and vasoconstrictors, enhancing oxidative stress, and altering perivascular adipose tissue function. These interrelated mechanisms contribute to the progression of atherosclerotic cardiovascular disease and diabetic vascular complications. A deeper understanding of these processes is essential for developing targeted interventions to restore endothelial health and reduce cardiometabolic risk.","container-title":"International Journal of Molecular Sciences","DOI":"10.3390/ijms262010096","ISSN":"1422-0067","issue":"20","language":"en","license":"http://creativecommons.org/licenses/by/3.0/","page":"10096","publisher":"Multidisciplinary Digital Publishing Institute","source":"www.mdpi.com","title":"Endothelial Dysfunction as the Common Pathway Linking Obesity, Hypertension and Atherosclerosis","volume":"26","author":[{"family":"Młynarska","given":"Ewelina"},{"family":"Bojdo","given":"Kinga"},{"family":"Frankenstein","given":"Hanna"},{"family":"Krawiranda","given":"Katarzyna"},{"family":"Kustosik","given":"Natalia"},{"family":"Lisińska","given":"Wiktoria"},{"family":"Rysz","given":"Jacek"},{"family":"Franczyk","given":"Beata"}],"issued":{"date-parts":[["2025",1]]}}}],"schema":"https://github.com/citation-style-language/schema/raw/master/csl-citation.json"} </w:instrText>
      </w:r>
      <w:r w:rsidR="00BB1870">
        <w:fldChar w:fldCharType="separate"/>
      </w:r>
      <w:r w:rsidR="00BB1870" w:rsidRPr="00BB1870">
        <w:rPr>
          <w:rFonts w:ascii="Calibri" w:hAnsi="Calibri" w:cs="Calibri"/>
          <w:kern w:val="0"/>
        </w:rPr>
        <w:t>(Młynarska et al., 2025)</w:t>
      </w:r>
      <w:r w:rsidR="00BB1870">
        <w:fldChar w:fldCharType="end"/>
      </w:r>
      <w:r w:rsidRPr="001A652D">
        <w:t>. The increased expression of adhesion molecules leads to the formation of complexes between erythrocytes, leukocytes, and the endothelium, which causes an additional decrease in blood flow. Notably, these alterations are not confined to episodes of acute crisis but are also present during asymptomatic periods, thus maintaining a chronic state of vascular dysregulation that leads to tissue damage</w:t>
      </w:r>
      <w:r w:rsidR="00F77328">
        <w:t xml:space="preserve"> </w:t>
      </w:r>
      <w:r w:rsidR="00CD1E1E">
        <w:fldChar w:fldCharType="begin"/>
      </w:r>
      <w:r w:rsidR="00CD1E1E">
        <w:instrText xml:space="preserve"> ADDIN ZOTERO_ITEM CSL_CITATION {"citationID":"WRO943vd","properties":{"unsorted":false,"formattedCitation":"(Obeagu, 2025)","plainCitation":"(Obeagu, 2025)","noteIndex":0},"citationItems":[{"id":2351,"uris":["http://zotero.org/users/19602067/items/9D985DPG"],"itemData":{"id":2351,"type":"article-journal","abstract":"Sickle cell disease (SCD) is a genetic disorder characterized by the presence of sickle-shaped red blood cells (sRBCs), which are prone to occluding small blood vessels, leading to severe pain and organ damage. One of the critical mechanisms driving vaso-occlusion in SCD is the interaction between sRBCs, leukocytes, platelets, and endothelial cells, mediated by adhesion molecules. These molecules, including intercellular adhesion molecule-1, vascular cell adhesion molecule-1, selectins, and integrins, play a significant role in promoting the adhesion of these cells to the vascular endothelium, exacerbating inflammation, and contributing to the obstruction of blood flow. Understanding how these adhesion molecules participate in the pathophysiology of vaso-occlusion offers valuable insights into potential therapeutic strategies to mitigate the impact of this debilitating condition. The role of adhesion molecules in SCD-induced vaso-occlusion has been well-documented, with multiple studies showing that their upregulation enhances the interaction between sickled and non-sickled cells and the endothelium. This interaction initiates a cascade of inflammatory responses that worsen microvascular occlusion, leading to tissue ischemia and chronic complications. The expression of adhesion molecules such as E-selectin, P-selectin, and integrins on both the endothelial surface and the sickle cell membrane is critical for the progression of these vaso-occlusive events. Inflammation-induced overexpression of these molecules increases cell adhesion, exacerbating the frequency and severity of vaso-occlusive crises and contributing to long-term organ damage in SCD patients.","container-title":"Annals of Medicine and Surgery","DOI":"10.1097/MS9.0000000000003619","ISSN":"2049-0801","issue":"9","journalAbbreviation":"Ann Med Surg (Lond)","page":"5775-5783","PMID":"40901122","PMCID":"PMC12401344","source":"PubMed Central","title":"Adhesion molecules in focus: mechanistic pathways and therapeutic avenues in sickle cell vaso-occlusion – a narrative review","title-short":"Adhesion molecules in focus","volume":"87","author":[{"family":"Obeagu","given":"Emmanuel Ifeanyi"}],"issued":{"date-parts":[["2025",7,18]]}}}],"schema":"https://github.com/citation-style-language/schema/raw/master/csl-citation.json"} </w:instrText>
      </w:r>
      <w:r w:rsidR="00CD1E1E">
        <w:fldChar w:fldCharType="separate"/>
      </w:r>
      <w:r w:rsidR="00CD1E1E" w:rsidRPr="00CD1E1E">
        <w:rPr>
          <w:rFonts w:ascii="Calibri" w:hAnsi="Calibri" w:cs="Calibri"/>
        </w:rPr>
        <w:t>(Obeagu, 2025)</w:t>
      </w:r>
      <w:r w:rsidR="00CD1E1E">
        <w:fldChar w:fldCharType="end"/>
      </w:r>
      <w:r w:rsidRPr="001A652D">
        <w:t>.</w:t>
      </w:r>
    </w:p>
    <w:p w14:paraId="7747797E" w14:textId="77777777" w:rsidR="001A652D" w:rsidRPr="00F609B1" w:rsidRDefault="001A652D" w:rsidP="00F609B1">
      <w:pPr>
        <w:rPr>
          <w:b/>
          <w:bCs/>
        </w:rPr>
      </w:pPr>
    </w:p>
    <w:p w14:paraId="0444113F" w14:textId="77777777" w:rsidR="00F609B1" w:rsidRPr="00F609B1" w:rsidRDefault="00F609B1" w:rsidP="00F609B1">
      <w:pPr>
        <w:rPr>
          <w:b/>
          <w:bCs/>
        </w:rPr>
      </w:pPr>
      <w:r w:rsidRPr="00F609B1">
        <w:rPr>
          <w:b/>
          <w:bCs/>
        </w:rPr>
        <w:t>2.2 Recurrent Microvascular Occlusion</w:t>
      </w:r>
    </w:p>
    <w:p w14:paraId="277C44CE" w14:textId="050E9293" w:rsidR="00841EA8" w:rsidRDefault="00841EA8" w:rsidP="00841EA8">
      <w:r>
        <w:t>Vaso-occlusion is commonly linked to pain crises, but microvascular blockage happens at a subclinical level too. Sickled erythrocytes, along with activated leukocytes and platelets, intermittently block small vessels, especially within organs with high metabolic demand. These events may not cause immediate symptoms but are enough to disturb local perfusion</w:t>
      </w:r>
      <w:r w:rsidR="00F77328">
        <w:t xml:space="preserve"> </w:t>
      </w:r>
      <w:r w:rsidR="009C72E8">
        <w:fldChar w:fldCharType="begin"/>
      </w:r>
      <w:r w:rsidR="009C72E8">
        <w:instrText xml:space="preserve"> ADDIN ZOTERO_ITEM CSL_CITATION {"citationID":"uOUi2tey","properties":{"unsorted":false,"formattedCitation":"(Conran &amp; Embury, 2021)","plainCitation":"(Conran &amp; Embury, 2021)","noteIndex":0},"citationItems":[{"id":2424,"uris":["http://zotero.org/users/19602067/items/RJM48JQQ"],"itemData":{"id":2424,"type":"article-journal","abstract":"The pathophysiology of sickle cell anemia, a hereditary hemoglobinopathy, has\nfascinated clinicians and scientists alike since its description over 100 years\nago. A single gene mutation in the HBB gene results in the\nproduction of abnormal hemoglobin (Hb) S, whose polymerization when deoxygenated\nalters the physiochemical properties of red blood cells, in turn triggering\npan-cellular activation and pathological mechanisms that include hemolysis,\nvaso-occlusion, and ischemia-reperfusion to result in the varied and severe\ncomplications of the disease. Now widely regarded as an inflammatory disease, in\nrecent years attention has included the role of leukocytes in vaso-occlusive\nprocesses in view of the part that these cells play in innate immune processes,\ntheir inherent ability to adhere to the endothelium when activated, and their\nsheer physical and potentially obstructive size. Here, we consider the role of\nsickle red blood cell populations in elucidating the importance of adhesion\nvis-a-vis polymerization in vaso-occlusion, review the direct adhesion of sickle\nred cells to the endothelium in vaso-occlusive processes, and discuss how red\ncell- and leukocyte-centered mechanisms are not mutually exclusive. Given the\ninitial clinical success of crizanlizumab, a specific anti-P selectin therapy,\nwe suggest that it is appropriate to take a holistic approach to understanding\nand exploring the complexity of vaso-occlusive mechanisms and the adhesive roles\nof the varied cell types, including endothelial cells, platelets, leukocytes,\nand red blood cells.","container-title":"Experimental Biology and Medicine","DOI":"10.1177/15353702211005392","ISSN":"1535-3702","issue":"12","journalAbbreviation":"Exp Biol Med (Maywood)","page":"1458-1472","PMID":"33794696","PMCID":"PMC8243211","source":"PubMed Central","title":"Sickle cell vaso-occlusion: The dialectic between red cells and white cells","title-short":"Sickle cell vaso-occlusion","volume":"246","author":[{"family":"Conran","given":"Nicola"},{"family":"Embury","given":"Stephen H"}],"issued":{"date-parts":[["2021",6]]}}}],"schema":"https://github.com/citation-style-language/schema/raw/master/csl-citation.json"} </w:instrText>
      </w:r>
      <w:r w:rsidR="009C72E8">
        <w:fldChar w:fldCharType="separate"/>
      </w:r>
      <w:r w:rsidR="009C72E8" w:rsidRPr="009C72E8">
        <w:rPr>
          <w:rFonts w:ascii="Calibri" w:hAnsi="Calibri" w:cs="Calibri"/>
        </w:rPr>
        <w:t>(Conran &amp; Embury, 2021)</w:t>
      </w:r>
      <w:r w:rsidR="009C72E8">
        <w:fldChar w:fldCharType="end"/>
      </w:r>
      <w:r>
        <w:t>.</w:t>
      </w:r>
    </w:p>
    <w:p w14:paraId="041792FD" w14:textId="45D0E6DA" w:rsidR="00F609B1" w:rsidRPr="00F609B1" w:rsidRDefault="00841EA8" w:rsidP="00841EA8">
      <w:r>
        <w:t xml:space="preserve">The result of repeated microvascular occlusion is repeated episodes of subclinical ischemia. Cells get transient but cumulative decreases in oxygen supply, resulting in cellular stress and </w:t>
      </w:r>
      <w:r>
        <w:lastRenderedPageBreak/>
        <w:t>damage. Continuously, this pattern of intermittent ischemia leads to changes in structure and function of the organs</w:t>
      </w:r>
      <w:r w:rsidR="00F77328">
        <w:t xml:space="preserve"> </w:t>
      </w:r>
      <w:r w:rsidR="00662372">
        <w:fldChar w:fldCharType="begin"/>
      </w:r>
      <w:r w:rsidR="00662372">
        <w:instrText xml:space="preserve"> ADDIN ZOTERO_ITEM CSL_CITATION {"citationID":"i0Kip1r7","properties":{"unsorted":false,"formattedCitation":"(Zhao et al., 2023)","plainCitation":"(Zhao et al., 2023)","noteIndex":0},"citationItems":[{"id":2355,"uris":["http://zotero.org/users/19602067/items/NMAXYGIG"],"itemData":{"id":2355,"type":"article-journal","abstract":"Following myocardial ischemic injury, the most effective clinical intervention is timely restoration of blood perfusion to ischemic but viable myocardium to reduce irreversible myocardial necrosis, limit infarct size, and prevent cardiac insufficiency. However, reperfusion itself may exacerbate cell death and myocardial injury, a process commonly referred to as ischemia/reperfusion (I/R) injury, which primarily involves cardiomyocytes and cardiac microvascular endothelial cells (CMECs) and is characterized by myocardial stunning, microvascular damage (MVD), reperfusion arrhythmia, and lethal reperfusion injury. MVD caused by I/R has been a neglected problem compared to myocardial injury. Clinically, the incidence of microvascular angina and/or no-reflow due to ineffective coronary perfusion accounts for 5–50% in patients after acute revascularization. MVD limiting drug diffusion into injured myocardium, is strongly associated with the development of heart failure. CMECs account for &gt; 60% of the cardiac cellular components, and their role in myocardial I/R injury cannot be ignored. There are many studies on microvascular obstruction, but few studies on microvascular leakage, which may be mainly due to the lack of corresponding detection methods. In this review, we summarize the clinical manifestations, related mechanisms of MVD during myocardial I/R, laboratory and clinical examination means, as well as the research progress on potential therapies for MVD in recent years. Better understanding the characteristics and risk factors of MVD in patients after hemodynamic reconstruction is of great significance for managing MVD, preventing heart failure and improving patient prognosis.","container-title":"Cellular and Molecular Life Sciences: CMLS","DOI":"10.1007/s00018-023-04998-z","ISSN":"1420-682X","issue":"11","journalAbbreviation":"Cell Mol Life Sci","page":"341","PMID":"37898977","PMCID":"PMC11073328","source":"PubMed Central","title":"The role and mechanisms of microvascular damage in the ischemic myocardium","volume":"80","author":[{"family":"Zhao","given":"Bang-Hao"},{"family":"Ruze","given":"Amanguli"},{"family":"Zhao","given":"Ling"},{"family":"Li","given":"Qiu-Lin"},{"family":"Tang","given":"Jing"},{"family":"Xiefukaiti","given":"Nilupaer"},{"family":"Gai","given":"Min-Tao"},{"family":"Deng","given":"An-Xia"},{"family":"Shan","given":"Xue-Feng"},{"family":"Gao","given":"Xiao-Ming"}],"issued":{"date-parts":[["2023",10,29]]}}}],"schema":"https://github.com/citation-style-language/schema/raw/master/csl-citation.json"} </w:instrText>
      </w:r>
      <w:r w:rsidR="00662372">
        <w:fldChar w:fldCharType="separate"/>
      </w:r>
      <w:r w:rsidR="00662372" w:rsidRPr="00662372">
        <w:rPr>
          <w:rFonts w:ascii="Calibri" w:hAnsi="Calibri" w:cs="Calibri"/>
        </w:rPr>
        <w:t>(Zhao et al., 2023)</w:t>
      </w:r>
      <w:r w:rsidR="00662372">
        <w:fldChar w:fldCharType="end"/>
      </w:r>
      <w:r>
        <w:t>. The brain, kidneys, and cardiopulmonary system are very vulnerable because of their dependence on microcirculatory networks that are finely regulated. Therefore, even without evident vaso-occlusive crises, continuous microvascular problems cause progressive organ damage</w:t>
      </w:r>
      <w:r w:rsidR="00F77328">
        <w:t xml:space="preserve"> </w:t>
      </w:r>
      <w:r w:rsidR="00662372">
        <w:fldChar w:fldCharType="begin"/>
      </w:r>
      <w:r w:rsidR="00662372">
        <w:instrText xml:space="preserve"> ADDIN ZOTERO_ITEM CSL_CITATION {"citationID":"7CpUqU7g","properties":{"unsorted":false,"formattedCitation":"(Durante et al., 2024)","plainCitation":"(Durante et al., 2024)","noteIndex":0},"citationItems":[{"id":2358,"uris":["http://zotero.org/users/19602067/items/DQL749MC"],"itemData":{"id":2358,"type":"article-journal","abstract":"Hypertension exerts a profound impact on the microcirculation, causing both structural and functional alterations that contribute to systemic and organ-specific vascular damage. The microcirculation, comprising arterioles, capillaries, and venules with diameters smaller than 20 μm, plays a fundamental role in oxygen delivery, nutrient exchange, and maintaining tissue homeostasis. In the context of hypertension, microvascular remodeling and rarefaction result in reduced vessel density and elasticity, increasing vascular resistance and driving end-organ damage. The pathophysiological mechanisms underlying hypertensive microvascular dysfunction include endothelial dysfunction, oxidative stress, and excessive collagen deposition. These changes impair nitric oxide (NO) bioavailability, increase reactive oxygen species (ROS) production, and promote inflammation and fibrosis. These processes lead to progressive vascular stiffening and dysfunction, with significant implications for multiple organs, including the heart, kidneys, brain, and retina. This review underscores the pivotal role of microvascular dysfunction in hypertension-related complications and highlights the importance of early detection and therapeutic interventions. Strategies aimed at optimizing blood pressure control, improving endothelial function, and targeting oxidative stress and vascular remodeling are critical to mitigating the systemic consequences of hypertensive microvascular damage and reducing the burden of related cardiovascular and renal diseases.","container-title":"International Journal of Molecular Sciences","DOI":"10.3390/ijms252413294","ISSN":"1422-0067","issue":"24","language":"en","license":"http://creativecommons.org/licenses/by/3.0/","page":"13294","publisher":"Multidisciplinary Digital Publishing Institute","source":"www.mdpi.com","title":"Systemic and Cardiac Microvascular Dysfunction in Hypertension","volume":"25","author":[{"family":"Durante","given":"Alessandro"},{"family":"Mazzapicchi","given":"Alessandro"},{"family":"Baiardo Redaelli","given":"Martina"}],"issued":{"date-parts":[["2024",1]]}}}],"schema":"https://github.com/citation-style-language/schema/raw/master/csl-citation.json"} </w:instrText>
      </w:r>
      <w:r w:rsidR="00662372">
        <w:fldChar w:fldCharType="separate"/>
      </w:r>
      <w:r w:rsidR="00662372" w:rsidRPr="00662372">
        <w:rPr>
          <w:rFonts w:ascii="Calibri" w:hAnsi="Calibri" w:cs="Calibri"/>
        </w:rPr>
        <w:t>(Durante et al., 2024)</w:t>
      </w:r>
      <w:r w:rsidR="00662372">
        <w:fldChar w:fldCharType="end"/>
      </w:r>
      <w:r>
        <w:t>.</w:t>
      </w:r>
    </w:p>
    <w:p w14:paraId="176E9DB9" w14:textId="77777777" w:rsidR="00F609B1" w:rsidRDefault="00F609B1" w:rsidP="00F609B1">
      <w:pPr>
        <w:rPr>
          <w:b/>
          <w:bCs/>
        </w:rPr>
      </w:pPr>
      <w:r w:rsidRPr="00F609B1">
        <w:rPr>
          <w:b/>
          <w:bCs/>
        </w:rPr>
        <w:t>2.3 Oxidative Stress and Inflammation</w:t>
      </w:r>
    </w:p>
    <w:p w14:paraId="64FCE08B" w14:textId="7A350C83" w:rsidR="007C5806" w:rsidRPr="007C5806" w:rsidRDefault="007C5806" w:rsidP="007C5806">
      <w:r w:rsidRPr="007C5806">
        <w:t xml:space="preserve">Oxidative stress is a major concern of silent damage in sickle cell disease. Long-term hemolysis and flash-like ischemia-reperfusion cycles produce reactive oxygen species that overwhelm natural antioxidant defenses. These harmful molecules cause lipid peroxidation, protein alteration, and </w:t>
      </w:r>
      <w:commentRangeStart w:id="1"/>
      <w:r w:rsidRPr="007C5806">
        <w:t xml:space="preserve">DNA </w:t>
      </w:r>
      <w:commentRangeEnd w:id="1"/>
      <w:r w:rsidR="00AD1AEE" w:rsidRPr="007C5806">
        <w:rPr>
          <w:rStyle w:val="CommentReference"/>
          <w:sz w:val="24"/>
          <w:szCs w:val="24"/>
        </w:rPr>
        <w:commentReference w:id="1"/>
      </w:r>
      <w:r w:rsidRPr="007C5806">
        <w:t>damage, leading to deterioration of cells and their functions</w:t>
      </w:r>
      <w:r w:rsidR="00F77328">
        <w:t xml:space="preserve"> </w:t>
      </w:r>
      <w:r w:rsidR="00662372">
        <w:fldChar w:fldCharType="begin"/>
      </w:r>
      <w:r w:rsidR="00662372">
        <w:instrText xml:space="preserve"> ADDIN ZOTERO_ITEM CSL_CITATION {"citationID":"ETX1stKs","properties":{"unsorted":false,"formattedCitation":"(Orrico et al., 2023)","plainCitation":"(Orrico et al., 2023)","noteIndex":0},"citationItems":[{"id":2360,"uris":["http://zotero.org/users/19602067/items/6WQRED5F"],"itemData":{"id":2360,"type":"article-journal","abstract":"Red cell diseases encompass a group of inherited or acquired erythrocyte disorders that affect the structure, function, or production of red blood cells (RBCs). These disorders can lead to various clinical manifestations, including anemia, hemolysis, inflammation, and impaired oxygen-carrying capacity. Oxidative stress, characterized by an imbalance between the production of reactive oxygen species (ROS) and the antioxidant defense mechanisms, plays a significant role in the pathophysiology of red cell diseases. In this review, we discuss the most relevant oxidant species involved in RBC damage, the enzymatic and low molecular weight antioxidant systems that protect RBCs against oxidative injury, and finally, the role of oxidative stress in different red cell diseases, including sickle cell disease, glucose 6-phosphate dehydrogenase deficiency, and pyruvate kinase deficiency, highlighting the underlying mechanisms leading to pathological RBC phenotypes.","container-title":"Biomolecules","DOI":"10.3390/biom13081262","ISSN":"2218-273X","issue":"8","journalAbbreviation":"Biomolecules","page":"1262","PMID":"37627327","PMCID":"PMC10452114","source":"PubMed Central","title":"Oxidative Stress in Healthy and Pathological Red Blood Cells","volume":"13","author":[{"family":"Orrico","given":"Florencia"},{"family":"Laurance","given":"Sandrine"},{"family":"Lopez","given":"Ana C."},{"family":"Lefevre","given":"Sophie D."},{"family":"Thomson","given":"Leonor"},{"family":"Möller","given":"Matias N."},{"family":"Ostuni","given":"Mariano A."}],"issued":{"date-parts":[["2023",8,18]]}}}],"schema":"https://github.com/citation-style-language/schema/raw/master/csl-citation.json"} </w:instrText>
      </w:r>
      <w:r w:rsidR="00662372">
        <w:fldChar w:fldCharType="separate"/>
      </w:r>
      <w:r w:rsidR="00662372" w:rsidRPr="00662372">
        <w:rPr>
          <w:rFonts w:ascii="Calibri" w:hAnsi="Calibri" w:cs="Calibri"/>
        </w:rPr>
        <w:t>(Orrico et al., 2023)</w:t>
      </w:r>
      <w:r w:rsidR="00662372">
        <w:fldChar w:fldCharType="end"/>
      </w:r>
      <w:r w:rsidRPr="007C5806">
        <w:t>.</w:t>
      </w:r>
    </w:p>
    <w:p w14:paraId="543F1710" w14:textId="77777777" w:rsidR="007C5806" w:rsidRPr="007C5806" w:rsidRDefault="007C5806" w:rsidP="007C5806"/>
    <w:p w14:paraId="14B1851D" w14:textId="602DFD31" w:rsidR="007C5806" w:rsidRPr="00F609B1" w:rsidRDefault="007C5806" w:rsidP="007C5806">
      <w:pPr>
        <w:rPr>
          <w:b/>
          <w:bCs/>
        </w:rPr>
      </w:pPr>
      <w:r w:rsidRPr="007C5806">
        <w:t>Along with this, a chronic inflammatory condition is maintained by ongoing immune activation. Blood leukocytes show an activated state, and pro-inflammatory cytokines remain at high levels all the time. This setting of inflammation worsens endothelial dysfunction and leads to more adhesion and blockage of the vessels</w:t>
      </w:r>
      <w:r w:rsidR="00F77328">
        <w:t xml:space="preserve"> </w:t>
      </w:r>
      <w:r w:rsidR="00E853ED">
        <w:fldChar w:fldCharType="begin"/>
      </w:r>
      <w:r w:rsidR="00E853ED">
        <w:instrText xml:space="preserve"> ADDIN ZOTERO_ITEM CSL_CITATION {"citationID":"Pg6Hco5O","properties":{"unsorted":false,"formattedCitation":"(Alfaro et al., 2022)","plainCitation":"(Alfaro et al., 2022)","noteIndex":0},"citationItems":[{"id":2371,"uris":["http://zotero.org/users/19602067/items/4ZKK9EAD"],"itemData":{"id":2371,"type":"article-journal","abstract":"Inflammation plays a critical role in the response to and survival from injuries and/or infections. It occurs in two phases: initiation and resolution; however, when these events do not resolve and persist over time, the inflammatory response becomes chronic, prompting diseases that affect several systems and organs, such as the vasculature and the skin. Here, we reviewed inflammation that occurs in selected infectious and sterile pathologies. Thus, the immune processes induced by bacterial sepsis as well as T. cruzi and SARS-CoV-2 infections are shown. In addition, vaccine adjuvants as well as atherosclerosis are revised as examples of sterile-mediated inflammation. An example of the consequences of a lack of inflammation resolution is given through the revision of wound healing and chronic wounds. Then, we revised the resolution of the latter through advanced therapies represented by cell therapy and tissue engineering approaches, showing how they contribute to control chronic inflammation and therefore wound healing. Finally, new pharmacological insights into the management of chronic inflammation addressing the resolution of inflammation based on pro-resolving mediators, such as lipoxin, maresin, and resolvins, examining their biosynthesis, biological properties, and pharmacokinetic and pharmaceuticals limitations, are given. We conclude that resolution pharmacology and advanced therapies are promising tools to restore the inflammation homeostasis.","container-title":"International Journal of Molecular Sciences","DOI":"10.3390/ijms231810719","ISSN":"1422-0067","issue":"18","language":"en","license":"http://creativecommons.org/licenses/by/3.0/","page":"10719","publisher":"Multidisciplinary Digital Publishing Institute","source":"www.mdpi.com","title":"Involvement of Inflammation and Its Resolution in Disease and Therapeutics","volume":"23","author":[{"family":"Alfaro","given":"Sebastián"},{"family":"Acuña","given":"Vania"},{"family":"Ceriani","given":"Ricardo"},{"family":"Cavieres","given":"María Fernanda"},{"family":"Weinstein-Oppenheimer","given":"Caroline Ruth"},{"family":"Campos-Estrada","given":"Carolina"}],"issued":{"date-parts":[["2022",1]]}}}],"schema":"https://github.com/citation-style-language/schema/raw/master/csl-citation.json"} </w:instrText>
      </w:r>
      <w:r w:rsidR="00E853ED">
        <w:fldChar w:fldCharType="separate"/>
      </w:r>
      <w:r w:rsidR="00E853ED" w:rsidRPr="00E853ED">
        <w:rPr>
          <w:rFonts w:ascii="Calibri" w:hAnsi="Calibri" w:cs="Calibri"/>
        </w:rPr>
        <w:t>(Alfaro et al., 2022)</w:t>
      </w:r>
      <w:r w:rsidR="00E853ED">
        <w:fldChar w:fldCharType="end"/>
      </w:r>
      <w:r w:rsidRPr="007C5806">
        <w:t xml:space="preserve">. Notably, oxidative stress and inflammation are interdependent and strengthen each other, thus leading to the continuous cycle of tissue injury. The fact that these mechanisms keep going even during periods of no symptoms clinically, illuminates their role in silent, progressive </w:t>
      </w:r>
      <w:r w:rsidRPr="003510EB">
        <w:t>damage</w:t>
      </w:r>
      <w:r w:rsidR="00426C1C">
        <w:t xml:space="preserve"> </w:t>
      </w:r>
      <w:r w:rsidR="00E853ED">
        <w:fldChar w:fldCharType="begin"/>
      </w:r>
      <w:r w:rsidR="00E853ED">
        <w:instrText xml:space="preserve"> ADDIN ZOTERO_ITEM CSL_CITATION {"citationID":"Z42xYWIf","properties":{"unsorted":false,"formattedCitation":"(Liu et al., 2026)","plainCitation":"(Liu et al., 2026)","noteIndex":0},"citationItems":[{"id":2369,"uris":["http://zotero.org/users/19602067/items/6XA3CMH3"],"itemData":{"id":2369,"type":"article-journal","abstract":"Oxidative stress and inflammation are two tightly interconnected processes that shape the physiological and pathological responses of aquatic animals to environmental and pathogenic challenges. Reactive oxygen species (ROS) act as key molecular mediators linking oxidative damage with immune activation, forming a bidirectional amplification loop in which oxidative stress triggers inflammation, and inflammation further enhances ROS production. This vicious cycle disrupts immune homeostasis, damages vital organs such as the liver, intestine, and gills, and ultimately increases disease susceptibility in aquaculture species. Recent studies have revealed that breaking this ROS–inflammation loop through integrated strategies, combining antioxidant enhancement, inflammation modulation, and immune regulation, can significantly improve stress tolerance and survival. Particularly in viral diseases, targeting the ROS–inflammation–virus replication axis has emerged as a promising approach for effective control. This review systematically summarizes the mechanistic crosstalk between oxidative stress and inflammation, highlights their biological consequences, and proposes mechanism-based prevention strategies for sustainable aquaculture health management.","container-title":"Antioxidants","DOI":"10.3390/antiox15020208","ISSN":"2076-3921","issue":"2","language":"en","license":"http://creativecommons.org/licenses/by/3.0/","page":"208","publisher":"Multidisciplinary Digital Publishing Institute","source":"www.mdpi.com","title":"Interplay Between Oxidative Stress and Inflammation in Aquatic Animals: Mechanisms, Consequences, and Implications for Aquaculture Health","title-short":"Interplay Between Oxidative Stress and Inflammation in Aquatic Animals","volume":"15","author":[{"family":"Liu","given":"Zi-Yan"},{"family":"Yu","given":"Yang"},{"family":"Yu","given":"Xiao-Zheng"}],"issued":{"date-parts":[["2026",2]]}}}],"schema":"https://github.com/citation-style-language/schema/raw/master/csl-citation.json"} </w:instrText>
      </w:r>
      <w:r w:rsidR="00E853ED">
        <w:fldChar w:fldCharType="separate"/>
      </w:r>
      <w:r w:rsidR="00E853ED" w:rsidRPr="00E853ED">
        <w:rPr>
          <w:rFonts w:ascii="Calibri" w:hAnsi="Calibri" w:cs="Calibri"/>
        </w:rPr>
        <w:t>(Liu et al., 2026)</w:t>
      </w:r>
      <w:r w:rsidR="00E853ED">
        <w:fldChar w:fldCharType="end"/>
      </w:r>
      <w:r w:rsidRPr="007C5806">
        <w:rPr>
          <w:b/>
          <w:bCs/>
        </w:rPr>
        <w:t>.</w:t>
      </w:r>
    </w:p>
    <w:p w14:paraId="2F406E61" w14:textId="77777777" w:rsidR="00F609B1" w:rsidRPr="00F609B1" w:rsidRDefault="00F609B1" w:rsidP="00F609B1">
      <w:pPr>
        <w:rPr>
          <w:b/>
          <w:bCs/>
        </w:rPr>
      </w:pPr>
      <w:r w:rsidRPr="00F609B1">
        <w:rPr>
          <w:b/>
          <w:bCs/>
        </w:rPr>
        <w:t>2.4 Hypercoagulability</w:t>
      </w:r>
    </w:p>
    <w:p w14:paraId="59FFBA00" w14:textId="2D944102" w:rsidR="007C5806" w:rsidRDefault="007C5806" w:rsidP="007C5806">
      <w:r>
        <w:t xml:space="preserve">Sickle cell disease also features a persistently hypercoagulable state which is a significant contributor to the microvascular pathology. </w:t>
      </w:r>
      <w:commentRangeStart w:id="2"/>
      <w:r>
        <w:t>Several contributors explain this prothrombotic state: endothelial activation, tissue factor expression upregulation, platelet activation, and malfunction of anticoagulant pathways</w:t>
      </w:r>
      <w:commentRangeEnd w:id="2"/>
      <w:r w:rsidR="00AD1AEE">
        <w:rPr>
          <w:rStyle w:val="CommentReference"/>
          <w:sz w:val="24"/>
          <w:szCs w:val="24"/>
        </w:rPr>
        <w:commentReference w:id="2"/>
      </w:r>
      <w:r>
        <w:t>. Furthermore, the phosphatidylserine exposure on the membrane of sickle-shaped erythrocytes triggers the activation of the coagulation cascade</w:t>
      </w:r>
      <w:r w:rsidR="00F77328">
        <w:t xml:space="preserve"> </w:t>
      </w:r>
      <w:r w:rsidR="009C72E8">
        <w:fldChar w:fldCharType="begin"/>
      </w:r>
      <w:r w:rsidR="00222AC0">
        <w:instrText xml:space="preserve"> ADDIN ZOTERO_ITEM CSL_CITATION {"citationID":"Gz2NKMVp","properties":{"unsorted":false,"formattedCitation":"(Osunkwo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9C72E8">
        <w:fldChar w:fldCharType="separate"/>
      </w:r>
      <w:r w:rsidR="00222AC0" w:rsidRPr="00222AC0">
        <w:rPr>
          <w:rFonts w:ascii="Calibri" w:hAnsi="Calibri" w:cs="Calibri"/>
        </w:rPr>
        <w:t>(Osunkwo et al., 2021)</w:t>
      </w:r>
      <w:r w:rsidR="009C72E8">
        <w:fldChar w:fldCharType="end"/>
      </w:r>
      <w:r>
        <w:t>.</w:t>
      </w:r>
    </w:p>
    <w:p w14:paraId="07611D82" w14:textId="1C22C3AE" w:rsidR="007C5806" w:rsidRDefault="007C5806" w:rsidP="007C5806">
      <w:r>
        <w:t>Microthrombi formation in small vessels impedes blood flow and worsens tissue hypoxia. These thrombotic incidents do not always show obvious clinical signs but they do cause cumulative vascular injury</w:t>
      </w:r>
      <w:r w:rsidR="00F77328">
        <w:t xml:space="preserve"> </w:t>
      </w:r>
      <w:r w:rsidR="00D7172F">
        <w:fldChar w:fldCharType="begin"/>
      </w:r>
      <w:r w:rsidR="00D7172F">
        <w:instrText xml:space="preserve"> ADDIN ZOTERO_ITEM CSL_CITATION {"citationID":"eMXs3YIt","properties":{"unsorted":false,"formattedCitation":"(Airola et al., 2023)","plainCitation":"(Airola et al., 2023)","noteIndex":0},"citationItems":[{"id":2374,"uris":["http://zotero.org/users/19602067/items/QGSDSLFQ"],"itemData":{"id":2374,"type":"article-journal","abstract":"Fibrosis is an unavoidable consequence of chronic inflammation. Extracellular matrix deposition by fibroblasts, stimulated by multiple pathways, is the first step in the onset of chronic liver disease, and its propagation promotes liver dysfunction. At the same time, chronic liver disease is characterized by alterations in primary and secondary hemostasis but unlike previously thought, these changes are not associated with an increased risk of bleeding complications. In recent years, the role of coagulation imbalance has been postulated as one of the main mechanisms promoting hepatic fibrogenesis. In this review, we aim to investigate the function of microvascular thrombosis in the progression of liver disease and highlight the molecular and cellular networks linking hemostasis to fibrosis in this context. We analyze the predictive and prognostic role of coagulation products as biomarkers of liver decompensation (ascites, variceal hemorrhage, and hepatic encephalopathy) and liver-related mortality. Finally, we evaluate the current evidence on the application of antiplatelet and anticoagulant therapies for prophylaxis of hepatic decompensation or prevention of the progression of liver fibrosis.","container-title":"Cells","DOI":"10.3390/cells12131712","ISSN":"2073-4409","issue":"13","journalAbbreviation":"Cells","page":"1712","PMID":"37443746","PMCID":"PMC10341358","source":"PubMed Central","title":"Microvascular Thrombosis and Liver Fibrosis Progression: Mechanisms and Clinical Applications","title-short":"Microvascular Thrombosis and Liver Fibrosis Progression","volume":"12","author":[{"family":"Airola","given":"Carlo"},{"family":"Pallozzi","given":"Maria"},{"family":"Cerrito","given":"Lucia"},{"family":"Santopaolo","given":"Francesco"},{"family":"Stella","given":"Leonardo"},{"family":"Gasbarrini","given":"Antonio"},{"family":"Ponziani","given":"Francesca Romana"}],"issued":{"date-parts":[["2023",6,24]]}}}],"schema":"https://github.com/citation-style-language/schema/raw/master/csl-citation.json"} </w:instrText>
      </w:r>
      <w:r w:rsidR="00D7172F">
        <w:fldChar w:fldCharType="separate"/>
      </w:r>
      <w:r w:rsidR="00D7172F" w:rsidRPr="00D7172F">
        <w:rPr>
          <w:rFonts w:ascii="Calibri" w:hAnsi="Calibri" w:cs="Calibri"/>
        </w:rPr>
        <w:t>(Airola et al., 2023)</w:t>
      </w:r>
      <w:r w:rsidR="00D7172F">
        <w:fldChar w:fldCharType="end"/>
      </w:r>
      <w:r>
        <w:t>. The triad of coagulation, inflammation, and endothelial dysfunction leads to a vicious circle of progressive microvascular damage over the years</w:t>
      </w:r>
      <w:r w:rsidR="00F77328">
        <w:t xml:space="preserve"> </w:t>
      </w:r>
      <w:r w:rsidR="00D7172F">
        <w:fldChar w:fldCharType="begin"/>
      </w:r>
      <w:r w:rsidR="00D7172F">
        <w:instrText xml:space="preserve"> ADDIN ZOTERO_ITEM CSL_CITATION {"citationID":"c9ZGi4B2","properties":{"unsorted":false,"formattedCitation":"(Abrashev et al., 2025)","plainCitation":"(Abrashev et al., 2025)","noteIndex":0},"citationItems":[{"id":2377,"uris":["http://zotero.org/users/19602067/items/WDBJAXQT"],"itemData":{"id":2377,"type":"article-journal","abstract":"Chronic venous disease (CVD) is among the most common diseases in industrialized countries and has a significant socioeconomic impact. The diversity of clinical symptoms and manifestations of CVD pose major challenges in routine diagnosis and treatment. Despite the high prevalence and the huge number of venous surgical interventions performed every day, a substantial proportion of the etiopathogenesis remains unclear. There are several widely advocated and generally valid theories of “peri-capillary fibrin cuffs” and “white cell trapping hypothesis”, which consider the role of venous reflux/obstruction, inflammation, vascular remodeling, hemodynamic changes, genetic and social risk factors. There are several specific provoking factors for the development of venous reflux: incompetence of the valve system, inflammation of the vascular wall, and venous hypertension. Over the past few years, increasing scientific data has demonstrated the link between oxidative stress, endothelial dysfunction, and vascular inflammation. High levels of oxidants and persistent inflammation can cause cumulative changes in hemodynamics, resulting in permanent and irreversible damage to the microcirculation and endothelial cells. Production of reactive oxygen species and expression of inflammatory cytokines and adhesion molecules are involved in a vicious cycle of venous wall remodeling. The interaction of ROS, and in particular, the superoxide anion radical, with nitric oxide leads to a decrease in NO bioavailability, followed by the initiation of prolonged vasoconstriction and hypoxia and impairment of vascular tone. This review addresses the role of ED, oxidative, and hemodynamic stress in the CVD mediation. Based on predefined inclusion and exclusion criteria, we conducted a systematic review of published scientific articles using PubMed, PMC Europe, Scopus, WoS, MEDLINE, and Google Scholar databases in the interval from 24 April 2002 to 1 April 2025. The current review included studies (n = 197) scientific articles, including new reviews, updates, and grey literature, which were evaluated according to eligibility criteria. The selection process was performed using a standardized form according to PRISMA rules, the manual search of the databases, and a double-check to ensure transparent and complete reporting of reviews. Studies had to report quantitative assessments of the relationship between vascular endothelial dysfunction, inflammation, oxidative stress, and shear stress in a chronic venous disease.","container-title":"International Journal of Molecular Sciences","DOI":"10.3390/ijms26083660","ISSN":"1422-0067","issue":"8","language":"en","license":"http://creativecommons.org/licenses/by/3.0/","page":"3660","publisher":"Multidisciplinary Digital Publishing Institute","source":"www.mdpi.com","title":"A Systematic Review of Endothelial Dysfunction in Chronic Venous Disease—Inflammation, Oxidative Stress, and Shear Stress","volume":"26","author":[{"family":"Abrashev","given":"Hristo"},{"family":"Abrasheva","given":"Despina"},{"family":"Nikolov","given":"Nadelin"},{"family":"Ananiev","given":"Julian"},{"family":"Georgieva","given":"Ekaterina"}],"issued":{"date-parts":[["2025",1]]}}}],"schema":"https://github.com/citation-style-language/schema/raw/master/csl-citation.json"} </w:instrText>
      </w:r>
      <w:r w:rsidR="00D7172F">
        <w:fldChar w:fldCharType="separate"/>
      </w:r>
      <w:r w:rsidR="00D7172F" w:rsidRPr="00D7172F">
        <w:rPr>
          <w:rFonts w:ascii="Calibri" w:hAnsi="Calibri" w:cs="Calibri"/>
        </w:rPr>
        <w:t>(Abrashev et al., 2025)</w:t>
      </w:r>
      <w:r w:rsidR="00D7172F">
        <w:fldChar w:fldCharType="end"/>
      </w:r>
      <w:r>
        <w:t>.</w:t>
      </w:r>
    </w:p>
    <w:p w14:paraId="329BFCFD" w14:textId="77777777" w:rsidR="00F609B1" w:rsidRDefault="00F609B1" w:rsidP="00F609B1">
      <w:pPr>
        <w:rPr>
          <w:b/>
          <w:bCs/>
        </w:rPr>
      </w:pPr>
      <w:r w:rsidRPr="00F609B1">
        <w:rPr>
          <w:b/>
          <w:bCs/>
        </w:rPr>
        <w:t>Conceptual Model of Silent Injury Progression</w:t>
      </w:r>
    </w:p>
    <w:p w14:paraId="5C1BC9CF" w14:textId="11DBE774" w:rsidR="007C5806" w:rsidRPr="007C5806" w:rsidRDefault="007C5806" w:rsidP="007C5806">
      <w:r w:rsidRPr="007C5806">
        <w:t xml:space="preserve">Together these linked processes form a framework for the evolution of sickle cell disease. Continual low-level tissue damage results from a combination of persistent hemolysis, </w:t>
      </w:r>
      <w:r w:rsidRPr="007C5806">
        <w:lastRenderedPageBreak/>
        <w:t>microvascular occlusion, oxidative stress, inflammation, and hypercoagulability. Over time, the damage builds up and causes the organs to slowly start malfunctioning without causing any symptoms clinically</w:t>
      </w:r>
      <w:r w:rsidR="00F77328">
        <w:t xml:space="preserve"> </w:t>
      </w:r>
      <w:r w:rsidR="00BD6D6D">
        <w:fldChar w:fldCharType="begin"/>
      </w:r>
      <w:r w:rsidR="00BD6D6D">
        <w:instrText xml:space="preserve"> ADDIN ZOTERO_ITEM CSL_CITATION {"citationID":"WFtfe4pN","properties":{"unsorted":false,"formattedCitation":"(Silva &amp; Faustino, 2023)","plainCitation":"(Silva &amp; Faustino, 2023)","noteIndex":0},"citationItems":[{"id":2379,"uris":["http://zotero.org/users/19602067/items/WLWD5BUN"],"itemData":{"id":2379,"type":"article-journal","abstract":"Sickle cell anemia (SCA) is a genetic disease caused by the homozygosity of the HBB:c.20A&gt;T mutation, which results in the production of hemoglobin S (HbS). In hypoxic conditions, HbS suffers autoxidation and polymerizes inside red blood cells, altering their morphology into a sickle shape, with increased rigidity and fragility. This triggers complex pathophysiological mechanisms, including inflammation, cell adhesion, oxidative stress, and vaso-occlusion, along with metabolic alterations and endocrine complications. SCA is phenotypically heterogeneous due to the modulation of both environmental and genetic factors. Pediatric cerebrovascular disease (CVD), namely ischemic stroke and silent cerebral infarctions, is one of the most impactful manifestations. In this review, we highlight the role of oxidative stress in the pathophysiology of pediatric CVD. Since oxidative stress is an interdependent mechanism in vasculopathy, occurring alongside (or as result of) endothelial dysfunction, cell adhesion, inflammation, chronic hemolysis, ischemia-reperfusion injury, and vaso-occlusion, a brief overview of the main mechanisms involved is included. Moreover, the genetic modulation of CVD in SCA is discussed. The knowledge of the intricate network of altered mechanisms in SCA, and how it is affected by different genetic factors, is fundamental for the identification of potential therapeutic targets, drug development, and patient-specific treatment alternatives.","container-title":"Antioxidants","DOI":"10.3390/antiox12111977","ISSN":"2076-3921","issue":"11","language":"en","license":"http://creativecommons.org/licenses/by/3.0/","page":"1977","publisher":"Multidisciplinary Digital Publishing Institute","source":"www.mdpi.com","title":"From Stress to Sick(le) and Back Again–Oxidative/Antioxidant Mechanisms, Genetic Modulation, and Cerebrovascular Disease in Children with Sickle Cell Anemia","volume":"12","author":[{"family":"Silva","given":"Marisa"},{"family":"Faustino","given":"Paula"}],"issued":{"date-parts":[["2023",11]]}}}],"schema":"https://github.com/citation-style-language/schema/raw/master/csl-citation.json"} </w:instrText>
      </w:r>
      <w:r w:rsidR="00BD6D6D">
        <w:fldChar w:fldCharType="separate"/>
      </w:r>
      <w:r w:rsidR="00BD6D6D" w:rsidRPr="00BD6D6D">
        <w:rPr>
          <w:rFonts w:ascii="Calibri" w:hAnsi="Calibri" w:cs="Calibri"/>
        </w:rPr>
        <w:t>(Silva &amp; Faustino, 2023)</w:t>
      </w:r>
      <w:r w:rsidR="00BD6D6D">
        <w:fldChar w:fldCharType="end"/>
      </w:r>
      <w:r w:rsidRPr="007C5806">
        <w:t>. As the injury gets worse, the organ function deteriorates until the patient experiences symptoms at a stage when treatment is generally less effective. This leads the whole situation eventually to organ failure and death</w:t>
      </w:r>
      <w:r w:rsidR="00F77328">
        <w:t xml:space="preserve"> </w:t>
      </w:r>
      <w:r w:rsidR="00BD6D6D">
        <w:fldChar w:fldCharType="begin"/>
      </w:r>
      <w:r w:rsidR="00BD6D6D">
        <w:instrText xml:space="preserve"> ADDIN ZOTERO_ITEM CSL_CITATION {"citationID":"Ct0TCXOO","properties":{"unsorted":false,"formattedCitation":"(Yao et al., 2024)","plainCitation":"(Yao et al., 2024)","noteIndex":0},"citationItems":[{"id":2381,"uris":["http://zotero.org/users/19602067/items/GSLZ7MBZ"],"itemData":{"id":2381,"type":"article-journal","abstract":"Cardiac arrest and successful resuscitation cause whole-body ischemia and reperfusion, leading to brain injury and extracerebral multiple organ dysfunction. Brain injury is the leading cause of death and long-term disability in resuscitated survivors, and was conceptualized and treated as an isolated injury, which has neglected the brain-visceral organ crosstalk. Extracerebral organ dysfunction is common and is significantly associated with mortality and poor neurological prognosis after resuscitation. However, detailed description of the characteristics of post-resuscitation multiple organ dysfunction is lacking, and the bidirectional interactions between brain and visceral organs need to be elucidated to explore new treatment for neuroprotection. This review aims to describe current concepts of post-cardiac arrest brain injury and specific characteristics of post-resuscitation dysfunction in cardiovascular, respiratory, renal, hepatic, adrenal, gastrointestinal, and neurohumoral systems. Additionally, we discuss the crosstalk between brain and extracerebral organs, especially focusing on how visceral organ dysfunction and other factors affect brain injury progression. We think that clarifying these interactions is of profound significance on how we treat patients for neural/systemic protection to improve outcome.","container-title":"Resuscitation Plus","DOI":"10.1016/j.resplu.2024.100719","ISSN":"2666-5204","journalAbbreviation":"Resuscitation Plus","page":"100719","source":"ScienceDirect","title":"Extracerebral multiple organ dysfunction and interactions with brain injury after cardiac arrest","volume":"19","author":[{"family":"Yao","given":"Zhun"},{"family":"Zhao","given":"Yuanrui"},{"family":"Lu","given":"Liping"},{"family":"Li","given":"Yinping"},{"family":"Yu","given":"Zhui"}],"issued":{"date-parts":[["2024",9,1]]}}}],"schema":"https://github.com/citation-style-language/schema/raw/master/csl-citation.json"} </w:instrText>
      </w:r>
      <w:r w:rsidR="00BD6D6D">
        <w:fldChar w:fldCharType="separate"/>
      </w:r>
      <w:r w:rsidR="00BD6D6D" w:rsidRPr="00BD6D6D">
        <w:rPr>
          <w:rFonts w:ascii="Calibri" w:hAnsi="Calibri" w:cs="Calibri"/>
        </w:rPr>
        <w:t>(Yao et al., 2024)</w:t>
      </w:r>
      <w:r w:rsidR="00BD6D6D">
        <w:fldChar w:fldCharType="end"/>
      </w:r>
      <w:r w:rsidRPr="007C5806">
        <w:t>.</w:t>
      </w:r>
    </w:p>
    <w:p w14:paraId="4D4A66D8" w14:textId="695866FF" w:rsidR="007C5806" w:rsidRPr="00F609B1" w:rsidRDefault="007C5806" w:rsidP="007C5806">
      <w:r w:rsidRPr="007C5806">
        <w:t xml:space="preserve">The model shows that the root cause of death in sickle cell disease is not isolated to sudden crises but is actually due to ongoing, unnoticeable changes that continue throughout the </w:t>
      </w:r>
      <w:r w:rsidRPr="00291A3B">
        <w:t>illness</w:t>
      </w:r>
      <w:r w:rsidR="00426C1C">
        <w:t xml:space="preserve"> </w:t>
      </w:r>
      <w:r w:rsidR="00FC797D">
        <w:fldChar w:fldCharType="begin"/>
      </w:r>
      <w:r w:rsidR="00FC797D">
        <w:instrText xml:space="preserve"> ADDIN ZOTERO_ITEM CSL_CITATION {"citationID":"TG3mtNA6","properties":{"unsorted":false,"formattedCitation":"(Tebbi, 2022b)","plainCitation":"(Tebbi, 2022b)","noteIndex":0},"citationItems":[{"id":2383,"uris":["http://zotero.org/users/19602067/items/6VSMVDM8"],"itemData":{"id":2383,"type":"article-journal","abstract":"Sickle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encouraging.","container-title":"Hemato","DOI":"10.3390/hemato3020024","ISSN":"2673-6357","issue":"2","language":"en","license":"http://creativecommons.org/licenses/by/3.0/","page":"341-366","publisher":"Multidisciplinary Digital Publishing Institute","source":"www.mdpi.com","title":"Sickle Cell Disease, a Review","volume":"3","author":[{"family":"Tebbi","given":"Cameron K."}],"issued":{"date-parts":[["2022",6]]}}}],"schema":"https://github.com/citation-style-language/schema/raw/master/csl-citation.json"} </w:instrText>
      </w:r>
      <w:r w:rsidR="00FC797D">
        <w:fldChar w:fldCharType="separate"/>
      </w:r>
      <w:r w:rsidR="00FC797D" w:rsidRPr="00FC797D">
        <w:rPr>
          <w:rFonts w:ascii="Calibri" w:hAnsi="Calibri" w:cs="Calibri"/>
        </w:rPr>
        <w:t>(Tebbi, 2022)</w:t>
      </w:r>
      <w:r w:rsidR="00FC797D">
        <w:fldChar w:fldCharType="end"/>
      </w:r>
      <w:r w:rsidRPr="007C5806">
        <w:t>. The change from microscopic and blood vessel changes to symptoms in Sickle Cell Disease can be thought of as a gradual, unrecognized damage to the body, which is shown in Figure 1.</w:t>
      </w:r>
    </w:p>
    <w:p w14:paraId="22056511" w14:textId="406C819D" w:rsidR="00F609B1" w:rsidRPr="00F609B1" w:rsidRDefault="00F609B1" w:rsidP="00F609B1">
      <w:r>
        <w:rPr>
          <w:noProof/>
        </w:rPr>
        <w:lastRenderedPageBreak/>
        <w:drawing>
          <wp:inline distT="0" distB="0" distL="0" distR="0" wp14:anchorId="1DB54D50" wp14:editId="2A16FABF">
            <wp:extent cx="5486400" cy="8229600"/>
            <wp:effectExtent l="0" t="0" r="0" b="0"/>
            <wp:docPr id="130878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6388" name="Picture 1308786388"/>
                    <pic:cNvPicPr/>
                  </pic:nvPicPr>
                  <pic:blipFill>
                    <a:blip r:embed="rId11">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0D5942AC" w14:textId="6CB3F3D1" w:rsidR="00F609B1" w:rsidRPr="00222AC0" w:rsidRDefault="00F609B1" w:rsidP="00F609B1">
      <w:pPr>
        <w:rPr>
          <w:b/>
          <w:bCs/>
        </w:rPr>
      </w:pPr>
      <w:r w:rsidRPr="00F609B1">
        <w:rPr>
          <w:b/>
          <w:bCs/>
        </w:rPr>
        <w:lastRenderedPageBreak/>
        <w:t>Figure 1. Silent Multiorgan Injury Cascade in Sickle Cell Disease</w:t>
      </w:r>
      <w:r w:rsidR="00222AC0" w:rsidRPr="00222AC0">
        <w:rPr>
          <w:b/>
          <w:bCs/>
        </w:rPr>
        <w:t xml:space="preserve">. </w:t>
      </w:r>
      <w:r w:rsidR="00E238E9" w:rsidRPr="00222AC0">
        <w:rPr>
          <w:b/>
          <w:bCs/>
        </w:rPr>
        <w:t>Endothelial dysfunction and long-term microvascular damage are brought on by persistent haemolysis and repeated vaso-occlusion. When there are no early indications, these processes cause progressive, subclinical harm to several organ systems. Organ dysfunction eventually manifests later in the course of the illness, frequently after damage has already progressed and is less treatable, ultimately leading to premature mortality.</w:t>
      </w:r>
    </w:p>
    <w:p w14:paraId="449102CE" w14:textId="77777777" w:rsidR="00F609B1" w:rsidRPr="001C7233" w:rsidRDefault="00F609B1" w:rsidP="00F609B1">
      <w:pPr>
        <w:rPr>
          <w:i/>
          <w:iCs/>
        </w:rPr>
      </w:pPr>
      <w:r w:rsidRPr="001C7233">
        <w:rPr>
          <w:i/>
          <w:iCs/>
        </w:rPr>
        <w:t>Source : Created by the author</w:t>
      </w:r>
    </w:p>
    <w:p w14:paraId="2B5A1389" w14:textId="77777777" w:rsidR="00F609B1" w:rsidRPr="000F7EE6" w:rsidRDefault="00F609B1" w:rsidP="000F7EE6"/>
    <w:p w14:paraId="0AB96546" w14:textId="77777777" w:rsidR="000F7EE6" w:rsidRPr="000F7EE6" w:rsidRDefault="000F7EE6" w:rsidP="000F7EE6">
      <w:pPr>
        <w:rPr>
          <w:b/>
          <w:bCs/>
        </w:rPr>
      </w:pPr>
      <w:r w:rsidRPr="000F7EE6">
        <w:rPr>
          <w:b/>
          <w:bCs/>
        </w:rPr>
        <w:t>3. Organ-Specific Silent Injury</w:t>
      </w:r>
    </w:p>
    <w:p w14:paraId="4ECBF24A" w14:textId="3C4AFE85" w:rsidR="000F7EE6" w:rsidRPr="000F7EE6" w:rsidRDefault="001302E6" w:rsidP="000F7EE6">
      <w:r w:rsidRPr="001302E6">
        <w:t>The systemic nature of sickle cell disease is best demonstrated by its ability to cause ongoing damage to multiple organ systems even without any clear clinical signs. Chronic issues at the level of the microvessels, lack of oxygen, and inflammation are largely responsible for this covert accumulation of disease burden, although the sudden consequences are normally given clinical attention</w:t>
      </w:r>
      <w:r w:rsidR="000739DA">
        <w:fldChar w:fldCharType="begin"/>
      </w:r>
      <w:r w:rsidR="000739DA">
        <w:instrText xml:space="preserve"> ADDIN ZOTERO_ITEM CSL_CITATION {"citationID":"N2ketfKt","properties":{"unsorted":false,"formattedCitation":"(Elendu et al., 2023)","plainCitation":"(Elendu et al., 2023)","noteIndex":0},"citationItems":[{"id":2385,"uris":["http://zotero.org/users/19602067/items/GGRJ9SAL"],"itemData":{"id":2385,"type":"article-journal","abstract":"Sickle cell disease (SCD) is a hereditary blood disorder characterized by the production of abnormal hemoglobin molecules that cause red blood cells to take on a crescent or sickle shape. This condition affects millions of people worldwide, particularly those of African, Mediterranean, Middle Eastern, and South Asian descent. This paper aims to provide an overview of SCD by exploring its causes, symptoms, and available treatment options., The primary cause of SCD is a mutation in the gene responsible for producing hemoglobin, the protein that carries oxygen in red blood cells. This mutation has abnormal hemoglobin called hemoglobin S, which causes red blood cells to become stiff and sticky, leading to various health complications. Patients with SCD may experience recurrent pain, fatigue, anemia, and increased infection susceptibility., Treatment options for SCD focus on managing symptoms and preventing complications. This includes pain management with analgesics, hydration, and blood transfusions to improve oxygen delivery. Hydroxyurea, a medication that increases the production of fetal hemoglobin, is commonly used to reduce the frequency and severity of pain crises. Additionally, bone marrow or stem cell transplants can cure select individuals with severe SCD., Finally, understanding the causes, symptoms, and treatment options for SCD is crucial for healthcare professionals, patients, and their families. It enables early diagnosis, effective symptom management, and improved quality of life for individuals with this chronic condition.","container-title":"Medicine","DOI":"10.1097/MD.0000000000035237","ISSN":"0025-7974","issue":"38","journalAbbreviation":"Medicine (Baltimore)","page":"e35237","PMID":"37746969","PMCID":"PMC10519513","source":"PubMed Central","title":"Understanding Sickle cell disease: Causes, symptoms, and treatment options","title-short":"Understanding Sickle cell disease","volume":"102","author":[{"family":"Elendu","given":"Chukwuka"},{"family":"Amaechi","given":"Dependable C."},{"family":"Alakwe-Ojimba","given":"Chisom E."},{"family":"Elendu","given":"Tochi C."},{"family":"Elendu","given":"Rhoda C."},{"family":"Ayabazu","given":"Chiagozie P."},{"family":"Aina","given":"Titilayo O."},{"family":"Aborisade","given":"Ooreofe"},{"family":"Adenikinju","given":"Joseph S."}],"issued":{"date-parts":[["2023",9,22]]}}}],"schema":"https://github.com/citation-style-language/schema/raw/master/csl-citation.json"} </w:instrText>
      </w:r>
      <w:r w:rsidR="000739DA">
        <w:fldChar w:fldCharType="separate"/>
      </w:r>
      <w:r w:rsidR="000739DA" w:rsidRPr="000739DA">
        <w:rPr>
          <w:rFonts w:ascii="Calibri" w:hAnsi="Calibri" w:cs="Calibri"/>
        </w:rPr>
        <w:t>(Elendu et al., 2023)</w:t>
      </w:r>
      <w:r w:rsidR="000739DA">
        <w:fldChar w:fldCharType="end"/>
      </w:r>
      <w:r w:rsidRPr="001302E6">
        <w:t>. This section looks at the major organ systems that are most affected by subclinical damage and pays special attention to the early pathological changes, surrogate markers, and long-term consequences</w:t>
      </w:r>
      <w:r w:rsidR="00F77328">
        <w:t xml:space="preserve"> </w:t>
      </w:r>
      <w:r w:rsidR="00BE17B8">
        <w:fldChar w:fldCharType="begin"/>
      </w:r>
      <w:r w:rsidR="00BE17B8">
        <w:instrText xml:space="preserve"> ADDIN ZOTERO_ITEM CSL_CITATION {"citationID":"wgvKq0kD","properties":{"unsorted":false,"formattedCitation":"(Torres et al., 2022)","plainCitation":"(Torres et al., 2022)","noteIndex":0},"citationItems":[{"id":2390,"uris":["http://zotero.org/users/19602067/items/UNG6SXVK"],"itemData":{"id":2390,"type":"article-journal","abstract":"In this retrospective, we review the two research topics that formed the basis of the outstanding career of Dr. Paul S. Frenette. In the first part, we focus on sickle cell disease (SCD). The defining feature of SCD is polymerization of the deoxygenated mutant hemoglobin, which leads to a vicious cycle of hemolysis and vaso-occlusion. We survey important discoveries in SCD pathophysiology that have led to recent advances in treatment of SCD. The second part focuses on the hematopoietic stem cell (HSC) niche, the complex microenvironment within the bone marrow that controls HSC function and homeostasis. We detail the cells that constitute this niche, and the factors that these cells use to exert control over hematopoiesis. Here, we trace the scientific paths of Dr. Frenette, highlight key aspects of his research, and identify his most important scientific contributions in both fields.","container-title":"Stem Cell Reports","DOI":"10.1016/j.stemcr.2022.06.004","ISSN":"2213-6711","issue":"7","journalAbbreviation":"Stem Cell Reports","page":"1509-1535","source":"ScienceDirect","title":"Recent advances in “sickle and niche” research - Tribute to Dr. Paul S Frenette -","volume":"17","author":[{"family":"Torres","given":"Lidiane S."},{"family":"Asada","given":"Noboru"},{"family":"Weiss","given":"Mitchell J."},{"family":"Trumpp","given":"Andreas"},{"family":"Suda","given":"Toshio"},{"family":"Scadden","given":"David T."},{"family":"Ito","given":"Keisuke"}],"issued":{"date-parts":[["2022",7,12]]}}}],"schema":"https://github.com/citation-style-language/schema/raw/master/csl-citation.json"} </w:instrText>
      </w:r>
      <w:r w:rsidR="00BE17B8">
        <w:fldChar w:fldCharType="separate"/>
      </w:r>
      <w:r w:rsidR="00BE17B8" w:rsidRPr="00BE17B8">
        <w:rPr>
          <w:rFonts w:ascii="Calibri" w:hAnsi="Calibri" w:cs="Calibri"/>
        </w:rPr>
        <w:t>(Torres et al., 2022)</w:t>
      </w:r>
      <w:r w:rsidR="00BE17B8">
        <w:fldChar w:fldCharType="end"/>
      </w:r>
      <w:r w:rsidR="00AF4947">
        <w:t>.</w:t>
      </w:r>
    </w:p>
    <w:p w14:paraId="09DD69F3" w14:textId="77777777" w:rsidR="000F7EE6" w:rsidRDefault="000F7EE6" w:rsidP="000F7EE6">
      <w:pPr>
        <w:rPr>
          <w:b/>
          <w:bCs/>
        </w:rPr>
      </w:pPr>
      <w:r w:rsidRPr="000F7EE6">
        <w:rPr>
          <w:b/>
          <w:bCs/>
        </w:rPr>
        <w:t>3.1 Brain: Silent Cerebral Infarcts</w:t>
      </w:r>
    </w:p>
    <w:p w14:paraId="5CB80EC3" w14:textId="085B19FE" w:rsidR="00AF4947" w:rsidRPr="000F7EE6" w:rsidRDefault="001302E6" w:rsidP="000F7EE6">
      <w:r w:rsidRPr="001302E6">
        <w:t>Neurological complications are probably the most obvious indication that sickle cell disease can lead to hidden damages. Indeed, silent cerebral infarcts have been shown to be quite common, particularly in the case of children</w:t>
      </w:r>
      <w:r w:rsidR="00F77328">
        <w:t xml:space="preserve"> </w:t>
      </w:r>
      <w:r w:rsidR="00692E7F">
        <w:fldChar w:fldCharType="begin"/>
      </w:r>
      <w:r w:rsidR="00692E7F">
        <w:instrText xml:space="preserve"> ADDIN ZOTERO_ITEM CSL_CITATION {"citationID":"Pn6nhbIf","properties":{"unsorted":false,"formattedCitation":"(Houwing et al., 2020)","plainCitation":"(Houwing et al., 2020)","noteIndex":0},"citationItems":[{"id":2396,"uris":["http://zotero.org/users/19602067/items/ITK5S6KH"],"itemData":{"id":2396,"type":"article-journal","abstract":"Background and purpose\nSilent cerebral infarcts (SCIs) are the most common neurological complication in children and adults with sickle cell disease (SCD). In this systematic review, we provide an overview of studies that have detected SCIs in patients with SCD by cerebral magnetic resonance imaging (MRI). We focus on the frequency of SCIs, the risk factors involved in their development and their clinical consequences.\n\nMethods\nThe databases of Embase, MEDLINE ALL via Ovid, Web of Science Core Collection, Cochrane Central Register of Trials via Wiley and Google Scholar were searched from inception to June 1, 2019.\n\nResults\nThe search yielded 651 results of which 69 studies met the eligibility criteria. The prevalence of SCIs in patients with SCD ranges from 5.6 to 80.6% with most studies reported in the 20 to 50% range. The pooled prevalence of SCIs in HbSS and HbSβ0 SCD patients is 29.5%. SCIs occur more often in patients with the HbSS and HbSβ0 genotype in comparison with other SCD genotypes, as SCIs are found in 9.2% of HbSC and HbSβ+ patients. Control subjects showed a mean pooled prevalence of SCIs of 9.8%. Data from included studies showed a statistically significant association between increasing mean age of the study population and mean SCI prevalence. Thirty-three studies examined the risk factors for SCIs. The majority of the risk factors show no clear association with prevalence, since more or less equal numbers of studies give evidence for and against the causal association.\n\nConclusions\nThis systematic review and meta-analysis shows SCIs are common in patients with SCD. No clear risk factors for their development were identified. Larger, prospective and controlled clinical, neuropsychological and neuroimaging studies are needed to understand how SCD and SCIs affect cognition.\n\nSupplementary Information\nThe online version contains supplementary material available at 10.1186/s12916-020-01864-8.","container-title":"BMC Medicine","DOI":"10.1186/s12916-020-01864-8","ISSN":"1741-7015","journalAbbreviation":"BMC Med","page":"393","PMID":"33349253","PMCID":"PMC7754589","source":"PubMed Central","title":"Silent cerebral infarcts in patients with sickle cell disease: a systematic review and meta-analysis","title-short":"Silent cerebral infarcts in patients with sickle cell disease","volume":"18","author":[{"family":"Houwing","given":"Maite E."},{"family":"Grohssteiner","given":"Rowena L."},{"family":"Dremmen","given":"Marjolein H. G."},{"family":"Atiq","given":"Ferdows"},{"family":"Bramer","given":"Wichor M."},{"family":"Pagter","given":"Anne P. J.","non-dropping-particle":"de"},{"family":"Zwaan","given":"C. Michel"},{"family":"White","given":"Tonya J. H."},{"family":"Vernooij","given":"Meike W."},{"family":"Cnossen","given":"Marjon H."}],"issued":{"date-parts":[["2020",12,22]]}}}],"schema":"https://github.com/citation-style-language/schema/raw/master/csl-citation.json"} </w:instrText>
      </w:r>
      <w:r w:rsidR="00692E7F">
        <w:fldChar w:fldCharType="separate"/>
      </w:r>
      <w:r w:rsidR="00692E7F" w:rsidRPr="00692E7F">
        <w:rPr>
          <w:rFonts w:ascii="Calibri" w:hAnsi="Calibri" w:cs="Calibri"/>
        </w:rPr>
        <w:t>(Houwing et al., 2020)</w:t>
      </w:r>
      <w:r w:rsidR="00692E7F">
        <w:fldChar w:fldCharType="end"/>
      </w:r>
      <w:r w:rsidRPr="001302E6">
        <w:t>. It was, in fact, through brain scans that the majority of children with such silent cerebral infarcts were discovered. These infarcts usually present themselves as local spots of brain ischemia on magnetic resonance imaging and are typically found in the brain's watershed regions</w:t>
      </w:r>
      <w:r w:rsidR="00F77328">
        <w:t xml:space="preserve"> </w:t>
      </w:r>
      <w:r w:rsidR="00692E7F">
        <w:fldChar w:fldCharType="begin"/>
      </w:r>
      <w:r w:rsidR="00692E7F">
        <w:instrText xml:space="preserve"> ADDIN ZOTERO_ITEM CSL_CITATION {"citationID":"A4QvoFtz","properties":{"unsorted":false,"formattedCitation":"(Zedde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692E7F">
        <w:fldChar w:fldCharType="separate"/>
      </w:r>
      <w:r w:rsidR="00692E7F" w:rsidRPr="00692E7F">
        <w:rPr>
          <w:rFonts w:ascii="Calibri" w:hAnsi="Calibri" w:cs="Calibri"/>
        </w:rPr>
        <w:t>(Zedde et al., 2024)</w:t>
      </w:r>
      <w:r w:rsidR="00692E7F">
        <w:fldChar w:fldCharType="end"/>
      </w:r>
      <w:r w:rsidRPr="001302E6">
        <w:t>.</w:t>
      </w:r>
      <w:r>
        <w:t xml:space="preserve"> </w:t>
      </w:r>
      <w:r w:rsidRPr="001302E6">
        <w:t>To comprehend fully the multisystem nature of subclinical damage in sickle cell disease, the principal physiological abnormalities, early detection markers, and resulting clinical outcomes are briefly outlined in Table 1.</w:t>
      </w:r>
    </w:p>
    <w:p w14:paraId="2F0F5F94" w14:textId="77777777" w:rsidR="000F7EE6" w:rsidRPr="000F7EE6" w:rsidRDefault="000F7EE6" w:rsidP="000F7EE6">
      <w:pPr>
        <w:rPr>
          <w:b/>
          <w:bCs/>
        </w:rPr>
      </w:pPr>
      <w:r w:rsidRPr="000F7EE6">
        <w:rPr>
          <w:b/>
          <w:bCs/>
        </w:rPr>
        <w:t>Table 1. Subclinical Organ Injury in Sickle Cell Disease: Mechanisms, Early Markers, and Clinical Outcomes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16"/>
        <w:gridCol w:w="2744"/>
        <w:gridCol w:w="3312"/>
        <w:gridCol w:w="2088"/>
      </w:tblGrid>
      <w:tr w:rsidR="000F7EE6" w:rsidRPr="000F7EE6" w14:paraId="7B4D6DC0" w14:textId="77777777" w:rsidTr="00AD1AEE">
        <w:trPr>
          <w:tblHeader/>
          <w:tblCellSpacing w:w="15" w:type="dxa"/>
        </w:trPr>
        <w:tc>
          <w:tcPr>
            <w:tcW w:w="0" w:type="auto"/>
            <w:vAlign w:val="center"/>
            <w:hideMark/>
          </w:tcPr>
          <w:p w14:paraId="7BD274CC" w14:textId="77777777" w:rsidR="000F7EE6" w:rsidRPr="000F7EE6" w:rsidRDefault="000F7EE6" w:rsidP="000F7EE6">
            <w:pPr>
              <w:rPr>
                <w:b/>
                <w:bCs/>
              </w:rPr>
            </w:pPr>
            <w:r w:rsidRPr="000F7EE6">
              <w:rPr>
                <w:b/>
                <w:bCs/>
              </w:rPr>
              <w:t>Organ System</w:t>
            </w:r>
          </w:p>
        </w:tc>
        <w:tc>
          <w:tcPr>
            <w:tcW w:w="2714" w:type="dxa"/>
            <w:vAlign w:val="center"/>
            <w:hideMark/>
          </w:tcPr>
          <w:p w14:paraId="53D7B39D" w14:textId="77777777" w:rsidR="000F7EE6" w:rsidRPr="000F7EE6" w:rsidRDefault="000F7EE6" w:rsidP="000F7EE6">
            <w:pPr>
              <w:rPr>
                <w:b/>
                <w:bCs/>
              </w:rPr>
            </w:pPr>
            <w:r w:rsidRPr="000F7EE6">
              <w:rPr>
                <w:b/>
                <w:bCs/>
              </w:rPr>
              <w:t>Primary Mechanism</w:t>
            </w:r>
          </w:p>
        </w:tc>
        <w:tc>
          <w:tcPr>
            <w:tcW w:w="3282" w:type="dxa"/>
            <w:vAlign w:val="center"/>
            <w:hideMark/>
          </w:tcPr>
          <w:p w14:paraId="15127178" w14:textId="77777777" w:rsidR="000F7EE6" w:rsidRPr="000F7EE6" w:rsidRDefault="000F7EE6" w:rsidP="000F7EE6">
            <w:pPr>
              <w:rPr>
                <w:b/>
                <w:bCs/>
              </w:rPr>
            </w:pPr>
            <w:r w:rsidRPr="000F7EE6">
              <w:rPr>
                <w:b/>
                <w:bCs/>
              </w:rPr>
              <w:t>Early Marker</w:t>
            </w:r>
          </w:p>
        </w:tc>
        <w:tc>
          <w:tcPr>
            <w:tcW w:w="0" w:type="auto"/>
            <w:vAlign w:val="center"/>
            <w:hideMark/>
          </w:tcPr>
          <w:p w14:paraId="7F97BD7D" w14:textId="77777777" w:rsidR="000F7EE6" w:rsidRPr="000F7EE6" w:rsidRDefault="000F7EE6" w:rsidP="000F7EE6">
            <w:pPr>
              <w:rPr>
                <w:b/>
                <w:bCs/>
              </w:rPr>
            </w:pPr>
            <w:r w:rsidRPr="000F7EE6">
              <w:rPr>
                <w:b/>
                <w:bCs/>
              </w:rPr>
              <w:t>Clinical Outcome</w:t>
            </w:r>
          </w:p>
        </w:tc>
      </w:tr>
      <w:tr w:rsidR="000F7EE6" w:rsidRPr="000F7EE6" w14:paraId="24447096" w14:textId="77777777" w:rsidTr="00AD1AEE">
        <w:trPr>
          <w:tblCellSpacing w:w="15" w:type="dxa"/>
        </w:trPr>
        <w:tc>
          <w:tcPr>
            <w:tcW w:w="0" w:type="auto"/>
            <w:vAlign w:val="center"/>
            <w:hideMark/>
          </w:tcPr>
          <w:p w14:paraId="64785D01" w14:textId="77777777" w:rsidR="000F7EE6" w:rsidRPr="000F7EE6" w:rsidRDefault="000F7EE6" w:rsidP="000F7EE6">
            <w:r w:rsidRPr="000F7EE6">
              <w:t>Brain</w:t>
            </w:r>
          </w:p>
        </w:tc>
        <w:tc>
          <w:tcPr>
            <w:tcW w:w="2714" w:type="dxa"/>
            <w:vAlign w:val="center"/>
            <w:hideMark/>
          </w:tcPr>
          <w:p w14:paraId="7894CBBF" w14:textId="77777777" w:rsidR="000F7EE6" w:rsidRPr="000F7EE6" w:rsidRDefault="000F7EE6" w:rsidP="000F7EE6">
            <w:r w:rsidRPr="000F7EE6">
              <w:t>Microvascular occlusion</w:t>
            </w:r>
          </w:p>
        </w:tc>
        <w:tc>
          <w:tcPr>
            <w:tcW w:w="3282" w:type="dxa"/>
            <w:vAlign w:val="center"/>
            <w:hideMark/>
          </w:tcPr>
          <w:p w14:paraId="7F595D29" w14:textId="77777777" w:rsidR="000F7EE6" w:rsidRPr="000F7EE6" w:rsidRDefault="000F7EE6" w:rsidP="000F7EE6">
            <w:r w:rsidRPr="000F7EE6">
              <w:t>Silent cerebral infarcts (MRI)</w:t>
            </w:r>
          </w:p>
        </w:tc>
        <w:tc>
          <w:tcPr>
            <w:tcW w:w="0" w:type="auto"/>
            <w:vAlign w:val="center"/>
            <w:hideMark/>
          </w:tcPr>
          <w:p w14:paraId="2257FAFD" w14:textId="77777777" w:rsidR="000F7EE6" w:rsidRPr="000F7EE6" w:rsidRDefault="000F7EE6" w:rsidP="000F7EE6">
            <w:r w:rsidRPr="000F7EE6">
              <w:t>Cognitive decline</w:t>
            </w:r>
          </w:p>
        </w:tc>
      </w:tr>
      <w:tr w:rsidR="000F7EE6" w:rsidRPr="000F7EE6" w14:paraId="7F78600C" w14:textId="77777777" w:rsidTr="00AD1AEE">
        <w:trPr>
          <w:tblCellSpacing w:w="15" w:type="dxa"/>
        </w:trPr>
        <w:tc>
          <w:tcPr>
            <w:tcW w:w="0" w:type="auto"/>
            <w:vAlign w:val="center"/>
            <w:hideMark/>
          </w:tcPr>
          <w:p w14:paraId="709FF891" w14:textId="77777777" w:rsidR="000F7EE6" w:rsidRPr="000F7EE6" w:rsidRDefault="000F7EE6" w:rsidP="000F7EE6">
            <w:r w:rsidRPr="000F7EE6">
              <w:lastRenderedPageBreak/>
              <w:t>Kidney</w:t>
            </w:r>
          </w:p>
        </w:tc>
        <w:tc>
          <w:tcPr>
            <w:tcW w:w="2714" w:type="dxa"/>
            <w:vAlign w:val="center"/>
            <w:hideMark/>
          </w:tcPr>
          <w:p w14:paraId="440FB6DB" w14:textId="77777777" w:rsidR="000F7EE6" w:rsidRPr="000F7EE6" w:rsidRDefault="000F7EE6" w:rsidP="000F7EE6">
            <w:r w:rsidRPr="000F7EE6">
              <w:t>Glomerular hyperfiltration</w:t>
            </w:r>
          </w:p>
        </w:tc>
        <w:tc>
          <w:tcPr>
            <w:tcW w:w="3282" w:type="dxa"/>
            <w:vAlign w:val="center"/>
            <w:hideMark/>
          </w:tcPr>
          <w:p w14:paraId="29E6C3DB" w14:textId="77777777" w:rsidR="000F7EE6" w:rsidRPr="000F7EE6" w:rsidRDefault="000F7EE6" w:rsidP="000F7EE6">
            <w:r w:rsidRPr="000F7EE6">
              <w:t>Microalbuminuria</w:t>
            </w:r>
          </w:p>
        </w:tc>
        <w:tc>
          <w:tcPr>
            <w:tcW w:w="0" w:type="auto"/>
            <w:vAlign w:val="center"/>
            <w:hideMark/>
          </w:tcPr>
          <w:p w14:paraId="14F4694D" w14:textId="77777777" w:rsidR="000F7EE6" w:rsidRPr="000F7EE6" w:rsidRDefault="000F7EE6" w:rsidP="000F7EE6">
            <w:r w:rsidRPr="000F7EE6">
              <w:t>Chronic kidney disease</w:t>
            </w:r>
          </w:p>
        </w:tc>
      </w:tr>
      <w:tr w:rsidR="000F7EE6" w:rsidRPr="000F7EE6" w14:paraId="5F15D0F1" w14:textId="77777777" w:rsidTr="00AD1AEE">
        <w:trPr>
          <w:tblCellSpacing w:w="15" w:type="dxa"/>
        </w:trPr>
        <w:tc>
          <w:tcPr>
            <w:tcW w:w="0" w:type="auto"/>
            <w:vAlign w:val="center"/>
            <w:hideMark/>
          </w:tcPr>
          <w:p w14:paraId="4809AB96" w14:textId="77777777" w:rsidR="000F7EE6" w:rsidRPr="000F7EE6" w:rsidRDefault="000F7EE6" w:rsidP="000F7EE6">
            <w:r w:rsidRPr="000F7EE6">
              <w:t>Heart</w:t>
            </w:r>
          </w:p>
        </w:tc>
        <w:tc>
          <w:tcPr>
            <w:tcW w:w="2714" w:type="dxa"/>
            <w:vAlign w:val="center"/>
            <w:hideMark/>
          </w:tcPr>
          <w:p w14:paraId="360883D1" w14:textId="77777777" w:rsidR="000F7EE6" w:rsidRPr="000F7EE6" w:rsidRDefault="000F7EE6" w:rsidP="000F7EE6">
            <w:r w:rsidRPr="000F7EE6">
              <w:t>Chronic hypoxia, diastolic stress</w:t>
            </w:r>
          </w:p>
        </w:tc>
        <w:tc>
          <w:tcPr>
            <w:tcW w:w="3282" w:type="dxa"/>
            <w:vAlign w:val="center"/>
            <w:hideMark/>
          </w:tcPr>
          <w:p w14:paraId="7FB5B918" w14:textId="77777777" w:rsidR="000F7EE6" w:rsidRPr="000F7EE6" w:rsidRDefault="000F7EE6" w:rsidP="000F7EE6">
            <w:r w:rsidRPr="000F7EE6">
              <w:t>Diastolic dysfunction (Echocardiography)</w:t>
            </w:r>
          </w:p>
        </w:tc>
        <w:tc>
          <w:tcPr>
            <w:tcW w:w="0" w:type="auto"/>
            <w:vAlign w:val="center"/>
            <w:hideMark/>
          </w:tcPr>
          <w:p w14:paraId="798ADB8E" w14:textId="77777777" w:rsidR="000F7EE6" w:rsidRPr="000F7EE6" w:rsidRDefault="000F7EE6" w:rsidP="000F7EE6">
            <w:r w:rsidRPr="000F7EE6">
              <w:t>Heart failure</w:t>
            </w:r>
          </w:p>
        </w:tc>
      </w:tr>
      <w:tr w:rsidR="000F7EE6" w:rsidRPr="000F7EE6" w14:paraId="2D149AAE" w14:textId="77777777" w:rsidTr="00AD1AEE">
        <w:trPr>
          <w:tblCellSpacing w:w="15" w:type="dxa"/>
        </w:trPr>
        <w:tc>
          <w:tcPr>
            <w:tcW w:w="0" w:type="auto"/>
            <w:vAlign w:val="center"/>
            <w:hideMark/>
          </w:tcPr>
          <w:p w14:paraId="62FD9F37" w14:textId="77777777" w:rsidR="000F7EE6" w:rsidRPr="000F7EE6" w:rsidRDefault="000F7EE6" w:rsidP="000F7EE6">
            <w:r w:rsidRPr="000F7EE6">
              <w:t>Lung</w:t>
            </w:r>
          </w:p>
        </w:tc>
        <w:tc>
          <w:tcPr>
            <w:tcW w:w="2714" w:type="dxa"/>
            <w:vAlign w:val="center"/>
            <w:hideMark/>
          </w:tcPr>
          <w:p w14:paraId="36D1EFE0" w14:textId="77777777" w:rsidR="000F7EE6" w:rsidRPr="000F7EE6" w:rsidRDefault="000F7EE6" w:rsidP="000F7EE6">
            <w:r w:rsidRPr="000F7EE6">
              <w:t>Endothelial dysfunction</w:t>
            </w:r>
          </w:p>
        </w:tc>
        <w:tc>
          <w:tcPr>
            <w:tcW w:w="3282" w:type="dxa"/>
            <w:vAlign w:val="center"/>
            <w:hideMark/>
          </w:tcPr>
          <w:p w14:paraId="2EEC379F" w14:textId="77777777" w:rsidR="000F7EE6" w:rsidRPr="000F7EE6" w:rsidRDefault="000F7EE6" w:rsidP="000F7EE6">
            <w:r w:rsidRPr="000F7EE6">
              <w:t>Elevated tricuspid regurgitant velocity (TRV)</w:t>
            </w:r>
          </w:p>
        </w:tc>
        <w:tc>
          <w:tcPr>
            <w:tcW w:w="0" w:type="auto"/>
            <w:vAlign w:val="center"/>
            <w:hideMark/>
          </w:tcPr>
          <w:p w14:paraId="371EA109" w14:textId="77777777" w:rsidR="000F7EE6" w:rsidRPr="000F7EE6" w:rsidRDefault="000F7EE6" w:rsidP="000F7EE6">
            <w:r w:rsidRPr="000F7EE6">
              <w:t>Pulmonary hypertension</w:t>
            </w:r>
          </w:p>
        </w:tc>
      </w:tr>
    </w:tbl>
    <w:p w14:paraId="5CF460C3" w14:textId="400001B1" w:rsidR="000F7EE6" w:rsidRPr="000F7EE6" w:rsidRDefault="000F7EE6" w:rsidP="000F7EE6"/>
    <w:p w14:paraId="0830C7AF" w14:textId="7FF7D35B" w:rsidR="00D7662B" w:rsidRPr="00D7662B" w:rsidRDefault="00D7662B" w:rsidP="00D7662B">
      <w:r w:rsidRPr="00D7662B">
        <w:t>Functional changes precede structural damages in the renal system of sickle cell disease patients by quite a long time. One of the ways to detect such changes is through the of glomerular hyperfiltration, which is seen at the initial stages of the disease</w:t>
      </w:r>
      <w:r w:rsidR="00F77328">
        <w:t xml:space="preserve"> </w:t>
      </w:r>
      <w:r w:rsidR="00222AC0">
        <w:fldChar w:fldCharType="begin"/>
      </w:r>
      <w:r w:rsidR="00222AC0">
        <w:instrText xml:space="preserve"> ADDIN ZOTERO_ITEM CSL_CITATION {"citationID":"KHbK7bOu","properties":{"unsorted":false,"formattedCitation":"(Yao et al., 2024)","plainCitation":"(Yao et al., 2024)","noteIndex":0},"citationItems":[{"id":2381,"uris":["http://zotero.org/users/19602067/items/GSLZ7MBZ"],"itemData":{"id":2381,"type":"article-journal","abstract":"Cardiac arrest and successful resuscitation cause whole-body ischemia and reperfusion, leading to brain injury and extracerebral multiple organ dysfunction. Brain injury is the leading cause of death and long-term disability in resuscitated survivors, and was conceptualized and treated as an isolated injury, which has neglected the brain-visceral organ crosstalk. Extracerebral organ dysfunction is common and is significantly associated with mortality and poor neurological prognosis after resuscitation. However, detailed description of the characteristics of post-resuscitation multiple organ dysfunction is lacking, and the bidirectional interactions between brain and visceral organs need to be elucidated to explore new treatment for neuroprotection. This review aims to describe current concepts of post-cardiac arrest brain injury and specific characteristics of post-resuscitation dysfunction in cardiovascular, respiratory, renal, hepatic, adrenal, gastrointestinal, and neurohumoral systems. Additionally, we discuss the crosstalk between brain and extracerebral organs, especially focusing on how visceral organ dysfunction and other factors affect brain injury progression. We think that clarifying these interactions is of profound significance on how we treat patients for neural/systemic protection to improve outcome.","container-title":"Resuscitation Plus","DOI":"10.1016/j.resplu.2024.100719","ISSN":"2666-5204","journalAbbreviation":"Resuscitation Plus","page":"100719","source":"ScienceDirect","title":"Extracerebral multiple organ dysfunction and interactions with brain injury after cardiac arrest","volume":"19","author":[{"family":"Yao","given":"Zhun"},{"family":"Zhao","given":"Yuanrui"},{"family":"Lu","given":"Liping"},{"family":"Li","given":"Yinping"},{"family":"Yu","given":"Zhui"}],"issued":{"date-parts":[["2024",9,1]]}}}],"schema":"https://github.com/citation-style-language/schema/raw/master/csl-citation.json"} </w:instrText>
      </w:r>
      <w:r w:rsidR="00222AC0">
        <w:fldChar w:fldCharType="separate"/>
      </w:r>
      <w:r w:rsidR="00222AC0" w:rsidRPr="00222AC0">
        <w:rPr>
          <w:rFonts w:ascii="Calibri" w:hAnsi="Calibri" w:cs="Calibri"/>
        </w:rPr>
        <w:t>(Yao et al., 2024)</w:t>
      </w:r>
      <w:r w:rsidR="00222AC0">
        <w:fldChar w:fldCharType="end"/>
      </w:r>
      <w:r w:rsidRPr="00D7662B">
        <w:t>. It is a sign of the body's response to continuous anaemia and changes in renal haemodynamics. It is well known that this condition, at first, representsAdaptive mechanisms. However, the risk of glomerular damage can increase over time, resulting in a progressive one if the condition remains hyperfiltration</w:t>
      </w:r>
      <w:r w:rsidR="00F77328">
        <w:t xml:space="preserve"> </w:t>
      </w:r>
      <w:r w:rsidR="00222AC0">
        <w:fldChar w:fldCharType="begin"/>
      </w:r>
      <w:r w:rsidR="00222AC0">
        <w:instrText xml:space="preserve"> ADDIN ZOTERO_ITEM CSL_CITATION {"citationID":"qjJNOaG5","properties":{"unsorted":false,"formattedCitation":"(Adigwe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222AC0">
        <w:fldChar w:fldCharType="separate"/>
      </w:r>
      <w:r w:rsidR="00222AC0" w:rsidRPr="00222AC0">
        <w:rPr>
          <w:rFonts w:ascii="Calibri" w:hAnsi="Calibri" w:cs="Calibri"/>
        </w:rPr>
        <w:t>(Adigwe et al., 2023)</w:t>
      </w:r>
      <w:r w:rsidR="00222AC0">
        <w:fldChar w:fldCharType="end"/>
      </w:r>
      <w:r w:rsidRPr="00D7662B">
        <w:t>.</w:t>
      </w:r>
    </w:p>
    <w:p w14:paraId="4D4DEF0A" w14:textId="61743DE5" w:rsidR="00D7662B" w:rsidRPr="00D7662B" w:rsidRDefault="00D7662B" w:rsidP="00D7662B">
      <w:r w:rsidRPr="00D7662B">
        <w:t>Microalbuminuria appears to be the very first manifestation of the kidney involvement, which is also the predictor of the deterioration of renal function, if the present then. This stage of the disease is asymptomatic for many individuals with no evident symptoms of kidney disease. Prolonged hyperfiltration and ischemic injury lead to proteinuria, glomerulosclerosis, and finally chronic kidney disease</w:t>
      </w:r>
      <w:r w:rsidR="00F77328">
        <w:t xml:space="preserve"> </w:t>
      </w:r>
      <w:r w:rsidR="00EB093F">
        <w:fldChar w:fldCharType="begin"/>
      </w:r>
      <w:r w:rsidR="00EB093F">
        <w:instrText xml:space="preserve"> ADDIN ZOTERO_ITEM CSL_CITATION {"citationID":"nqFaOSlz","properties":{"unsorted":false,"formattedCitation":"(Romero-Gonz\\uc0\\u225{}lez et al., 2024)","plainCitation":"(Romero-González et al., 2024)","noteIndex":0},"citationItems":[{"id":2403,"uris":["http://zotero.org/users/19602067/items/4WNMU62J"],"itemData":{"id":2403,"type":"article-journal","abstract":"Kidneys have an amazing ability to adapt to adverse situations, both acute and chronic. In the presence of injury, the kidney is able to activate mechanisms such as autoregulation or glomerular hyperfiltration to maintain the glomerular filtration rate (GFR). While these adaptive mechanisms can occur in physiological situations such as pregnancy or high protein intake, they can also occur as an early manifestation of diseases such as diabetes mellitus or as an adaptive response to nephron loss. Although over-activation of these mechanisms can lead to intraglomerular hypertension and albuminuria, other associated mechanisms related to the activation of inflammasome pathways, including endothelial and tubular damage, and the hemodynamic effects of increased activity of the renin–angiotensin–aldosterone system, among others, are recognized pathways for the development of albuminuria. While the role of albuminuria in the progression of chronic kidney disease (CKD) is well known, there is increasing evidence of its negative association with cardiovascular events. For example, the presence of albuminuria is associated with an increased likelihood of developing heart failure (HF), even in patients with normal GFR, and the role of albuminuria in atherosclerosis has recently been described. Albuminuria is associated with adverse outcomes such as mortality and HF hospitalization. On the other hand, it is increasingly known that the systemic effects of congestion are mainly preceded by increased central venous pressure and transmitted retrogradely to organs such as the liver or kidney. With regard to the latter, a new entity called congestive nephropathy is emerging, in which increased renal venous pressure can lead to albuminuria. Fortunately, the presence of albuminuria is modifiable and new treatments are now available to reverse this common risk factor in the cardiorenal interaction.","container-title":"Journal of Clinical Medicine","DOI":"10.3390/jcm13030777","ISSN":"2077-0383","issue":"3","language":"en","license":"http://creativecommons.org/licenses/by/3.0/","page":"777","publisher":"Multidisciplinary Digital Publishing Institute","source":"www.mdpi.com","title":"Albuminuria, Forgotten No More: Underlining the Emerging Role in CardioRenal Crosstalk","title-short":"Albuminuria, Forgotten No More","volume":"13","author":[{"family":"Romero-González","given":"Gregorio"},{"family":"Rodríguez-Chitiva","given":"Néstor"},{"family":"Cañameras","given":"Carles"},{"family":"Paúl-Martínez","given":"Javier"},{"family":"Urrutia-Jou","given":"Marina"},{"family":"Troya","given":"Maribel"},{"family":"Soler-Majoral","given":"Jordi"},{"family":"Graterol Torres","given":"Fredzzia"},{"family":"Sánchez-Bayá","given":"Maya"},{"family":"Calabia","given":"Jordi"},{"family":"Bover","given":"Jordi"}],"issued":{"date-parts":[["2024",1]]}}}],"schema":"https://github.com/citation-style-language/schema/raw/master/csl-citation.json"} </w:instrText>
      </w:r>
      <w:r w:rsidR="00EB093F">
        <w:fldChar w:fldCharType="separate"/>
      </w:r>
      <w:r w:rsidR="00EB093F" w:rsidRPr="00EB093F">
        <w:rPr>
          <w:rFonts w:ascii="Calibri" w:hAnsi="Calibri" w:cs="Calibri"/>
          <w:kern w:val="0"/>
        </w:rPr>
        <w:t>(Romero-González et al., 2024)</w:t>
      </w:r>
      <w:r w:rsidR="00EB093F">
        <w:fldChar w:fldCharType="end"/>
      </w:r>
      <w:r w:rsidRPr="00D7662B">
        <w:t>.</w:t>
      </w:r>
    </w:p>
    <w:p w14:paraId="58A80017" w14:textId="2ABA6F56" w:rsidR="000F7EE6" w:rsidRPr="000F7EE6" w:rsidRDefault="000F7EE6" w:rsidP="00D7662B">
      <w:pPr>
        <w:rPr>
          <w:b/>
          <w:bCs/>
        </w:rPr>
      </w:pPr>
      <w:r w:rsidRPr="000F7EE6">
        <w:rPr>
          <w:b/>
          <w:bCs/>
        </w:rPr>
        <w:t>3.2 Kidneys: Sickle Nephropathy</w:t>
      </w:r>
    </w:p>
    <w:p w14:paraId="4018691E" w14:textId="43777380" w:rsidR="000F7EE6" w:rsidRPr="000F7EE6" w:rsidRDefault="00D7662B" w:rsidP="000F7EE6">
      <w:r>
        <w:t>Renal involvement in sickle cell disease usually begins with functional abnormalities long before structural damage is apparent. Early in the course of the illness, glomerular hyperfiltration is often observed, suggesting adaptive responses to ongoing anaemia and altered renal haemodynamics. This syndrome raises the likelihood of progressive glomerular damage even though it is initially compensatory</w:t>
      </w:r>
      <w:r w:rsidR="00F77328">
        <w:t xml:space="preserve"> </w:t>
      </w:r>
      <w:r w:rsidR="00EB093F">
        <w:fldChar w:fldCharType="begin"/>
      </w:r>
      <w:r w:rsidR="00EB093F">
        <w:instrText xml:space="preserve"> ADDIN ZOTERO_ITEM CSL_CITATION {"citationID":"pCWZKiZF","properties":{"unsorted":false,"formattedCitation":"(Kanbay et al., 2024)","plainCitation":"(Kanbay et al., 2024)","noteIndex":0},"citationItems":[{"id":2406,"uris":["http://zotero.org/users/19602067/items/RMMBE4Y8"],"itemData":{"id":2406,"type":"article-journal","abstract":"The global burden of chronic kidney disease (CKD) is high and increasing. Early diagnosis and intervention are key to improve outcomes. Single-nephron glomerular hyperfiltration is an early pathophysiologic manifestation of CKD that may result in absolute glomerular hyperfiltration, i.e. a high glomerular filtration rate (GFR), or be associated with normal or low GFR because of nephron loss (relative glomerular hyperfiltration). Even though compensatory glomerular hyperfiltration may contribute to maintain kidney function after the loss of kidney mass, the associated increased glomerular capillary pressure and glomerular and podocyte size drive podocyte loss, albuminuria and proximal tubular overload, contributing to CKD progression. In this regard, all kidney protective drugs in clinical use so far, from renin–angiotensin system blockers to mineralocorticoid receptor blockers to sodium–glucose co-transporter 2 inhibitors to tolvaptan, induce an early dip in glomerular filtration that is thought to represent reversal of hyperfiltration. As glomerular hyperfiltration may be present early in the course of kidney disease, its recognition may provide an effective intervention window that may predate current criteria based on high albuminuria or loss of GFR. Nevertheless, there is no diagnostic method with high sensitivity and specificity to identify single-nephron glomerular hyperfiltration, except when it leads to obvious absolute glomerular hyperfiltration, as observed in the early stages of diabetic kidney disease when nephron mass is still preserved. We now review the concept of glomerular hyperfiltration as an indicator of CKD risk, including definitions, challenges in diagnosis and evaluation, underlying pathophysiological mechanisms, potential therapeutic approaches and unanswered questions.","container-title":"Nephrology Dialysis Transplantation","DOI":"10.1093/ndt/gfae027","ISSN":"0931-0509","issue":"8","journalAbbreviation":"Nephrol Dial Transplant","page":"1228-1238","PMID":"38308513","PMCID":"PMC12086678","source":"PubMed Central","title":"Glomerular hyperfiltration as a therapeutic target for CKD","volume":"39","author":[{"family":"Kanbay","given":"Mehmet"},{"family":"Copur","given":"Sidar"},{"family":"Bakir","given":"Cicek N"},{"family":"Covic","given":"Adrian"},{"family":"Ortiz","given":"Alberto"},{"family":"Tuttle","given":"Katherine R"}],"issued":{"date-parts":[["2024",2,2]]}}}],"schema":"https://github.com/citation-style-language/schema/raw/master/csl-citation.json"} </w:instrText>
      </w:r>
      <w:r w:rsidR="00EB093F">
        <w:fldChar w:fldCharType="separate"/>
      </w:r>
      <w:r w:rsidR="00EB093F" w:rsidRPr="00EB093F">
        <w:rPr>
          <w:rFonts w:ascii="Calibri" w:hAnsi="Calibri" w:cs="Calibri"/>
        </w:rPr>
        <w:t>(Kanbay et al., 2024)</w:t>
      </w:r>
      <w:r w:rsidR="00EB093F">
        <w:fldChar w:fldCharType="end"/>
      </w:r>
      <w:r>
        <w:t>.</w:t>
      </w:r>
    </w:p>
    <w:p w14:paraId="12005415" w14:textId="5896D243" w:rsidR="003F38E8" w:rsidRDefault="003F38E8" w:rsidP="000F7EE6">
      <w:r>
        <w:t>Microalbuminuria is one of the earliest indicators of renal involvement that may be detected, and it also predicts a further decline in renal function. In many individuals, this stage is clinically silent and shows no overt indications of renal illness. Prolonged hyperfiltration and ischaemic damage lead to proteinuria, glomerulosclerosis, and ultimately chronic kidney disease</w:t>
      </w:r>
      <w:r w:rsidR="00F77328">
        <w:t xml:space="preserve"> </w:t>
      </w:r>
      <w:r w:rsidR="00EB093F">
        <w:fldChar w:fldCharType="begin"/>
      </w:r>
      <w:r w:rsidR="00EB093F">
        <w:instrText xml:space="preserve"> ADDIN ZOTERO_ITEM CSL_CITATION {"citationID":"oS5Munl5","properties":{"unsorted":false,"formattedCitation":"(Yang &amp; Xu, 2022)","plainCitation":"(Yang &amp; Xu, 2022)","noteIndex":0},"citationItems":[{"id":2409,"uris":["http://zotero.org/users/19602067/items/EESR8JUE"],"itemData":{"id":2409,"type":"article-journal","abstract":"In the existing stages of diabetic kidney disease (DKD), the first stage of DKD is called the preclinical stage, characterized by glomerular hyperfiltration, an abnormally elevated glomerular filtration rate. Glomerular hyperfiltration is an independent risk factor for accelerated deterioration of renal function and progression of nephropathy, which is associated with a high risk for metabolic and cardiovascular disease. It is imperative to understand hyperfiltration and identify potential treatments to delay DKD progress. This paper summarizes the current mechanisms of hyperfiltration in early DKD. We pay close attention to the effect of glucose reabsorption mediated by sodium–glucose cotransporters and renal growth on hyperfiltration in DKD patients, as well as the mechanisms of nitric oxide and adenosine actions on renal afferent arterioles via tubuloglomerular feedback. Furthermore, we also focus on the contribution of the atrial natriuretic peptide, cyclooxygenase, renin–angiotensin–aldosterone system, and endothelin on hyperfiltration. Proposing potential treatments based on these mechanisms may offer new therapeutic opportunities to reduce the renal burden in this population.","container-title":"Frontiers in Endocrinology","DOI":"10.3389/fendo.2022.872918","ISSN":"1664-2392","journalAbbreviation":"Front Endocrinol (Lausanne)","page":"872918","PMID":"35663316","PMCID":"PMC9161673","source":"PubMed Central","title":"Update on Pathogenesis of Glomerular Hyperfiltration in Early Diabetic Kidney Disease","volume":"13","author":[{"family":"Yang","given":"Yang"},{"family":"Xu","given":"Gaosi"}],"issued":{"date-parts":[["2022",5,19]]}}}],"schema":"https://github.com/citation-style-language/schema/raw/master/csl-citation.json"} </w:instrText>
      </w:r>
      <w:r w:rsidR="00EB093F">
        <w:fldChar w:fldCharType="separate"/>
      </w:r>
      <w:r w:rsidR="00EB093F" w:rsidRPr="00EB093F">
        <w:rPr>
          <w:rFonts w:ascii="Calibri" w:hAnsi="Calibri" w:cs="Calibri"/>
        </w:rPr>
        <w:t>(Yang &amp; Xu, 2022)</w:t>
      </w:r>
      <w:r w:rsidR="00EB093F">
        <w:fldChar w:fldCharType="end"/>
      </w:r>
      <w:r>
        <w:t>.</w:t>
      </w:r>
    </w:p>
    <w:p w14:paraId="32A2F3EE" w14:textId="2D0D293C" w:rsidR="000F7EE6" w:rsidRPr="000F7EE6" w:rsidRDefault="003F38E8" w:rsidP="000F7EE6">
      <w:r>
        <w:lastRenderedPageBreak/>
        <w:t>Since sickle nephropathy can be misleading, early detection is essential. In the absence of routine screening, kidney damage often remains undetected until it has reached an advanced stage, at which point there are limited options for therapy and a significantly increased risk of end-stage renal disease</w:t>
      </w:r>
      <w:r w:rsidR="00F77328">
        <w:t xml:space="preserve"> </w:t>
      </w:r>
      <w:r w:rsidR="001D6718">
        <w:fldChar w:fldCharType="begin"/>
      </w:r>
      <w:r w:rsidR="001D6718">
        <w:instrText xml:space="preserve"> ADDIN ZOTERO_ITEM CSL_CITATION {"citationID":"SQOKGLhR","properties":{"unsorted":false,"formattedCitation":"(Vassalotti et al., 2026)","plainCitation":"(Vassalotti et al., 2026)","noteIndex":0},"citationItems":[{"id":2414,"uris":["http://zotero.org/users/19602067/items/AL7WIAF2"],"itemData":{"id":2414,"type":"article-journal","abstract":"Early identification of kidney disease can protect kidney health, prevent kidney disease progression and related complications, reduce cardiovascular disease risk, and decrease mortality. We must ask “Are your kidneys ok?” using serum creatinine to estimate kidney function and urine albumin to assess for kidney and endothelial damage. Evaluation for causes and risk factors for chronic kidney disease (CKD) includes testing for diabetes mellitus and measurement of blood pressure and body mass index. This World Kidney Day, we assert that case-finding in high-risk populations, or even population-level screening, can decrease the burden of kidney disease globally. Early-stage CKD is asymptomatic, simple to test for, and recent paradigm-shifting CKD treatments such as sodium glucose co-transporter-2 inhibitors dramatically improve outcomes and favor the cost-benefit analysis for screening or case-finding programs. Despite this, numerous barriers exist, including resource allocation, healthcare funding, healthcare infrastructure, and healthcare-professional and population awareness of kidney disease. Coordinated efforts by major kidney non-governmental organizations to prioritize the kidney health agenda for governments and to align early detection efforts with other current programs will maximize efficiencies.","container-title":"Kidney Research and Clinical Practice","DOI":"10.23876/j.krcp.25.106","ISSN":"2211-9132","issue":"2","journalAbbreviation":"Kidney Res Clin Pract","page":"150-159","PMID":"40611798","PMCID":"PMC12990220","source":"PubMed Central","title":"Are your kidneys okay? Detect early to protect kidney health","title-short":"Are your kidneys okay?","volume":"45","author":[{"family":"Vassalotti","given":"Joseph A."},{"family":"Francis","given":"Anna"},{"family":"Santos Jr","given":"Augusto Cesar Soares Dos"},{"family":"Correa-Rotter","given":"Ricardo"},{"family":"Abdellatif","given":"Dina"},{"family":"Hsiao","given":"Li-Li"},{"family":"Roumeliotis","given":"Stefanos"},{"family":"Haris","given":"Agnes"},{"family":"Kumaraswami","given":"Latha A."},{"family":"Lui","given":"Siu-Fai"},{"family":"Balducci","given":"Alessandro"},{"family":"Liakopoulos","given":"Vassilios"}],"issued":{"date-parts":[["2026",3]]}}}],"schema":"https://github.com/citation-style-language/schema/raw/master/csl-citation.json"} </w:instrText>
      </w:r>
      <w:r w:rsidR="001D6718">
        <w:fldChar w:fldCharType="separate"/>
      </w:r>
      <w:r w:rsidR="001D6718" w:rsidRPr="001D6718">
        <w:rPr>
          <w:rFonts w:ascii="Calibri" w:hAnsi="Calibri" w:cs="Calibri"/>
        </w:rPr>
        <w:t>(Vassalotti et al., 2026)</w:t>
      </w:r>
      <w:r w:rsidR="001D6718">
        <w:fldChar w:fldCharType="end"/>
      </w:r>
      <w:r>
        <w:t>.</w:t>
      </w:r>
    </w:p>
    <w:p w14:paraId="3074B6D9" w14:textId="77777777" w:rsidR="000F7EE6" w:rsidRPr="000F7EE6" w:rsidRDefault="000F7EE6" w:rsidP="000F7EE6">
      <w:pPr>
        <w:rPr>
          <w:b/>
          <w:bCs/>
        </w:rPr>
      </w:pPr>
      <w:r w:rsidRPr="000F7EE6">
        <w:rPr>
          <w:b/>
          <w:bCs/>
        </w:rPr>
        <w:t>3.3 Cardiopulmonary System</w:t>
      </w:r>
    </w:p>
    <w:p w14:paraId="2A079E54" w14:textId="5C707835" w:rsidR="003F38E8" w:rsidRDefault="003F38E8" w:rsidP="000F7EE6">
      <w:r>
        <w:t>The combined effects of prolonged haemolysis, hypoxia, and vascular dysfunction are very dangerous for the cardiopulmonary system. One well-known consequence that has been linked to higher mortality is pulmonary hypertension</w:t>
      </w:r>
      <w:r w:rsidR="00F77328">
        <w:t xml:space="preserve"> </w:t>
      </w:r>
      <w:r w:rsidR="001D6718">
        <w:fldChar w:fldCharType="begin"/>
      </w:r>
      <w:r w:rsidR="001D6718">
        <w:instrText xml:space="preserve"> ADDIN ZOTERO_ITEM CSL_CITATION {"citationID":"6ctMDNRJ","properties":{"unsorted":false,"formattedCitation":"(Chatzidavid et al., 2024)","plainCitation":"(Chatzidavid et al., 2024)","noteIndex":0},"citationItems":[{"id":2417,"uris":["http://zotero.org/users/19602067/items/BD2FBXRF"],"itemData":{"id":2417,"type":"article-journal","abstract":"Pulmonary hypertension (PH) is a progressive and potentially fatal complication of sickle cell disease (SCD), affecting 6–10% of adult SCD patients. Various mechanisms and theories have been evaluated to explain the pathophysiology of this disease. However, questions remain, particularly regarding the clinical heterogeneity of the disease in terms of symptoms, complications, and survival. Beyond the classical mechanisms that have been thoroughly investigated and include hemolysis, nitric oxide availability, endothelial disorders, thrombosis, and left heart failure, attention is currently focused on the potential role of genes involved in such processes. Potential candidate genes are investigated through next-generation sequencing, with the transforming growth factor-beta (TGF-β) pathway being the initial target. This field of research may also provide novel targets for pharmacologic agents in the future, as is already the case with idiopathic PH. The collection and processing of data and samples from multiple centers can yield reliable results that will allow a better understanding of SCD-related PH as a part of the disease’s clinical spectrum. This review attempts to capture the most recent findings of studies on gene polymorphisms that have been associated with PH in SCD patients.","container-title":"International Journal of Molecular Sciences","DOI":"10.3390/ijms25094792","ISSN":"1422-0067","issue":"9","language":"en","license":"http://creativecommons.org/licenses/by/3.0/","page":"4792","publisher":"Multidisciplinary Digital Publishing Institute","source":"www.mdpi.com","title":"Pulmonary Hypertension in Sickle Cell Disease: Novel Findings of Gene Polymorphisms Related to Pathophysiology","title-short":"Pulmonary Hypertension in Sickle Cell Disease","volume":"25","author":[{"family":"Chatzidavid","given":"Sevastianos"},{"family":"Flevari","given":"Pagona"},{"family":"Tombrou","given":"Ioanna"},{"family":"Anastasiadis","given":"Georgios"},{"family":"Dimopoulou","given":"Maria"}],"issued":{"date-parts":[["2024",1]]}}}],"schema":"https://github.com/citation-style-language/schema/raw/master/csl-citation.json"} </w:instrText>
      </w:r>
      <w:r w:rsidR="001D6718">
        <w:fldChar w:fldCharType="separate"/>
      </w:r>
      <w:r w:rsidR="001D6718" w:rsidRPr="001D6718">
        <w:rPr>
          <w:rFonts w:ascii="Calibri" w:hAnsi="Calibri" w:cs="Calibri"/>
        </w:rPr>
        <w:t>(Chatzidavid et al., 2024)</w:t>
      </w:r>
      <w:r w:rsidR="001D6718">
        <w:fldChar w:fldCharType="end"/>
      </w:r>
      <w:r>
        <w:t>. Nitric oxide depletion, endothelial dysfunction, and vascular remodelling in the pulmonary circulation are some of the causes. Crucially, mild increases in tricuspid regurgitant velocity can be a sign of early pulmonary vascular alterations even in the absence of symptoms</w:t>
      </w:r>
      <w:r w:rsidR="00F77328">
        <w:t xml:space="preserve"> </w:t>
      </w:r>
      <w:r w:rsidR="001D6718">
        <w:fldChar w:fldCharType="begin"/>
      </w:r>
      <w:r w:rsidR="001D6718">
        <w:instrText xml:space="preserve"> ADDIN ZOTERO_ITEM CSL_CITATION {"citationID":"s5LunxSG","properties":{"unsorted":false,"formattedCitation":"(Tsai et al., 2024)","plainCitation":"(Tsai et al., 2024)","noteIndex":0},"citationItems":[{"id":2419,"uris":["http://zotero.org/users/19602067/items/NGCVLYBA"],"itemData":{"id":2419,"type":"article-journal","abstract":"Pulmonary hypertension (PH) is a severe and chronic disease characterized by increased pulmonary vascular resistance and remodeling, often precipitating right-sided heart dysfunction and death. Although the condition is progressive and incurable, current therapies for the disease focus on multiple different drugs and general supportive therapies to manage symptoms and prolong survival, ranging from medications more specific to pulmonary arterial hypertension (PAH) to exercise training. Moreover, there are multiple studies exploring novel experimental drugs and therapies including unique neurostimulation, to help better manage the disease. Here, we provide a narrative review focusing on current PH treatments that target multiple underlying biochemical mechanisms, including imbalances in vasoconstrictor–vasodilator and autonomic nervous system function, inflammation, and bone morphogenic protein (BMP) signaling. We also focus on the potential of novel therapies for managing PH, focusing on multiple types of neurostimulation including acupuncture. Lastly, we also touch upon the disease’s different subgroups, clinical presentations and prognosis, diagnostics, demographics, and cost.","container-title":"Life","DOI":"10.3390/life14101265","ISSN":"2075-1729","issue":"10","language":"en","license":"http://creativecommons.org/licenses/by/3.0/","page":"1265","publisher":"Multidisciplinary Digital Publishing Institute","source":"www.mdpi.com","title":"Pulmonary Hypertension: Pharmacological and Non-Pharmacological Therapies","title-short":"Pulmonary Hypertension","volume":"14","author":[{"family":"Tsai","given":"Jason"},{"family":"Malik","given":"Shaista"},{"family":"Tjen-A-Looi","given":"Stephanie C."}],"issued":{"date-parts":[["2024",10]]}}}],"schema":"https://github.com/citation-style-language/schema/raw/master/csl-citation.json"} </w:instrText>
      </w:r>
      <w:r w:rsidR="001D6718">
        <w:fldChar w:fldCharType="separate"/>
      </w:r>
      <w:r w:rsidR="001D6718" w:rsidRPr="001D6718">
        <w:rPr>
          <w:rFonts w:ascii="Calibri" w:hAnsi="Calibri" w:cs="Calibri"/>
        </w:rPr>
        <w:t>(Tsai et al., 2024)</w:t>
      </w:r>
      <w:r w:rsidR="001D6718">
        <w:fldChar w:fldCharType="end"/>
      </w:r>
      <w:r>
        <w:t>.</w:t>
      </w:r>
    </w:p>
    <w:p w14:paraId="31FC192E" w14:textId="2CF6DDC5" w:rsidR="000F7EE6" w:rsidRPr="000F7EE6" w:rsidRDefault="003F38E8" w:rsidP="000F7EE6">
      <w:r>
        <w:t>Diastolic dysfunction, which represents decreased ventricular relaxation and increased myocardial stiffness, is frequently a sign of cardiac involvement. Until it develops into overt heart failure, this anomaly may grow gradually and remain clinically quiet</w:t>
      </w:r>
      <w:r w:rsidR="00F77328">
        <w:t xml:space="preserve"> </w:t>
      </w:r>
      <w:r w:rsidR="00790249">
        <w:fldChar w:fldCharType="begin"/>
      </w:r>
      <w:r w:rsidR="00790249">
        <w:instrText xml:space="preserve"> ADDIN ZOTERO_ITEM CSL_CITATION {"citationID":"LqPmvRWV","properties":{"unsorted":false,"formattedCitation":"(Vlasopoulou et al., 2025)","plainCitation":"(Vlasopoulou et al., 2025)","noteIndex":0},"citationItems":[{"id":2421,"uris":["http://zotero.org/users/19602067/items/2DK7TUGW"],"itemData":{"id":2421,"type":"article-journal","abstract":"Left ventricular diastolic dysfunction (LVDD) is characterized by impaired ventricular relaxation and increased chamber stiffness during diastole, resulting in increased left ventricular filling pressures. It represents a highly prevalent yet frequently underdiagnosed cardiac condition with significant clinical implications, serving as a major contributor to heart failure with preserved ejection fraction (HFpEF), particularly among elderly individuals and those with hypertension, diabetes mellitus, obesity, or coronary artery disease. Multiple studies have identified the progression of LVDD as a marker of adverse prognosis, associated with increased morbidity and mortality, highlighting the importance of early recognition and targeted therapeutic strategies to improve diastolic function and clinical outcomes. This review summarizes the pathophysiology, current diagnostic strategies, and treatment options for LVDD, emphasizing its importance in clinical practice.","container-title":"Medical Sciences","DOI":"10.3390/medsci13030204","ISSN":"2076-3271","issue":"3","journalAbbreviation":"Med Sci (Basel)","page":"204","PMID":"41003153","PMCID":"PMC12471323","source":"PubMed Central","title":"Unmasking Left Ventricular Diastolic Dysfunction: Pathophysiology, Diagnosis, and Treatment Strategies","title-short":"Unmasking Left Ventricular Diastolic Dysfunction","volume":"13","author":[{"family":"Vlasopoulou","given":"Konstantina"},{"family":"Synetos","given":"Andreas"},{"family":"Ktenopoulos","given":"Nikolaos"},{"family":"Katsaros","given":"Odysseas"},{"family":"Koliastasis","given":"Leonidas"},{"family":"Apostolos","given":"Anastasios"},{"family":"Drakopoulou","given":"Maria"},{"family":"Toutouzas","given":"Konstantinos"},{"family":"Tsioufis","given":"Constantinos"}],"issued":{"date-parts":[["2025",9,22]]}}}],"schema":"https://github.com/citation-style-language/schema/raw/master/csl-citation.json"} </w:instrText>
      </w:r>
      <w:r w:rsidR="00790249">
        <w:fldChar w:fldCharType="separate"/>
      </w:r>
      <w:r w:rsidR="00790249" w:rsidRPr="00790249">
        <w:rPr>
          <w:rFonts w:ascii="Calibri" w:hAnsi="Calibri" w:cs="Calibri"/>
        </w:rPr>
        <w:t>(Vlasopoulou et al., 2025)</w:t>
      </w:r>
      <w:r w:rsidR="00790249">
        <w:fldChar w:fldCharType="end"/>
      </w:r>
      <w:r>
        <w:t>. Cardiovascular stress becomes severe by chronic anaemia and volume overload, which leads to structural remodelling and functional deterioration</w:t>
      </w:r>
      <w:r w:rsidR="00F77328">
        <w:t xml:space="preserve"> </w:t>
      </w:r>
      <w:r w:rsidR="00790249">
        <w:fldChar w:fldCharType="begin"/>
      </w:r>
      <w:r w:rsidR="00790249">
        <w:instrText xml:space="preserve"> ADDIN ZOTERO_ITEM CSL_CITATION {"citationID":"eaXgvz3G","properties":{"unsorted":false,"formattedCitation":"(Conran &amp; Embury, 2021)","plainCitation":"(Conran &amp; Embury, 2021)","noteIndex":0},"citationItems":[{"id":2424,"uris":["http://zotero.org/users/19602067/items/RJM48JQQ"],"itemData":{"id":2424,"type":"article-journal","abstract":"The pathophysiology of sickle cell anemia, a hereditary hemoglobinopathy, has\nfascinated clinicians and scientists alike since its description over 100 years\nago. A single gene mutation in the HBB gene results in the\nproduction of abnormal hemoglobin (Hb) S, whose polymerization when deoxygenated\nalters the physiochemical properties of red blood cells, in turn triggering\npan-cellular activation and pathological mechanisms that include hemolysis,\nvaso-occlusion, and ischemia-reperfusion to result in the varied and severe\ncomplications of the disease. Now widely regarded as an inflammatory disease, in\nrecent years attention has included the role of leukocytes in vaso-occlusive\nprocesses in view of the part that these cells play in innate immune processes,\ntheir inherent ability to adhere to the endothelium when activated, and their\nsheer physical and potentially obstructive size. Here, we consider the role of\nsickle red blood cell populations in elucidating the importance of adhesion\nvis-a-vis polymerization in vaso-occlusion, review the direct adhesion of sickle\nred cells to the endothelium in vaso-occlusive processes, and discuss how red\ncell- and leukocyte-centered mechanisms are not mutually exclusive. Given the\ninitial clinical success of crizanlizumab, a specific anti-P selectin therapy,\nwe suggest that it is appropriate to take a holistic approach to understanding\nand exploring the complexity of vaso-occlusive mechanisms and the adhesive roles\nof the varied cell types, including endothelial cells, platelets, leukocytes,\nand red blood cells.","container-title":"Experimental Biology and Medicine","DOI":"10.1177/15353702211005392","ISSN":"1535-3702","issue":"12","journalAbbreviation":"Exp Biol Med (Maywood)","page":"1458-1472","PMID":"33794696","PMCID":"PMC8243211","source":"PubMed Central","title":"Sickle cell vaso-occlusion: The dialectic between red cells and white cells","title-short":"Sickle cell vaso-occlusion","volume":"246","author":[{"family":"Conran","given":"Nicola"},{"family":"Embury","given":"Stephen H"}],"issued":{"date-parts":[["2021",6]]}}}],"schema":"https://github.com/citation-style-language/schema/raw/master/csl-citation.json"} </w:instrText>
      </w:r>
      <w:r w:rsidR="00790249">
        <w:fldChar w:fldCharType="separate"/>
      </w:r>
      <w:r w:rsidR="00790249" w:rsidRPr="00790249">
        <w:rPr>
          <w:rFonts w:ascii="Calibri" w:hAnsi="Calibri" w:cs="Calibri"/>
        </w:rPr>
        <w:t>(Conran &amp; Embury, 2021)</w:t>
      </w:r>
      <w:r w:rsidR="00790249">
        <w:fldChar w:fldCharType="end"/>
      </w:r>
      <w:r>
        <w:t>.</w:t>
      </w:r>
    </w:p>
    <w:p w14:paraId="2F5ED4C0" w14:textId="15A6A7A9" w:rsidR="000F7EE6" w:rsidRPr="000F7EE6" w:rsidRDefault="003F38E8" w:rsidP="000F7EE6">
      <w:r>
        <w:t>Despite being less frequent, the danger of sudden cardiac death is a serious outcome of cumulative cardiopulmonary injury. Autonomic dysregulation, cardiac fibrosis, and arrhythmogenic processes have all been linked. When taken as a whole, these results show how silent, gradual alterations in the cardiopulmonary system can result in potentially fatal consequences</w:t>
      </w:r>
      <w:r w:rsidR="00F77328">
        <w:t xml:space="preserve"> </w:t>
      </w:r>
      <w:r w:rsidR="00222AC0">
        <w:fldChar w:fldCharType="begin"/>
      </w:r>
      <w:r w:rsidR="00222AC0">
        <w:instrText xml:space="preserve"> ADDIN ZOTERO_ITEM CSL_CITATION {"citationID":"9OKfkgAY","properties":{"unsorted":false,"formattedCitation":"(Durante et al., 2024)","plainCitation":"(Durante et al., 2024)","noteIndex":0},"citationItems":[{"id":2358,"uris":["http://zotero.org/users/19602067/items/DQL749MC"],"itemData":{"id":2358,"type":"article-journal","abstract":"Hypertension exerts a profound impact on the microcirculation, causing both structural and functional alterations that contribute to systemic and organ-specific vascular damage. The microcirculation, comprising arterioles, capillaries, and venules with diameters smaller than 20 μm, plays a fundamental role in oxygen delivery, nutrient exchange, and maintaining tissue homeostasis. In the context of hypertension, microvascular remodeling and rarefaction result in reduced vessel density and elasticity, increasing vascular resistance and driving end-organ damage. The pathophysiological mechanisms underlying hypertensive microvascular dysfunction include endothelial dysfunction, oxidative stress, and excessive collagen deposition. These changes impair nitric oxide (NO) bioavailability, increase reactive oxygen species (ROS) production, and promote inflammation and fibrosis. These processes lead to progressive vascular stiffening and dysfunction, with significant implications for multiple organs, including the heart, kidneys, brain, and retina. This review underscores the pivotal role of microvascular dysfunction in hypertension-related complications and highlights the importance of early detection and therapeutic interventions. Strategies aimed at optimizing blood pressure control, improving endothelial function, and targeting oxidative stress and vascular remodeling are critical to mitigating the systemic consequences of hypertensive microvascular damage and reducing the burden of related cardiovascular and renal diseases.","container-title":"International Journal of Molecular Sciences","DOI":"10.3390/ijms252413294","ISSN":"1422-0067","issue":"24","language":"en","license":"http://creativecommons.org/licenses/by/3.0/","page":"13294","publisher":"Multidisciplinary Digital Publishing Institute","source":"www.mdpi.com","title":"Systemic and Cardiac Microvascular Dysfunction in Hypertension","volume":"25","author":[{"family":"Durante","given":"Alessandro"},{"family":"Mazzapicchi","given":"Alessandro"},{"family":"Baiardo Redaelli","given":"Martina"}],"issued":{"date-parts":[["2024",1]]}}}],"schema":"https://github.com/citation-style-language/schema/raw/master/csl-citation.json"} </w:instrText>
      </w:r>
      <w:r w:rsidR="00222AC0">
        <w:fldChar w:fldCharType="separate"/>
      </w:r>
      <w:r w:rsidR="00222AC0" w:rsidRPr="00222AC0">
        <w:rPr>
          <w:rFonts w:ascii="Calibri" w:hAnsi="Calibri" w:cs="Calibri"/>
        </w:rPr>
        <w:t>(Durante et al., 2024)</w:t>
      </w:r>
      <w:r w:rsidR="00222AC0">
        <w:fldChar w:fldCharType="end"/>
      </w:r>
      <w:r>
        <w:t>.</w:t>
      </w:r>
    </w:p>
    <w:p w14:paraId="641497D3" w14:textId="77777777" w:rsidR="000F7EE6" w:rsidRPr="000F7EE6" w:rsidRDefault="000F7EE6" w:rsidP="000F7EE6">
      <w:pPr>
        <w:rPr>
          <w:b/>
          <w:bCs/>
        </w:rPr>
      </w:pPr>
      <w:r w:rsidRPr="000F7EE6">
        <w:rPr>
          <w:b/>
          <w:bCs/>
        </w:rPr>
        <w:t>3.4 Liver: Hepatopathy</w:t>
      </w:r>
    </w:p>
    <w:p w14:paraId="64A35BBA" w14:textId="5A46D0FB" w:rsidR="00276E5A" w:rsidRDefault="00276E5A" w:rsidP="000F7EE6">
      <w:r>
        <w:t>In sickle cell disease, hepatic involvement is complex and frequently goes unnoticed in its early stages. Repeated transfusions can result in iron excess, and chronic haemolysis increases the formation of bilirubin. If left untreated, excessive iron accumulation in hepatocytes can lead to fibrosis and cirrhosis by causing oxidative stress and cellular damage</w:t>
      </w:r>
      <w:r w:rsidR="00F77328">
        <w:t xml:space="preserve"> </w:t>
      </w:r>
      <w:r w:rsidR="00276036">
        <w:fldChar w:fldCharType="begin"/>
      </w:r>
      <w:r w:rsidR="00276036">
        <w:instrText xml:space="preserve"> ADDIN ZOTERO_ITEM CSL_CITATION {"citationID":"EGinNOdo","properties":{"unsorted":false,"formattedCitation":"(Soliman et al., 2022)","plainCitation":"(Soliman et al., 2022)","noteIndex":0},"citationItems":[{"id":2427,"uris":["http://zotero.org/users/19602067/items/G9EPDH8W"],"itemData":{"id":2427,"type":"article-journal","abstract":"Introduction:\nIn patients with sickle cell disease (SCD), vaso occlusive crisis (VOCs) and iron intoxication due to repeated blood transfusion may cause damages in many organs, including the kidneys, lungs and brain, and pancreas.\n\nAim of our study:\nTo evaluate the iron status, hepatic functions and fasting plasma glucose (FPG) in non transfusion dependent (NTD-SCD) patients and transfusion dependent (TD-SCD) patients yearly for 5 years. Cardiac status was evaluated using echocardiography.\n\nResults:\n16 adults with NT-SCD and six with TD-SCD were studied. 6/16 NTD-SCD had serum ferritin (SF) &gt; 500 ng/mL, and 5/16 patients had high LIC (&gt; 36 μmol Fe/kg dry weight). 2/16 had impaired fasting glucose (IFG). The TD-SCD patients were on top-up transfusion and oral iron chelation therapy (Exjade). All had high LIC, but 2/6 had SF &lt;500 ng/mL. Liver enzymes were high in 2/6 patients. One had IFG. Five years after the initial assessment, 3/16 NT-SCD developed diabetes mellitus (DM) and 2/16 IFG. In TD-SCD, 2/6 developed DM and 1/6 had IFG. Echocardiography revealed abnormalities in 5/22 (22.7%).\n\nConclusions:\nA significant number of our patients with ND-SCD and TD-SCD develop dysglycemia, hepatopathy, and echocardiographic abnormalities during the follow-up that need effective early detection and management. However, the prevalence of DM in our SCD remains lower than in the general population in Qatar. TD-SCD patients who developed DM were younger and had high LIC and SF compared to those who developed DM in the NTD-SCD (www.actabiomedica.it).","container-title":"Acta Bio Medica : Atenei Parmensis","DOI":"10.23750/abm.v93i4.13330","ISSN":"0392-4203","issue":"4","journalAbbreviation":"Acta Biomed","page":"e2022291","PMID":"36043959","PMCID":"PMC9534241","source":"PubMed Central","title":"Blood transfusion and iron overload in patients with Sickle Cell Disease (SCD): Personal experience and a short update of diabetes mellitus occurrence","title-short":"Blood transfusion and iron overload in patients with Sickle Cell Disease (SCD)","volume":"93","author":[{"family":"Soliman","given":"Ashraf T"},{"family":"De Sanctis","given":"Vincenzo"},{"family":"Yassin","given":"Mohamed"},{"family":"Alshurafa","given":"Awni"},{"family":"Ata","given":"Fateen"},{"family":"Nashwan","given":"Abdulqadir"}],"issued":{"date-parts":[["2022"]]}}}],"schema":"https://github.com/citation-style-language/schema/raw/master/csl-citation.json"} </w:instrText>
      </w:r>
      <w:r w:rsidR="00276036">
        <w:fldChar w:fldCharType="separate"/>
      </w:r>
      <w:r w:rsidR="00276036" w:rsidRPr="00276036">
        <w:rPr>
          <w:rFonts w:ascii="Calibri" w:hAnsi="Calibri" w:cs="Calibri"/>
        </w:rPr>
        <w:t>(Soliman et al., 2022)</w:t>
      </w:r>
      <w:r w:rsidR="00276036">
        <w:fldChar w:fldCharType="end"/>
      </w:r>
      <w:r>
        <w:t>.</w:t>
      </w:r>
    </w:p>
    <w:p w14:paraId="0649889A" w14:textId="69CC140F" w:rsidR="000F7EE6" w:rsidRPr="000F7EE6" w:rsidRDefault="00276E5A" w:rsidP="000F7EE6">
      <w:r>
        <w:t>Chronic ischaemic injury is caused by recurrent microvascular blockage in the hepatic circulation in addition to iron-mediated toxicity. The severity of liver injury is increased by these processes, which frequently take place concurrently. Although moderate biochemical abnormalities may be apparent in early hepatopathy, many individuals do not exhibit any symptoms until serious dysfunction has occurred</w:t>
      </w:r>
      <w:r w:rsidR="00F77328">
        <w:t xml:space="preserve"> </w:t>
      </w:r>
      <w:r w:rsidR="00276036">
        <w:fldChar w:fldCharType="begin"/>
      </w:r>
      <w:r w:rsidR="00276036">
        <w:instrText xml:space="preserve"> ADDIN ZOTERO_ITEM CSL_CITATION {"citationID":"GwDkcIeB","properties":{"unsorted":false,"formattedCitation":"(Baidya et al., 2020)","plainCitation":"(Baidya et al., 2020)","noteIndex":0},"citationItems":[{"id":2431,"uris":["http://zotero.org/users/19602067/items/PJ8J4UVJ"],"itemData":{"id":2431,"type":"article-journal","abstract":"While liver transplantation remains the sole treatment option for patients with end-stage liver disease, there are numerous limitations to liver transplantation including the scarcity of donor livers and a rise in livers that are unsuitable to transplant such as those with excess steatosis. Fatty livers are susceptible to ischaemia-reperfusion (IR) injury during transplantation and IR injury results in primary graft non-function, graft failure and mortality. Recent studies have described new cell death pathways which differ from the traditional apoptotic pathway. Necroptosis, a regulated form of cell death, has been associated with hepatic IR injury. Receptor-interacting protein kinase 3 (RIPK3) and mixed-lineage kinase domain-like pseudokinase (MLKL) are thought to be instrumental in the execution of necroptosis. The study of hepatic necroptosis and potential therapeutic approaches to attenuate IR injury will be a key factor in improving our knowledge regarding liver transplantation with fatty donor livers. In this review, we focus on the effect of hepatic steatosis during liver transplantation as well as molecular mechanisms of necroptosis and its involvement during liver IR injury. We also discuss the immune responses triggered during necroptosis and examine the utility of necroptosis inhibitors as potential therapeutic approaches to alleviate IR injury.","container-title":"International Journal of Molecular Sciences","DOI":"10.3390/ijms21165931","ISSN":"1422-0067","issue":"16","language":"en","license":"http://creativecommons.org/licenses/by/3.0/","page":"5931","publisher":"Multidisciplinary Digital Publishing Institute","source":"www.mdpi.com","title":"Necroptosis in Hepatosteatotic Ischaemia-Reperfusion Injury","volume":"21","author":[{"family":"Baidya","given":"Raji"},{"family":"Crawford","given":"Darrell H. G."},{"family":"Gautheron","given":"Jérémie"},{"family":"Wang","given":"Haolu"},{"family":"Bridle","given":"Kim R."}],"issued":{"date-parts":[["2020",1]]}}}],"schema":"https://github.com/citation-style-language/schema/raw/master/csl-citation.json"} </w:instrText>
      </w:r>
      <w:r w:rsidR="00276036">
        <w:fldChar w:fldCharType="separate"/>
      </w:r>
      <w:r w:rsidR="00276036" w:rsidRPr="00276036">
        <w:rPr>
          <w:rFonts w:ascii="Calibri" w:hAnsi="Calibri" w:cs="Calibri"/>
        </w:rPr>
        <w:t>(Baidya et al., 2020)</w:t>
      </w:r>
      <w:r w:rsidR="00276036">
        <w:fldChar w:fldCharType="end"/>
      </w:r>
      <w:r>
        <w:t>.</w:t>
      </w:r>
    </w:p>
    <w:p w14:paraId="4E0A35B7" w14:textId="552A6C59" w:rsidR="000F7EE6" w:rsidRPr="000F7EE6" w:rsidRDefault="00276E5A" w:rsidP="000F7EE6">
      <w:r>
        <w:t>Hepatic injury progresses silently, which emphasises the necessity of systematic monitoring, including evaluation of liver function and iron load. In the absence of such surveillance, clinically severe liver disease might only manifest at a later stage</w:t>
      </w:r>
      <w:r w:rsidR="00F77328">
        <w:t xml:space="preserve"> </w:t>
      </w:r>
      <w:r w:rsidR="00A44278">
        <w:fldChar w:fldCharType="begin"/>
      </w:r>
      <w:r w:rsidR="00A44278">
        <w:instrText xml:space="preserve"> ADDIN ZOTERO_ITEM CSL_CITATION {"citationID":"AI7xa4tQ","properties":{"unsorted":false,"formattedCitation":"(Ozturk et al., 2023)","plainCitation":"(Ozturk et al., 2023)","noteIndex":0},"citationItems":[{"id":2439,"uris":["http://zotero.org/users/19602067/items/JJ7SP2W5"],"itemData":{"id":2439,"type":"article-journal","abstract":"Acute liver failure (ALF) is a rare and specific form of severe hepatic dysfunction characterized by coagulopathy and hepatic encephalopathy in a patient with no known liver disease. ALF carries a high morbidity and mortality. Careful attention should be given to hemodynamics and metabolic parameters along with the active surveillance of infections. Timely transfer and supportive management are important in an intensive care unit in a liver transplant center. Identifying patients who will and will not improve with medical management and may need emergent liver transplantation is critical. In this review, we provide a comprehensive update on the etiology, diagnosis, and management of ALF.","container-title":"Journal of Clinical Medicine","DOI":"10.3390/jcm12237451","ISSN":"2077-0383","issue":"23","language":"en","license":"http://creativecommons.org/licenses/by/3.0/","page":"7451","publisher":"Multidisciplinary Digital Publishing Institute","source":"www.mdpi.com","title":"A Comprehensive Review of the Diagnosis and Management of Acute Liver Failure","volume":"12","author":[{"family":"Ozturk","given":"Nazli Begum"},{"family":"Herdan","given":"Emre"},{"family":"Saner","given":"Fuat H."},{"family":"Gurakar","given":"Ahmet"}],"issued":{"date-parts":[["2023",1]]}}}],"schema":"https://github.com/citation-style-language/schema/raw/master/csl-citation.json"} </w:instrText>
      </w:r>
      <w:r w:rsidR="00A44278">
        <w:fldChar w:fldCharType="separate"/>
      </w:r>
      <w:r w:rsidR="00A44278" w:rsidRPr="00A44278">
        <w:rPr>
          <w:rFonts w:ascii="Calibri" w:hAnsi="Calibri" w:cs="Calibri"/>
        </w:rPr>
        <w:t>(Ozturk et al., 2023)</w:t>
      </w:r>
      <w:r w:rsidR="00A44278">
        <w:fldChar w:fldCharType="end"/>
      </w:r>
      <w:r>
        <w:t>.</w:t>
      </w:r>
    </w:p>
    <w:p w14:paraId="78BB890A" w14:textId="77777777" w:rsidR="000F7EE6" w:rsidRPr="000F7EE6" w:rsidRDefault="000F7EE6" w:rsidP="000F7EE6">
      <w:pPr>
        <w:rPr>
          <w:b/>
          <w:bCs/>
        </w:rPr>
      </w:pPr>
      <w:r w:rsidRPr="000F7EE6">
        <w:rPr>
          <w:b/>
          <w:bCs/>
        </w:rPr>
        <w:lastRenderedPageBreak/>
        <w:t>3.5 Spleen: Functional Asplenia</w:t>
      </w:r>
    </w:p>
    <w:p w14:paraId="4D85437C" w14:textId="14699606" w:rsidR="000F7EE6" w:rsidRPr="000F7EE6" w:rsidRDefault="00276E5A" w:rsidP="000F7EE6">
      <w:r>
        <w:t>One of the first organs to be affected by sickle cell disease is the spleen. Functional asplenia is the end result of increasing infarction and fibrosis brought on by recurrent vaso-occlusive episodes within the splenic microvasculature. This process may be completed in the first ten years of life and frequently starts in early childhood</w:t>
      </w:r>
      <w:r w:rsidR="00F77328">
        <w:t xml:space="preserve"> </w:t>
      </w:r>
      <w:r w:rsidR="00AB6280">
        <w:fldChar w:fldCharType="begin"/>
      </w:r>
      <w:r w:rsidR="00AB6280">
        <w:instrText xml:space="preserve"> ADDIN ZOTERO_ITEM CSL_CITATION {"citationID":"7LdNMHgY","properties":{"unsorted":false,"formattedCitation":"(Peretz et al., 2022)","plainCitation":"(Peretz et al., 2022)","noteIndex":0},"citationItems":[{"id":2442,"uris":["http://zotero.org/users/19602067/items/MSYWDUR4"],"itemData":{"id":2442,"type":"article-journal","abstract":"Sickle cell disease (SCD) is caused by a point mutation in the beta-globin gene. SCD is characterized by chronic hemolytic anemia, vaso-occlusive events leading to tissue ischemia, and progressive organ failure. Chronic inflammatory state is part of the pathophysiology of SCD. Patients with SCD have extremely variable phenotypes, from mild disease to severe complications including early age death. The spleen is commonly injured in SCD. Early splenic dysfunction and progressive spleen atrophy are common. Splenomegaly and hypersplenism can also occur with the loss of the crucial splenic function. Acute, life-threatening spleen-related complications in SCD are well studied. The association of laboratory parameters with the spleen status including hyposplenism, asplenia, and splenomegaly/hypersplenism, and their implication in vaso-occlusive crisis and long-term complications in SCD remain to be determined. We evaluated the association between the spleen status with clinical and laboratory parameters in 31 SCD patients: Group a) Patients with asplenia/hyposplenism (N = 22) (including auto-splenectomy and splenectomized patients) vs. Group b) patients with splenomegaly and or hypersplenism (N = 9). Laboratory studies included: Complete Blood Count, reticulocyte count, iron metabolism parameters, C Reactive Protein (CRP), Hb variant distribution, and D-dimer. Metabolic and morphological red blood cell (RBC) studies included: density gradient (by Percoll), glucose consumption, lactate release, and K+ leakage, fetal RBC (F-Cells) and F-Reticulocytes, annexinV+, CD71+, oxidative stress measured by GSH presence in RBC and finally Howell Jolly Bodies count were all analyzed by Flow Cytometry. Scanning electron microscopy analysis of RBC was also performed. Patients with asplenia/hyposplenism showed significantly higher WBC, platelet, Hematocrit, hemoglobin S, CRP, D-dimer, Gamma Glutamyl Transferase (GGT), cholesterol, transferrin, annexin V+ RBCs, CD71+ RBCs, together with a markedly lower F Reticulocyte levels in comparison with splenomegaly/hypersplenism patients. In summary, important differences were also found between the groups in the studied RBCs parameters. Further studies are required to elucidate the effect of the spleen including hyper and hypo-splenia on laboratory parameters and in clinical manifestations, vascular pathology, and long-term complications of SCD. The benefits and risks of splenectomy compared to chronic transfusion need to be evaluated in clinical trials and the standard approach managing hypersplenism in SCD patients should be re-evaluated.","container-title":"Frontiers in Physiology","DOI":"10.3389/fphys.2022.796837","ISSN":"1664-042X","journalAbbreviation":"Front Physiol","page":"796837","PMID":"36105295","PMCID":"PMC9465245","source":"PubMed Central","title":"The protective effect of the spleen in sickle cell patients. A comparative study between patients with asplenia/hyposplenism and hypersplenism","volume":"13","author":[{"family":"Peretz","given":"Sari"},{"family":"Livshits","given":"Leonid"},{"family":"Pretorius","given":"Etheresia"},{"family":"Makhro","given":"Asya"},{"family":"Bogdanova","given":"Anna"},{"family":"Gassmann","given":"Max"},{"family":"Koren","given":"Ariel"},{"family":"Levin","given":"Carina"}],"issued":{"date-parts":[["2022",8,29]]}}}],"schema":"https://github.com/citation-style-language/schema/raw/master/csl-citation.json"} </w:instrText>
      </w:r>
      <w:r w:rsidR="00AB6280">
        <w:fldChar w:fldCharType="separate"/>
      </w:r>
      <w:r w:rsidR="00AB6280" w:rsidRPr="00AB6280">
        <w:rPr>
          <w:rFonts w:ascii="Calibri" w:hAnsi="Calibri" w:cs="Calibri"/>
        </w:rPr>
        <w:t>(Peretz et al., 2022)</w:t>
      </w:r>
      <w:r w:rsidR="00AB6280">
        <w:fldChar w:fldCharType="end"/>
      </w:r>
      <w:r>
        <w:t>.</w:t>
      </w:r>
    </w:p>
    <w:p w14:paraId="5F7B451D" w14:textId="0B517D87" w:rsidR="00276E5A" w:rsidRDefault="00276E5A" w:rsidP="000F7EE6">
      <w:r>
        <w:t>In its early phases, functional asplenia is usually clinically silent but has significant effects on immunological function. In order to eliminate encapsulated germs and coordinate immune responses, the spleen is essential. People who lose it are more vulnerable to serious and even deadly infections, especially from bacteria like Streptococcus pneumoniae</w:t>
      </w:r>
      <w:r w:rsidR="00F77328">
        <w:t xml:space="preserve"> </w:t>
      </w:r>
      <w:r w:rsidR="007C7471">
        <w:fldChar w:fldCharType="begin"/>
      </w:r>
      <w:r w:rsidR="007C7471">
        <w:instrText xml:space="preserve"> ADDIN ZOTERO_ITEM CSL_CITATION {"citationID":"n2fyCxmJ","properties":{"unsorted":false,"formattedCitation":"(Xu et al., 2025)","plainCitation":"(Xu et al., 2025)","noteIndex":0},"citationItems":[{"id":2538,"uris":["http://zotero.org/users/19602067/items/SFR47VZR"],"itemData":{"id":2538,"type":"article-journal","abstract":"Chronic inflammatory diseases are widespread and often accompanied by comorbidities, making treatment challenging. Current immunosuppressive and anti-inflammatory therapies have limited efficacy and significant side effects, and are insufficient to address the complexity of coexisting conditions. This review explores recent advances in innate immune memory, also known as trained immunity, and its potential role in inflammatory diseases. We hypothesize that targeting the regulatory mechanisms of trained immunity may lead to novel therapeutic strategies that more effectively control inflammation and improve disease outcomes. Finally, we highlight that the interplay between trained immunity and inflammatory diseases remains incompletely understood, and further research is needed to elucidate its mechanisms and clinical translational potential.","container-title":"Frontiers in Immunology","DOI":"10.3389/fimmu.2025.1666233","ISSN":"1664-3224","journalAbbreviation":"Front Immunol","page":"1666233","PMID":"41169375","PMCID":"PMC12568716","source":"PubMed Central","title":"Reversing inflammatory diseases via trained immunity: mechanisms, challenges, and prospects","title-short":"Reversing inflammatory diseases via trained immunity","volume":"16","author":[{"family":"Xu","given":"Wanli"},{"family":"Guo","given":"Zhilin"},{"family":"Xu","given":"Tingyun"},{"family":"Chen","given":"Junjie"},{"family":"Chen","given":"Leyi"},{"family":"Xu","given":"Wenan"}],"issued":{"date-parts":[["2025",10,15]]}}}],"schema":"https://github.com/citation-style-language/schema/raw/master/csl-citation.json"} </w:instrText>
      </w:r>
      <w:r w:rsidR="007C7471">
        <w:fldChar w:fldCharType="separate"/>
      </w:r>
      <w:r w:rsidR="007C7471" w:rsidRPr="007C7471">
        <w:rPr>
          <w:rFonts w:ascii="Calibri" w:hAnsi="Calibri" w:cs="Calibri"/>
        </w:rPr>
        <w:t>(Xu et al., 2025)</w:t>
      </w:r>
      <w:r w:rsidR="007C7471">
        <w:fldChar w:fldCharType="end"/>
      </w:r>
      <w:r>
        <w:t>.</w:t>
      </w:r>
    </w:p>
    <w:p w14:paraId="600304BC" w14:textId="50495499" w:rsidR="000F7EE6" w:rsidRPr="000F7EE6" w:rsidRDefault="00276E5A" w:rsidP="000F7EE6">
      <w:r>
        <w:t>One factor contributing to delayed detection is the lack of obvious symptoms as asplenia progresses. Therefore, even though they do not completely reduce the risk, preventive measures like vaccination and prophylactic antibiotics are crucial parts of treatment</w:t>
      </w:r>
      <w:r w:rsidR="00F77328">
        <w:t xml:space="preserve"> </w:t>
      </w:r>
      <w:r w:rsidR="007C7471">
        <w:fldChar w:fldCharType="begin"/>
      </w:r>
      <w:r w:rsidR="007C7471">
        <w:instrText xml:space="preserve"> ADDIN ZOTERO_ITEM CSL_CITATION {"citationID":"NM4y0Arz","properties":{"unsorted":false,"formattedCitation":"(Zedde et al., 2024)","plainCitation":"(Zedde et al., 2024)","noteIndex":0},"citationItems":[{"id":2393,"uris":["http://zotero.org/users/19602067/items/UG8BQWUA"],"itemData":{"id":2393,"type":"article-journal","abstract":"Sickle cell disease (SCD) is a hereditary blood disorder characterized by abnormal hemoglobin, leading to the sickle shape of red blood cells. It has several vascular complications and the cerebrovascular ones are among the most frequent and severe both in children and in adults. This review summarizes the main neurovascular manifestations of SCD, including acute stroke, silent cerebral infarction, large-vessel diseases (moyamoya arteriopathy and aneurysms), and brain bleeding. Both epidemiology, pathophysiology, and treatment issues are addressed and prevention of cerebrovascular events, including silent cerebral infarctions, is particularly relevant in SCD patients, being associated to poor functional outcome and cognitive complaints. Transfusions and hydroxyurea are the main available therapy at the moment, but contraindications, availability, and complications might prevent their long term use, particularly in low-income countries. The role of transcranial Doppler in monitoring the patients (mainly children) is analyzed and a practical approach has been selected in order to give the main messages from the current literature for a better management of SCD patients.","container-title":"Hemato","DOI":"10.3390/hemato5030023","ISSN":"2673-6357","issue":"3","language":"en","license":"http://creativecommons.org/licenses/by/3.0/","page":"277-320","publisher":"Multidisciplinary Digital Publishing Institute","source":"www.mdpi.com","title":"Neurovascular Manifestations of Sickle Cell Disease","volume":"5","author":[{"family":"Zedde","given":"Marialuisa"},{"family":"Quaresima","given":"Micol"},{"family":"Capodanno","given":"Isabella"},{"family":"Grisendi","given":"Ilaria"},{"family":"Assenza","given":"Federica"},{"family":"Napoli","given":"Manuela"},{"family":"Moratti","given":"Claudio"},{"family":"Pavone","given":"Claudio"},{"family":"Bonacini","given":"Lara"},{"family":"Di Cecco","given":"Giovanna"},{"family":"D’Aniello","given":"Serena"},{"family":"Valzania","given":"Franco"},{"family":"Merli","given":"Francesco"},{"family":"Pascarella","given":"Rosario"}],"issued":{"date-parts":[["2024",9]]}}}],"schema":"https://github.com/citation-style-language/schema/raw/master/csl-citation.json"} </w:instrText>
      </w:r>
      <w:r w:rsidR="007C7471">
        <w:fldChar w:fldCharType="separate"/>
      </w:r>
      <w:r w:rsidR="007C7471" w:rsidRPr="007C7471">
        <w:rPr>
          <w:rFonts w:ascii="Calibri" w:hAnsi="Calibri" w:cs="Calibri"/>
        </w:rPr>
        <w:t>(Zedde et al., 2024)</w:t>
      </w:r>
      <w:r w:rsidR="007C7471">
        <w:fldChar w:fldCharType="end"/>
      </w:r>
      <w:r>
        <w:t>.</w:t>
      </w:r>
    </w:p>
    <w:p w14:paraId="6ED98A05" w14:textId="77777777" w:rsidR="000F7EE6" w:rsidRPr="000F7EE6" w:rsidRDefault="000F7EE6" w:rsidP="000F7EE6">
      <w:pPr>
        <w:rPr>
          <w:b/>
          <w:bCs/>
        </w:rPr>
      </w:pPr>
      <w:r w:rsidRPr="000F7EE6">
        <w:rPr>
          <w:b/>
          <w:bCs/>
        </w:rPr>
        <w:t>3.6 Bones: Avascular Necrosis</w:t>
      </w:r>
    </w:p>
    <w:p w14:paraId="565D5336" w14:textId="1D885391" w:rsidR="00DF5717" w:rsidRDefault="00DF5717" w:rsidP="000F7EE6">
      <w:r>
        <w:t>Avascular necrosis and other skeletal complications are another way that silent damage manifests. This disorder, which primarily affects the femoral and humeral heads, results from a persistent interruption of the blood supply to bone tissue</w:t>
      </w:r>
      <w:r w:rsidR="00F77328">
        <w:t xml:space="preserve"> </w:t>
      </w:r>
      <w:r w:rsidR="002439DF">
        <w:fldChar w:fldCharType="begin"/>
      </w:r>
      <w:r w:rsidR="002439DF">
        <w:instrText xml:space="preserve"> ADDIN ZOTERO_ITEM CSL_CITATION {"citationID":"oTep6ISJ","properties":{"unsorted":false,"formattedCitation":"(Konarski et al., 2022)","plainCitation":"(Konarski et al., 2022)","noteIndex":0},"citationItems":[{"id":2448,"uris":["http://zotero.org/users/19602067/items/6B5JPJCF"],"itemData":{"id":2448,"type":"article-journal","abstract":"Avascular necrosis (AVN) of the femoral head is caused by disruption of the blood supply to the proximal femur. The alterations in the blood supply may occur following a traumatic event or result from a non-traumatic cause. Femoral neck fracture and hip dislocation and associated surgical procedures, corticosteroid therapy, and alcohol abuse frequently lead to AVN development. Type of fracture (displaced or undisplaced) and time between injury and surgery are the most critical factors in assessing the risk of developing AVN. Diagnosis of AVN can be established based on patients’ complaints, medical history, and radiographic findings. There is no consensus on the treatment of patients with AVN to date. Non-surgical methods are dedicated to patients in the early pre-collapse stages of the disease and consist of pharmacotherapy and physiotherapy. Surgery is recommended for patients with advanced disease.","container-title":"International Journal of Environmental Research and Public Health","DOI":"10.3390/ijerph19127348","ISSN":"1660-4601","issue":"12","language":"en","license":"http://creativecommons.org/licenses/by/3.0/","page":"7348","publisher":"Multidisciplinary Digital Publishing Institute","source":"www.mdpi.com","title":"Avascular Necrosis of Femoral Head—Overview and Current State of the Art","volume":"19","author":[{"family":"Konarski","given":"Wojciech"},{"family":"Poboży","given":"Tomasz"},{"family":"Śliwczyński","given":"Andrzej"},{"family":"Kotela","given":"Ireneusz"},{"family":"Krakowiak","given":"Jan"},{"family":"Hordowicz","given":"Martyna"},{"family":"Kotela","given":"Andrzej"}],"issued":{"date-parts":[["2022",1]]}}}],"schema":"https://github.com/citation-style-language/schema/raw/master/csl-citation.json"} </w:instrText>
      </w:r>
      <w:r w:rsidR="002439DF">
        <w:fldChar w:fldCharType="separate"/>
      </w:r>
      <w:r w:rsidR="002439DF" w:rsidRPr="002439DF">
        <w:rPr>
          <w:rFonts w:ascii="Calibri" w:hAnsi="Calibri" w:cs="Calibri"/>
        </w:rPr>
        <w:t>(Konarski et al., 2022)</w:t>
      </w:r>
      <w:r w:rsidR="002439DF">
        <w:fldChar w:fldCharType="end"/>
      </w:r>
      <w:r>
        <w:t>. Early avascular necrosis may not cause any symptoms or only cause mild discomfort, which might cause delays in diagnosis</w:t>
      </w:r>
      <w:r w:rsidR="00F77328">
        <w:t xml:space="preserve"> </w:t>
      </w:r>
      <w:r w:rsidR="007C7471">
        <w:fldChar w:fldCharType="begin"/>
      </w:r>
      <w:r w:rsidR="007C7471">
        <w:instrText xml:space="preserve"> ADDIN ZOTERO_ITEM CSL_CITATION {"citationID":"OrZPlveU","properties":{"unsorted":false,"formattedCitation":"(Osunkwo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7C7471">
        <w:fldChar w:fldCharType="separate"/>
      </w:r>
      <w:r w:rsidR="007C7471" w:rsidRPr="007C7471">
        <w:rPr>
          <w:rFonts w:ascii="Calibri" w:hAnsi="Calibri" w:cs="Calibri"/>
        </w:rPr>
        <w:t>(Osunkwo et al., 2021)</w:t>
      </w:r>
      <w:r w:rsidR="007C7471">
        <w:fldChar w:fldCharType="end"/>
      </w:r>
      <w:r>
        <w:t>.</w:t>
      </w:r>
    </w:p>
    <w:p w14:paraId="2A90C6F9" w14:textId="570A75E3" w:rsidR="000F7EE6" w:rsidRPr="000F7EE6" w:rsidRDefault="00DF5717" w:rsidP="000F7EE6">
      <w:r>
        <w:t>As ischaemic injury worsens, the bone's structural integrity is compromised, which ultimately leads to joint surface collapse and persistent pain. At this point, the condition is frequently irreversible and may necessitate joint replacement surgery</w:t>
      </w:r>
      <w:r w:rsidR="00F77328">
        <w:t xml:space="preserve"> </w:t>
      </w:r>
      <w:r w:rsidR="005A2680">
        <w:fldChar w:fldCharType="begin"/>
      </w:r>
      <w:r w:rsidR="005A2680">
        <w:instrText xml:space="preserve"> ADDIN ZOTERO_ITEM CSL_CITATION {"citationID":"oQrZs429","properties":{"unsorted":false,"formattedCitation":"(Yuan et al., 2026)","plainCitation":"(Yuan et al., 2026)","noteIndex":0},"citationItems":[{"id":2453,"uris":["http://zotero.org/users/19602067/items/PU2ZABDC"],"itemData":{"id":2453,"type":"article-journal","abstract":"Posterior wall fractures, commonly caused by high-energy mechanisms like motor vehicle collisions or falls, are frequently associated with hip dislocation and complex intra-articular injuries. Despite surgical advances, post-traumatic osteoarthritis (PTOA) remains a prevalent complication, often leading to significant functional impairment and eventual joint replacement. Identifying potentially modifiable risk factors may help improve long-term outcomes. This study aimed to identify independent risk factors associated with the development of post-traumatic osteoarthritis (PTOA) following surgical treatment of posterior wall acetabular fractures. A multicenter retrospective cohort study was conducted on 159 patients with isolated posterior wall acetabular fractures treated with open reduction and internal fixation between January 2017 and June 2023. All patients had a minimum of 24 months of clinical and radiographic follow-up. Univariate and multivariate logistic regression were used to analyze potential risk factors. The overall incidence of PTOA was 23.9%, with a median onset of 18 months after surgery. Multivariate logistic regression analysis identified fracture comminution, joint surface impaction, femoral head necrosis, non-anatomical reduction, posterior wall defect ≥ 50%, and delayed surgical intervention (&gt; 2 weeks) as factors independently associated with an increased risk of PTOA (all p &lt; 0.05). In addition, longer surgical duration was associated with a higher likelihood of PTOA. Multiple factors were independently associated with the development of post-traumatic osteoarthritis following posterior wall acetabular fractures, including fracture comminution, articular surface impaction, reduction quality, femoral head necrosis, posterior wall defect, and delayed surgical intervention. Anatomical reduction and earlier surgery were associated with a lower risk of PTOA in this cohort. These findings may assist in risk stratification and perioperative decision-making.","container-title":"Scientific Reports","DOI":"10.1038/s41598-026-41893-6","ISSN":"2045-2322","issue":"1","journalAbbreviation":"Sci Rep","language":"en","license":"2026 The Author(s)","page":"11210","publisher":"Nature Publishing Group","source":"www.nature.com","title":"Risk factors for post-traumatic osteoarthritis following surgical treatment of acetabular posterior wall fractures: a retrospective study","title-short":"Risk factors for post-traumatic osteoarthritis following surgical treatment of acetabular posterior wall fractures","volume":"16","author":[{"family":"Yuan","given":"Gongwu"},{"family":"Ke","given":"Xi"},{"family":"Lian","given":"Junhong"},{"family":"Wang","given":"Guodong"},{"family":"Lan","given":"Sheng-Hui"},{"family":"Liu","given":"Xi-Ming"}],"issued":{"date-parts":[["2026",2,26]]}}}],"schema":"https://github.com/citation-style-language/schema/raw/master/csl-citation.json"} </w:instrText>
      </w:r>
      <w:r w:rsidR="005A2680">
        <w:fldChar w:fldCharType="separate"/>
      </w:r>
      <w:r w:rsidR="005A2680" w:rsidRPr="005A2680">
        <w:rPr>
          <w:rFonts w:ascii="Calibri" w:hAnsi="Calibri" w:cs="Calibri"/>
        </w:rPr>
        <w:t>(Yuan et al., 2026)</w:t>
      </w:r>
      <w:r w:rsidR="005A2680">
        <w:fldChar w:fldCharType="end"/>
      </w:r>
      <w:r>
        <w:t>. The silent development of avascular necrosis highlights the larger pattern of subclinical injury in sickle cell disease, where pathological alterations significantly surpass clinical manifestations</w:t>
      </w:r>
      <w:r w:rsidR="00F77328">
        <w:t xml:space="preserve"> </w:t>
      </w:r>
      <w:r w:rsidR="005A2680">
        <w:fldChar w:fldCharType="begin"/>
      </w:r>
      <w:r w:rsidR="005A2680">
        <w:instrText xml:space="preserve"> ADDIN ZOTERO_ITEM CSL_CITATION {"citationID":"oyjyiXdN","properties":{"unsorted":false,"formattedCitation":"(Alshurafa et al., 2023)","plainCitation":"(Alshurafa et al., 2023)","noteIndex":0},"citationItems":[{"id":2455,"uris":["http://zotero.org/users/19602067/items/ATVE34V4"],"itemData":{"id":2455,"type":"article-journal","abstract":"Background:\nAvascular necrosis (AVN) is a debilitating complication in sickle cell disease (SCD) patients, and its management is usually challenging. This study aims to evaluate the clinical and epidemiological features and therapeutic options of AVN in sickle cell patients in Qatar.\n\nPatients and methods:\nA cross-sectional study was conducted on a 49 SCD patients who were diagnosed with AVN and attended the hematology clinic at the National Center for Cancer Care &amp; Research, Hamad Medical Corporation, Qatar between Jan-2011 to Jan2021.\n\nResults:\nForty-nine adult patients with SCD who were diagnosed with AVN were studied. The median age of the study population is 32 years, and the median age at the first AVN diagnosis was 26 years (range: 11-44 yr.). 37 (75.5%) patients suffered from multiple joints AVN while 12 (24.5%) had single joint involvement. 31 (63.3%) patients had bilateral hip AVN and 18 (36.7%) had shoulder involvement. 30 patients (61%) were on hydroxyurea treatment. Based on Ficat and Arlet classification of AVN, 57 % of patients had stage III and above at first diagnosis. 20 (40.8%) were managed with a conservative approach, 11 (22.4%) received hyperbaric oxygen with good response, 6 (12.2%) underwent hip core decompression and 12 (24.5%) underwent hip replacement surgery.\n\nConclusion:\nIn SCD patients, AVN occurred more during the 3rd and 4th decades of life. The majority of AVN represented with advanced stage and had multiple joint involvements. We recommend adopting a low threshold of joint imaging for early detection and prevention of further complications. (www.actabiomedica.it)","container-title":"Acta Bio Medica : Atenei Parmensis","DOI":"10.23750/abm.v94i5.14603","ISSN":"0392-4203","issue":"5","journalAbbreviation":"Acta Biomed","page":"e2023198","PMID":"37850770","PMCID":"PMC10644931","source":"PubMed Central","title":"Clinical and epidemiological features and therapeutic options of avascular necrosis in patients with sickle cell disease (SCD): A cross-sectional study","title-short":"Clinical and epidemiological features and therapeutic options of avascular necrosis in patients with sickle cell disease (SCD)","volume":"94","author":[{"family":"Alshurafa","given":"Awni"},{"family":"Soliman","given":"Ashraf T"},{"family":"De Sanctis","given":"Vincenzo"},{"family":"Ismail","given":"Omar"},{"family":"Abu-Tineh","given":"Mohammad"},{"family":"Hemadneh","given":"Mohammad Khair Eddin"},{"family":"Rashid","given":"Farah Rahat"},{"family":"Qasim","given":"Hana"},{"family":"Yassin","given":"Khadra"},{"family":"Nashwan","given":"Abdulqadir Jeprel"},{"family":"Yassin","given":"Mohamed A"}],"issued":{"date-parts":[["2023"]]}}}],"schema":"https://github.com/citation-style-language/schema/raw/master/csl-citation.json"} </w:instrText>
      </w:r>
      <w:r w:rsidR="005A2680">
        <w:fldChar w:fldCharType="separate"/>
      </w:r>
      <w:r w:rsidR="005A2680" w:rsidRPr="005A2680">
        <w:rPr>
          <w:rFonts w:ascii="Calibri" w:hAnsi="Calibri" w:cs="Calibri"/>
        </w:rPr>
        <w:t>(Alshurafa et al., 2023)</w:t>
      </w:r>
      <w:r w:rsidR="005A2680">
        <w:fldChar w:fldCharType="end"/>
      </w:r>
      <w:r>
        <w:t>.</w:t>
      </w:r>
    </w:p>
    <w:p w14:paraId="0F2DFA54" w14:textId="201904F5" w:rsidR="000F7EE6" w:rsidRPr="000F7EE6" w:rsidRDefault="00DF5717" w:rsidP="000F7EE6">
      <w:r>
        <w:t>The structural integrity of the bone is weakened as ischaemic injury worsens, which ultimately leads to joint surface collapse and persistent pain. At this point, joint replacement surgery may be necessary because the condition is frequently irreversible</w:t>
      </w:r>
      <w:r w:rsidR="00F77328">
        <w:t xml:space="preserve"> </w:t>
      </w:r>
      <w:r w:rsidR="007C7471">
        <w:fldChar w:fldCharType="begin"/>
      </w:r>
      <w:r w:rsidR="007C7471">
        <w:instrText xml:space="preserve"> ADDIN ZOTERO_ITEM CSL_CITATION {"citationID":"XjvS1NwE","properties":{"unsorted":false,"formattedCitation":"(Osunkwo et al., 2021)","plainCitation":"(Osunkwo et al., 2021)","noteIndex":0},"citationItems":[{"id":2548,"uris":["http://zotero.org/users/19602067/items/BLFMSR88"],"itemData":{"id":2548,"type":"article-journal","abstract":"Sickle cell disease (SCD) is a genetic disorder, characterized by hemolytic anemia and vaso‐occlusive crises (VOCs). Data on the global SCD impact on quality of life (QoL) from the patient viewpoint are limited. The international Sickle Cell World Assessment Survey (SWAY) aimed to provide insights into patient‐reported impact of SCD on QoL. This cross‐sectional survey of SCD patients enrolled by healthcare professionals and advocacy groups assessed disease impact on daily life, education and work, symptoms, treatment goals, and disease management. Opinions were captured using a Likert scale of 1‐7 for some questions; 5‐7 indicated “high severity/impact.” Two thousand one hundred and forty five patients (mean age 24.7 years [standard deviation (SD) = 13.1], 39% ≤18 years, 52% female) were surveyed from 16 countries (six geographical regions). A substantial proportion of patients reported that SCD caused a high negative impact on emotions (60%) and school achievement (51%) and a reduction in work hours (53%). A mean of 5.3 VOCs (SD = 6.8) was reported over the 12 months prior to survey (median 3.0 [interquartile range 2.0‐6.0]); 24% were managed at home and 76% required healthcare services. Other than VOCs, fatigue was the most commonly reported symptom in the month before survey (65%), graded “high severity” by 67% of patients. Depression and anxiety were reported by 39% and 38% of patients, respectively. The most common patient treatment goal was improving QoL (55%). Findings from SWAY reaffirm that SCD confers a significant burden on patients, epitomized by the high impact on patientsʼ QoL and emotional wellbeing, and the high prevalence of self‐reported VOCs and other symptoms.","container-title":"American Journal of Hematology","DOI":"10.1002/ajh.26063","ISSN":"0361-8609","issue":"4","journalAbbreviation":"Am J Hematol","page":"404-417","PMID":"33264445","PMCID":"PMC8248107","source":"PubMed Central","title":"Impact of sickle cell disease on patientsʼ daily lives, symptoms reported, and disease management strategies: Results from the international Sickle Cell World Assessment Survey (SWAY)","title-short":"Impact of sickle cell disease on patientsʼ daily lives, symptoms reported, and disease management strategies","volume":"96","author":[{"family":"Osunkwo","given":"Ifeyinwa"},{"family":"Andemariam","given":"Biree"},{"family":"Minniti","given":"Caterina P."},{"family":"Inusa","given":"Baba P. D."},{"family":"El Rassi","given":"Fuad"},{"family":"Francis‐Gibson","given":"Beverley"},{"family":"Nero","given":"Alecia"},{"family":"Trimnell","given":"Cassandra"},{"family":"Abboud","given":"Miguel R."},{"family":"Arlet","given":"Jean‐Benoît"},{"family":"Colombatti","given":"Raffaella"},{"family":"Montalembert","given":"Mariane","non-dropping-particle":"de"},{"family":"Jain","given":"Suman"},{"family":"Jastaniah","given":"Wasil"},{"family":"Nur","given":"Erfan"},{"family":"Pita","given":"Marimilia"},{"family":"DeBonnett","given":"Laurie"},{"family":"Ramscar","given":"Nicholas"},{"family":"Bailey","given":"Tom"},{"family":"Rajkovic‐Hooley","given":"Olivera"},{"family":"James","given":"John"}],"issued":{"date-parts":[["2021",4,1]]}}}],"schema":"https://github.com/citation-style-language/schema/raw/master/csl-citation.json"} </w:instrText>
      </w:r>
      <w:r w:rsidR="007C7471">
        <w:fldChar w:fldCharType="separate"/>
      </w:r>
      <w:r w:rsidR="007C7471" w:rsidRPr="007C7471">
        <w:rPr>
          <w:rFonts w:ascii="Calibri" w:hAnsi="Calibri" w:cs="Calibri"/>
        </w:rPr>
        <w:t>(Osunkwo et al., 2021)</w:t>
      </w:r>
      <w:r w:rsidR="007C7471">
        <w:fldChar w:fldCharType="end"/>
      </w:r>
      <w:r>
        <w:t>. The silent development of avascular necrosis highlights the larger pattern of subclinical injury in sickle cell disease, where pathological alterations occur well before clinical manifestations</w:t>
      </w:r>
      <w:r w:rsidR="00F77328">
        <w:t xml:space="preserve"> </w:t>
      </w:r>
      <w:r w:rsidR="007C7471">
        <w:fldChar w:fldCharType="begin"/>
      </w:r>
      <w:r w:rsidR="007C7471">
        <w:instrText xml:space="preserve"> ADDIN ZOTERO_ITEM CSL_CITATION {"citationID":"fkewwOSm","properties":{"unsorted":false,"formattedCitation":"(Chatzidavid et al., 2024)","plainCitation":"(Chatzidavid et al., 2024)","noteIndex":0},"citationItems":[{"id":2417,"uris":["http://zotero.org/users/19602067/items/BD2FBXRF"],"itemData":{"id":2417,"type":"article-journal","abstract":"Pulmonary hypertension (PH) is a progressive and potentially fatal complication of sickle cell disease (SCD), affecting 6–10% of adult SCD patients. Various mechanisms and theories have been evaluated to explain the pathophysiology of this disease. However, questions remain, particularly regarding the clinical heterogeneity of the disease in terms of symptoms, complications, and survival. Beyond the classical mechanisms that have been thoroughly investigated and include hemolysis, nitric oxide availability, endothelial disorders, thrombosis, and left heart failure, attention is currently focused on the potential role of genes involved in such processes. Potential candidate genes are investigated through next-generation sequencing, with the transforming growth factor-beta (TGF-β) pathway being the initial target. This field of research may also provide novel targets for pharmacologic agents in the future, as is already the case with idiopathic PH. The collection and processing of data and samples from multiple centers can yield reliable results that will allow a better understanding of SCD-related PH as a part of the disease’s clinical spectrum. This review attempts to capture the most recent findings of studies on gene polymorphisms that have been associated with PH in SCD patients.","container-title":"International Journal of Molecular Sciences","DOI":"10.3390/ijms25094792","ISSN":"1422-0067","issue":"9","language":"en","license":"http://creativecommons.org/licenses/by/3.0/","page":"4792","publisher":"Multidisciplinary Digital Publishing Institute","source":"www.mdpi.com","title":"Pulmonary Hypertension in Sickle Cell Disease: Novel Findings of Gene Polymorphisms Related to Pathophysiology","title-short":"Pulmonary Hypertension in Sickle Cell Disease","volume":"25","author":[{"family":"Chatzidavid","given":"Sevastianos"},{"family":"Flevari","given":"Pagona"},{"family":"Tombrou","given":"Ioanna"},{"family":"Anastasiadis","given":"Georgios"},{"family":"Dimopoulou","given":"Maria"}],"issued":{"date-parts":[["2024",1]]}}}],"schema":"https://github.com/citation-style-language/schema/raw/master/csl-citation.json"} </w:instrText>
      </w:r>
      <w:r w:rsidR="007C7471">
        <w:fldChar w:fldCharType="separate"/>
      </w:r>
      <w:r w:rsidR="007C7471" w:rsidRPr="007C7471">
        <w:rPr>
          <w:rFonts w:ascii="Calibri" w:hAnsi="Calibri" w:cs="Calibri"/>
        </w:rPr>
        <w:t>(Chatzidavid et al., 2024)</w:t>
      </w:r>
      <w:r w:rsidR="007C7471">
        <w:fldChar w:fldCharType="end"/>
      </w:r>
      <w:r>
        <w:t>.</w:t>
      </w:r>
    </w:p>
    <w:p w14:paraId="71E92102" w14:textId="77777777" w:rsidR="000F7EE6" w:rsidRPr="000F7EE6" w:rsidRDefault="000F7EE6" w:rsidP="000F7EE6">
      <w:pPr>
        <w:rPr>
          <w:b/>
          <w:bCs/>
        </w:rPr>
      </w:pPr>
      <w:r w:rsidRPr="000F7EE6">
        <w:rPr>
          <w:b/>
          <w:bCs/>
        </w:rPr>
        <w:t>Critical Insight</w:t>
      </w:r>
    </w:p>
    <w:p w14:paraId="17A44849" w14:textId="79F0E025" w:rsidR="000F7EE6" w:rsidRPr="000F7EE6" w:rsidRDefault="00DF5717" w:rsidP="000F7EE6">
      <w:r>
        <w:t xml:space="preserve">There is a </w:t>
      </w:r>
      <w:r w:rsidR="00F77328">
        <w:t>recurring motif</w:t>
      </w:r>
      <w:r>
        <w:t xml:space="preserve"> throughout all organ systems. Chronic microvascular dysfunction and hypoxia often cause the early stages of damage to be subclinical. Significant and frequently </w:t>
      </w:r>
      <w:r>
        <w:lastRenderedPageBreak/>
        <w:t>irreversible harm has already been done by the time symptoms appear. As a result of this temporal gap between clinical presentation and pathological progression, symptom-based therapy is fundamentally inadequate. Therefore, to address the actual burden of disease, a move toward proactive identification and early intervention is crucial.</w:t>
      </w:r>
    </w:p>
    <w:p w14:paraId="3EFB07FC" w14:textId="77777777" w:rsidR="000F7EE6" w:rsidRPr="000F7EE6" w:rsidRDefault="000F7EE6" w:rsidP="000F7EE6">
      <w:pPr>
        <w:rPr>
          <w:b/>
          <w:bCs/>
        </w:rPr>
      </w:pPr>
      <w:r w:rsidRPr="000F7EE6">
        <w:rPr>
          <w:b/>
          <w:bCs/>
        </w:rPr>
        <w:t>4. Clinical Detection Gaps</w:t>
      </w:r>
    </w:p>
    <w:p w14:paraId="3F6E20D2" w14:textId="52DB6103" w:rsidR="000F7EE6" w:rsidRPr="000F7EE6" w:rsidRDefault="00EA0789" w:rsidP="000F7EE6">
      <w:r>
        <w:t>Even though sickle cell disease care has advanced, the majority of current clinical frameworks are still focused on identifying and treating acute episodes. Hospitalisations due to infections, acute chest syndrome, and episodes of vaso-occlusive discomfort are given top priority by healthcare systems, especially in situations with limited resources</w:t>
      </w:r>
      <w:r w:rsidR="00291A3B">
        <w:t xml:space="preserve"> </w:t>
      </w:r>
      <w:r w:rsidR="00223781">
        <w:fldChar w:fldCharType="begin"/>
      </w:r>
      <w:r w:rsidR="00223781">
        <w:instrText xml:space="preserve"> ADDIN ZOTERO_ITEM CSL_CITATION {"citationID":"YKkoXKVU","properties":{"unsorted":false,"formattedCitation":"(Mekontso Dessap et al., 2025)","plainCitation":"(Mekontso Dessap et al., 2025)","noteIndex":0},"citationItems":[{"id":2458,"uris":["http://zotero.org/users/19602067/items/WLQIIECK"],"itemData":{"id":2458,"type":"article-journal","abstract":"Forty-two questions were evaluated concerning management of emergencies and critical illnesses in paediatric and adult patients with sickle cell disease. The assessment covered the following areas: patient referral, vaso-occlusive crisis, acute chest syndrome, transfusion therapy, and priapism. The patient referral category included guidelines for admission to intensive care unit and management at specialized reference centers. The vaso-occlusive crisis topic encompassed pain management, hydration, incentive spirometry, and target oxygen saturation levels. For acute chest syndrome, the focus areas included imaging techniques such as lung ultrasound, computed tomography scans, and echocardiography; treatment with systemic corticosteroids; non-invasive ventilation; prophylactic and therapeutic anticoagulation; and procalcitonin and antibiotic therapy. The section on transfusion therapy addressed indications and methods of transfusion, as well as the diagnosis and prediction of delayed hemolytic transfusion reactions. A total of 45 recommendations were proposed, including 14 specific to adults, 13 specific to pediatrics, and 18 applicable to both adults and children, along with three therapeutic algorithms. The Grade of Recommendation Assessment, Development, and Evaluation (GRADE) methodology was adhered to throughout the process. Sixteen recommendations were based on a low level of evidence (GRADE 2+ or 2−), while 26 were based on evidence that could not be classified under the GRADE system and were therefore considered expert opinions. Finally, for three aspects of sickle cell disease management, the experts concluded that no reliable recommendations could be made based on the current state of knowledge. The recommendations and therapeutic algorithms received strong agreement from the experts.","container-title":"Annals of Intensive Care","DOI":"10.1186/s13613-025-01479-3","ISSN":"2110-5820","journalAbbreviation":"Ann Intensive Care","page":"74","PMID":"40439782","PMCID":"PMC12123041","source":"PubMed Central","title":"Guidelines for the management of emergencies and critical illness in pediatric and adult patients with sickle cell disease","volume":"15","author":[{"family":"Mekontso Dessap","given":"Armand"},{"family":"Dauger","given":"Stephane"},{"family":"Khellaf","given":"Mehdi"},{"family":"Agbakou","given":"Maite"},{"family":"Agut","given":"Sophie"},{"family":"Angoulvant","given":"François"},{"family":"Arlet","given":"Jean-Benoît"},{"family":"Aubron","given":"Cécile"},{"family":"Baudin","given":"Florent"},{"family":"Boissier","given":"Florence"},{"family":"Bounaud","given":"Nicolas"},{"family":"Catoire","given":"Pierre"},{"family":"Cecchini","given":"Jérôme"},{"family":"Chaiba","given":"Djamila"},{"family":"Chauvin","given":"Anthony"},{"family":"Chocron","given":"Richard"},{"family":"Douay","given":"Benedicte"},{"family":"Douillet","given":"Delphine"},{"family":"Elenga","given":"Narcisse"},{"family":"Flechelle","given":"Olivier"},{"family":"Gendreau","given":"Ségolène"},{"family":"Goddet","given":"Sybille"},{"family":"Guenezan","given":"Jeremy"},{"family":"Habibi","given":"Anoosha"},{"family":"Heilbronner","given":"Claire"},{"family":"Koehl","given":"Bérengère"},{"family":"Le Borgne","given":"Pierrick"},{"family":"Le Conte","given":"Philippe"},{"family":"Legras","given":"Annick"},{"family":"Levy","given":"Michael"},{"family":"Maitre","given":"Bernard"},{"family":"Oberlin","given":"Mathieu"},{"family":"Oualha","given":"Mehdi"},{"family":"Peschanski","given":"Nicolas"},{"family":"Pirenne","given":"France"},{"family":"Pondarre","given":"Corinne"},{"family":"Rambaud","given":"Jérôme"},{"family":"Razazi","given":"Keyvan"},{"family":"Rousseau","given":"Geoffroy"},{"family":"Schirmann","given":"Aurélie"},{"family":"Thuret","given":"Isabelle"},{"family":"Valentino","given":"Ruddy"},{"family":"Voiriot","given":"Guillaume"},{"family":"Villoing","given":"Barbara"},{"family":"Grimaud","given":"Marion"},{"family":"Jean","given":"Sandrine"}],"issued":{"date-parts":[["2025",5,29]]}}}],"schema":"https://github.com/citation-style-language/schema/raw/master/csl-citation.json"} </w:instrText>
      </w:r>
      <w:r w:rsidR="00223781">
        <w:fldChar w:fldCharType="separate"/>
      </w:r>
      <w:r w:rsidR="00223781" w:rsidRPr="00223781">
        <w:rPr>
          <w:rFonts w:ascii="Calibri" w:hAnsi="Calibri" w:cs="Calibri"/>
        </w:rPr>
        <w:t>(Mekontso Dessap et al., 2025)</w:t>
      </w:r>
      <w:r w:rsidR="00223781">
        <w:fldChar w:fldCharType="end"/>
      </w:r>
      <w:r>
        <w:t>. The gradual, subclinical processes that support long-term organ damage are not well identified or mitigated by this method, even though it addresses immediate morbidity. Due to this, the provision of care is frequently reactive rather than proactive, emphasising clinical crises while ignoring the disease's silent progression</w:t>
      </w:r>
      <w:r w:rsidR="00291A3B">
        <w:t xml:space="preserve"> </w:t>
      </w:r>
      <w:r w:rsidR="00223781">
        <w:fldChar w:fldCharType="begin"/>
      </w:r>
      <w:r w:rsidR="00223781">
        <w:instrText xml:space="preserve"> ADDIN ZOTERO_ITEM CSL_CITATION {"citationID":"xfN1O4ko","properties":{"unsorted":false,"formattedCitation":"(Vlad et al., 2025)","plainCitation":"(Vlad et al., 2025)","noteIndex":0},"citationItems":[{"id":2461,"uris":["http://zotero.org/users/19602067/items/NGU9RD4J"],"itemData":{"id":2461,"type":"article-journal","abstract":"Background: Rheumatoid arthritis (RA) is a chronic autoimmune disease characterised by systemic inflammation and the progressive damage of joints, significantly impacting patients’ quality of life. Managing this condition requires a complex approach that integrates pharmacological and non-pharmacological therapies, alongside psychosocial support and patient education. Aim: This study aims to highlight the importance of an interdisciplinary approach in the treatment of rheumatoid arthritis, focusing on the role of pharmacological therapies, monitoring treatment response, and the involvement of a multidisciplinary team in the effective management of the disease. Methods: The analysis was based on a review of the specialised literature concerning the role of disease-modifying antirheumatic drugs (DMARDs, both conventional and biological), the use of inflammatory markers (CRP and ESR), advanced imaging techniques, and the contribution of various medical specialities to the holistic management of rheumatoid arthritis. A total of 595,900 records were identified, of which 53 studies were ultimately included in the detailed analysis. Relevant studies from fields such as rheumatology, nutrition, psychology, and physical therapy were included. Results: The findings underline that DMARDs, in combination with other pharmacological therapies, remain essential for slowing disease progression. Monitoring treatment response through inflammatory markers and imaging techniques allows for the adjustment of therapeutic strategies and the prevention of complications. An interdisciplinary approach, involving the rheumatologist, general practitioner, physiotherapist, nutritionist, and psychologist, provides significant benefits, such as reducing inflammation, improving joint function, and offering psychosocial support. Conclusions: The effective management of rheumatoid arthritis requires a personalised interdisciplinary approach. Integrating various specialities, along with patient education and psychosocial support, contributes to better disease management, the prevention of disabilities, and improved quality of life. This review is not registered.","container-title":"Clinics and Practice","DOI":"10.3390/clinpract15060103","ISSN":"2039-7283","issue":"6","language":"en","license":"http://creativecommons.org/licenses/by/3.0/","page":"103","publisher":"Multidisciplinary Digital Publishing Institute","source":"www.mdpi.com","title":"Where Do We Stand in the Management of Rheumatoid Arthritis Ahead of EULAR/ACR 2025?","volume":"15","author":[{"family":"Vlad","given":"Adriana Liliana"},{"family":"Popazu","given":"Corina"},{"family":"Lescai","given":"Alina-Maria"},{"family":"Voinescu","given":"Doina Carina"},{"family":"Baltă","given":"Alexia Anastasia Ștefania"}],"issued":{"date-parts":[["2025",6]]}}}],"schema":"https://github.com/citation-style-language/schema/raw/master/csl-citation.json"} </w:instrText>
      </w:r>
      <w:r w:rsidR="00223781">
        <w:fldChar w:fldCharType="separate"/>
      </w:r>
      <w:r w:rsidR="00223781" w:rsidRPr="00223781">
        <w:rPr>
          <w:rFonts w:ascii="Calibri" w:hAnsi="Calibri" w:cs="Calibri"/>
        </w:rPr>
        <w:t>(Vlad et al., 2025)</w:t>
      </w:r>
      <w:r w:rsidR="00223781">
        <w:fldChar w:fldCharType="end"/>
      </w:r>
      <w:r>
        <w:t>.</w:t>
      </w:r>
    </w:p>
    <w:p w14:paraId="7EEDDCB2" w14:textId="4D5FB32A" w:rsidR="000F7EE6" w:rsidRPr="000F7EE6" w:rsidRDefault="00EA0789" w:rsidP="000F7EE6">
      <w:r>
        <w:t>There are large gaps in early identification due to this acute care paradigm. The underutilisation of sophisticated imaging modalities for routine surveillance is one of the most notable lost opportunities. For instance, magnetic resonance imaging of the brain has proven to be highly sensitive in identifying silent cerebral infarcts, although it is not always included in routine monitoring procedures</w:t>
      </w:r>
      <w:r w:rsidR="00291A3B">
        <w:t xml:space="preserve"> </w:t>
      </w:r>
      <w:r w:rsidR="00774B15">
        <w:fldChar w:fldCharType="begin"/>
      </w:r>
      <w:r w:rsidR="00774B15">
        <w:instrText xml:space="preserve"> ADDIN ZOTERO_ITEM CSL_CITATION {"citationID":"507GnCsZ","properties":{"unsorted":false,"formattedCitation":"(Luc\\uc0\\u224{} et al., 2026)","plainCitation":"(Lucà et al., 2026)","noteIndex":0},"citationItems":[{"id":2467,"uris":["http://zotero.org/users/19602067/items/AS2GC7GM"],"itemData":{"id":2467,"type":"article-journal","abstract":"Stroke is a major global health concern, particularly among the elderly, who frequently present with multiple comorbidities, most notably cardiovascular diseases. Importantly, atrial fibrillation confers a nearly fivefold increase in stroke risk and accounts for up to one-quarter of ischemic strokes in older adults. Stroke is a neurological disease characterised by a strong cardiovascular interplay, and its multifactorial nature requires an integrated preventive approach. This review focuses on primary and secondary prevention in this population, with a frailty-informed perspective. We synthesise evidence on blood pressure control, lipid-lowering (including LDL-C targets), glycemic management, and antithrombotic strategies—particularly oral anticoagulation for atrial fibrillation—as well as the role of frailty indices in guiding individualised risk–benefit decisions. We also discuss practical care pathways, including structured post-discharge programs, continuity of care, and the need for multidisciplinary collaboration involving cardiologists, neurologists, and primary care. We highlight how frailty indices refine risk–benefit assessments without justifying therapeutic nihilism, and how sex- and age-related factors shape treatment effectiveness and safety. By narrowing scope and emphasising practical, multidisciplinary prevention strategies, this review aims to support clinicians in reducing recurrent events, disability, and mortality in very old patients. Future work should prioritise pragmatic trials, including those involving the oldest old and the use of standardised frailty metrics, to inform prevention decisions.","container-title":"Neurology International","DOI":"10.3390/neurolint18020036","ISSN":"2035-8377","issue":"2","language":"en","license":"http://creativecommons.org/licenses/by/3.0/","page":"36","publisher":"Multidisciplinary Digital Publishing Institute","source":"www.mdpi.com","title":"Primary and Secondary Prevention of Ischemic Stroke in Elderly Patients with Cardiovascular Disease: The Role of Frailty and Care Pathways","title-short":"Primary and Secondary Prevention of Ischemic Stroke in Elderly Patients with Cardiovascular Disease","volume":"18","author":[{"family":"Lucà","given":"Fabiana"},{"family":"Ceravolo","given":"Roberto"},{"family":"Gulizia","given":"Michele Massimo"},{"family":"Gelsomino","given":"Sandro"},{"family":"Rao","given":"Carmelo Massimiliano"},{"family":"Ingianni","given":"Nadia"},{"family":"Vitale","given":"Giuseppina"},{"family":"Geraci","given":"Giovanna"},{"family":"Iacovoni","given":"Attilio"},{"family":"Scicchitano","given":"Pietro"},{"family":"Murrone","given":"Adriano"},{"family":"Bilato","given":"Claudio"},{"family":"Guasti","given":"Luigina"},{"family":"Colivicchi","given":"Furio"},{"family":"Oliva","given":"Fabrizio"},{"family":"Nardi","given":"Federico"},{"family":"Grimaldi","given":"Massimo"},{"family":"Parrini","given":"Iris"}],"issued":{"date-parts":[["2026",2]]}}}],"schema":"https://github.com/citation-style-language/schema/raw/master/csl-citation.json"} </w:instrText>
      </w:r>
      <w:r w:rsidR="00774B15">
        <w:fldChar w:fldCharType="separate"/>
      </w:r>
      <w:r w:rsidR="00774B15" w:rsidRPr="00774B15">
        <w:rPr>
          <w:rFonts w:ascii="Calibri" w:hAnsi="Calibri" w:cs="Calibri"/>
          <w:kern w:val="0"/>
        </w:rPr>
        <w:t>(Lucà et al., 2026)</w:t>
      </w:r>
      <w:r w:rsidR="00774B15">
        <w:fldChar w:fldCharType="end"/>
      </w:r>
      <w:r>
        <w:t>. A significant percentage of people with subclinical injury are excluded from neuroimaging in many clinical settings because it is only used for patients with overt neurological symptoms. Similar to this, early organ malfunction detection is hampered by the lack of organised biomarker surveillance. Nephropathy can go undetected because indicators like microalbuminuria, which indicate early renal impairment, are not consistently evaluated</w:t>
      </w:r>
      <w:r w:rsidR="00291A3B">
        <w:t xml:space="preserve"> </w:t>
      </w:r>
      <w:r w:rsidR="00223781">
        <w:fldChar w:fldCharType="begin"/>
      </w:r>
      <w:r w:rsidR="00223781">
        <w:instrText xml:space="preserve"> ADDIN ZOTERO_ITEM CSL_CITATION {"citationID":"XiNwemnK","properties":{"unsorted":false,"formattedCitation":"(Ki et al., 2025)","plainCitation":"(Ki et al., 2025)","noteIndex":0},"citationItems":[{"id":2464,"uris":["http://zotero.org/users/19602067/items/HGA3EQPL"],"itemData":{"id":2464,"type":"article-journal","abstract":"Cancer and aging are two distinct biological processes with shared cellular pathways, such as cellular senescence, DNA damage repair, and metabolic reprogramming. However, the outcomes of these processes differ in terms of proliferation. Understanding biomarkers related to aging and cancer opens a pathway for therapeutic interventions and more effective prevention, detection, and treatment strategies. Biomarkers, ranging from molecular to phenotypic indicators, play an important role in early detection, risk assessment, and prognosis in this endeavor. This review comprehensively examines key biomarkers associated with cancer and aging, highlighting their importance in early diagnostic strategies. The review discusses recent advances in biomarker-based diagnostic technologies, such as liquid biopsy, multi-omics integration, and artificial intelligence, and emphasizes their novel potential for early detection, accurate risk assessment, and personalized therapeutic interventions in cancer and aging science. We also explore the current state of biosensor development and clinical application cases. Finally, we discuss the limitations of current early diagnostic methods and propose future research directions to enhance biomarker-based diagnostic technologies.","container-title":"Biosensors","DOI":"10.3390/bios15110737","ISSN":"2079-6374","issue":"11","language":"en","license":"http://creativecommons.org/licenses/by/3.0/","page":"737","publisher":"Multidisciplinary Digital Publishing Institute","source":"www.mdpi.com","title":"Cancer and Aging Biomarkers: Classification, Early Detection Technologies and Emerging Research Trends","title-short":"Cancer and Aging Biomarkers","volume":"15","author":[{"family":"Ki","given":"Mi-Ran"},{"family":"Kim","given":"Dong Hyun"},{"family":"Abdelhamid","given":"Mohamed A. A."},{"family":"Pack","given":"Seung Pil"}],"issued":{"date-parts":[["2025",11]]}}}],"schema":"https://github.com/citation-style-language/schema/raw/master/csl-citation.json"} </w:instrText>
      </w:r>
      <w:r w:rsidR="00223781">
        <w:fldChar w:fldCharType="separate"/>
      </w:r>
      <w:r w:rsidR="00223781" w:rsidRPr="00223781">
        <w:rPr>
          <w:rFonts w:ascii="Calibri" w:hAnsi="Calibri" w:cs="Calibri"/>
        </w:rPr>
        <w:t>(Ki et al., 2025)</w:t>
      </w:r>
      <w:r w:rsidR="00223781">
        <w:fldChar w:fldCharType="end"/>
      </w:r>
      <w:r>
        <w:t>.</w:t>
      </w:r>
    </w:p>
    <w:p w14:paraId="063892A7" w14:textId="3F06B326" w:rsidR="000F7EE6" w:rsidRPr="000F7EE6" w:rsidRDefault="00EA0789" w:rsidP="000F7EE6">
      <w:r>
        <w:t>This issue is worsened by the underutilisation of recognised screening instruments. An efficient, non-invasive technique for measuring cerebral blood flow velocity and identifying kids who are more likely to have a stroke is transcranial Doppler ultrasound</w:t>
      </w:r>
      <w:r w:rsidR="00291A3B">
        <w:t xml:space="preserve"> </w:t>
      </w:r>
      <w:r w:rsidR="00774B15">
        <w:fldChar w:fldCharType="begin"/>
      </w:r>
      <w:r w:rsidR="00774B15">
        <w:instrText xml:space="preserve"> ADDIN ZOTERO_ITEM CSL_CITATION {"citationID":"mFZlldou","properties":{"unsorted":false,"formattedCitation":"(Gunda et al., 2024)","plainCitation":"(Gunda et al., 2024)","noteIndex":0},"citationItems":[{"id":2469,"uris":["http://zotero.org/users/19602067/items/JI56IBHK"],"itemData":{"id":2469,"type":"article-journal","abstract":"The early and accurate stratification of intracranial cerebral artery stenosis (ICAS) is critical to inform treatment management and enhance the prognostic outcomes in patients with cerebrovascular disease (CVD). Digital subtraction angiography (DSA) is an invasive and expensive procedure but is the gold standard for the diagnosis of ICAS. Over recent years, transcranial color-coded Doppler ultrasound (TCCD) has been suggested to be a useful imaging method for accurately diagnosing ICAS. However, the diagnostic accuracy of TCCD in stratifying ICASs among patients with CVD remains unclear. Therefore, this systematic review and meta-analysis aimed at evaluating the diagnostic accuracy of TCCD in the stratification of intracranial steno-occlusions among CVD patients. A total of six databases—Embase, CINAHL, Medline, PubMed, Google Scholar, and Web of Science (core collection)—were searched for studies that assessed the diagnostic accuracy of TCCD in stratifying ICASs. The meta-analysis was performed using Meta-DiSc 1.4. The Quality Assessment of Diagnostic Accuracy Studies tool version 2 (QUADAS-2) assessed the risk of bias. Eighteen studies met all of the eligibility criteria. TCCD exhibited a high pooled diagnostic accuracy in stratifying intracranial steno-occlusions in patients presenting with CVD when compared to DSA as a reference standard (sensitivity = 90%; specificity = 87%; AUC = 97%). Additionally, the ultrasound parameters peak systolic velocity (PSV) and mean flow velocity (MFV) yielded a comparable diagnostic accuracy of “AUC = 0.96”. In conclusion, TCCD could be a noble, safe, and accurate alternative imaging technique to DSA that can provide useful diagnostic information in stratifying intracranial steno-occlusions in patients presenting with CVD. TCCD should be considered in clinical cases where access to DSA is limited.","container-title":"Journal of Clinical Medicine","DOI":"10.3390/jcm13051507","ISSN":"2077-0383","issue":"5","journalAbbreviation":"J Clin Med","page":"1507","PMID":"38592335","PMCID":"PMC10934108","source":"PubMed Central","title":"The Diagnostic Accuracy of Transcranial Color-Coded Doppler Ultrasound Technique in Stratifying Intracranial Cerebral Artery Stenoses in Cerebrovascular Disease Patients: A Systematic Review and Meta-Analysis","title-short":"The Diagnostic Accuracy of Transcranial Color-Coded Doppler Ultrasound Technique in Stratifying Intracranial Cerebral Artery Stenoses in Cerebrovascular Disease Patients","volume":"13","author":[{"family":"Gunda","given":"Simon Takadiyi"},{"family":"Yip","given":"Jerica Hiu-Yui"},{"family":"Ng","given":"Veronica Tsam-Kit"},{"family":"Chen","given":"Ziman"},{"family":"Han","given":"Xinyang"},{"family":"Chen","given":"Xiangyan"},{"family":"Pang","given":"Marco Yiu-Chung"},{"family":"Ying","given":"Michael Tin-Cheung"}],"issued":{"date-parts":[["2024",3,5]]}}}],"schema":"https://github.com/citation-style-language/schema/raw/master/csl-citation.json"} </w:instrText>
      </w:r>
      <w:r w:rsidR="00774B15">
        <w:fldChar w:fldCharType="separate"/>
      </w:r>
      <w:r w:rsidR="00774B15" w:rsidRPr="00774B15">
        <w:rPr>
          <w:rFonts w:ascii="Calibri" w:hAnsi="Calibri" w:cs="Calibri"/>
        </w:rPr>
        <w:t>(Gunda et al., 2024)</w:t>
      </w:r>
      <w:r w:rsidR="00774B15">
        <w:fldChar w:fldCharType="end"/>
      </w:r>
      <w:r>
        <w:t>. Implementation remains inconsistent despite its demonstrated benefits, especially outside of specialised centers. Similar gaps occur in the monitoring of cardiopulmonary and renal function, where the absence of standardised screening frameworks frequently results in early physiological alterations going undetected</w:t>
      </w:r>
      <w:r w:rsidR="00291A3B">
        <w:t xml:space="preserve"> </w:t>
      </w:r>
      <w:r w:rsidR="00774B15">
        <w:fldChar w:fldCharType="begin"/>
      </w:r>
      <w:r w:rsidR="00774B15">
        <w:instrText xml:space="preserve"> ADDIN ZOTERO_ITEM CSL_CITATION {"citationID":"fZT1h5fx","properties":{"unsorted":false,"formattedCitation":"(Alobaidi, 2025)","plainCitation":"(Alobaidi, 2025)","noteIndex":0},"citationItems":[{"id":2472,"uris":["http://zotero.org/users/19602067/items/TTAA5A9N"],"itemData":{"id":2472,"type":"article-journal","abstract":"Chronic kidney disease (CKD) remains a significant global health burden, often diagnosed at advanced stages due to the limitations of traditional biomarkers such as serum creatinine and estimated glomerular filtration rate (eGFR). This review aims to critically evaluate recent advancements in novel biomarkers, multi-omics technologies, and artificial intelligence (AI)-driven diagnostic strategies, specifically addressing existing gaps in early CKD detection and personalized patient management. We specifically explore key advancements in CKD diagnostics, focusing on emerging biomarkers—including neutrophil gelatinase-associated lipocalin (NGAL), kidney injury molecule-1 (KIM-1), soluble urokinase plasminogen activator receptor (suPAR), and cystatin C—and their clinical applications. Additionally, multi-omics approaches integrating genomics, proteomics, metabolomics, and transcriptomics are reshaping disease classification and prognosis. Artificial intelligence (AI)-driven predictive models further enhance diagnostic accuracy, enabling real-time risk assessment and treatment optimization. Despite these innovations, challenges remain in biomarker standardization, large-scale validation, and integration into clinical practice. Future research should focus on refining multi-biomarker panels, improving assay standardization, and facilitating the clinical adoption of precision-driven diagnostics. By leveraging these advancements, CKD diagnostics can transition toward earlier intervention, individualized therapy, and improved patient outcomes.","container-title":"Diagnostics","DOI":"10.3390/diagnostics15101225","ISSN":"2075-4418","issue":"10","journalAbbreviation":"Diagnostics (Basel)","page":"1225","PMID":"40428218","PMCID":"PMC12110191","source":"PubMed Central","title":"Emerging Biomarkers and Advanced Diagnostics in Chronic Kidney Disease: Early Detection Through Multi-Omics and AI","title-short":"Emerging Biomarkers and Advanced Diagnostics in Chronic Kidney Disease","volume":"15","author":[{"family":"Alobaidi","given":"Sami"}],"issued":{"date-parts":[["2025",5,13]]}}}],"schema":"https://github.com/citation-style-language/schema/raw/master/csl-citation.json"} </w:instrText>
      </w:r>
      <w:r w:rsidR="00774B15">
        <w:fldChar w:fldCharType="separate"/>
      </w:r>
      <w:r w:rsidR="00774B15" w:rsidRPr="00774B15">
        <w:rPr>
          <w:rFonts w:ascii="Calibri" w:hAnsi="Calibri" w:cs="Calibri"/>
        </w:rPr>
        <w:t>(Alobaidi, 2025)</w:t>
      </w:r>
      <w:r w:rsidR="00774B15">
        <w:fldChar w:fldCharType="end"/>
      </w:r>
      <w:r>
        <w:t>.</w:t>
      </w:r>
    </w:p>
    <w:p w14:paraId="435EB90E" w14:textId="2B4FA83D" w:rsidR="000F7EE6" w:rsidRPr="000F7EE6" w:rsidRDefault="00EA0789" w:rsidP="000F7EE6">
      <w:r>
        <w:t>These shortcomings are indicative of a more general constraint in the way the condition progression is conceptualised. The burden of silent injury is often underestimated by current clinical models, which link illness severity with the frequency and intensity of acute symptoms</w:t>
      </w:r>
      <w:r w:rsidR="00291A3B">
        <w:t xml:space="preserve"> </w:t>
      </w:r>
      <w:r w:rsidR="00774B15">
        <w:fldChar w:fldCharType="begin"/>
      </w:r>
      <w:r w:rsidR="00774B15">
        <w:instrText xml:space="preserve"> ADDIN ZOTERO_ITEM CSL_CITATION {"citationID":"YqchjECO","properties":{"unsorted":false,"formattedCitation":"(Saceleanu et al., 2023)","plainCitation":"(Saceleanu et al., 2023)","noteIndex":0},"citationItems":[{"id":2475,"uris":["http://zotero.org/users/19602067/items/XYKM3W7F"],"itemData":{"id":2475,"type":"article-journal","abstract":"Among the high prevalence of cerebrovascular diseases nowadays, acute ischemic stroke stands out, representing a significant worldwide health issue with important socio-economic implications. Prompt diagnosis and intervention are important milestones for the management of this multifaceted pathology, making understanding the various stroke-onset symptoms crucial. A key role in acute ischemic stroke management is emphasizing the essential role of a multi-disciplinary team, therefore, increasing the efficiency of recognition and treatment. Neuroimaging and neuroradiology have evolved dramatically over the years, with multiple approaches that provide a higher understanding of the morphological aspects as well as timely recognition of cerebral artery occlusions for effective therapy planning. Regarding the treatment matter, the pharmacological approach, particularly fibrinolytic therapy, has its merits and challenges. Endovascular thrombectomy, a game-changer in stroke management, has witnessed significant advances, with technologies like stent retrievers and aspiration catheters playing pivotal roles. For select patients, combining pharmacological and endovascular strategies offers evidence-backed benefits. The aim of our comprehensive study on acute ischemic stroke is to efficiently compare the current therapies, recognize novel possibilities from the literature, and describe the state of the art in the interdisciplinary approach to acute ischemic stroke. As we aspire for holistic patient management, the emphasis is not just on medical intervention but also on physical therapy, mental health, and community engagement. The future holds promising innovations, with artificial intelligence poised to reshape stroke diagnostics and treatments. Bridging the gap between groundbreaking research and clinical practice remains a challenge, urging continuous collaboration and research.","container-title":"Biomedicines","DOI":"10.3390/biomedicines11102617","ISSN":"2227-9059","issue":"10","journalAbbreviation":"Biomedicines","page":"2617","PMID":"37892991","PMCID":"PMC10604797","source":"PubMed Central","title":"Integrative Approaches in Acute Ischemic Stroke: From Symptom Recognition to Future Innovations","title-short":"Integrative Approaches in Acute Ischemic Stroke","volume":"11","author":[{"family":"Saceleanu","given":"Vicentiu Mircea"},{"family":"Toader","given":"Corneliu"},{"family":"Ples","given":"Horia"},{"family":"Covache-Busuioc","given":"Razvan-Adrian"},{"family":"Costin","given":"Horia Petre"},{"family":"Bratu","given":"Bogdan-Gabriel"},{"family":"Dumitrascu","given":"David-Ioan"},{"family":"Bordeianu","given":"Andrei"},{"family":"Corlatescu","given":"Antonio Daniel"},{"family":"Ciurea","given":"Alexandru Vlad"}],"issued":{"date-parts":[["2023",9,23]]}}}],"schema":"https://github.com/citation-style-language/schema/raw/master/csl-citation.json"} </w:instrText>
      </w:r>
      <w:r w:rsidR="00774B15">
        <w:fldChar w:fldCharType="separate"/>
      </w:r>
      <w:r w:rsidR="00774B15" w:rsidRPr="00774B15">
        <w:rPr>
          <w:rFonts w:ascii="Calibri" w:hAnsi="Calibri" w:cs="Calibri"/>
        </w:rPr>
        <w:t>(Saceleanu et al., 2023)</w:t>
      </w:r>
      <w:r w:rsidR="00774B15">
        <w:fldChar w:fldCharType="end"/>
      </w:r>
      <w:r>
        <w:t xml:space="preserve">. The cumulative nature of microvascular injury, which progresses independently of obvious clinical episodes, is not taken into consideration by this method. As a </w:t>
      </w:r>
      <w:r>
        <w:lastRenderedPageBreak/>
        <w:t>result, many patients have advanced organ dysfunction when they are diagnosed, with few treatment options and unsatisfactory results</w:t>
      </w:r>
      <w:r w:rsidR="00291A3B">
        <w:t xml:space="preserve"> </w:t>
      </w:r>
      <w:r w:rsidR="00774B15">
        <w:fldChar w:fldCharType="begin"/>
      </w:r>
      <w:r w:rsidR="00774B15">
        <w:instrText xml:space="preserve"> ADDIN ZOTERO_ITEM CSL_CITATION {"citationID":"GIp4cn54","properties":{"unsorted":false,"formattedCitation":"(Feuer et al., 2022)","plainCitation":"(Feuer et al., 2022)","noteIndex":0},"citationItems":[{"id":2478,"uris":["http://zotero.org/users/19602067/items/RHX2LRT9"],"itemData":{"id":2478,"type":"article-journal","abstract":"Microvascular dysfunction describes a varied set of conditions which includes vessel destruction, abnormal vasoreactivity, in situ thrombosis, and fibrosis which ultimately results in tissue damage and progressive organ failure. Microvascular dysfunction has a wide array of clinical presentations, ranging from ischemic heart disease to renal failure, stroke, blindness, pulmonary arterial hypertension, and dementia. An intriguing unifying hypothesis suggests that microvascular dysfunction of specific organs is an expression of a systemic illness that worsens with age and is accelerated by vascular risk factors. Studying relationships across a spectrum of microvascular diseases affecting the brain, retina, kidney, lung, and heart may uncover shared pathologic mechanisms that could inform novel treatment strategies. We review the evidence that supports the notion that MVD represents a global pathologic process. Our focus is on studies reporting concomitant microvascular dysfunction of the heart with that of the brain, kidney, retina, and lung.","container-title":"The American journal of medicine","DOI":"10.1016/j.amjmed.2022.04.006","ISSN":"0002-9343","issue":"9","journalAbbreviation":"Am J Med","page":"1059-1068","PMID":"35472396","PMCID":"PMC9427712","source":"PubMed Central","title":"Microvascular dysfunction as a systemic disease: A review of the evidence","title-short":"Microvascular dysfunction as a systemic disease","volume":"135","author":[{"family":"Feuer","given":"Daniel S."},{"family":"Handberg","given":"Eileen M."},{"family":"Mehrad","given":"Borna"},{"family":"Wei","given":"Janet"},{"family":"Merz","given":"C. Noel Bairey"},{"family":"Pepine","given":"Carl J."},{"family":"Keeley","given":"Ellen C."}],"issued":{"date-parts":[["2022",9]]}}}],"schema":"https://github.com/citation-style-language/schema/raw/master/csl-citation.json"} </w:instrText>
      </w:r>
      <w:r w:rsidR="00774B15">
        <w:fldChar w:fldCharType="separate"/>
      </w:r>
      <w:r w:rsidR="00774B15" w:rsidRPr="00774B15">
        <w:rPr>
          <w:rFonts w:ascii="Calibri" w:hAnsi="Calibri" w:cs="Calibri"/>
        </w:rPr>
        <w:t>(Feuer et al., 2022)</w:t>
      </w:r>
      <w:r w:rsidR="00774B15">
        <w:fldChar w:fldCharType="end"/>
      </w:r>
      <w:r>
        <w:t>.</w:t>
      </w:r>
    </w:p>
    <w:p w14:paraId="23EE2441" w14:textId="5B37A35D" w:rsidR="000F7EE6" w:rsidRPr="000F7EE6" w:rsidRDefault="00EA0789" w:rsidP="000F7EE6">
      <w:r>
        <w:t>The main implication is that current clinical paradigms identify organ damage when it is often irreversible and already entrenched. Proactive, long-term monitoring approaches that incorporate imaging, biomarkers, and functional evaluations are required to overcome this constraint</w:t>
      </w:r>
      <w:r w:rsidR="00291A3B">
        <w:t xml:space="preserve"> </w:t>
      </w:r>
      <w:r w:rsidR="00774B15">
        <w:fldChar w:fldCharType="begin"/>
      </w:r>
      <w:r w:rsidR="00774B15">
        <w:instrText xml:space="preserve"> ADDIN ZOTERO_ITEM CSL_CITATION {"citationID":"iYc0zkSK","properties":{"unsorted":false,"formattedCitation":"(Bodaghi et al., 2023)","plainCitation":"(Bodaghi et al., 2023)","noteIndex":0},"citationItems":[{"id":2481,"uris":["http://zotero.org/users/19602067/items/RKFJD87Z"],"itemData":{"id":2481,"type":"article-journal","abstract":"The use of biomarkers as early warning systems in the evaluation of disease risk has increased markedly in the last decade. Biomarkers are indicators of typical biological processes, pathogenic processes, or pharmacological reactions to therapy. The application and identification of biomarkers in the medical and clinical fields have an enormous impact on society. In this review, we discuss the history, various definitions, classifications, characteristics, and discovery of biomarkers. Furthermore, the potential application of biomarkers in the diagnosis, prognosis, and treatment of various diseases over the last decade are reviewed. The present review aims to inspire readers to explore new avenues in biomarker research and development.","container-title":"Heliyon","DOI":"10.1016/j.heliyon.2023.e13323","ISSN":"2405-8440","issue":"2","journalAbbreviation":"Heliyon","page":"e13323","PMID":"36744065","PMCID":"PMC9884646","source":"PubMed Central","title":"Biomarkers: Promising and valuable tools towards diagnosis, prognosis and treatment of Covid-19 and other diseases","title-short":"Biomarkers","volume":"9","author":[{"family":"Bodaghi","given":"Ali"},{"family":"Fattahi","given":"Nadia"},{"family":"Ramazani","given":"Ali"}],"issued":{"date-parts":[["2023",1,30]]}}}],"schema":"https://github.com/citation-style-language/schema/raw/master/csl-citation.json"} </w:instrText>
      </w:r>
      <w:r w:rsidR="00774B15">
        <w:fldChar w:fldCharType="separate"/>
      </w:r>
      <w:r w:rsidR="00774B15" w:rsidRPr="00774B15">
        <w:rPr>
          <w:rFonts w:ascii="Calibri" w:hAnsi="Calibri" w:cs="Calibri"/>
        </w:rPr>
        <w:t>(Bodaghi et al., 2023)</w:t>
      </w:r>
      <w:r w:rsidR="00774B15">
        <w:fldChar w:fldCharType="end"/>
      </w:r>
      <w:r>
        <w:t>. An earlier detection of subclinical injury and a window for intervention prior to permanent damage would be made possible by such an approach. Without this change, improvements made in the treatment of acute complications would continue to be undermined by the quiet burden of disease</w:t>
      </w:r>
      <w:r w:rsidR="00291A3B">
        <w:t xml:space="preserve"> </w:t>
      </w:r>
      <w:r w:rsidR="00B71C12">
        <w:fldChar w:fldCharType="begin"/>
      </w:r>
      <w:r w:rsidR="00B71C12">
        <w:instrText xml:space="preserve"> ADDIN ZOTERO_ITEM CSL_CITATION {"citationID":"DxPqziyM","properties":{"unsorted":false,"formattedCitation":"(Mata-Lima et al., 2026)","plainCitation":"(Mata-Lima et al., 2026)","noteIndex":0},"citationItems":[{"id":2484,"uris":["http://zotero.org/users/19602067/items/78CPJSDI"],"itemData":{"id":2484,"type":"article-journal","abstract":"Background: Chronic kidney disease (CKD) and end-stage renal disease (ESRD) represent a growing global health burden, affecting nearly one in ten adults worldwide. CKD is associated with high morbidity, premature mortality, reduced quality of life and enormous healthcare costs, and is primarily driven by dialysis and kidney transplantation. The silent and progressive nature of CKD means that most patients are diagnosed late, when irreversible damage has already occurred and costly kidney replacement therapies (KRT) become necessary. Dialysis services are resource-intensive, requiring significant infrastructure, specialized staff, and consumables, which makes them especially challenging to sustain in low- and middle-income countries. Traditional models of nephrology, care center-based dialysis and fragmented follow-up are increasingly inadequate in meeting the demands of a rising CKD population. These challenges highlight the urgent need for innovative approaches that enhance efficiency, improve patient outcomes, and expand access. Objective: This review aims to analyze the current landscape of information and communication technology (ICT) applications in nephrology and to evaluate how digital innovations are reconfiguring kidney therapy. Specifically, it seeks to identify the major ICT tools that are currently in use, assess their clinical and operational impact, and discuss their role in creating more sustainable, patient-centered kidney care models. This study reviews and analyzes ICT tools that are reconfiguring nephrology, including remote monitoring, AI, wearables, patient engagement apps and data dashboards. Methods: Narrative and scoping review of recent innovations in nephrology, including remote patient monitoring (RPM), telehealth, artificial intelligence (AI) analytics, wearable sensors, and clinical decision support platforms. Results: ICT tools such as Sharesource, Versia, telenephrology platforms, medical assistant for Chronic Care Service (MACCS), AI-based predictive analytics, wearable devices and patient engagement apps have improved patient outcomes, adherence, and early detection of complications. Key metrics include technique survival, hospitalization rate, patient-reported outcomes, workflow efficiency, and prediction accuracy. The relevant literature describing the potential of digital health technologies, including ICT platforms, artificial intelligence tools, and remote monitoring systems, to transform nephrology care was retrieved and screened for inclusion in this narrative review. Conclusions: ICT has shifted nephrology from reactive to proactive care, enhancing accessibility, patient empowerment and clinical efficiency. Future directions include precision nephrology, fully wearable kidneys, AI integration and large language models for education and triage. Challenges include digital divide, regulatory heterogeneity, cost and the need for long-term evidence.","container-title":"Healthcare","DOI":"10.3390/healthcare14060785","ISSN":"2227-9032","issue":"6","language":"en","license":"http://creativecommons.org/licenses/by/3.0/","page":"785","publisher":"Multidisciplinary Digital Publishing Institute","source":"www.mdpi.com","title":"Leveraging ICT Tools to Improve Kidney Health: A Comprehensive Review of Innovations in Nephrology","title-short":"Leveraging ICT Tools to Improve Kidney Health","volume":"14","author":[{"family":"Mata-Lima","given":"Abel"},{"family":"Serrano-Olmedo","given":"José Javier"},{"family":"Paquete","given":"Ana Rita"}],"issued":{"date-parts":[["2026",1]]}}}],"schema":"https://github.com/citation-style-language/schema/raw/master/csl-citation.json"} </w:instrText>
      </w:r>
      <w:r w:rsidR="00B71C12">
        <w:fldChar w:fldCharType="separate"/>
      </w:r>
      <w:r w:rsidR="00B71C12" w:rsidRPr="00B71C12">
        <w:rPr>
          <w:rFonts w:ascii="Calibri" w:hAnsi="Calibri" w:cs="Calibri"/>
        </w:rPr>
        <w:t>(Mata-Lima et al., 2026)</w:t>
      </w:r>
      <w:r w:rsidR="00B71C12">
        <w:fldChar w:fldCharType="end"/>
      </w:r>
      <w:r>
        <w:t>.</w:t>
      </w:r>
    </w:p>
    <w:p w14:paraId="1CE734B3" w14:textId="77777777" w:rsidR="000F7EE6" w:rsidRPr="000F7EE6" w:rsidRDefault="000F7EE6" w:rsidP="000F7EE6">
      <w:pPr>
        <w:rPr>
          <w:b/>
          <w:bCs/>
        </w:rPr>
      </w:pPr>
      <w:r w:rsidRPr="000F7EE6">
        <w:rPr>
          <w:b/>
          <w:bCs/>
        </w:rPr>
        <w:t>5. Therapeutic Limitations</w:t>
      </w:r>
    </w:p>
    <w:p w14:paraId="6CDD8121" w14:textId="4064E1A3" w:rsidR="000F7EE6" w:rsidRPr="000F7EE6" w:rsidRDefault="00FA3D88" w:rsidP="000F7EE6">
      <w:r>
        <w:t>The management of acute complications in sickle cell disease has significantly improved thanks to therapeutic advancements, although their influence on long-term organ preservation is still minimal</w:t>
      </w:r>
      <w:r w:rsidR="00291A3B">
        <w:t xml:space="preserve"> </w:t>
      </w:r>
      <w:r w:rsidR="007C7471">
        <w:fldChar w:fldCharType="begin"/>
      </w:r>
      <w:r w:rsidR="007C7471">
        <w:instrText xml:space="preserve"> ADDIN ZOTERO_ITEM CSL_CITATION {"citationID":"CI050lNV","properties":{"unsorted":false,"formattedCitation":"(Taher et al., 2025)","plainCitation":"(Taher et al., 2025)","noteIndex":0},"citationItems":[{"id":2311,"uris":["http://zotero.org/users/19602067/items/38LY5IZV"],"itemData":{"id":2311,"type":"article-journal","abstract":"Sickle cell disease (SCD) is an inherited blood disorder marked by the production of abnormal hemoglobin, leading to the distortion—or sickling—of red blood cells. The SCD arises from a single-point mutation that substitutes glutamic acid with valine at the sixth codon of the β-globin chain in hemoglobin. This substitution promotes deoxyhemoglobin aggregation, elevating red blood cell stiffness, and triggering vaso-occlusive and hemolytic repercussions. To explore therapeutic advances in tackling this disease, this review analyzed articles published from January 2015 to January 2025 using the three databases using relevant keywords focusing on SCD and advancement in therapy. It was found that allogeneic hematopoietic stem cell (HSC) transplantation can alleviate symptoms but is limited by a shortage of well-matched donors and immunological challenges. In contrast, autologous gene-modified HSC transplantation via gene therapy offers comparable therapeutic benefits without associated immunological complications. Clinical trials utilizing lentiviral vector-mediated gene insertion have demonstrated promising therapeutic outcomes by preventing hemoglobin aggregation. Emerging gene editing approaches such as CRISPR/Cas9 are expanding treatment options, marking the transition of SCD gene therapy from theoretical concept to clinical application.","container-title":"Frontiers in Pharmacology","DOI":"10.3389/fphar.2025.1630994","ISSN":"1663-9812","journalAbbreviation":"Front Pharmacol","page":"1630994","PMID":"40918513","PMCID":"PMC12411783","source":"PubMed Central","title":"Sickle cell disease: understanding pathophysiology, clinical features and advances in gene therapy approaches","title-short":"Sickle cell disease","volume":"16","author":[{"family":"Taher","given":"Muhammad"},{"family":"Aminondin","given":"Sofea ‘Aisyah"},{"family":"Nasir","given":"Nur Asyilah"},{"family":"Jasmadi","given":"Noor Afiqah"},{"family":"Nizam","given":"Nur Irdeena Nabella"},{"family":"Shahrul","given":"Ilhan Syahmi"},{"family":"Susanti","given":"Deny"},{"family":"Khotib","given":"Junaidi"},{"family":"Faiyazuddin","given":"Md"},{"family":"Widodo","given":"Riyanto Teguh"},{"family":"Haris","given":"Muhammad Salahuddin"}],"issued":{"date-parts":[["2025",8,22]]}}}],"schema":"https://github.com/citation-style-language/schema/raw/master/csl-citation.json"} </w:instrText>
      </w:r>
      <w:r w:rsidR="007C7471">
        <w:fldChar w:fldCharType="separate"/>
      </w:r>
      <w:r w:rsidR="007C7471" w:rsidRPr="007C7471">
        <w:rPr>
          <w:rFonts w:ascii="Calibri" w:hAnsi="Calibri" w:cs="Calibri"/>
        </w:rPr>
        <w:t>(Taher et al., 2025)</w:t>
      </w:r>
      <w:r w:rsidR="007C7471">
        <w:fldChar w:fldCharType="end"/>
      </w:r>
      <w:r>
        <w:t>. Disease-modifying medications, transfusion techniques, and, more recently, curative-intent methods like gene therapy serve as the cornerstones of the contemporary treatment landscape. The silent, gradual processes that cause cumulative organ injury are not particularly intended to be stopped by any of these modalities, even though they all address significant parts of disease biology</w:t>
      </w:r>
      <w:r w:rsidR="00291A3B">
        <w:t xml:space="preserve"> </w:t>
      </w:r>
      <w:r w:rsidR="00D24FBC">
        <w:fldChar w:fldCharType="begin"/>
      </w:r>
      <w:r w:rsidR="00D24FBC">
        <w:instrText xml:space="preserve"> ADDIN ZOTERO_ITEM CSL_CITATION {"citationID":"NCINCSsy","properties":{"unsorted":false,"formattedCitation":"(Sharshakova et al., 2026)","plainCitation":"(Sharshakova et al., 2026)","noteIndex":0},"citationItems":[{"id":2492,"uris":["http://zotero.org/users/19602067/items/NJ424HCT"],"itemData":{"id":2492,"type":"article-journal","abstract":"Injuries and diseases of the peripheral nervous system (PNS) often result in irreversible functional deficits. Current therapeutic approaches demonstrate limited efficacy, which has driven the development of regenerative medicine strategies. This review systematizes contemporary gene and cell therapy approaches aimed at PNS repair and regeneration. Key neurotrophic factors (NGF, BDNF, GDNF, VEGF, etc.) and the molecular mechanisms underlying their regenerative effects are discussed. Gene delivery strategies employing viral and plasmid vectors are analyzed, along with the therapeutic application of various cell populations, including Schwann cells, mesenchymal stromal cells, and derivatives of induced pluripotent stem cells. Particular attention is given to combined gene–cell-based approaches, which enable localized and sustained expression of therapeutic molecules. The integration of advances in genetic engineering, cell biology, and tissue engineering is shaping a new treatment paradigm focused on pathogenetic restoration of nerve tissue. These promising strategies pave the way toward achieving complete functional regeneration following PNS injuries.","container-title":"International Journal of Molecular Sciences","DOI":"10.3390/ijms27052335","ISSN":"1422-0067","issue":"5","language":"en","license":"http://creativecommons.org/licenses/by/3.0/","page":"2335","publisher":"Multidisciplinary Digital Publishing Institute","source":"www.mdpi.com","title":"Contemporary Strategies of Gene and Cell Therapy in the Treatment of Peripheral Nervous System Injuries and Disorders","volume":"27","author":[{"family":"Sharshakova","given":"Alexandra"},{"family":"Solovyeva","given":"Valeriya"},{"family":"Masgutova","given":"Galina"},{"family":"Fattakhova","given":"Alisa"},{"family":"Rizvanov","given":"Albert"},{"family":"Sufianov","given":"Albert"},{"family":"Sufianova","given":"Galina"},{"family":"Masgutov","given":"Ruslan"}],"issued":{"date-parts":[["2026",1]]}}}],"schema":"https://github.com/citation-style-language/schema/raw/master/csl-citation.json"} </w:instrText>
      </w:r>
      <w:r w:rsidR="00D24FBC">
        <w:fldChar w:fldCharType="separate"/>
      </w:r>
      <w:r w:rsidR="00D24FBC" w:rsidRPr="00D24FBC">
        <w:rPr>
          <w:rFonts w:ascii="Calibri" w:hAnsi="Calibri" w:cs="Calibri"/>
        </w:rPr>
        <w:t>(Sharshakova et al., 2026)</w:t>
      </w:r>
      <w:r w:rsidR="00D24FBC">
        <w:fldChar w:fldCharType="end"/>
      </w:r>
      <w:r>
        <w:t>.</w:t>
      </w:r>
    </w:p>
    <w:p w14:paraId="08AFC17B" w14:textId="5143D71F" w:rsidR="000F7EE6" w:rsidRPr="000F7EE6" w:rsidRDefault="00FA3D88" w:rsidP="000F7EE6">
      <w:r>
        <w:t>The cornerstone of pharmacologic management is still hydroxyurea. It improves haematologic parameters, lowers the frequency of vaso-occlusive episodes, and lessens erythrocyte sickling by stimulating foetal haemoglobin synthesis</w:t>
      </w:r>
      <w:r w:rsidR="00291A3B">
        <w:t xml:space="preserve"> </w:t>
      </w:r>
      <w:r w:rsidR="00D24FBC">
        <w:fldChar w:fldCharType="begin"/>
      </w:r>
      <w:r w:rsidR="00D24FBC">
        <w:instrText xml:space="preserve"> ADDIN ZOTERO_ITEM CSL_CITATION {"citationID":"KJoSDfqO","properties":{"unsorted":false,"formattedCitation":"(L\\uc0\\u243{}pez Rubio &amp; Arg\\uc0\\u252{}ello Marina, 2024)","plainCitation":"(López Rubio &amp; Argüello Marina, 2024)","noteIndex":0},"citationItems":[{"id":2494,"uris":["http://zotero.org/users/19602067/items/YXIU6AW9"],"itemData":{"id":2494,"type":"article-journal","abstract":"Despite advancements in treatment of sickle cell disease (SCD), hydroxyurea, a ribonucleotide reductase inhibitor, remains the cornerstone of therapy. While its primary effect is the elevation of fetal hemoglobin (HbF), hydroxyurea’s mechanisms of action are multifaceted. Hydroxyurea (HU) reduces leukocyte and platelet counts, decreases the expression of endothelial adhesion molecules CD36 and CD49d, and increases nitric oxide and cyclic nucleotide levels, which may facilitate vascular dilation and further HbF induction. Numerous studies have demonstrated that hydroxyurea therapy reduces the frequency of painful episodes, acute chest syndrome, and the need for erythrocyte transfusions and hospitalizations. Long-term use of hydroxyurea leads to reduced morbidity and mortality. Hydroxyurea should be initiated in children from 9 months of age, including asymptomatic individuals, and is recommended for adults experiencing pain crises that significantly interfere with daily activities or quality of life, as well as those with severe or recurrent vaso-occlusive crises, ACS, or severe symptomatic anemia. Hydroxyurea is not recommended during pregnancy or lactation due to potential teratogenic effects and transfer into breast milk. However, its use may be considered in high-risk patients, particularly during the second and third trimesters. Concerns about secondary tumor development have not been substantiated in long-term follow-up studies. Alternative therapies, including L-glutamine, crizanlizumab, and voxelotor, are not presently approved or available for clinical use in Europe.","container-title":"Journal of Clinical Medicine","DOI":"10.3390/jcm13216404","ISSN":"2077-0383","issue":"21","language":"en","license":"http://creativecommons.org/licenses/by/3.0/","page":"6404","publisher":"Multidisciplinary Digital Publishing Institute","source":"www.mdpi.com","title":"The Current Role of Hydroxyurea in the Treatment of Sickle Cell Anemia","volume":"13","author":[{"family":"López Rubio","given":"Montserrat"},{"family":"Argüello Marina","given":"María"}],"issued":{"date-parts":[["2024",1]]}}}],"schema":"https://github.com/citation-style-language/schema/raw/master/csl-citation.json"} </w:instrText>
      </w:r>
      <w:r w:rsidR="00D24FBC">
        <w:fldChar w:fldCharType="separate"/>
      </w:r>
      <w:r w:rsidR="00D24FBC" w:rsidRPr="00D24FBC">
        <w:rPr>
          <w:rFonts w:ascii="Calibri" w:hAnsi="Calibri" w:cs="Calibri"/>
          <w:kern w:val="0"/>
        </w:rPr>
        <w:t>(López Rubio &amp; Argüello Marina, 2024)</w:t>
      </w:r>
      <w:r w:rsidR="00D24FBC">
        <w:fldChar w:fldCharType="end"/>
      </w:r>
      <w:r>
        <w:t>. Acute chest syndrome, hospitalisation rates, and pain crises have all decreased, according to long-term observational research and clinical trials. Its ability to stop or reverse organ damage that has already occurred, however, is less well-defined</w:t>
      </w:r>
      <w:r w:rsidR="00291A3B">
        <w:t xml:space="preserve"> (</w:t>
      </w:r>
      <w:r w:rsidR="00D24FBC">
        <w:fldChar w:fldCharType="begin"/>
      </w:r>
      <w:r w:rsidR="00D24FBC">
        <w:instrText xml:space="preserve"> ADDIN ZOTERO_ITEM CSL_CITATION {"citationID":"lhzEvWGN","properties":{"unsorted":false,"formattedCitation":"(Gillespie et al., 2026)","plainCitation":"(Gillespie et al., 2026)","noteIndex":0},"citationItems":[{"id":2496,"uris":["http://zotero.org/users/19602067/items/Y2PPCF3F"],"itemData":{"id":2496,"type":"article-journal","abstract":"Sickle cell disease (SCD) is a globally prevalent inherited hemoglobinopathy marked by chronic hemolysis, vaso-occlusion, and systemic inflammation, leading to significant acute and chronic complications. Acute chest syndrome (ACS), a leading cause of morbidity and mortality in people with SCD (pwSCD) is often associated with vaso-occlusive pain episodes. Despite its clinical significance, the pathogenesis of ACS remains incompletely understood. This review synthesizes current knowledge on ACS in SCD, highlighting known and emerging risk factors, evolving concepts in pathophysiologic causes, and current diagnostic and phenotyping challenges, and discusses new approaches to preventive and therapeutic treatment regimens. We describe the significant disparities in care and outcomes in low- and middle-income countries, emphasizing the need for improved access to multidisciplinary subspecialty SCD care, including newborn screening and access to therapeutics. Finally, we identify key research gaps that need to be addressed to advance our understanding and management of ACS in a diverse health care landscape. Overall, this review aims to inform clinical practice and guide future research toward reducing the burden of ACS in pwSCD across the globe. Ultimately, advancing ACS management requires a paradigm shift toward resource-adaptable, precision-based care.","container-title":"Blood Red Cells &amp; Iron","DOI":"10.1016/j.brci.2026.100060","ISSN":"3050-5984","issue":"2","journalAbbreviation":"Blood Red Cells &amp; Iron","page":"100060","source":"ScienceDirect","title":"Emerging concepts in sickle cell disease acute chest syndrome","volume":"2","author":[{"family":"Gillespie","given":"Michelle"},{"family":"King","given":"Tiffany"},{"family":"Cohen","given":"Robyn T."},{"family":"Willen","given":"Shaina M."},{"family":"Koya","given":"Abdulmalik I."},{"family":"Ruhl","given":"A. Parker"},{"family":"Kopp","given":"Benjamin T."}],"issued":{"date-parts":[["2026",6,1]]}}}],"schema":"https://github.com/citation-style-language/schema/raw/master/csl-citation.json"} </w:instrText>
      </w:r>
      <w:r w:rsidR="00D24FBC">
        <w:fldChar w:fldCharType="separate"/>
      </w:r>
      <w:r w:rsidR="00D24FBC" w:rsidRPr="00D24FBC">
        <w:rPr>
          <w:rFonts w:ascii="Calibri" w:hAnsi="Calibri" w:cs="Calibri"/>
        </w:rPr>
        <w:t>Gillespie et al., 2026)</w:t>
      </w:r>
      <w:r w:rsidR="00D24FBC">
        <w:fldChar w:fldCharType="end"/>
      </w:r>
      <w:r>
        <w:t xml:space="preserve">. Hydroxyurea does not directly target endothelial injury or completely correct the microvascular abnormalities that cause subclinical ischaemia, despite the fact that it may mitigate some elements of vascular </w:t>
      </w:r>
      <w:r w:rsidRPr="00291A3B">
        <w:t>dysfunction</w:t>
      </w:r>
      <w:r w:rsidR="00426C1C">
        <w:t xml:space="preserve"> </w:t>
      </w:r>
      <w:r w:rsidR="002D0FC2">
        <w:fldChar w:fldCharType="begin"/>
      </w:r>
      <w:r w:rsidR="002D0FC2">
        <w:instrText xml:space="preserve"> ADDIN ZOTERO_ITEM CSL_CITATION {"citationID":"3YjOsRE0","properties":{"unsorted":false,"formattedCitation":"(Fogliazza et al., 2025b)","plainCitation":"(Fogliazza et al., 2025b)","noteIndex":0},"citationItems":[{"id":2498,"uris":["http://zotero.org/users/19602067/items/E6UY5K9D"],"itemData":{"id":2498,"type":"article-journal","abstract":"Sickle cell disease (SCD) is the most common monogenic disorder worldwide and remains a major cause of morbidity and mortality. Sickle cell anemia (SCA), the homozygous HbSS genotype, represents the most severe and frequent form within the spectrum of SCD. Hydroxyurea (HU), a ribonucleotide reductase inhibitor, represents the first and most widely used disease-modifying therapy for SCA. This review summarizes current evidence on the mechanisms of action, clinical efficacy, systemic effects, and long-term safety of chronic HU therapy in patients with SCA. A comprehensive literature search was conducted in PubMed up to 2025 using the terms “sickle cell disease,” “sickle cell anemia”, “hydroxyurea,” and “children” or “paediatric.” Eligible studies included randomized controlled trials, cohort studies, and systematic reviews evaluating HU therapy in SCA. Literature analysis showed that HU exerts pleiotropic effects by inducing fetal hemoglobin (HbF) synthesis, improving red blood cell deformability, reducing leukocyte and platelet counts, and enhancing nitric oxide bioavailability. These mechanisms lead to decreased vaso-occlusive crises, acute chest syndrome, transfusion requirements, and overall mortality. Beyond hematologic improvement, HU confers neuroprotective benefits, modulates inflammatory and immune pathways, and supports normal growth and endocrine development in children. Adverse events, primarily mild bone marrow suppression, are dose-dependent and reversible with appropriate monitoring. No evidence supports an increased risk of malignancy with long-term use. In conclusion, chronic HU therapy is a safe, effective, and multifaceted treatment that substantially improves survival and quality of life in patients with SCA. Early initiation and individualized dosing maximize its therapeutic benefits and help prevent irreversible organ damage.","container-title":"Journal of Clinical Medicine","DOI":"10.3390/jcm14238599","ISSN":"2077-0383","issue":"23","journalAbbreviation":"J Clin Med","page":"8599","PMID":"41375902","PMCID":"PMC12692880","source":"PubMed Central","title":"Chronic Hydroxyurea Therapy in Children with Sickle Cell Anemia: Mechanisms of Action, Systemic Effects, and Long-Term Safety","title-short":"Chronic Hydroxyurea Therapy in Children with Sickle Cell Anemia","volume":"14","author":[{"family":"Fogliazza","given":"Federica"},{"family":"Berzieri","given":"Martina"},{"family":"Carbone","given":"Giulia"},{"family":"Ciriaco","given":"Davide"},{"family":"Esposito","given":"Susanna"}],"issued":{"date-parts":[["2025",12,4]]}}}],"schema":"https://github.com/citation-style-language/schema/raw/master/csl-citation.json"} </w:instrText>
      </w:r>
      <w:r w:rsidR="002D0FC2">
        <w:fldChar w:fldCharType="separate"/>
      </w:r>
      <w:r w:rsidR="002D0FC2" w:rsidRPr="002D0FC2">
        <w:rPr>
          <w:rFonts w:ascii="Calibri" w:hAnsi="Calibri" w:cs="Calibri"/>
        </w:rPr>
        <w:t>(Fogliazza et al., 2025)</w:t>
      </w:r>
      <w:r w:rsidR="002D0FC2">
        <w:fldChar w:fldCharType="end"/>
      </w:r>
      <w:r>
        <w:t>.</w:t>
      </w:r>
    </w:p>
    <w:p w14:paraId="599E5423" w14:textId="57082052" w:rsidR="000F7EE6" w:rsidRPr="000F7EE6" w:rsidRDefault="00FA3D88" w:rsidP="000F7EE6">
      <w:r>
        <w:t>Another crucial intervention is chronic blood transfusion therapy, especially for stroke prevention in high-risk paediatric groups. Transfusion lowers blood viscosity and enhances oxygen delivery by reducing the percentage of sickled erythrocytes</w:t>
      </w:r>
      <w:r w:rsidR="00291A3B">
        <w:t xml:space="preserve"> </w:t>
      </w:r>
      <w:r w:rsidR="007C7471">
        <w:fldChar w:fldCharType="begin"/>
      </w:r>
      <w:r w:rsidR="007C7471">
        <w:instrText xml:space="preserve"> ADDIN ZOTERO_ITEM CSL_CITATION {"citationID":"DMmrYEj8","properties":{"unsorted":false,"formattedCitation":"(Gillespie et al., 2026)","plainCitation":"(Gillespie et al., 2026)","noteIndex":0},"citationItems":[{"id":2496,"uris":["http://zotero.org/users/19602067/items/Y2PPCF3F"],"itemData":{"id":2496,"type":"article-journal","abstract":"Sickle cell disease (SCD) is a globally prevalent inherited hemoglobinopathy marked by chronic hemolysis, vaso-occlusion, and systemic inflammation, leading to significant acute and chronic complications. Acute chest syndrome (ACS), a leading cause of morbidity and mortality in people with SCD (pwSCD) is often associated with vaso-occlusive pain episodes. Despite its clinical significance, the pathogenesis of ACS remains incompletely understood. This review synthesizes current knowledge on ACS in SCD, highlighting known and emerging risk factors, evolving concepts in pathophysiologic causes, and current diagnostic and phenotyping challenges, and discusses new approaches to preventive and therapeutic treatment regimens. We describe the significant disparities in care and outcomes in low- and middle-income countries, emphasizing the need for improved access to multidisciplinary subspecialty SCD care, including newborn screening and access to therapeutics. Finally, we identify key research gaps that need to be addressed to advance our understanding and management of ACS in a diverse health care landscape. Overall, this review aims to inform clinical practice and guide future research toward reducing the burden of ACS in pwSCD across the globe. Ultimately, advancing ACS management requires a paradigm shift toward resource-adaptable, precision-based care.","container-title":"Blood Red Cells &amp; Iron","DOI":"10.1016/j.brci.2026.100060","ISSN":"3050-5984","issue":"2","journalAbbreviation":"Blood Red Cells &amp; Iron","page":"100060","source":"ScienceDirect","title":"Emerging concepts in sickle cell disease acute chest syndrome","volume":"2","author":[{"family":"Gillespie","given":"Michelle"},{"family":"King","given":"Tiffany"},{"family":"Cohen","given":"Robyn T."},{"family":"Willen","given":"Shaina M."},{"family":"Koya","given":"Abdulmalik I."},{"family":"Ruhl","given":"A. Parker"},{"family":"Kopp","given":"Benjamin T."}],"issued":{"date-parts":[["2026",6,1]]}}}],"schema":"https://github.com/citation-style-language/schema/raw/master/csl-citation.json"} </w:instrText>
      </w:r>
      <w:r w:rsidR="007C7471">
        <w:fldChar w:fldCharType="separate"/>
      </w:r>
      <w:r w:rsidR="007C7471" w:rsidRPr="007C7471">
        <w:rPr>
          <w:rFonts w:ascii="Calibri" w:hAnsi="Calibri" w:cs="Calibri"/>
        </w:rPr>
        <w:t>(Gillespie et al., 2026)</w:t>
      </w:r>
      <w:r w:rsidR="007C7471">
        <w:fldChar w:fldCharType="end"/>
      </w:r>
      <w:r>
        <w:t>. Despite these advantages, transfusion therapy has certain drawbacks, such as iron overload, alloimmunisation, and the difficulty of long-term delivery. The overall course of the disease is complicated by iron accumulation in particular, which adds another layer of organ toxicity, particularly in the liver and heart</w:t>
      </w:r>
      <w:r w:rsidR="00291A3B">
        <w:t xml:space="preserve"> </w:t>
      </w:r>
      <w:r w:rsidR="007C7471">
        <w:fldChar w:fldCharType="begin"/>
      </w:r>
      <w:r w:rsidR="007C7471">
        <w:instrText xml:space="preserve"> ADDIN ZOTERO_ITEM CSL_CITATION {"citationID":"CPJ9v3JQ","properties":{"unsorted":false,"formattedCitation":"(Soliman et al., 2022)","plainCitation":"(Soliman et al., 2022)","noteIndex":0},"citationItems":[{"id":2427,"uris":["http://zotero.org/users/19602067/items/G9EPDH8W"],"itemData":{"id":2427,"type":"article-journal","abstract":"Introduction:\nIn patients with sickle cell disease (SCD), vaso occlusive crisis (VOCs) and iron intoxication due to repeated blood transfusion may cause damages in many organs, including the kidneys, lungs and brain, and pancreas.\n\nAim of our study:\nTo evaluate the iron status, hepatic functions and fasting plasma glucose (FPG) in non transfusion dependent (NTD-SCD) patients and transfusion dependent (TD-SCD) patients yearly for 5 years. Cardiac status was evaluated using echocardiography.\n\nResults:\n16 adults with NT-SCD and six with TD-SCD were studied. 6/16 NTD-SCD had serum ferritin (SF) &gt; 500 ng/mL, and 5/16 patients had high LIC (&gt; 36 μmol Fe/kg dry weight). 2/16 had impaired fasting glucose (IFG). The TD-SCD patients were on top-up transfusion and oral iron chelation therapy (Exjade). All had high LIC, but 2/6 had SF &lt;500 ng/mL. Liver enzymes were high in 2/6 patients. One had IFG. Five years after the initial assessment, 3/16 NT-SCD developed diabetes mellitus (DM) and 2/16 IFG. In TD-SCD, 2/6 developed DM and 1/6 had IFG. Echocardiography revealed abnormalities in 5/22 (22.7%).\n\nConclusions:\nA significant number of our patients with ND-SCD and TD-SCD develop dysglycemia, hepatopathy, and echocardiographic abnormalities during the follow-up that need effective early detection and management. However, the prevalence of DM in our SCD remains lower than in the general population in Qatar. TD-SCD patients who developed DM were younger and had high LIC and SF compared to those who developed DM in the NTD-SCD (www.actabiomedica.it).","container-title":"Acta Bio Medica : Atenei Parmensis","DOI":"10.23750/abm.v93i4.13330","ISSN":"0392-4203","issue":"4","journalAbbreviation":"Acta Biomed","page":"e2022291","PMID":"36043959","PMCID":"PMC9534241","source":"PubMed Central","title":"Blood transfusion and iron overload in patients with Sickle Cell Disease (SCD): Personal experience and a short update of diabetes mellitus occurrence","title-short":"Blood transfusion and iron overload in patients with Sickle Cell Disease (SCD)","volume":"93","author":[{"family":"Soliman","given":"Ashraf T"},{"family":"De Sanctis","given":"Vincenzo"},{"family":"Yassin","given":"Mohamed"},{"family":"Alshurafa","given":"Awni"},{"family":"Ata","given":"Fateen"},{"family":"Nashwan","given":"Abdulqadir"}],"issued":{"date-parts":[["2022"]]}}}],"schema":"https://github.com/citation-style-language/schema/raw/master/csl-citation.json"} </w:instrText>
      </w:r>
      <w:r w:rsidR="007C7471">
        <w:fldChar w:fldCharType="separate"/>
      </w:r>
      <w:r w:rsidR="007C7471" w:rsidRPr="007C7471">
        <w:rPr>
          <w:rFonts w:ascii="Calibri" w:hAnsi="Calibri" w:cs="Calibri"/>
        </w:rPr>
        <w:t>(Soliman et al., 2022)</w:t>
      </w:r>
      <w:r w:rsidR="007C7471">
        <w:fldChar w:fldCharType="end"/>
      </w:r>
      <w:r>
        <w:t>.</w:t>
      </w:r>
    </w:p>
    <w:p w14:paraId="2A0EB55B" w14:textId="6DCCDDDA" w:rsidR="000F7EE6" w:rsidRPr="000F7EE6" w:rsidRDefault="003312EF" w:rsidP="000F7EE6">
      <w:r>
        <w:t xml:space="preserve">By focusing on the underlying genetic defect or reactivating foetal haemoglobin expression, emerging gene-based therapies offer the possibility of curative treatment. Early clinical </w:t>
      </w:r>
      <w:r>
        <w:lastRenderedPageBreak/>
        <w:t>outcomes have been encouraging, with evidence of reduced haemolysis and diminished clinical events</w:t>
      </w:r>
      <w:r w:rsidR="00291A3B">
        <w:t xml:space="preserve"> </w:t>
      </w:r>
      <w:r w:rsidR="009C54A7">
        <w:fldChar w:fldCharType="begin"/>
      </w:r>
      <w:r w:rsidR="009C54A7">
        <w:instrText xml:space="preserve"> ADDIN ZOTERO_ITEM CSL_CITATION {"citationID":"COyuqRb0","properties":{"unsorted":false,"formattedCitation":"(Bangolo et al., 2025)","plainCitation":"(Bangolo et al., 2025)","noteIndex":0},"citationItems":[{"id":2503,"uris":["http://zotero.org/users/19602067/items/N2W6ABKH"],"itemData":{"id":2503,"type":"article-journal","abstract":"Hemophilias and hemoglobinopathies—including hemophilias A and B, sickle cell disease (SCD), and β-thalassemia—are debilitating genetic disorders associated with significant global health burdens. While traditional management has centered on factor replacement and transfusions, these approaches remain palliative, with limited access and durability in many regions. Recent advances in immune-based therapeutics (e.g., emicizumab, concizumab, crizanlizumab), viral vector-mediated gene addition (e.g., Roctavian, Hemgenix), and gene-modified autologous stem cell therapies (e.g., Zynteglo, Casgevy) have ushered in a new era of disease-modifying and potentially curative interventions. These therapies offer durable efficacy and improved quality of life, particularly in adult populations. However, implementation remains uneven across global health systems due to high costs, limited infrastructure, and regulatory heterogeneity. Additionally, ethical considerations such as long-term surveillance, informed consent in vulnerable populations, and social perceptions of genetic modification present ongoing challenges. Innovations such as multiplex genome editing, immune-evasive donor platforms, synthetic biology, and AI-driven treatment modeling are poised to expand therapeutic horizons. Equitable access, particularly in regions bearing the highest disease burden, will require collaborative funding strategies, regional capacity building, and inclusive regulatory frameworks. This review summarizes the current landscape of curative therapy, outlines implementation barriers, and calls for coordinated international action to ensure that transformative care reaches all affected individuals worldwide.","container-title":"Biomedicines","DOI":"10.3390/biomedicines13082022","ISSN":"2227-9059","issue":"8","language":"en","license":"http://creativecommons.org/licenses/by/3.0/","page":"2022","publisher":"Multidisciplinary Digital Publishing Institute","source":"www.mdpi.com","title":"Curative Therapies for Hemophilias and Hemoglobinopathies in Adults: Immune, Gene, and Stem Cell Approaches in a Global Context","title-short":"Curative Therapies for Hemophilias and Hemoglobinopathies in Adults","volume":"13","author":[{"family":"Bangolo","given":"Ayrton"},{"family":"Amoozgar","given":"Behzad"},{"family":"Zhang","given":"Lili"},{"family":"Gill","given":"Sarvarinder"},{"family":"Lushimba Milolo","given":"Daniel"},{"family":"Ngindu Kankonde","given":"Justin"},{"family":"Mbuyi Batakamuna","given":"Claude"},{"family":"Tassan","given":"Robert"},{"family":"Cho","given":"Christina"},{"family":"Bukasa-Kakamba","given":"John"},{"family":"Mowatt-Pesce","given":"Kelley"}],"issued":{"date-parts":[["2025",8]]}}}],"schema":"https://github.com/citation-style-language/schema/raw/master/csl-citation.json"} </w:instrText>
      </w:r>
      <w:r w:rsidR="009C54A7">
        <w:fldChar w:fldCharType="separate"/>
      </w:r>
      <w:r w:rsidR="009C54A7" w:rsidRPr="009C54A7">
        <w:rPr>
          <w:rFonts w:ascii="Calibri" w:hAnsi="Calibri" w:cs="Calibri"/>
        </w:rPr>
        <w:t>(Bangolo et al., 2025)</w:t>
      </w:r>
      <w:r w:rsidR="009C54A7">
        <w:fldChar w:fldCharType="end"/>
      </w:r>
      <w:r>
        <w:t xml:space="preserve">. However, these therapies remain resource-intensive, technically complex, and largely inaccessible to the majority of affected individuals, especially in low- and middle-income regions where the disease burden is highest. Concerns about cost, infrastructure, and long-term safety further restrict their widespread </w:t>
      </w:r>
      <w:r w:rsidRPr="00291A3B">
        <w:t>adoption</w:t>
      </w:r>
      <w:r w:rsidR="00426C1C">
        <w:t xml:space="preserve"> </w:t>
      </w:r>
      <w:r w:rsidR="009C54A7">
        <w:fldChar w:fldCharType="begin"/>
      </w:r>
      <w:r w:rsidR="009C54A7">
        <w:instrText xml:space="preserve"> ADDIN ZOTERO_ITEM CSL_CITATION {"citationID":"k06HYql5","properties":{"unsorted":false,"formattedCitation":"(Otaigbe, 2025)","plainCitation":"(Otaigbe, 2025)","noteIndex":0},"citationItems":[{"id":2505,"uris":["http://zotero.org/users/19602067/items/TTL283LY"],"itemData":{"id":2505,"type":"article-journal","abstract":"Access to effective medicines (e.g. antibiotics) is a fundamental human right. However, in contrast to high-income countries (HICs), many low- and middle-income countries (LMICs) lack appropriate and effective antibiotics. This is a paradox, and an inequitable scenario, as LMICs can have significantly higher burdens of infectious diseases than HICs and especially require appropriate antibiotics. Inequitable access to appropriate antibiotics results in patients being treated with substandard antibiotics, treatment failure, the emergence of antimicrobial resistance (AMR) and, inevitably, morbidity and mortality. Factors that hinder access to appropriate antibiotics in LMICs include: poor political will, weak health systems, complex bureaucratic protocols, poor implementation of National Action Plans on AMR, inadequate expertise in regulatory science, unfavourable macroeconomic policies and a poor investment climate. Clearly, multisectoral, collaborative approaches are required to effectively mitigate inequitable access to appropriate antibiotics in LMICs. Also, efforts (such as the African Medicines Regulatory Harmonization Initiative and the African Medicines Agency) to streamline bureaucratic processes and improve the registration and entry of appropriate antibiotics into LMICs are required. This review discusses factors responsible for inequitable access to appropriate antibiotics in LMICs, and makes recommendations to mitigate the problem. With rising rates of AMR, a dwindling antibiotic pipeline, and the dangers of a post-antibiotic era, it is clear that the time to act is now, as inequitable access to appropriate antibiotics in LMICs reduces the quality of healthcare, and threatens the achievement of Universal Health Coverage and, ultimately, the Sustainable Development Goals.","container-title":"JAC-Antimicrobial Resistance","DOI":"10.1093/jacamr/dlaf061","ISSN":"2632-1823","issue":"2","journalAbbreviation":"JAC Antimicrob Resist","page":"dlaf061","PMID":"40276025","PMCID":"PMC12019631","source":"PubMed Central","title":"Mitigating inequitable access to appropriate antibiotics in low- and middle-income countries","volume":"7","author":[{"family":"Otaigbe","given":"Idemudia Imonikhe"}],"issued":{"date-parts":[["2025",4,24]]}}}],"schema":"https://github.com/citation-style-language/schema/raw/master/csl-citation.json"} </w:instrText>
      </w:r>
      <w:r w:rsidR="009C54A7">
        <w:fldChar w:fldCharType="separate"/>
      </w:r>
      <w:r w:rsidR="009C54A7" w:rsidRPr="009C54A7">
        <w:rPr>
          <w:rFonts w:ascii="Calibri" w:hAnsi="Calibri" w:cs="Calibri"/>
        </w:rPr>
        <w:t>(Otaigbe, 2025)</w:t>
      </w:r>
      <w:r w:rsidR="009C54A7">
        <w:fldChar w:fldCharType="end"/>
      </w:r>
      <w:r>
        <w:t>.</w:t>
      </w:r>
    </w:p>
    <w:p w14:paraId="11503A74" w14:textId="6767DBE5" w:rsidR="000F7EE6" w:rsidRPr="000F7EE6" w:rsidRDefault="00BB6E5D" w:rsidP="000F7EE6">
      <w:r>
        <w:t xml:space="preserve">Beyond these particular procedures, the conceptual focus of contemporary therapeutic approaches is a basic drawback. Instead of maintaining organ function over time, the majority of treatments aim to lessen the frequency and intensity of acute </w:t>
      </w:r>
      <w:r w:rsidRPr="00291A3B">
        <w:t>crises</w:t>
      </w:r>
      <w:r w:rsidR="00426C1C">
        <w:t xml:space="preserve"> </w:t>
      </w:r>
      <w:r w:rsidR="009356A2">
        <w:fldChar w:fldCharType="begin"/>
      </w:r>
      <w:r w:rsidR="009356A2">
        <w:instrText xml:space="preserve"> ADDIN ZOTERO_ITEM CSL_CITATION {"citationID":"h0ogIyDU","properties":{"unsorted":false,"formattedCitation":"(Jerome et al., 2023)","plainCitation":"(Jerome et al., 2023)","noteIndex":0},"citationItems":[{"id":2519,"uris":["http://zotero.org/users/19602067/items/NK6DM3CY"],"itemData":{"id":2519,"type":"article-journal","abstract":"Solution-focused approaches are one approach to treatment used in a wide variety of settings in modern mental healthcare services. As yet, there has been no overall synthesis of how this approach is understood in the adult mental health literature. This conceptual review aimed to synthesize the ways that solution-focused approaches have been conceptualized and understood, within the adult mental health literature, in the five decades since their conception. A systematic search followed by multiple techniques from the narrative synthesis approach were used to develop a conceptual framework of the extracted data. Fifty-six papers published between 1993 and 2019 were included in the review. These papers spanned a variety of clinical contexts and countries, but despite this the underlying key principles and concepts of solution-focused approaches were remarkably similar over time and setting. Thematic analysis of extracted data outlined five key themes relevant to the conceptualization of this approach. This conceptual framework will help support clinicians using solution-focused techniques or therapies by giving them a coherent understanding of such approaches, by what mechanisms they work, and how key principles of this approach can be utilized in adult mental health settings.","container-title":"Frontiers in Psychiatry","DOI":"10.3389/fpsyt.2023.1068006","ISSN":"1664-0640","journalAbbreviation":"Front Psychiatry","page":"1068006","PMID":"37065885","PMCID":"PMC10098109","source":"PubMed Central","title":"Solution-focused approaches in adult mental health research: A conceptual literature review and narrative synthesis","title-short":"Solution-focused approaches in adult mental health research","volume":"14","author":[{"family":"Jerome","given":"Lauren"},{"family":"McNamee","given":"Philip"},{"family":"Abdel-Halim","given":"Nadia"},{"family":"Elliot","given":"Kathryn"},{"family":"Woods","given":"Jonathan"}],"issued":{"date-parts":[["2023",3,30]]}}}],"schema":"https://github.com/citation-style-language/schema/raw/master/csl-citation.json"} </w:instrText>
      </w:r>
      <w:r w:rsidR="009356A2">
        <w:fldChar w:fldCharType="separate"/>
      </w:r>
      <w:r w:rsidR="009356A2" w:rsidRPr="009356A2">
        <w:rPr>
          <w:rFonts w:ascii="Calibri" w:hAnsi="Calibri" w:cs="Calibri"/>
        </w:rPr>
        <w:t>(Jerome et al., 2023)</w:t>
      </w:r>
      <w:r w:rsidR="009356A2">
        <w:fldChar w:fldCharType="end"/>
      </w:r>
      <w:r>
        <w:t>. Although the underlying processes of silent injury are not well addressed, this emphasis reflects the historical prioritisation of acute therapy and symptomatic relief. There are still very few treatments that target endothelial repair, restore nitric oxide bioavailability, or shield the microvasculature from long-term damage</w:t>
      </w:r>
      <w:r w:rsidR="00291A3B">
        <w:t xml:space="preserve"> </w:t>
      </w:r>
      <w:r w:rsidR="009356A2">
        <w:fldChar w:fldCharType="begin"/>
      </w:r>
      <w:r w:rsidR="009356A2">
        <w:instrText xml:space="preserve"> ADDIN ZOTERO_ITEM CSL_CITATION {"citationID":"YbUmK2ZU","properties":{"unsorted":false,"formattedCitation":"(Obrador et al., 2026)","plainCitation":"(Obrador et al., 2026)","noteIndex":0},"citationItems":[{"id":2517,"uris":["http://zotero.org/users/19602067/items/XD765C27"],"itemData":{"id":2517,"type":"article-journal","abstract":"Ionizing radiation (IR) exposure poses a significant biomedical challenge in clinical, occupational, and emergency contexts, highlighting the urgent need for effective medical countermeasures against acute radiation syndrome (ARS) and delayed effects of radiation exposure (DEARE). Depending on the timing of administration, radiation countermeasures are classified as radioprotectors, radiomitigators, or therapeutics. Among these, radiomitigators offer a critical advantage by attenuating IR-induced damage when administered after exposure, thereby expanding their applicability in unanticipated radiation incidents. This review provides an overview of the pathophysiological mechanisms underlying IR-induced injury and summarizes the current FDA-approved radiation countermeasures. It then focuses on radiomitigators that have demonstrated efficacy in preclinical animal models, together with available evidence from clinical studies, emphasizing their translational potential for both emergency preparedness and oncological settings. We examine routes of administration and key mechanisms of action, including modulation of oxidative and nitrosative stress, enhancement of DNA damage response pathways, preservation of mitochondrial function, regulation of inflammatory and immune signaling, attenuation of fibrotic remodeling, maintenance of vascular integrity, and promotion of tissue regeneration and repair. Finally, challenges associated with clinical translation and strategies to optimize radiomitigators for the management of radiation-induced injury are discussed. By integrating these insights and consolidating existing knowledge, this review aims to guide basic and clinical research toward more effective radiomitigative strategies and combination therapies to improve survival, limit tissue damage, and preserve long-term quality of life in individuals exposed to IR.","container-title":"Antioxidants","DOI":"10.3390/antiox15030381","ISSN":"2076-3921","issue":"3","language":"en","license":"http://creativecommons.org/licenses/by/3.0/","page":"381","publisher":"Multidisciplinary Digital Publishing Institute","source":"www.mdpi.com","title":"Radiomitigators: Breakthroughs in Post-Radiation Recovery","title-short":"Radiomitigators","volume":"15","author":[{"family":"Obrador","given":"Elena"},{"family":"Estrela","given":"José M."},{"family":"López-Blanch","given":"Rafael"},{"family":"Moreno-Murciano","given":"Paz"},{"family":"Montoro","given":"Alegría"},{"family":"Oriol-Caballo","given":"María"}],"issued":{"date-parts":[["2026",3]]}}}],"schema":"https://github.com/citation-style-language/schema/raw/master/csl-citation.json"} </w:instrText>
      </w:r>
      <w:r w:rsidR="009356A2">
        <w:fldChar w:fldCharType="separate"/>
      </w:r>
      <w:r w:rsidR="009356A2" w:rsidRPr="009356A2">
        <w:rPr>
          <w:rFonts w:ascii="Calibri" w:hAnsi="Calibri" w:cs="Calibri"/>
        </w:rPr>
        <w:t>(Obrador et al., 2026)</w:t>
      </w:r>
      <w:r w:rsidR="009356A2">
        <w:fldChar w:fldCharType="end"/>
      </w:r>
      <w:r>
        <w:t>.</w:t>
      </w:r>
    </w:p>
    <w:p w14:paraId="4DDF382D" w14:textId="27B0DBDA" w:rsidR="000F7EE6" w:rsidRPr="000F7EE6" w:rsidRDefault="00BB6E5D" w:rsidP="000F7EE6">
      <w:r>
        <w:t>As a result, even in cases where there appears to be clinical stability, subclinical organ damage frequently advances. The need for a more comprehensive therapeutic strategy that incorporates both organ protection and symptom control is highlighted by this disparity</w:t>
      </w:r>
      <w:r w:rsidR="00291A3B">
        <w:t xml:space="preserve"> </w:t>
      </w:r>
      <w:r w:rsidR="009C54A7">
        <w:fldChar w:fldCharType="begin"/>
      </w:r>
      <w:r w:rsidR="009C54A7">
        <w:instrText xml:space="preserve"> ADDIN ZOTERO_ITEM CSL_CITATION {"citationID":"7qXb0L86","properties":{"unsorted":false,"formattedCitation":"(Ionescu (Miron) et al., 2024)","plainCitation":"(Ionescu (Miron) et al., 2024)","noteIndex":0},"citationItems":[{"id":2508,"uris":["http://zotero.org/users/19602067/items/R4NDWJ3D"],"itemData":{"id":2508,"type":"article-journal","abstract":"Simple Summary\nThe paper discusses precursor lesions of breast cancer and the subclinical syndrome of multiple organ failure, representing early disease stages with changes occurring before symptoms become clinically detectable. It aims to address why breast cancer patients deteriorate and how their condition progresses from subclinical organ failure to acute multiple organ failure. The review utilized databases like PubMed, Google Scholar, and Scopus, focusing on keywords related to organ failure, breast cancer, and quality of life. It emphasizes the need to identify and prevent the onset of multiple organ failure in cancer patients early on to enhance their quality of life and survival. Despite a subclinical organ failure syndrome undetectable by current diagnostics, the text proposes the increasing importance of AI in aiding physicians in diagnosing this syndrome in the future.\n\nAbstract\nThis review explores the interconnection between precursor lesions of breast cancer (typical ductal hyperplasia, atypical ductal/lobular hyperplasia) and the subclinical of multiple organ failure syndrome, both representing early stages marked by alterations preceding clinical symptoms, undetectable through conventional diagnostic methods. Addressing the question “Why patients with breast cancer exhibit a tendency to deteriorate”, this study investigates the biological progression from a subclinical multiple organ failure syndrome, characterized by insidious but indisputable lesions, to an acute (clinical) state resembling a cascade akin to a waterfall or domino effect, often culminating in the patient’s demise. A comprehensive literature search was conducted using PubMed, Google Scholar, and Scopus databases in October 2023, employing keywords such as “MODS”, “SIRS”, “sepsis”, “pathophysiology of MODS”, “MODS in cancer patients”, “multiple organ failure”, “risk factors”, “cancer”, “ICU”, “quality of life”, and “breast cancer”. Supplementary references were extracted from the retrieved articles. This study emphasizes the importance of early identification and prevention of the multiple organ failure cascade at the inception of the malignant state, aiming to enhance the quality of life and extend survival. This pursuit contributes to a deeper understanding of risk factors and viable therapeutic options. Despite the existence of the subclinical multiple organ failure syndrome, current diagnostic methodologies remain inadequate, prompting consideration of AI as an increasingly crucial tool for early identification in the diagnostic process.","container-title":"Cancers","DOI":"10.3390/cancers16020381","ISSN":"2072-6694","issue":"2","journalAbbreviation":"Cancers (Basel)","page":"0","PMID":"38254870","PMCID":"PMC11154446","source":"PubMed Central","title":"Prediction of Subclinical and Clinical Multiple Organ Failure Dysfunction in Breast Cancer Patients—A Review Using AI Tools","volume":"16","author":[{"family":"Ionescu (Miron)","given":"Andreea-Iuliana"},{"family":"Atasiei","given":"Dimitrie-Ionut"},{"family":"Ionescu","given":"Radu-Tudor"},{"family":"Ultimescu","given":"Flavia"},{"family":"Barnonschi","given":"Andrei-Alexandru"},{"family":"Anghel","given":"Alexandra-Valentina"},{"family":"Anghel","given":"Cătălin-Alexandru"},{"family":"Antone-Iordache","given":"Ionuț-Lucian"},{"family":"Mitre","given":"Ruxandra"},{"family":"Bobolocu","given":"Alexandra Maria"},{"family":"Zamfir","given":"Andreea"},{"family":"Lișcu","given":"Horia-Dan"},{"family":"Coniac","given":"Simona"},{"family":"Șandru","given":"Florica"}],"issued":{"date-parts":[["2024",1,16]]}}}],"schema":"https://github.com/citation-style-language/schema/raw/master/csl-citation.json"} </w:instrText>
      </w:r>
      <w:r w:rsidR="009C54A7">
        <w:fldChar w:fldCharType="separate"/>
      </w:r>
      <w:r w:rsidR="009C54A7" w:rsidRPr="009C54A7">
        <w:rPr>
          <w:rFonts w:ascii="Calibri" w:hAnsi="Calibri" w:cs="Calibri"/>
        </w:rPr>
        <w:t>(Ionescu (Miron) et al., 2024)</w:t>
      </w:r>
      <w:r w:rsidR="009C54A7">
        <w:fldChar w:fldCharType="end"/>
      </w:r>
      <w:r>
        <w:t>. Current treatments will only be somewhat effective in changing the long-term course of the disease if tailored strategies to disrupt the pathways of silent damage are not developed</w:t>
      </w:r>
      <w:r w:rsidR="00291A3B">
        <w:t xml:space="preserve"> </w:t>
      </w:r>
      <w:r w:rsidR="009C54A7">
        <w:fldChar w:fldCharType="begin"/>
      </w:r>
      <w:r w:rsidR="009C54A7">
        <w:instrText xml:space="preserve"> ADDIN ZOTERO_ITEM CSL_CITATION {"citationID":"SgVOvHnM","properties":{"unsorted":false,"formattedCitation":"(Arachchige et al., 2025)","plainCitation":"(Arachchige et al., 2025)","noteIndex":0},"citationItems":[{"id":2511,"uris":["http://zotero.org/users/19602067/items/3PRVA4SZ"],"itemData":{"id":2511,"type":"article-journal","abstract":"Multiple sclerosis (MS) is a chronic autoimmune disorder characterized by inflammation, demyelination, and neurodegeneration within the central nervous system (CNS). It predominantly affects women and young adults, with environmental and genetic factors contributing to its onset. MS presents a wide range of neurological symptoms due to the scattering of lesions in the CNS, often leading to vision, sensorimotor, and cognitive impairments. The clinical course of MS varies, with relapsing-remitting MS (RRMS) being the most common, followed by secondary progressive MS (SPMS) and primary progressive MS (PPMS). Diagnosis is based on clinical evaluation, MRI findings, and cerebrospinal fluid analysis, with the McDonald criteria playing a key role in confirming dissemination in time and space. Current treatments, such as disease-modifying therapies (DMTs) and steroids, focus on managing relapses and reducing long-term disability. Novel therapies, including remyelination and neuroprotective agents, are showing promise in advancing care. While these medications can slow progression and improve quality of life, MS remains an incurable disease that requires ongoing research to find more effective therapies. Surgical interventions are rare but can address severe symptoms like spasticity and bladder dysfunction, contributing to an overall personalized management approach.","container-title":"AIMS Neuroscience","DOI":"10.3934/Neuroscience.2025026","ISSN":"2373-8006","issue":"4","journalAbbreviation":"AIMS Neurosci","page":"514-538","PMID":"41523333","PMCID":"PMC12782939","source":"PubMed Central","title":"A review of multiple sclerosis: From pathophysiology to latest therapeutic advances","title-short":"A review of multiple sclerosis","volume":"12","author":[{"family":"Arachchige","given":"Arosh S. Perera Molligoda"},{"family":"El Choueiri","given":"Jad"},{"family":"Pellicanò","given":"Francesca"},{"family":"Laurelli","given":"Francesco"},{"family":"Alves","given":"Gabriel Amorim Moreira"},{"family":"Stomeo","given":"Niccolò"}],"issued":{"date-parts":[["2025",10,31]]}}}],"schema":"https://github.com/citation-style-language/schema/raw/master/csl-citation.json"} </w:instrText>
      </w:r>
      <w:r w:rsidR="009C54A7">
        <w:fldChar w:fldCharType="separate"/>
      </w:r>
      <w:r w:rsidR="009C54A7" w:rsidRPr="009C54A7">
        <w:rPr>
          <w:rFonts w:ascii="Calibri" w:hAnsi="Calibri" w:cs="Calibri"/>
        </w:rPr>
        <w:t>(Arachchige et al., 2025)</w:t>
      </w:r>
      <w:r w:rsidR="009C54A7">
        <w:fldChar w:fldCharType="end"/>
      </w:r>
      <w:r>
        <w:t>.</w:t>
      </w:r>
    </w:p>
    <w:p w14:paraId="75DCE3BC" w14:textId="77777777" w:rsidR="000F7EE6" w:rsidRPr="000F7EE6" w:rsidRDefault="000F7EE6" w:rsidP="000F7EE6">
      <w:pPr>
        <w:rPr>
          <w:b/>
          <w:bCs/>
        </w:rPr>
      </w:pPr>
      <w:r w:rsidRPr="000F7EE6">
        <w:rPr>
          <w:b/>
          <w:bCs/>
        </w:rPr>
        <w:t>6. Future Directions</w:t>
      </w:r>
    </w:p>
    <w:p w14:paraId="36199E41" w14:textId="3DFB551E" w:rsidR="000F7EE6" w:rsidRPr="000F7EE6" w:rsidRDefault="00AD1AEE" w:rsidP="000F7EE6">
      <w:r>
        <w:t>T</w:t>
      </w:r>
      <w:r w:rsidR="00BB6E5D">
        <w:t>o address the hidden burden of sickle cell disease, anticipatory, mechanism-informed solutions that emphasise early detection, personalised risk assessment, and focused intervention must replace reactive treatment. Future advancements in medicines, genomes, and diagnostics will need to be integrated into frameworks that are both internationally applicable and clinically achievable</w:t>
      </w:r>
      <w:r w:rsidR="00291A3B">
        <w:t xml:space="preserve"> </w:t>
      </w:r>
      <w:r w:rsidR="009356A2">
        <w:fldChar w:fldCharType="begin"/>
      </w:r>
      <w:r w:rsidR="009356A2">
        <w:instrText xml:space="preserve"> ADDIN ZOTERO_ITEM CSL_CITATION {"citationID":"YglnUW1G","properties":{"unsorted":false,"formattedCitation":"(Smart et al., 2026)","plainCitation":"(Smart et al., 2026)","noteIndex":0},"citationItems":[{"id":2522,"uris":["http://zotero.org/users/19602067/items/AFNGKQXX"],"itemData":{"id":2522,"type":"article-journal","abstract":"Many of the children with sickle cell disease born in sub‐Saharan Africa remain undiagnosed and untreated. Increasing capacity and infrastructure to support diagnostic and screening programs in high income countries have enabled near universal survival into adulthood. Early diagnosis and treatment are achievable goals that enjoy widespread consensus in sub‐Saharan Africa but may require a variety of individualized approaches that are specific to each country. A clear understanding of the issues that influence program building is required before identifying solutions adapted to the diverse health care settings in Africa and responsive to the challenges observed during pilot programs.","container-title":"American Journal of Hematology","DOI":"10.1002/ajh.70210","ISSN":"0361-8609","issue":"Suppl 1","journalAbbreviation":"Am J Hematol","page":"17-32","PMID":"41830504","PMCID":"PMC12988570","source":"PubMed Central","title":"Creative and Adaptive Solutions for Early Diagnosis of Sickle Cell Disease in Sub‐Saharan Africa","volume":"101","author":[{"family":"Smart","given":"Luke R."},{"family":"Segbefia","given":"Catherine I."},{"family":"Odame","given":"Isaac"}],"issued":{"date-parts":[["2026",4]]}}}],"schema":"https://github.com/citation-style-language/schema/raw/master/csl-citation.json"} </w:instrText>
      </w:r>
      <w:r w:rsidR="009356A2">
        <w:fldChar w:fldCharType="separate"/>
      </w:r>
      <w:r w:rsidR="009356A2" w:rsidRPr="009356A2">
        <w:rPr>
          <w:rFonts w:ascii="Calibri" w:hAnsi="Calibri" w:cs="Calibri"/>
        </w:rPr>
        <w:t>(Smart et al., 2026)</w:t>
      </w:r>
      <w:r w:rsidR="009356A2">
        <w:fldChar w:fldCharType="end"/>
      </w:r>
      <w:r w:rsidR="00BB6E5D">
        <w:t>.</w:t>
      </w:r>
    </w:p>
    <w:p w14:paraId="0FD9004E" w14:textId="77777777" w:rsidR="000F7EE6" w:rsidRPr="000F7EE6" w:rsidRDefault="000F7EE6" w:rsidP="000F7EE6">
      <w:pPr>
        <w:rPr>
          <w:b/>
          <w:bCs/>
        </w:rPr>
      </w:pPr>
      <w:r w:rsidRPr="000F7EE6">
        <w:rPr>
          <w:b/>
          <w:bCs/>
        </w:rPr>
        <w:t>6.1 Early Detection Frameworks</w:t>
      </w:r>
    </w:p>
    <w:p w14:paraId="12ED57E7" w14:textId="41741819" w:rsidR="000F7EE6" w:rsidRPr="000F7EE6" w:rsidRDefault="00DF3B9F" w:rsidP="000F7EE6">
      <w:r>
        <w:t>The development of organised, biomarker-driven monitoring systems that can detect organ damage at a preclinical stage is a top objective. Circulating biomarkers that show inflammation, haemolysis, endothelial activity, and early organ failure may be able to identify disease progression prior to irreversible damage</w:t>
      </w:r>
      <w:r w:rsidR="00291A3B">
        <w:t xml:space="preserve"> </w:t>
      </w:r>
      <w:r w:rsidR="009356A2">
        <w:fldChar w:fldCharType="begin"/>
      </w:r>
      <w:r w:rsidR="009356A2">
        <w:instrText xml:space="preserve"> ADDIN ZOTERO_ITEM CSL_CITATION {"citationID":"ZK9ZBQtR","properties":{"unsorted":false,"formattedCitation":"(Chen et al., 2025)","plainCitation":"(Chen et al., 2025)","noteIndex":0},"citationItems":[{"id":2525,"uris":["http://zotero.org/users/19602067/items/RP3SISBX"],"itemData":{"id":2525,"type":"article-journal","abstract":"Sepsis is life-threatening inflammatory disease, and its pathogenesis and prognostic factors remain unclear. In addition, the symptoms and signs of sepsis patients lack specificity, which makes the diagnosis, treatment and prognosis evaluation of sepsis extremely difficult. Recently, with the emergence and development of detection technologies, various sepsis-related biomarkers have emerged. Biomarkers could be considered as indicators of either infection or dysregulated host response or response to treatment and/or aid clinicians to prognosticate patient risk. Therefore, searching for reliable biomarkers and evaluating their role in sepsis is envisaged to aid clinical decision-making. This article reviews the advances in research on sepsis biomarkers and their application in the early prediction of organ dysfunction to improve our understanding of current sepsis biomarkers and provide a reference for the application of biomarkers in the clinical diagnosis, treatment, and prognosis of sepsis. Besides, we propose that the combining multiple biomarkers is expected to be a more accurate and comprehensive strategy to evaluate the condition and prognosis of sepsis patients.","container-title":"European Journal of Medical Research","DOI":"10.1186/s40001-025-03324-6","ISSN":"0949-2321","journalAbbreviation":"Eur J Med Res","page":"1081","PMID":"41204362","PMCID":"PMC12595651","source":"PubMed Central","title":"Recent advances in biomarkers for detection and diagnosis of sepsis and organ dysfunction: a comprehensive review","title-short":"Recent advances in biomarkers for detection and diagnosis of sepsis and organ dysfunction","volume":"30","author":[{"family":"Chen","given":"Leiyang"},{"family":"Zhang","given":"Xiuxiu"},{"family":"Shi","given":"Peizhi"}],"issued":{"date-parts":[["2025",11,7]]}}}],"schema":"https://github.com/citation-style-language/schema/raw/master/csl-citation.json"} </w:instrText>
      </w:r>
      <w:r w:rsidR="009356A2">
        <w:fldChar w:fldCharType="separate"/>
      </w:r>
      <w:r w:rsidR="009356A2" w:rsidRPr="009356A2">
        <w:rPr>
          <w:rFonts w:ascii="Calibri" w:hAnsi="Calibri" w:cs="Calibri"/>
        </w:rPr>
        <w:t>(Chen et al., 2025)</w:t>
      </w:r>
      <w:r w:rsidR="009356A2">
        <w:fldChar w:fldCharType="end"/>
      </w:r>
      <w:r>
        <w:t>. These methods can offer a more accurate and thorough assessment of the state of the disease when paired with standardised imaging protocols, especially neuroimaging for silent brain infarcts and cardiopulmonary assessments. Early intervention and more accurate tracking of therapeutic response would be made possible by the development of longitudinal screening guidelines that integrate these technologies into standard care</w:t>
      </w:r>
      <w:r w:rsidR="00291A3B">
        <w:t xml:space="preserve"> </w:t>
      </w:r>
      <w:r w:rsidR="009356A2">
        <w:fldChar w:fldCharType="begin"/>
      </w:r>
      <w:r w:rsidR="009356A2">
        <w:instrText xml:space="preserve"> ADDIN ZOTERO_ITEM CSL_CITATION {"citationID":"DZPSibDS","properties":{"unsorted":false,"formattedCitation":"(Nukovic et al., 2023)","plainCitation":"(Nukovic et al., 2023)","noteIndex":0},"citationItems":[{"id":2528,"uris":["http://zotero.org/users/19602067/items/QEXWSICI"],"itemData":{"id":2528,"type":"article-journal","abstract":"Strokes are one of the global leading causes of physical or mental impairment and fatality, classified into hemorrhagic and ischemic strokes. Ischemic strokes happen when a thrombus blocks or plugs an artery and interrupts or reduces blood supply to the brain tissue. Deciding on the imaging modality which will be used for stroke detection depends on the expertise and availability of staff and the infrastructure of hospitals. Magnetic resonance imaging provides valuable information, and its sensitivity for smaller infarcts is greater, while computed tomography is more extensively used, since it can promptly exclude acute cerebral hemorrhages and is more favorable speed-wise. The aim of this article was to give information about the neuroimaging modalities used for the diagnosis and monitoring of ischemic strokes. We reviewed the available literature and presented the use of computed tomography, CT angiography, CT perfusion, magnetic resonance imaging, MR angiography and MR perfusion for the detection of ischemic strokes and their monitoring in different phases of stroke development.","container-title":"Medicina","DOI":"10.3390/medicina59111908","ISSN":"1010-660X","issue":"11","journalAbbreviation":"Medicina (Kaunas)","page":"1908","PMID":"38003957","PMCID":"PMC10673396","source":"PubMed Central","title":"Neuroimaging Modalities Used for Ischemic Stroke Diagnosis and Monitoring","volume":"59","author":[{"family":"Nukovic","given":"Jasmin J."},{"family":"Opancina","given":"Valentina"},{"family":"Ciceri","given":"Elisa"},{"family":"Muto","given":"Mario"},{"family":"Zdravkovic","given":"Nebojsa"},{"family":"Altin","given":"Ahmet"},{"family":"Altaysoy","given":"Pelin"},{"family":"Kastelic","given":"Rebeka"},{"family":"Velazquez Mendivil","given":"Diana Maria"},{"family":"Nukovic","given":"Jusuf A."},{"family":"Markovic","given":"Nenad V."},{"family":"Opancina","given":"Miljan"},{"family":"Prodanovic","given":"Tijana"},{"family":"Nukovic","given":"Merisa"},{"family":"Kostic","given":"Jelena"},{"family":"Prodanovic","given":"Nikola"}],"issued":{"date-parts":[["2023",10,28]]}}}],"schema":"https://github.com/citation-style-language/schema/raw/master/csl-citation.json"} </w:instrText>
      </w:r>
      <w:r w:rsidR="009356A2">
        <w:fldChar w:fldCharType="separate"/>
      </w:r>
      <w:r w:rsidR="009356A2" w:rsidRPr="009356A2">
        <w:rPr>
          <w:rFonts w:ascii="Calibri" w:hAnsi="Calibri" w:cs="Calibri"/>
        </w:rPr>
        <w:t>(Nukovic et al., 2023)</w:t>
      </w:r>
      <w:r w:rsidR="009356A2">
        <w:fldChar w:fldCharType="end"/>
      </w:r>
      <w:r>
        <w:t>.</w:t>
      </w:r>
    </w:p>
    <w:p w14:paraId="3651E8CC" w14:textId="77777777" w:rsidR="000F7EE6" w:rsidRPr="000F7EE6" w:rsidRDefault="000F7EE6" w:rsidP="000F7EE6">
      <w:pPr>
        <w:rPr>
          <w:b/>
          <w:bCs/>
        </w:rPr>
      </w:pPr>
      <w:r w:rsidRPr="000F7EE6">
        <w:rPr>
          <w:b/>
          <w:bCs/>
        </w:rPr>
        <w:t>6.2 Precision Medicine</w:t>
      </w:r>
    </w:p>
    <w:p w14:paraId="7F5CB691" w14:textId="66B7D5A6" w:rsidR="000F7EE6" w:rsidRPr="000F7EE6" w:rsidRDefault="00DF3B9F" w:rsidP="000F7EE6">
      <w:r>
        <w:lastRenderedPageBreak/>
        <w:t>The impact of genetic and environmental modifiers is shown by the heterogeneity in clinical outcomes among sickle cell disease patients. The ability to find variations that affect haemolysis, inflammation, and vascular dysfunction is made possible by developments in genomic and epigenomic profiling</w:t>
      </w:r>
      <w:r w:rsidR="00291A3B">
        <w:t xml:space="preserve"> </w:t>
      </w:r>
      <w:r w:rsidR="001D753E">
        <w:fldChar w:fldCharType="begin"/>
      </w:r>
      <w:r w:rsidR="001D753E">
        <w:instrText xml:space="preserve"> ADDIN ZOTERO_ITEM CSL_CITATION {"citationID":"6wiLPrei","properties":{"unsorted":false,"formattedCitation":"(Diamantidis et al., 2024)","plainCitation":"(Diamantidis et al., 2024)","noteIndex":0},"citationItems":[{"id":2536,"uris":["http://zotero.org/users/19602067/items/LKD7LCRK"],"itemData":{"id":2536,"type":"article-journal","abstract":"Hemoglobinopathies, namely β-thalassemia and sickle cell disease (SCD), are hereditary diseases, characterized by molecular genetic aberrations in the beta chains of hemoglobin. These defects affect the normal production of hemoglobin with severe anemia due to less or no amount of beta globins in patients with β-thalassemia (quantitative disorder), while SCD is a serious disease in which a mutated form of hemoglobin distorts the red blood cells into a crescent shape at low oxygen levels (qualitative disorder). Despite the revolutionary progress in recent years with the approval of gene therapy and gene editing for specific patients, there is an unmet need for highlighting the mechanisms influencing hemoglobin production and for the development of novel drugs and targeted therapies. The identification of the transcription factors and other genetic modifiers of hemoglobin expression is of utmost importance for discovering novel therapeutic approaches for patients with hemoglobinopathies. The aim of this review is to describe these complex molecular mechanisms and pathways affecting hemoglobin expression and to highlight the relevant investigational approaches or pharmaceutical interventions focusing on restoring the hemoglobin normal function by linking the molecular background of the disease with the clinical perspective. All the associated drugs increasing the hemoglobin expression in patients with hemoglobinopathies, along with gene therapy and gene editing, are also discussed.","container-title":"International Journal of Molecular Sciences","DOI":"10.3390/ijms252211886","ISSN":"1422-0067","issue":"22","language":"en","license":"http://creativecommons.org/licenses/by/3.0/","page":"11886","publisher":"Multidisciplinary Digital Publishing Institute","source":"www.mdpi.com","title":"Genetic Modifiers of Hemoglobin Expression from a Clinical Perspective in Hemoglobinopathy Patients with Beta Thalassemia and Sickle Cell Disease","volume":"25","author":[{"family":"Diamantidis","given":"Michael D."},{"family":"Ikonomou","given":"Georgia"},{"family":"Argyrakouli","given":"Ioanna"},{"family":"Pantelidou","given":"Despoina"},{"family":"Delicou","given":"Sophia"}],"issued":{"date-parts":[["2024",1]]}}}],"schema":"https://github.com/citation-style-language/schema/raw/master/csl-citation.json"} </w:instrText>
      </w:r>
      <w:r w:rsidR="001D753E">
        <w:fldChar w:fldCharType="separate"/>
      </w:r>
      <w:r w:rsidR="001D753E" w:rsidRPr="001D753E">
        <w:rPr>
          <w:rFonts w:ascii="Calibri" w:hAnsi="Calibri" w:cs="Calibri"/>
        </w:rPr>
        <w:t>(Diamantidis et al., 2024)</w:t>
      </w:r>
      <w:r w:rsidR="001D753E">
        <w:fldChar w:fldCharType="end"/>
      </w:r>
      <w:r>
        <w:t>. The creation of risk stratification models that forecast vulnerability to particular organ problems may be aided by incorporating these findings into therapeutic practice. These models would go beyond a standard approach to care by enabling customised monitoring tactics and guiding therapeutic decision-making</w:t>
      </w:r>
      <w:r w:rsidR="00291A3B">
        <w:t xml:space="preserve"> </w:t>
      </w:r>
      <w:r w:rsidR="009356A2">
        <w:fldChar w:fldCharType="begin"/>
      </w:r>
      <w:r w:rsidR="009356A2">
        <w:instrText xml:space="preserve"> ADDIN ZOTERO_ITEM CSL_CITATION {"citationID":"Da4WnYMn","properties":{"unsorted":false,"formattedCitation":"(Castagna et al., 2025)","plainCitation":"(Castagna et al., 2025)","noteIndex":0},"citationItems":[{"id":2533,"uris":["http://zotero.org/users/19602067/items/Q9E8E9MV"],"itemData":{"id":2533,"type":"article-journal","abstract":"Background\nRisk stratification is a population health management approach that classifies patients according to their health risks and projected care needs. This strategy is especially valuable in primary care, where timely interventions for high-risk individuals can lead to better health outcomes, reduced healthcare expenditures, and a more sustainable healthcare system. The goal of this study was to establish expert consensus on the clinical and sociodemographic patient factors that should be incorporated into a primary care risk stratification tool.\n\nMethods\nA multidisciplinary expert panel of 24 healthcare professionals, including primary care providers (PCPs), specialists, and allied health professionals, was convened in June 2024 by Local Health Authority of Parma, Italy. Using the Nominal Group Technique, the panel was asked to define ‘health risk’ and identify contributing factors based on clinical and social relevance and data availability in patients’ PCP electronic medical records. A modified Delphi process, following ACCORD guidelines for consensus-based methods, was conducted in three rounds (July–October 2024) to derive numerical weights for the factors. Survey questions rated the perceived importance of factors using a Likert scale (1 = no importance to 9 = critical importance). Consensus, defined as ≥ 75% agreement among panelists, set each factor’s weight to the median importance rating.\n\nResults\nHealth risk was defined as “the likelihood of a progressive deterioration of an individual’s health status due to medical and/or psychosocial-welfare conditions that could lead to hospitalization or death within a year.” A total of 31 clinical and social factors were identified, and consensus about importance was achieved for all factors. Higher-weighted factors included advanced age, excessive polypharmacy, cancer, cognitive impairment, and social-psychological distress, followed by clinical conditions such as renal failure, stroke, and heart failure, and previous hospitalizations and emergency room visits.\n\nConclusions\nThe tool provides a robust framework for population health risk stratification in primary care, aligning with Italy’s healthcare reform goals. Future phases will validate the tool’s predictive performance using patient-level PCP data and assess its implications for policy and practice.\n\nSupplementary Information\nThe online version contains supplementary material available at 10.1186/s12875-025-02923-w.","container-title":"BMC Primary Care","DOI":"10.1186/s12875-025-02923-w","ISSN":"2731-4553","journalAbbreviation":"BMC Prim Care","page":"229","PMID":"40684090","PMCID":"PMC12275309","source":"PubMed Central","title":"Stratifying the population based on health risk: identification of patient key health risk factors through consensus techniques","title-short":"Stratifying the population based on health risk","volume":"26","author":[{"family":"Castagna","given":"Carolina"},{"family":"Huff","given":"Andrew"},{"family":"Douglas","given":"Aaron"},{"family":"Garofano","given":"Matteo"},{"family":"Fabi","given":"Massimo"},{"family":"Hass","given":"Richard"},{"family":"Maio","given":"Vittorio"}],"issued":{"date-parts":[["2025",7,19]]}}}],"schema":"https://github.com/citation-style-language/schema/raw/master/csl-citation.json"} </w:instrText>
      </w:r>
      <w:r w:rsidR="009356A2">
        <w:fldChar w:fldCharType="separate"/>
      </w:r>
      <w:r w:rsidR="009356A2" w:rsidRPr="009356A2">
        <w:rPr>
          <w:rFonts w:ascii="Calibri" w:hAnsi="Calibri" w:cs="Calibri"/>
        </w:rPr>
        <w:t>(Castagna et al., 2025)</w:t>
      </w:r>
      <w:r w:rsidR="009356A2">
        <w:fldChar w:fldCharType="end"/>
      </w:r>
      <w:r>
        <w:t>.</w:t>
      </w:r>
    </w:p>
    <w:p w14:paraId="22D4DE6D" w14:textId="77777777" w:rsidR="000F7EE6" w:rsidRPr="000F7EE6" w:rsidRDefault="000F7EE6" w:rsidP="000F7EE6">
      <w:pPr>
        <w:rPr>
          <w:b/>
          <w:bCs/>
        </w:rPr>
      </w:pPr>
      <w:r w:rsidRPr="000F7EE6">
        <w:rPr>
          <w:b/>
          <w:bCs/>
        </w:rPr>
        <w:t>6.3 Novel Therapeutic Targets</w:t>
      </w:r>
    </w:p>
    <w:p w14:paraId="5B65B7EA" w14:textId="5DA64D55" w:rsidR="000F7EE6" w:rsidRPr="000F7EE6" w:rsidRDefault="00DF3B9F" w:rsidP="000F7EE6">
      <w:r>
        <w:t>Future therapeutic advancements must address the underlying processes of silent harm in addition to reducing acute occurrences. One intriguing approach is to selectively modify immunological pathways to target chronic inflammation</w:t>
      </w:r>
      <w:r w:rsidR="00291A3B">
        <w:t xml:space="preserve"> </w:t>
      </w:r>
      <w:r w:rsidR="001D753E">
        <w:fldChar w:fldCharType="begin"/>
      </w:r>
      <w:r w:rsidR="001D753E">
        <w:instrText xml:space="preserve"> ADDIN ZOTERO_ITEM CSL_CITATION {"citationID":"r4kX8zFS","properties":{"unsorted":false,"formattedCitation":"(Xu et al., 2025)","plainCitation":"(Xu et al., 2025)","noteIndex":0},"citationItems":[{"id":2538,"uris":["http://zotero.org/users/19602067/items/SFR47VZR"],"itemData":{"id":2538,"type":"article-journal","abstract":"Chronic inflammatory diseases are widespread and often accompanied by comorbidities, making treatment challenging. Current immunosuppressive and anti-inflammatory therapies have limited efficacy and significant side effects, and are insufficient to address the complexity of coexisting conditions. This review explores recent advances in innate immune memory, also known as trained immunity, and its potential role in inflammatory diseases. We hypothesize that targeting the regulatory mechanisms of trained immunity may lead to novel therapeutic strategies that more effectively control inflammation and improve disease outcomes. Finally, we highlight that the interplay between trained immunity and inflammatory diseases remains incompletely understood, and further research is needed to elucidate its mechanisms and clinical translational potential.","container-title":"Frontiers in Immunology","DOI":"10.3389/fimmu.2025.1666233","ISSN":"1664-3224","journalAbbreviation":"Front Immunol","page":"1666233","PMID":"41169375","PMCID":"PMC12568716","source":"PubMed Central","title":"Reversing inflammatory diseases via trained immunity: mechanisms, challenges, and prospects","title-short":"Reversing inflammatory diseases via trained immunity","volume":"16","author":[{"family":"Xu","given":"Wanli"},{"family":"Guo","given":"Zhilin"},{"family":"Xu","given":"Tingyun"},{"family":"Chen","given":"Junjie"},{"family":"Chen","given":"Leyi"},{"family":"Xu","given":"Wenan"}],"issued":{"date-parts":[["2025",10,15]]}}}],"schema":"https://github.com/citation-style-language/schema/raw/master/csl-citation.json"} </w:instrText>
      </w:r>
      <w:r w:rsidR="001D753E">
        <w:fldChar w:fldCharType="separate"/>
      </w:r>
      <w:r w:rsidR="001D753E" w:rsidRPr="001D753E">
        <w:rPr>
          <w:rFonts w:ascii="Calibri" w:hAnsi="Calibri" w:cs="Calibri"/>
        </w:rPr>
        <w:t>(Xu et al., 2025)</w:t>
      </w:r>
      <w:r w:rsidR="001D753E">
        <w:fldChar w:fldCharType="end"/>
      </w:r>
      <w:r>
        <w:t>. In a similar vein, measures to improve nitric oxide bioavailability and restore endothelial integrity may help to stabilise the microvasculature and lessen persistent tissue damage. To maintain physiological signalling while reducing oxidative damage, antioxidant treatments must be tailored to specific systems rather than suppressing reactive oxygen species in general. These strategies may be able to break the cycle of long-term damage that causes organ failure</w:t>
      </w:r>
      <w:r w:rsidR="00291A3B">
        <w:t xml:space="preserve"> </w:t>
      </w:r>
      <w:r w:rsidR="001D753E">
        <w:fldChar w:fldCharType="begin"/>
      </w:r>
      <w:r w:rsidR="001D753E">
        <w:instrText xml:space="preserve"> ADDIN ZOTERO_ITEM CSL_CITATION {"citationID":"OgW32aAt","properties":{"unsorted":false,"formattedCitation":"(Splendore et al., 2025)","plainCitation":"(Splendore et al., 2025)","noteIndex":0},"citationItems":[{"id":2541,"uris":["http://zotero.org/users/19602067/items/M25G4RSP"],"itemData":{"id":2541,"type":"article-journal","abstract":"Priapism is a frequent and debilitating complication in patients with sickle cell disease (SCD), characterized by recurrent ischemic episodes that can culminate in fibrosis of the erectile tissue and irreversible erectile dysfunction. Despite significant advancements in the management of acute episodes, current therapies remain largely ineffective in preventing recurrences, emphasizing the need for novel strategies that target the underlying pathophysiology. This narrative review describes the mechanistic links between oxidative stress and nitric oxide (NO) dysregulation in the pathogenesis of SCD-associated priapism, with a particular focus on the NO–cyclic guanosine monophosphate (cGMP)–phosphodiesterase type 5 (PDE5) signaling axis. We analyze preclinical evidence supporting resveratrol, a natural polyphenolic compound, as well as its NO-donor hybrid derivatives, as emerging therapeutic candidates. Additionally, we discuss the potential of combining resveratrol with current treatment approaches, and address the translational challenges that must be overcome to move from preclinical data to clinical application. Taken together, the evidence presented in this review supports resveratrol-based therapies as a promising approach for oxidative-stress-driven priapism in SCD and delineates critical perspectives for their further investigation.","container-title":"Antioxidants","DOI":"10.3390/antiox14101213","ISSN":"2076-3921","issue":"10","language":"en","license":"http://creativecommons.org/licenses/by/3.0/","page":"1213","publisher":"Multidisciplinary Digital Publishing Institute","source":"www.mdpi.com","title":"Resveratrol and Its Nitric Oxide–Donor Hybrid as an Emerging Therapy for Oxidative-Stress-Driven Priapism in Sickle Cell Disease","volume":"14","author":[{"family":"Splendore","given":"Carolina Oliveira"},{"family":"Oliveira","given":"Mariana G.","non-dropping-particle":"de"},{"family":"Costa","given":"Fernando Ferreira"},{"family":"Silva","given":"Fábio Henrique"}],"issued":{"date-parts":[["2025",10]]}}}],"schema":"https://github.com/citation-style-language/schema/raw/master/csl-citation.json"} </w:instrText>
      </w:r>
      <w:r w:rsidR="001D753E">
        <w:fldChar w:fldCharType="separate"/>
      </w:r>
      <w:r w:rsidR="001D753E" w:rsidRPr="001D753E">
        <w:rPr>
          <w:rFonts w:ascii="Calibri" w:hAnsi="Calibri" w:cs="Calibri"/>
        </w:rPr>
        <w:t>(Splendore et al., 2025)</w:t>
      </w:r>
      <w:r w:rsidR="001D753E">
        <w:fldChar w:fldCharType="end"/>
      </w:r>
      <w:r>
        <w:t>.</w:t>
      </w:r>
    </w:p>
    <w:p w14:paraId="684D6E50" w14:textId="77777777" w:rsidR="000F7EE6" w:rsidRPr="000F7EE6" w:rsidRDefault="000F7EE6" w:rsidP="000F7EE6">
      <w:pPr>
        <w:rPr>
          <w:b/>
          <w:bCs/>
        </w:rPr>
      </w:pPr>
      <w:r w:rsidRPr="000F7EE6">
        <w:rPr>
          <w:b/>
          <w:bCs/>
        </w:rPr>
        <w:t>6.4 Global Health Perspective</w:t>
      </w:r>
    </w:p>
    <w:p w14:paraId="7D8DD8E3" w14:textId="03903B96" w:rsidR="000F7EE6" w:rsidRPr="000F7EE6" w:rsidRDefault="00DF3B9F" w:rsidP="000F7EE6">
      <w:r>
        <w:t>The disproportionate prevalence of sickle cell disease in sub-Saharan Africa, where access to innovative diagnostics and treatments is frequently restricted and healthcare resources are scarce, must be taken into consideration in any strategy for the future. To close this gap, screening tools that are both affordable and scalable are necessary</w:t>
      </w:r>
      <w:r w:rsidR="00291A3B">
        <w:t xml:space="preserve"> </w:t>
      </w:r>
      <w:r w:rsidR="001D753E">
        <w:fldChar w:fldCharType="begin"/>
      </w:r>
      <w:r w:rsidR="001D753E">
        <w:instrText xml:space="preserve"> ADDIN ZOTERO_ITEM CSL_CITATION {"citationID":"3tlJ7l5q","properties":{"unsorted":false,"formattedCitation":"(Adigwe et al., 2023)","plainCitation":"(Adigwe et al., 2023)","noteIndex":0},"citationItems":[{"id":2543,"uris":["http://zotero.org/users/19602067/items/W2PJJVFT"],"itemData":{"id":2543,"type":"article-journal","abstract":"Sickle cell disease is caused by an abnormality of the β-globin gene and is characterised by sickling of the red blood cells. Globally, sub-Saharan African countries share the highest burden of the disease. This study aimed at critically reviewing studies focusing on challenges of sickle cell anaemia in sub-Saharan Africa. A literature search was carried out in five major databases. Articles that met the inclusion criteria were included in the bibliometric review and critical analysis. A majority of the studies were undertaken in the West African region (85.5%), followed by Central Africa (9.1%). Very few studies had been undertaken in East Africa (3.6%), whilst the Southern African region had the fewest studies (1.8%). Distribution in relation to country revealed that three quarters of the studies were carried out in Nigeria (74.5%), followed by the Democratic Republic of the Congo (9.1%). According to healthcare settings, a strong majority of the studies were undertaken in tertiary health care facilities (92.7%). Major themes that emerged from the review include interventions, cost of treatment, and knowledge about sickle cell disease. Public health awareness and promotion as well as improving the quality of sickle cell centers for prompt management of patients with sickle cell disorder was identified as a critical strategy towards reducing the burden of the disease in sub-Saharan Africa. To achieve this, governments in countries located in this region need to adopt a proactive strategy in addressing gaps that have been identified in this study, as well as instituting other relevant measures, such as continuous media engagement and public health interventions relating to genetic counselling. Reforms in other areas that can help reduce the disease burden, include training of practitioners and equipping sickle cell disease treatment centers according to World Health Organization specifications.","container-title":"Journal of Blood Medicine","DOI":"10.2147/JBM.S406196","ISSN":"1179-2736","journalAbbreviation":"J Blood Med","page":"367-376","PMID":"37284610","PMCID":"PMC10239624","source":"PubMed Central","title":"A Critical Review of Sickle Cell Disease Burden and Challenges in Sub-Saharan Africa","volume":"14","author":[{"family":"Adigwe","given":"Obi Peter"},{"family":"Onoja","given":"Solomon Oloche"},{"family":"Onavbavba","given":"Godspower"}],"issued":{"date-parts":[["2023",5,31]]}}}],"schema":"https://github.com/citation-style-language/schema/raw/master/csl-citation.json"} </w:instrText>
      </w:r>
      <w:r w:rsidR="001D753E">
        <w:fldChar w:fldCharType="separate"/>
      </w:r>
      <w:r w:rsidR="001D753E" w:rsidRPr="001D753E">
        <w:rPr>
          <w:rFonts w:ascii="Calibri" w:hAnsi="Calibri" w:cs="Calibri"/>
        </w:rPr>
        <w:t>(Adigwe et al., 2023)</w:t>
      </w:r>
      <w:r w:rsidR="001D753E">
        <w:fldChar w:fldCharType="end"/>
      </w:r>
      <w:r>
        <w:t>. In these contexts, community-based monitoring programs, streamlined imaging procedures, and point-of-care biomarker testing may help identify organ damage earlier. Converting scientific advancements into significant increases in survival will require bolstering the healthcare system and increasing access to necessary treatments. Despite advancements in high-resource contexts, discrepancies in results will continue in the absence of such initiatives</w:t>
      </w:r>
      <w:r w:rsidR="00291A3B">
        <w:t xml:space="preserve"> </w:t>
      </w:r>
      <w:r w:rsidR="001D753E">
        <w:fldChar w:fldCharType="begin"/>
      </w:r>
      <w:r w:rsidR="001D753E">
        <w:instrText xml:space="preserve"> ADDIN ZOTERO_ITEM CSL_CITATION {"citationID":"7mL1qe9B","properties":{"unsorted":false,"formattedCitation":"(Musuka et al., 2024)","plainCitation":"(Musuka et al., 2024)","noteIndex":0},"citationItems":[{"id":2546,"uris":["http://zotero.org/users/19602067/items/TU4BIXT8"],"itemData":{"id":2546,"type":"article-journal","abstract":"Sickle cell disease (SCD) is a prevalent inherited blood disorder, particularly affecting populations in Africa. This review examined the disease’s burden, its diverse clinical presentations, and the challenges associated with its management in African settings. Africa bears a significant burden of SCD, with prevalence varying across countries and age groups. Newborn screening programs have highlighted the high prevalence of SCD at birth, emphasizing the need for early diagnosis and intervention. The clinical manifestations of SCD in Africa are multifaceted, encompassing acute complications like vaso-occlusive crises, acute chest syndrome, and stroke, as well as chronic complications such as organ damage and leg ulcers. Biological factors, including fetal hemoglobin levels, and demographic factors, like age and sex, influence disease severity and outcomes. The management of SCD in Africa faces numerous challenges. Limited access to resources, including diagnostic tools, medications, and trained healthcare professionals, hinders optimal care. The high cost of advanced therapies further restricts patient access. Cultural stigma and a lack of awareness create additional barriers to effective management. To address these challenges, early diagnosis through newborn screening programs and point-of-care testing is crucial. Comprehensive care models, including hydroxyurea therapy, pain management, and patient education, are essential for improving outcomes. Collaboration with international networks and leveraging local resources can enhance the sustainability of SCD programs. In conclusion, SCD significantly impacts African populations. Overcoming the challenges associated with its management requires addressing resource limitations, affordability issues, and cultural barriers. Early diagnosis, comprehensive care models, and ongoing research focused on affordability and accessibility are crucial for improving the lives of individuals living with SCD in Africa.","container-title":"Tropical Medicine and Infectious Disease","DOI":"10.3390/tropicalmed9120292","ISSN":"2414-6366","issue":"12","language":"en","license":"http://creativecommons.org/licenses/by/3.0/","page":"292","publisher":"Multidisciplinary Digital Publishing Institute","source":"www.mdpi.com","title":"Evolving Landscape of Sickle Cell Anemia Management in Africa: A Critical Review","title-short":"Evolving Landscape of Sickle Cell Anemia Management in Africa","volume":"9","author":[{"family":"Musuka","given":"Hazel W."},{"family":"Iradukunda","given":"Patrick Gad"},{"family":"Mano","given":"Oscar"},{"family":"Saramba","given":"Eric"},{"family":"Gashema","given":"Pierre"},{"family":"Moyo","given":"Enos"},{"family":"Dzinamarira","given":"Tafadzwa"}],"issued":{"date-parts":[["2024",12]]}}}],"schema":"https://github.com/citation-style-language/schema/raw/master/csl-citation.json"} </w:instrText>
      </w:r>
      <w:r w:rsidR="001D753E">
        <w:fldChar w:fldCharType="separate"/>
      </w:r>
      <w:r w:rsidR="001D753E" w:rsidRPr="001D753E">
        <w:rPr>
          <w:rFonts w:ascii="Calibri" w:hAnsi="Calibri" w:cs="Calibri"/>
        </w:rPr>
        <w:t>(Musuka et al., 2024)</w:t>
      </w:r>
      <w:r w:rsidR="001D753E">
        <w:fldChar w:fldCharType="end"/>
      </w:r>
      <w:r>
        <w:t>.</w:t>
      </w:r>
    </w:p>
    <w:p w14:paraId="19FBED2D" w14:textId="77777777" w:rsidR="000F7EE6" w:rsidRPr="000F7EE6" w:rsidRDefault="000F7EE6" w:rsidP="000F7EE6">
      <w:pPr>
        <w:rPr>
          <w:b/>
          <w:bCs/>
        </w:rPr>
      </w:pPr>
      <w:r w:rsidRPr="000F7EE6">
        <w:rPr>
          <w:b/>
          <w:bCs/>
        </w:rPr>
        <w:t>7. Conclusion</w:t>
      </w:r>
    </w:p>
    <w:p w14:paraId="70C69A8E" w14:textId="63BEAF58" w:rsidR="000F7EE6" w:rsidRPr="000F7EE6" w:rsidRDefault="00804142" w:rsidP="000F7EE6">
      <w:r>
        <w:t>The clinical paradigm for sickle cell disease has to change from its conventional emphasis on acute vaso-occlusive crises to one that is focused on preventing progressive organ damage. Even if acute complications are still clinically relevant, the ongoing burden of premature death seen in all patient categories cannot be entirely explained by them. A growing body of research suggests that silent, cumulative multiorgan damage is a major, frequently overlooked cause of unfavourable outcomes.</w:t>
      </w:r>
    </w:p>
    <w:p w14:paraId="0E24372B" w14:textId="30FE5301" w:rsidR="000F7EE6" w:rsidRPr="000F7EE6" w:rsidRDefault="00804142" w:rsidP="000F7EE6">
      <w:r>
        <w:lastRenderedPageBreak/>
        <w:t>There are significant ramifications for both clinical treatment and research from this new understanding. To identify disease development before irreparable damage occurs, early detection of subclinical injury through systematic screening including the integration of sensitive biomarkers and imaging modalities is crucial. Simultaneously, clinical guidelines need to be revised to prioritise proactive intervention and longitudinal surveillance over episodic, symptom-driven therapy. A more precise evaluation of the disease load and prompt therapy modifications might be made possible by such an approach.</w:t>
      </w:r>
    </w:p>
    <w:p w14:paraId="1E653095" w14:textId="6D391F60" w:rsidR="000F7EE6" w:rsidRDefault="00693601" w:rsidP="000F7EE6">
      <w:r>
        <w:t>Research on the aetiology, identification, and management of subclinical disease processes must also be given top priority. Improvements in the treatment of acute problems will not be enough to significantly increase long-term survival without focused efforts to address silent harm. Redefining outcomes and lowering the hidden burden of disease hence require an all-encompassing, organ-protective framework.</w:t>
      </w:r>
    </w:p>
    <w:p w14:paraId="0150F669" w14:textId="77777777" w:rsidR="001D753E" w:rsidRDefault="001D753E" w:rsidP="000F7EE6"/>
    <w:p w14:paraId="06920DE3" w14:textId="58AFC962" w:rsidR="001D753E" w:rsidRDefault="001D753E" w:rsidP="000F7EE6">
      <w:r>
        <w:t>REFERENCES</w:t>
      </w:r>
    </w:p>
    <w:p w14:paraId="60EEF8E5" w14:textId="77777777" w:rsidR="007C7471" w:rsidRDefault="001D753E" w:rsidP="007C7471">
      <w:pPr>
        <w:pStyle w:val="Bibliography"/>
      </w:pPr>
      <w:r>
        <w:fldChar w:fldCharType="begin"/>
      </w:r>
      <w:r>
        <w:instrText xml:space="preserve"> ADDIN ZOTERO_BIBL {"uncited":[],"omitted":[],"custom":[]} CSL_BIBLIOGRAPHY </w:instrText>
      </w:r>
      <w:r>
        <w:fldChar w:fldCharType="separate"/>
      </w:r>
      <w:r w:rsidR="007C7471">
        <w:t xml:space="preserve">Abrashev, H., Abrasheva, D., Nikolov, N., Ananiev, J., &amp; Georgieva, E. (2025). A Systematic Review of Endothelial Dysfunction in Chronic Venous Disease—Inflammation, Oxidative Stress, and Shear Stress. </w:t>
      </w:r>
      <w:r w:rsidR="007C7471">
        <w:rPr>
          <w:i/>
          <w:iCs/>
        </w:rPr>
        <w:t>International Journal of Molecular Sciences</w:t>
      </w:r>
      <w:r w:rsidR="007C7471">
        <w:t xml:space="preserve">, </w:t>
      </w:r>
      <w:r w:rsidR="007C7471">
        <w:rPr>
          <w:i/>
          <w:iCs/>
        </w:rPr>
        <w:t>26</w:t>
      </w:r>
      <w:r w:rsidR="007C7471">
        <w:t>(8), 3660. https://doi.org/10.3390/ijms26083660</w:t>
      </w:r>
    </w:p>
    <w:p w14:paraId="4ACF4607" w14:textId="77777777" w:rsidR="007C7471" w:rsidRDefault="007C7471" w:rsidP="007C7471">
      <w:pPr>
        <w:pStyle w:val="Bibliography"/>
      </w:pPr>
      <w:r>
        <w:t xml:space="preserve">Adigwe, O. P., Onoja, S. O., &amp; Onavbavba, G. (2023). A Critical Review of Sickle Cell Disease Burden and Challenges in Sub-Saharan Africa. </w:t>
      </w:r>
      <w:r>
        <w:rPr>
          <w:i/>
          <w:iCs/>
        </w:rPr>
        <w:t>Journal of Blood Medicine</w:t>
      </w:r>
      <w:r>
        <w:t xml:space="preserve">, </w:t>
      </w:r>
      <w:r>
        <w:rPr>
          <w:i/>
          <w:iCs/>
        </w:rPr>
        <w:t>14</w:t>
      </w:r>
      <w:r>
        <w:t>, 367–376. https://doi.org/10.2147/JBM.S406196</w:t>
      </w:r>
    </w:p>
    <w:p w14:paraId="0CBE5669" w14:textId="77777777" w:rsidR="007C7471" w:rsidRDefault="007C7471" w:rsidP="007C7471">
      <w:pPr>
        <w:pStyle w:val="Bibliography"/>
      </w:pPr>
      <w:r>
        <w:t xml:space="preserve">Airola, C., Pallozzi, M., Cerrito, L., Santopaolo, F., Stella, L., Gasbarrini, A., &amp; Ponziani, F. R. (2023). Microvascular Thrombosis and Liver Fibrosis Progression: Mechanisms and Clinical Applications. </w:t>
      </w:r>
      <w:r>
        <w:rPr>
          <w:i/>
          <w:iCs/>
        </w:rPr>
        <w:t>Cells</w:t>
      </w:r>
      <w:r>
        <w:t xml:space="preserve">, </w:t>
      </w:r>
      <w:r>
        <w:rPr>
          <w:i/>
          <w:iCs/>
        </w:rPr>
        <w:t>12</w:t>
      </w:r>
      <w:r>
        <w:t>(13), 1712. https://doi.org/10.3390/cells12131712</w:t>
      </w:r>
    </w:p>
    <w:p w14:paraId="7D05A1C7" w14:textId="77777777" w:rsidR="007C7471" w:rsidRDefault="007C7471" w:rsidP="007C7471">
      <w:pPr>
        <w:pStyle w:val="Bibliography"/>
      </w:pPr>
      <w:r>
        <w:t xml:space="preserve">Alfaro, S., Acuña, V., Ceriani, R., Cavieres, M. F., Weinstein-Oppenheimer, C. R., &amp; Campos-Estrada, C. (2022). Involvement of Inflammation and Its Resolution in Disease and Therapeutics. </w:t>
      </w:r>
      <w:r>
        <w:rPr>
          <w:i/>
          <w:iCs/>
        </w:rPr>
        <w:t>International Journal of Molecular Sciences</w:t>
      </w:r>
      <w:r>
        <w:t xml:space="preserve">, </w:t>
      </w:r>
      <w:r>
        <w:rPr>
          <w:i/>
          <w:iCs/>
        </w:rPr>
        <w:t>23</w:t>
      </w:r>
      <w:r>
        <w:t>(18), 10719. https://doi.org/10.3390/ijms231810719</w:t>
      </w:r>
    </w:p>
    <w:p w14:paraId="5C1C52DE" w14:textId="77777777" w:rsidR="007C7471" w:rsidRDefault="007C7471" w:rsidP="007C7471">
      <w:pPr>
        <w:pStyle w:val="Bibliography"/>
      </w:pPr>
      <w:r>
        <w:t xml:space="preserve">Alobaidi, S. (2025). Emerging Biomarkers and Advanced Diagnostics in Chronic Kidney Disease: Early Detection Through Multi-Omics and AI. </w:t>
      </w:r>
      <w:r>
        <w:rPr>
          <w:i/>
          <w:iCs/>
        </w:rPr>
        <w:t>Diagnostics</w:t>
      </w:r>
      <w:r>
        <w:t xml:space="preserve">, </w:t>
      </w:r>
      <w:r>
        <w:rPr>
          <w:i/>
          <w:iCs/>
        </w:rPr>
        <w:t>15</w:t>
      </w:r>
      <w:r>
        <w:t>(10), 1225. https://doi.org/10.3390/diagnostics15101225</w:t>
      </w:r>
    </w:p>
    <w:p w14:paraId="45A3E6FD" w14:textId="77777777" w:rsidR="007C7471" w:rsidRDefault="007C7471" w:rsidP="007C7471">
      <w:pPr>
        <w:pStyle w:val="Bibliography"/>
      </w:pPr>
      <w:r>
        <w:t xml:space="preserve">Alshurafa, A., Soliman, A. T., De Sanctis, V., Ismail, O., Abu-Tineh, M., Hemadneh, M. K. E., Rashid, F. R., Qasim, H., Yassin, K., Nashwan, A. J., &amp; Yassin, M. A. (2023). Clinical and epidemiological features and therapeutic options of avascular necrosis in patients with sickle </w:t>
      </w:r>
      <w:r>
        <w:lastRenderedPageBreak/>
        <w:t xml:space="preserve">cell disease (SCD): A cross-sectional study. </w:t>
      </w:r>
      <w:r>
        <w:rPr>
          <w:i/>
          <w:iCs/>
        </w:rPr>
        <w:t>Acta Bio Medica : Atenei Parmensis</w:t>
      </w:r>
      <w:r>
        <w:t xml:space="preserve">, </w:t>
      </w:r>
      <w:r>
        <w:rPr>
          <w:i/>
          <w:iCs/>
        </w:rPr>
        <w:t>94</w:t>
      </w:r>
      <w:r>
        <w:t>(5), e2023198. https://doi.org/10.23750/abm.v94i5.14603</w:t>
      </w:r>
    </w:p>
    <w:p w14:paraId="3BE157AB" w14:textId="77777777" w:rsidR="007C7471" w:rsidRDefault="007C7471" w:rsidP="007C7471">
      <w:pPr>
        <w:pStyle w:val="Bibliography"/>
      </w:pPr>
      <w:r>
        <w:t xml:space="preserve">Anwar, S., Alharbi, H. O. A., Babiker, A. Y., &amp; Rahmani, A. H. (2026). Oxidative Stress in Health and Disease: Mechanisms and Therapeutic Perspectives. </w:t>
      </w:r>
      <w:r>
        <w:rPr>
          <w:i/>
          <w:iCs/>
        </w:rPr>
        <w:t>International Journal of Molecular Sciences</w:t>
      </w:r>
      <w:r>
        <w:t xml:space="preserve">, </w:t>
      </w:r>
      <w:r>
        <w:rPr>
          <w:i/>
          <w:iCs/>
        </w:rPr>
        <w:t>27</w:t>
      </w:r>
      <w:r>
        <w:t>(6), 2681. https://doi.org/10.3390/ijms27062681</w:t>
      </w:r>
    </w:p>
    <w:p w14:paraId="4EED1A34" w14:textId="77777777" w:rsidR="007C7471" w:rsidRDefault="007C7471" w:rsidP="007C7471">
      <w:pPr>
        <w:pStyle w:val="Bibliography"/>
      </w:pPr>
      <w:r>
        <w:t xml:space="preserve">Arachchige, A. S. P. M., El Choueiri, J., Pellicanò, F., Laurelli, F., Alves, G. A. M., &amp; Stomeo, N. (2025). A review of multiple sclerosis: From pathophysiology to latest therapeutic advances. </w:t>
      </w:r>
      <w:r>
        <w:rPr>
          <w:i/>
          <w:iCs/>
        </w:rPr>
        <w:t>AIMS Neuroscience</w:t>
      </w:r>
      <w:r>
        <w:t xml:space="preserve">, </w:t>
      </w:r>
      <w:r>
        <w:rPr>
          <w:i/>
          <w:iCs/>
        </w:rPr>
        <w:t>12</w:t>
      </w:r>
      <w:r>
        <w:t>(4), 514–538. https://doi.org/10.3934/Neuroscience.2025026</w:t>
      </w:r>
    </w:p>
    <w:p w14:paraId="791329FC" w14:textId="77777777" w:rsidR="007C7471" w:rsidRDefault="007C7471" w:rsidP="007C7471">
      <w:pPr>
        <w:pStyle w:val="Bibliography"/>
      </w:pPr>
      <w:r>
        <w:t xml:space="preserve">Baidya, R., Crawford, D. H. G., Gautheron, J., Wang, H., &amp; Bridle, K. R. (2020). Necroptosis in Hepatosteatotic Ischaemia-Reperfusion Injury. </w:t>
      </w:r>
      <w:r>
        <w:rPr>
          <w:i/>
          <w:iCs/>
        </w:rPr>
        <w:t>International Journal of Molecular Sciences</w:t>
      </w:r>
      <w:r>
        <w:t xml:space="preserve">, </w:t>
      </w:r>
      <w:r>
        <w:rPr>
          <w:i/>
          <w:iCs/>
        </w:rPr>
        <w:t>21</w:t>
      </w:r>
      <w:r>
        <w:t>(16), 5931. https://doi.org/10.3390/ijms21165931</w:t>
      </w:r>
    </w:p>
    <w:p w14:paraId="6F3E945E" w14:textId="77777777" w:rsidR="007C7471" w:rsidRDefault="007C7471" w:rsidP="007C7471">
      <w:pPr>
        <w:pStyle w:val="Bibliography"/>
      </w:pPr>
      <w:r>
        <w:t xml:space="preserve">Bangolo, A., Amoozgar, B., Zhang, L., Gill, S., Lushimba Milolo, D., Ngindu Kankonde, J., Mbuyi Batakamuna, C., Tassan, R., Cho, C., Bukasa-Kakamba, J., &amp; Mowatt-Pesce, K. (2025). Curative Therapies for Hemophilias and Hemoglobinopathies in Adults: Immune, Gene, and Stem Cell Approaches in a Global Context. </w:t>
      </w:r>
      <w:r>
        <w:rPr>
          <w:i/>
          <w:iCs/>
        </w:rPr>
        <w:t>Biomedicines</w:t>
      </w:r>
      <w:r>
        <w:t xml:space="preserve">, </w:t>
      </w:r>
      <w:r>
        <w:rPr>
          <w:i/>
          <w:iCs/>
        </w:rPr>
        <w:t>13</w:t>
      </w:r>
      <w:r>
        <w:t>(8), 2022. https://doi.org/10.3390/biomedicines13082022</w:t>
      </w:r>
    </w:p>
    <w:p w14:paraId="4ECEC2AC" w14:textId="77777777" w:rsidR="007C7471" w:rsidRDefault="007C7471" w:rsidP="007C7471">
      <w:pPr>
        <w:pStyle w:val="Bibliography"/>
      </w:pPr>
      <w:r>
        <w:t xml:space="preserve">Bodaghi, A., Fattahi, N., &amp; Ramazani, A. (2023). Biomarkers: Promising and valuable tools towards diagnosis, prognosis and treatment of Covid-19 and other diseases. </w:t>
      </w:r>
      <w:r>
        <w:rPr>
          <w:i/>
          <w:iCs/>
        </w:rPr>
        <w:t>Heliyon</w:t>
      </w:r>
      <w:r>
        <w:t xml:space="preserve">, </w:t>
      </w:r>
      <w:r>
        <w:rPr>
          <w:i/>
          <w:iCs/>
        </w:rPr>
        <w:t>9</w:t>
      </w:r>
      <w:r>
        <w:t>(2), e13323. https://doi.org/10.1016/j.heliyon.2023.e13323</w:t>
      </w:r>
    </w:p>
    <w:p w14:paraId="6D0F294E" w14:textId="77777777" w:rsidR="007C7471" w:rsidRDefault="007C7471" w:rsidP="007C7471">
      <w:pPr>
        <w:pStyle w:val="Bibliography"/>
      </w:pPr>
      <w:r>
        <w:t xml:space="preserve">Castagna, C., Huff, A., Douglas, A., Garofano, M., Fabi, M., Hass, R., &amp; Maio, V. (2025). Stratifying the population based on health risk: Identification of patient key health risk factors through consensus techniques. </w:t>
      </w:r>
      <w:r>
        <w:rPr>
          <w:i/>
          <w:iCs/>
        </w:rPr>
        <w:t>BMC Primary Care</w:t>
      </w:r>
      <w:r>
        <w:t xml:space="preserve">, </w:t>
      </w:r>
      <w:r>
        <w:rPr>
          <w:i/>
          <w:iCs/>
        </w:rPr>
        <w:t>26</w:t>
      </w:r>
      <w:r>
        <w:t>, 229. https://doi.org/10.1186/s12875-025-02923-w</w:t>
      </w:r>
    </w:p>
    <w:p w14:paraId="79B099F5" w14:textId="77777777" w:rsidR="007C7471" w:rsidRDefault="007C7471" w:rsidP="007C7471">
      <w:pPr>
        <w:pStyle w:val="Bibliography"/>
      </w:pPr>
      <w:r>
        <w:t xml:space="preserve">Chatzidavid, S., Flevari, P., Tombrou, I., Anastasiadis, G., &amp; Dimopoulou, M. (2024). Pulmonary Hypertension in Sickle Cell Disease: Novel Findings of Gene Polymorphisms Related to Pathophysiology. </w:t>
      </w:r>
      <w:r>
        <w:rPr>
          <w:i/>
          <w:iCs/>
        </w:rPr>
        <w:t>International Journal of Molecular Sciences</w:t>
      </w:r>
      <w:r>
        <w:t xml:space="preserve">, </w:t>
      </w:r>
      <w:r>
        <w:rPr>
          <w:i/>
          <w:iCs/>
        </w:rPr>
        <w:t>25</w:t>
      </w:r>
      <w:r>
        <w:t>(9), 4792. https://doi.org/10.3390/ijms25094792</w:t>
      </w:r>
    </w:p>
    <w:p w14:paraId="070F3954" w14:textId="77777777" w:rsidR="007C7471" w:rsidRDefault="007C7471" w:rsidP="007C7471">
      <w:pPr>
        <w:pStyle w:val="Bibliography"/>
      </w:pPr>
      <w:r>
        <w:t xml:space="preserve">Chen, L., Zhang, X., &amp; Shi, P. (2025). Recent advances in biomarkers for detection and diagnosis of sepsis and organ dysfunction: A comprehensive review. </w:t>
      </w:r>
      <w:r>
        <w:rPr>
          <w:i/>
          <w:iCs/>
        </w:rPr>
        <w:t>European Journal of Medical Research</w:t>
      </w:r>
      <w:r>
        <w:t xml:space="preserve">, </w:t>
      </w:r>
      <w:r>
        <w:rPr>
          <w:i/>
          <w:iCs/>
        </w:rPr>
        <w:t>30</w:t>
      </w:r>
      <w:r>
        <w:t>, 1081. https://doi.org/10.1186/s40001-025-03324-6</w:t>
      </w:r>
    </w:p>
    <w:p w14:paraId="6E16FF97" w14:textId="77777777" w:rsidR="007C7471" w:rsidRDefault="007C7471" w:rsidP="007C7471">
      <w:pPr>
        <w:pStyle w:val="Bibliography"/>
      </w:pPr>
      <w:r>
        <w:t xml:space="preserve">Conran, N., &amp; Embury, S. H. (2021). Sickle cell vaso-occlusion: The dialectic between red cells and white cells. </w:t>
      </w:r>
      <w:r>
        <w:rPr>
          <w:i/>
          <w:iCs/>
        </w:rPr>
        <w:t>Experimental Biology and Medicine</w:t>
      </w:r>
      <w:r>
        <w:t xml:space="preserve">, </w:t>
      </w:r>
      <w:r>
        <w:rPr>
          <w:i/>
          <w:iCs/>
        </w:rPr>
        <w:t>246</w:t>
      </w:r>
      <w:r>
        <w:t>(12), 1458–1472. https://doi.org/10.1177/15353702211005392</w:t>
      </w:r>
    </w:p>
    <w:p w14:paraId="035826EA" w14:textId="77777777" w:rsidR="007C7471" w:rsidRDefault="007C7471" w:rsidP="007C7471">
      <w:pPr>
        <w:pStyle w:val="Bibliography"/>
      </w:pPr>
      <w:r>
        <w:lastRenderedPageBreak/>
        <w:t xml:space="preserve">Delicou, S., Xydaki, K., Moraki, M., &amp; Aforozis, T. (2026). End-of-Life Care in Sickle Cell Disease and Transfusion-Dependent β-Thalassemia: Clinical, Psychosocial, and Ethical Considerations. </w:t>
      </w:r>
      <w:r>
        <w:rPr>
          <w:i/>
          <w:iCs/>
        </w:rPr>
        <w:t>Mediterranean Journal of Hematology and Infectious Diseases</w:t>
      </w:r>
      <w:r>
        <w:t xml:space="preserve">, </w:t>
      </w:r>
      <w:r>
        <w:rPr>
          <w:i/>
          <w:iCs/>
        </w:rPr>
        <w:t>18</w:t>
      </w:r>
      <w:r>
        <w:t>(1), e2026015. https://doi.org/10.4084/MJHID.2026.015</w:t>
      </w:r>
    </w:p>
    <w:p w14:paraId="67D99794" w14:textId="77777777" w:rsidR="007C7471" w:rsidRDefault="007C7471" w:rsidP="007C7471">
      <w:pPr>
        <w:pStyle w:val="Bibliography"/>
      </w:pPr>
      <w:r>
        <w:t xml:space="preserve">Diamantidis, M. D., Ikonomou, G., Argyrakouli, I., Pantelidou, D., &amp; Delicou, S. (2024). Genetic Modifiers of Hemoglobin Expression from a Clinical Perspective in Hemoglobinopathy Patients with Beta Thalassemia and Sickle Cell Disease. </w:t>
      </w:r>
      <w:r>
        <w:rPr>
          <w:i/>
          <w:iCs/>
        </w:rPr>
        <w:t>International Journal of Molecular Sciences</w:t>
      </w:r>
      <w:r>
        <w:t xml:space="preserve">, </w:t>
      </w:r>
      <w:r>
        <w:rPr>
          <w:i/>
          <w:iCs/>
        </w:rPr>
        <w:t>25</w:t>
      </w:r>
      <w:r>
        <w:t>(22), 11886. https://doi.org/10.3390/ijms252211886</w:t>
      </w:r>
    </w:p>
    <w:p w14:paraId="2198E7ED" w14:textId="77777777" w:rsidR="007C7471" w:rsidRDefault="007C7471" w:rsidP="007C7471">
      <w:pPr>
        <w:pStyle w:val="Bibliography"/>
      </w:pPr>
      <w:r>
        <w:t xml:space="preserve">Dorneles, J., de Menezes Mayer, A., &amp; Chies, J. A. B. (2025). Sickle Cell Anemia and Inflammation: A Review of Stones and Landmarks Paving the Road in the Last 25 Years. </w:t>
      </w:r>
      <w:r>
        <w:rPr>
          <w:i/>
          <w:iCs/>
        </w:rPr>
        <w:t>Hematology Reports</w:t>
      </w:r>
      <w:r>
        <w:t xml:space="preserve">, </w:t>
      </w:r>
      <w:r>
        <w:rPr>
          <w:i/>
          <w:iCs/>
        </w:rPr>
        <w:t>17</w:t>
      </w:r>
      <w:r>
        <w:t>(1), 2. https://doi.org/10.3390/hematolrep17010002</w:t>
      </w:r>
    </w:p>
    <w:p w14:paraId="02063CCD" w14:textId="77777777" w:rsidR="007C7471" w:rsidRDefault="007C7471" w:rsidP="007C7471">
      <w:pPr>
        <w:pStyle w:val="Bibliography"/>
      </w:pPr>
      <w:r>
        <w:t xml:space="preserve">DuPont, M., Galadanci, N. A., Patel, R. V., Lebensburger, J., &amp; Kanter, J. (2026). Rethinking Sickle Cell Disease as a Systemic Vasculopathy. </w:t>
      </w:r>
      <w:r>
        <w:rPr>
          <w:i/>
          <w:iCs/>
        </w:rPr>
        <w:t>Cells</w:t>
      </w:r>
      <w:r>
        <w:t xml:space="preserve">, </w:t>
      </w:r>
      <w:r>
        <w:rPr>
          <w:i/>
          <w:iCs/>
        </w:rPr>
        <w:t>15</w:t>
      </w:r>
      <w:r>
        <w:t>(4), 326. https://doi.org/10.3390/cells15040326</w:t>
      </w:r>
    </w:p>
    <w:p w14:paraId="445745CF" w14:textId="77777777" w:rsidR="007C7471" w:rsidRDefault="007C7471" w:rsidP="007C7471">
      <w:pPr>
        <w:pStyle w:val="Bibliography"/>
      </w:pPr>
      <w:r>
        <w:t xml:space="preserve">Durante, A., Mazzapicchi, A., &amp; Baiardo Redaelli, M. (2024). Systemic and Cardiac Microvascular Dysfunction in Hypertension. </w:t>
      </w:r>
      <w:r>
        <w:rPr>
          <w:i/>
          <w:iCs/>
        </w:rPr>
        <w:t>International Journal of Molecular Sciences</w:t>
      </w:r>
      <w:r>
        <w:t xml:space="preserve">, </w:t>
      </w:r>
      <w:r>
        <w:rPr>
          <w:i/>
          <w:iCs/>
        </w:rPr>
        <w:t>25</w:t>
      </w:r>
      <w:r>
        <w:t>(24), 13294. https://doi.org/10.3390/ijms252413294</w:t>
      </w:r>
    </w:p>
    <w:p w14:paraId="631DFF06" w14:textId="77777777" w:rsidR="007C7471" w:rsidRDefault="007C7471" w:rsidP="007C7471">
      <w:pPr>
        <w:pStyle w:val="Bibliography"/>
      </w:pPr>
      <w:r>
        <w:t xml:space="preserve">Elendu, C., Amaechi, D. C., Alakwe-Ojimba, C. E., Elendu, T. C., Elendu, R. C., Ayabazu, C. P., Aina, T. O., Aborisade, O., &amp; Adenikinju, J. S. (2023). Understanding Sickle cell disease: Causes, symptoms, and treatment options. </w:t>
      </w:r>
      <w:r>
        <w:rPr>
          <w:i/>
          <w:iCs/>
        </w:rPr>
        <w:t>Medicine</w:t>
      </w:r>
      <w:r>
        <w:t xml:space="preserve">, </w:t>
      </w:r>
      <w:r>
        <w:rPr>
          <w:i/>
          <w:iCs/>
        </w:rPr>
        <w:t>102</w:t>
      </w:r>
      <w:r>
        <w:t>(38), e35237. https://doi.org/10.1097/MD.0000000000035237</w:t>
      </w:r>
    </w:p>
    <w:p w14:paraId="10CD7E72" w14:textId="77777777" w:rsidR="007C7471" w:rsidRDefault="007C7471" w:rsidP="007C7471">
      <w:pPr>
        <w:pStyle w:val="Bibliography"/>
      </w:pPr>
      <w:r>
        <w:t xml:space="preserve">Emami, S. G., Lorenzoni, V., &amp; Turchetti, G. (2024). Towards Resilient Healthcare Systems: A Framework for Crisis Management. </w:t>
      </w:r>
      <w:r>
        <w:rPr>
          <w:i/>
          <w:iCs/>
        </w:rPr>
        <w:t>International Journal of Environmental Research and Public Health</w:t>
      </w:r>
      <w:r>
        <w:t xml:space="preserve">, </w:t>
      </w:r>
      <w:r>
        <w:rPr>
          <w:i/>
          <w:iCs/>
        </w:rPr>
        <w:t>21</w:t>
      </w:r>
      <w:r>
        <w:t>(3), 286. https://doi.org/10.3390/ijerph21030286</w:t>
      </w:r>
    </w:p>
    <w:p w14:paraId="36789928" w14:textId="77777777" w:rsidR="007C7471" w:rsidRDefault="007C7471" w:rsidP="007C7471">
      <w:pPr>
        <w:pStyle w:val="Bibliography"/>
      </w:pPr>
      <w:r>
        <w:t xml:space="preserve">Feuer, D. S., Handberg, E. M., Mehrad, B., Wei, J., Merz, C. N. B., Pepine, C. J., &amp; Keeley, E. C. (2022). Microvascular dysfunction as a systemic disease: A review of the evidence. </w:t>
      </w:r>
      <w:r>
        <w:rPr>
          <w:i/>
          <w:iCs/>
        </w:rPr>
        <w:t>The American Journal of Medicine</w:t>
      </w:r>
      <w:r>
        <w:t xml:space="preserve">, </w:t>
      </w:r>
      <w:r>
        <w:rPr>
          <w:i/>
          <w:iCs/>
        </w:rPr>
        <w:t>135</w:t>
      </w:r>
      <w:r>
        <w:t>(9), 1059–1068. https://doi.org/10.1016/j.amjmed.2022.04.006</w:t>
      </w:r>
    </w:p>
    <w:p w14:paraId="42E19637" w14:textId="77777777" w:rsidR="00291A3B" w:rsidRDefault="007C7471" w:rsidP="007C7471">
      <w:pPr>
        <w:pStyle w:val="Bibliography"/>
      </w:pPr>
      <w:r w:rsidRPr="00291A3B">
        <w:t xml:space="preserve">Fogliazza, F., Berzieri, M., Carbone, G., Ciriaco, D., &amp; Esposito, S. (2025). Chronic Hydroxyurea Therapy in Children with Sickle Cell Anemia: Mechanisms of Action, Systemic Effects, and Long-Term Safety. </w:t>
      </w:r>
      <w:r w:rsidRPr="00291A3B">
        <w:rPr>
          <w:i/>
          <w:iCs/>
        </w:rPr>
        <w:t>Journal of Clinical Medicine</w:t>
      </w:r>
      <w:r w:rsidRPr="00291A3B">
        <w:t xml:space="preserve">, </w:t>
      </w:r>
      <w:r w:rsidRPr="00291A3B">
        <w:rPr>
          <w:i/>
          <w:iCs/>
        </w:rPr>
        <w:t>14</w:t>
      </w:r>
      <w:r w:rsidRPr="00291A3B">
        <w:t>(23), 8599. https://doi.org/10.3390/jcm14238599</w:t>
      </w:r>
    </w:p>
    <w:p w14:paraId="4FED11D5" w14:textId="4013639F" w:rsidR="007C7471" w:rsidRPr="00291A3B" w:rsidRDefault="007C7471" w:rsidP="007C7471">
      <w:pPr>
        <w:pStyle w:val="Bibliography"/>
        <w:rPr>
          <w:highlight w:val="yellow"/>
        </w:rPr>
      </w:pPr>
      <w:r>
        <w:t xml:space="preserve">Gillespie, M., King, T., Cohen, R. T., Willen, S. M., Koya, A. I., Ruhl, A. P., &amp; Kopp, B. T. (2026). Emerging concepts in sickle cell disease acute chest syndrome. </w:t>
      </w:r>
      <w:r>
        <w:rPr>
          <w:i/>
          <w:iCs/>
        </w:rPr>
        <w:t>Blood Red Cells &amp; Iron</w:t>
      </w:r>
      <w:r>
        <w:t xml:space="preserve">, </w:t>
      </w:r>
      <w:r>
        <w:rPr>
          <w:i/>
          <w:iCs/>
        </w:rPr>
        <w:t>2</w:t>
      </w:r>
      <w:r>
        <w:t>(2), 100060. https://doi.org/10.1016/j.brci.2026.100060</w:t>
      </w:r>
    </w:p>
    <w:p w14:paraId="54D1F464" w14:textId="77777777" w:rsidR="007C7471" w:rsidRDefault="007C7471" w:rsidP="007C7471">
      <w:pPr>
        <w:pStyle w:val="Bibliography"/>
      </w:pPr>
      <w:r>
        <w:lastRenderedPageBreak/>
        <w:t xml:space="preserve">Gunda, S. T., Yip, J. H.-Y., Ng, V. T.-K., Chen, Z., Han, X., Chen, X., Pang, M. Y.-C., &amp; Ying, M. T.-C. (2024). The Diagnostic Accuracy of Transcranial Color-Coded Doppler Ultrasound Technique in Stratifying Intracranial Cerebral Artery Stenoses in Cerebrovascular Disease Patients: A Systematic Review and Meta-Analysis. </w:t>
      </w:r>
      <w:r>
        <w:rPr>
          <w:i/>
          <w:iCs/>
        </w:rPr>
        <w:t>Journal of Clinical Medicine</w:t>
      </w:r>
      <w:r>
        <w:t xml:space="preserve">, </w:t>
      </w:r>
      <w:r>
        <w:rPr>
          <w:i/>
          <w:iCs/>
        </w:rPr>
        <w:t>13</w:t>
      </w:r>
      <w:r>
        <w:t>(5), 1507. https://doi.org/10.3390/jcm13051507</w:t>
      </w:r>
    </w:p>
    <w:p w14:paraId="15997C45" w14:textId="77777777" w:rsidR="007C7471" w:rsidRDefault="007C7471" w:rsidP="007C7471">
      <w:pPr>
        <w:pStyle w:val="Bibliography"/>
      </w:pPr>
      <w:r>
        <w:t xml:space="preserve">Houwing, M. E., Grohssteiner, R. L., Dremmen, M. H. G., Atiq, F., Bramer, W. M., de Pagter, A. P. J., Zwaan, C. M., White, T. J. H., Vernooij, M. W., &amp; Cnossen, M. H. (2020). Silent cerebral infarcts in patients with sickle cell disease: A systematic review and meta-analysis. </w:t>
      </w:r>
      <w:r>
        <w:rPr>
          <w:i/>
          <w:iCs/>
        </w:rPr>
        <w:t>BMC Medicine</w:t>
      </w:r>
      <w:r>
        <w:t xml:space="preserve">, </w:t>
      </w:r>
      <w:r>
        <w:rPr>
          <w:i/>
          <w:iCs/>
        </w:rPr>
        <w:t>18</w:t>
      </w:r>
      <w:r>
        <w:t>, 393. https://doi.org/10.1186/s12916-020-01864-8</w:t>
      </w:r>
    </w:p>
    <w:p w14:paraId="3C4111AC" w14:textId="77777777" w:rsidR="007C7471" w:rsidRDefault="007C7471" w:rsidP="007C7471">
      <w:pPr>
        <w:pStyle w:val="Bibliography"/>
      </w:pPr>
      <w:r>
        <w:t xml:space="preserve">Ionescu (Miron), A.-I., Atasiei, D.-I., Ionescu, R.-T., Ultimescu, F., Barnonschi, A.-A., Anghel, A.-V., Anghel, C.-A., Antone-Iordache, I.-L., Mitre, R., Bobolocu, A. M., Zamfir, A., Lișcu, H.-D., Coniac, S., &amp; Șandru, F. (2024). Prediction of Subclinical and Clinical Multiple Organ Failure Dysfunction in Breast Cancer Patients—A Review Using AI Tools. </w:t>
      </w:r>
      <w:r>
        <w:rPr>
          <w:i/>
          <w:iCs/>
        </w:rPr>
        <w:t>Cancers</w:t>
      </w:r>
      <w:r>
        <w:t xml:space="preserve">, </w:t>
      </w:r>
      <w:r>
        <w:rPr>
          <w:i/>
          <w:iCs/>
        </w:rPr>
        <w:t>16</w:t>
      </w:r>
      <w:r>
        <w:t>(2), 0. https://doi.org/10.3390/cancers16020381</w:t>
      </w:r>
    </w:p>
    <w:p w14:paraId="274FCC93" w14:textId="77777777" w:rsidR="007C7471" w:rsidRDefault="007C7471" w:rsidP="007C7471">
      <w:pPr>
        <w:pStyle w:val="Bibliography"/>
      </w:pPr>
      <w:r>
        <w:t xml:space="preserve">Jerome, L., McNamee, P., Abdel-Halim, N., Elliot, K., &amp; Woods, J. (2023). Solution-focused approaches in adult mental health research: A conceptual literature review and narrative synthesis. </w:t>
      </w:r>
      <w:r>
        <w:rPr>
          <w:i/>
          <w:iCs/>
        </w:rPr>
        <w:t>Frontiers in Psychiatry</w:t>
      </w:r>
      <w:r>
        <w:t xml:space="preserve">, </w:t>
      </w:r>
      <w:r>
        <w:rPr>
          <w:i/>
          <w:iCs/>
        </w:rPr>
        <w:t>14</w:t>
      </w:r>
      <w:r>
        <w:t>, 1068006. https://doi.org/10.3389/fpsyt.2023.1068006</w:t>
      </w:r>
    </w:p>
    <w:p w14:paraId="3B67FC1E" w14:textId="77777777" w:rsidR="007C7471" w:rsidRDefault="007C7471" w:rsidP="007C7471">
      <w:pPr>
        <w:pStyle w:val="Bibliography"/>
      </w:pPr>
      <w:r>
        <w:t xml:space="preserve">Kanbay, M., Copur, S., Bakir, C. N., Covic, A., Ortiz, A., &amp; Tuttle, K. R. (2024). Glomerular hyperfiltration as a therapeutic target for CKD. </w:t>
      </w:r>
      <w:r>
        <w:rPr>
          <w:i/>
          <w:iCs/>
        </w:rPr>
        <w:t>Nephrology Dialysis Transplantation</w:t>
      </w:r>
      <w:r>
        <w:t xml:space="preserve">, </w:t>
      </w:r>
      <w:r>
        <w:rPr>
          <w:i/>
          <w:iCs/>
        </w:rPr>
        <w:t>39</w:t>
      </w:r>
      <w:r>
        <w:t>(8), 1228–1238. https://doi.org/10.1093/ndt/gfae027</w:t>
      </w:r>
    </w:p>
    <w:p w14:paraId="1F3FE723" w14:textId="77777777" w:rsidR="007C7471" w:rsidRDefault="007C7471" w:rsidP="007C7471">
      <w:pPr>
        <w:pStyle w:val="Bibliography"/>
      </w:pPr>
      <w:r>
        <w:t xml:space="preserve">Ki, M.-R., Kim, D. H., Abdelhamid, M. A. A., &amp; Pack, S. P. (2025). Cancer and Aging Biomarkers: Classification, Early Detection Technologies and Emerging Research Trends. </w:t>
      </w:r>
      <w:r>
        <w:rPr>
          <w:i/>
          <w:iCs/>
        </w:rPr>
        <w:t>Biosensors</w:t>
      </w:r>
      <w:r>
        <w:t xml:space="preserve">, </w:t>
      </w:r>
      <w:r>
        <w:rPr>
          <w:i/>
          <w:iCs/>
        </w:rPr>
        <w:t>15</w:t>
      </w:r>
      <w:r>
        <w:t>(11), 737. https://doi.org/10.3390/bios15110737</w:t>
      </w:r>
    </w:p>
    <w:p w14:paraId="7192F431" w14:textId="77777777" w:rsidR="007C7471" w:rsidRDefault="007C7471" w:rsidP="007C7471">
      <w:pPr>
        <w:pStyle w:val="Bibliography"/>
      </w:pPr>
      <w:r>
        <w:t xml:space="preserve">Konarski, W., Poboży, T., Śliwczyński, A., Kotela, I., Krakowiak, J., Hordowicz, M., &amp; Kotela, A. (2022). Avascular Necrosis of Femoral Head—Overview and Current State of the Art. </w:t>
      </w:r>
      <w:r>
        <w:rPr>
          <w:i/>
          <w:iCs/>
        </w:rPr>
        <w:t>International Journal of Environmental Research and Public Health</w:t>
      </w:r>
      <w:r>
        <w:t xml:space="preserve">, </w:t>
      </w:r>
      <w:r>
        <w:rPr>
          <w:i/>
          <w:iCs/>
        </w:rPr>
        <w:t>19</w:t>
      </w:r>
      <w:r>
        <w:t>(12), 7348. https://doi.org/10.3390/ijerph19127348</w:t>
      </w:r>
    </w:p>
    <w:p w14:paraId="2DAEEAC5" w14:textId="77777777" w:rsidR="007C7471" w:rsidRDefault="007C7471" w:rsidP="007C7471">
      <w:pPr>
        <w:pStyle w:val="Bibliography"/>
      </w:pPr>
      <w:r>
        <w:t xml:space="preserve">Kurhaluk, N., &amp; Tkaczenko, H. (2025). L-Arginine and Nitric Oxide in Vascular Regulation—Experimental Findings in the Context of Blood Donation. </w:t>
      </w:r>
      <w:r>
        <w:rPr>
          <w:i/>
          <w:iCs/>
        </w:rPr>
        <w:t>Nutrients</w:t>
      </w:r>
      <w:r>
        <w:t xml:space="preserve">, </w:t>
      </w:r>
      <w:r>
        <w:rPr>
          <w:i/>
          <w:iCs/>
        </w:rPr>
        <w:t>17</w:t>
      </w:r>
      <w:r>
        <w:t>(4), 665. https://doi.org/10.3390/nu17040665</w:t>
      </w:r>
    </w:p>
    <w:p w14:paraId="2A7161DB" w14:textId="77777777" w:rsidR="007C7471" w:rsidRDefault="007C7471" w:rsidP="007C7471">
      <w:pPr>
        <w:pStyle w:val="Bibliography"/>
      </w:pPr>
      <w:r>
        <w:t xml:space="preserve">Liu, Z.-Y., Yu, Y., &amp; Yu, X.-Z. (2026). Interplay Between Oxidative Stress and Inflammation in Aquatic Animals: Mechanisms, Consequences, and Implications for Aquaculture Health. </w:t>
      </w:r>
      <w:r>
        <w:rPr>
          <w:i/>
          <w:iCs/>
        </w:rPr>
        <w:t>Antioxidants</w:t>
      </w:r>
      <w:r>
        <w:t xml:space="preserve">, </w:t>
      </w:r>
      <w:r>
        <w:rPr>
          <w:i/>
          <w:iCs/>
        </w:rPr>
        <w:t>15</w:t>
      </w:r>
      <w:r>
        <w:t>(2), 208. https://doi.org/10.3390/antiox15020208</w:t>
      </w:r>
    </w:p>
    <w:p w14:paraId="5AC3E3AD" w14:textId="77777777" w:rsidR="007C7471" w:rsidRDefault="007C7471" w:rsidP="007C7471">
      <w:pPr>
        <w:pStyle w:val="Bibliography"/>
      </w:pPr>
      <w:r>
        <w:lastRenderedPageBreak/>
        <w:t xml:space="preserve">López Rubio, M., &amp; Argüello Marina, M. (2024). The Current Role of Hydroxyurea in the Treatment of Sickle Cell Anemia. </w:t>
      </w:r>
      <w:r>
        <w:rPr>
          <w:i/>
          <w:iCs/>
        </w:rPr>
        <w:t>Journal of Clinical Medicine</w:t>
      </w:r>
      <w:r>
        <w:t xml:space="preserve">, </w:t>
      </w:r>
      <w:r>
        <w:rPr>
          <w:i/>
          <w:iCs/>
        </w:rPr>
        <w:t>13</w:t>
      </w:r>
      <w:r>
        <w:t>(21), 6404. https://doi.org/10.3390/jcm13216404</w:t>
      </w:r>
    </w:p>
    <w:p w14:paraId="28024AE0" w14:textId="77777777" w:rsidR="007C7471" w:rsidRDefault="007C7471" w:rsidP="007C7471">
      <w:pPr>
        <w:pStyle w:val="Bibliography"/>
      </w:pPr>
      <w:r>
        <w:t xml:space="preserve">Lucà, F., Ceravolo, R., Gulizia, M. M., Gelsomino, S., Rao, C. M., Ingianni, N., Vitale, G., Geraci, G., Iacovoni, A., Scicchitano, P., Murrone, A., Bilato, C., Guasti, L., Colivicchi, F., Oliva, F., Nardi, F., Grimaldi, M., &amp; Parrini, I. (2026). Primary and Secondary Prevention of Ischemic Stroke in Elderly Patients with Cardiovascular Disease: The Role of Frailty and Care Pathways. </w:t>
      </w:r>
      <w:r>
        <w:rPr>
          <w:i/>
          <w:iCs/>
        </w:rPr>
        <w:t>Neurology International</w:t>
      </w:r>
      <w:r>
        <w:t xml:space="preserve">, </w:t>
      </w:r>
      <w:r>
        <w:rPr>
          <w:i/>
          <w:iCs/>
        </w:rPr>
        <w:t>18</w:t>
      </w:r>
      <w:r>
        <w:t>(2), 36. https://doi.org/10.3390/neurolint18020036</w:t>
      </w:r>
    </w:p>
    <w:p w14:paraId="7AFF43D8" w14:textId="77777777" w:rsidR="007C7471" w:rsidRDefault="007C7471" w:rsidP="007C7471">
      <w:pPr>
        <w:pStyle w:val="Bibliography"/>
      </w:pPr>
      <w:r>
        <w:t xml:space="preserve">Mata-Lima, A., Serrano-Olmedo, J. J., &amp; Paquete, A. R. (2026). Leveraging ICT Tools to Improve Kidney Health: A Comprehensive Review of Innovations in Nephrology. </w:t>
      </w:r>
      <w:r>
        <w:rPr>
          <w:i/>
          <w:iCs/>
        </w:rPr>
        <w:t>Healthcare</w:t>
      </w:r>
      <w:r>
        <w:t xml:space="preserve">, </w:t>
      </w:r>
      <w:r>
        <w:rPr>
          <w:i/>
          <w:iCs/>
        </w:rPr>
        <w:t>14</w:t>
      </w:r>
      <w:r>
        <w:t>(6), 785. https://doi.org/10.3390/healthcare14060785</w:t>
      </w:r>
    </w:p>
    <w:p w14:paraId="2DDAB8D2" w14:textId="77777777" w:rsidR="007C7471" w:rsidRDefault="007C7471" w:rsidP="007C7471">
      <w:pPr>
        <w:pStyle w:val="Bibliography"/>
      </w:pPr>
      <w:r>
        <w:t xml:space="preserve">Mekontso Dessap, A., Dauger, S., Khellaf, M., Agbakou, M., Agut, S., Angoulvant, F., Arlet, J.-B., Aubron, C., Baudin, F., Boissier, F., Bounaud, N., Catoire, P., Cecchini, J., Chaiba, D., Chauvin, A., Chocron, R., Douay, B., Douillet, D., Elenga, N., … Jean, S. (2025). Guidelines for the management of emergencies and critical illness in pediatric and adult patients with sickle cell disease. </w:t>
      </w:r>
      <w:r>
        <w:rPr>
          <w:i/>
          <w:iCs/>
        </w:rPr>
        <w:t>Annals of Intensive Care</w:t>
      </w:r>
      <w:r>
        <w:t xml:space="preserve">, </w:t>
      </w:r>
      <w:r>
        <w:rPr>
          <w:i/>
          <w:iCs/>
        </w:rPr>
        <w:t>15</w:t>
      </w:r>
      <w:r>
        <w:t>, 74. https://doi.org/10.1186/s13613-025-01479-3</w:t>
      </w:r>
    </w:p>
    <w:p w14:paraId="3AF113CD" w14:textId="77777777" w:rsidR="007C7471" w:rsidRDefault="007C7471" w:rsidP="007C7471">
      <w:pPr>
        <w:pStyle w:val="Bibliography"/>
      </w:pPr>
      <w:r>
        <w:t xml:space="preserve">Młynarska, E., Bojdo, K., Frankenstein, H., Krawiranda, K., Kustosik, N., Lisińska, W., Rysz, J., &amp; Franczyk, B. (2025). Endothelial Dysfunction as the Common Pathway Linking Obesity, Hypertension and Atherosclerosis. </w:t>
      </w:r>
      <w:r>
        <w:rPr>
          <w:i/>
          <w:iCs/>
        </w:rPr>
        <w:t>International Journal of Molecular Sciences</w:t>
      </w:r>
      <w:r>
        <w:t xml:space="preserve">, </w:t>
      </w:r>
      <w:r>
        <w:rPr>
          <w:i/>
          <w:iCs/>
        </w:rPr>
        <w:t>26</w:t>
      </w:r>
      <w:r>
        <w:t>(20), 10096. https://doi.org/10.3390/ijms262010096</w:t>
      </w:r>
    </w:p>
    <w:p w14:paraId="4D916C33" w14:textId="77777777" w:rsidR="007C7471" w:rsidRDefault="007C7471" w:rsidP="007C7471">
      <w:pPr>
        <w:pStyle w:val="Bibliography"/>
      </w:pPr>
      <w:r>
        <w:t xml:space="preserve">Musuka, H. W., Iradukunda, P. G., Mano, O., Saramba, E., Gashema, P., Moyo, E., &amp; Dzinamarira, T. (2024). Evolving Landscape of Sickle Cell Anemia Management in Africa: A Critical Review. </w:t>
      </w:r>
      <w:r>
        <w:rPr>
          <w:i/>
          <w:iCs/>
        </w:rPr>
        <w:t>Tropical Medicine and Infectious Disease</w:t>
      </w:r>
      <w:r>
        <w:t xml:space="preserve">, </w:t>
      </w:r>
      <w:r>
        <w:rPr>
          <w:i/>
          <w:iCs/>
        </w:rPr>
        <w:t>9</w:t>
      </w:r>
      <w:r>
        <w:t>(12), 292. https://doi.org/10.3390/tropicalmed9120292</w:t>
      </w:r>
    </w:p>
    <w:p w14:paraId="5EF0BA5D" w14:textId="77777777" w:rsidR="007C7471" w:rsidRDefault="007C7471" w:rsidP="007C7471">
      <w:pPr>
        <w:pStyle w:val="Bibliography"/>
      </w:pPr>
      <w:r>
        <w:t xml:space="preserve">Nukovic, J. J., Opancina, V., Ciceri, E., Muto, M., Zdravkovic, N., Altin, A., Altaysoy, P., Kastelic, R., Velazquez Mendivil, D. M., Nukovic, J. A., Markovic, N. V., Opancina, M., Prodanovic, T., Nukovic, M., Kostic, J., &amp; Prodanovic, N. (2023). Neuroimaging Modalities Used for Ischemic Stroke Diagnosis and Monitoring. </w:t>
      </w:r>
      <w:r>
        <w:rPr>
          <w:i/>
          <w:iCs/>
        </w:rPr>
        <w:t>Medicina</w:t>
      </w:r>
      <w:r>
        <w:t xml:space="preserve">, </w:t>
      </w:r>
      <w:r>
        <w:rPr>
          <w:i/>
          <w:iCs/>
        </w:rPr>
        <w:t>59</w:t>
      </w:r>
      <w:r>
        <w:t>(11), 1908. https://doi.org/10.3390/medicina59111908</w:t>
      </w:r>
    </w:p>
    <w:p w14:paraId="542A79D2" w14:textId="77777777" w:rsidR="007C7471" w:rsidRDefault="007C7471" w:rsidP="007C7471">
      <w:pPr>
        <w:pStyle w:val="Bibliography"/>
      </w:pPr>
      <w:r>
        <w:t xml:space="preserve">Obeagu, E. I. (2025). Adhesion molecules in focus: Mechanistic pathways and therapeutic avenues in sickle cell vaso-occlusion – a narrative review. </w:t>
      </w:r>
      <w:r>
        <w:rPr>
          <w:i/>
          <w:iCs/>
        </w:rPr>
        <w:t>Annals of Medicine and Surgery</w:t>
      </w:r>
      <w:r>
        <w:t xml:space="preserve">, </w:t>
      </w:r>
      <w:r>
        <w:rPr>
          <w:i/>
          <w:iCs/>
        </w:rPr>
        <w:t>87</w:t>
      </w:r>
      <w:r>
        <w:t>(9), 5775–5783. https://doi.org/10.1097/MS9.0000000000003619</w:t>
      </w:r>
    </w:p>
    <w:p w14:paraId="7C9046AD" w14:textId="77777777" w:rsidR="007C7471" w:rsidRDefault="007C7471" w:rsidP="007C7471">
      <w:pPr>
        <w:pStyle w:val="Bibliography"/>
      </w:pPr>
      <w:r>
        <w:t xml:space="preserve">Obrador, E., Estrela, J. M., López-Blanch, R., Moreno-Murciano, P., Montoro, A., &amp; Oriol-Caballo, M. (2026). Radiomitigators: Breakthroughs in Post-Radiation Recovery. </w:t>
      </w:r>
      <w:r>
        <w:rPr>
          <w:i/>
          <w:iCs/>
        </w:rPr>
        <w:t>Antioxidants</w:t>
      </w:r>
      <w:r>
        <w:t xml:space="preserve">, </w:t>
      </w:r>
      <w:r>
        <w:rPr>
          <w:i/>
          <w:iCs/>
        </w:rPr>
        <w:t>15</w:t>
      </w:r>
      <w:r>
        <w:t>(3), 381. https://doi.org/10.3390/antiox15030381</w:t>
      </w:r>
    </w:p>
    <w:p w14:paraId="45F44F70" w14:textId="77777777" w:rsidR="007C7471" w:rsidRDefault="007C7471" w:rsidP="007C7471">
      <w:pPr>
        <w:pStyle w:val="Bibliography"/>
      </w:pPr>
      <w:r>
        <w:lastRenderedPageBreak/>
        <w:t xml:space="preserve">Orrico, F., Laurance, S., Lopez, A. C., Lefevre, S. D., Thomson, L., Möller, M. N., &amp; Ostuni, M. A. (2023). Oxidative Stress in Healthy and Pathological Red Blood Cells. </w:t>
      </w:r>
      <w:r>
        <w:rPr>
          <w:i/>
          <w:iCs/>
        </w:rPr>
        <w:t>Biomolecules</w:t>
      </w:r>
      <w:r>
        <w:t xml:space="preserve">, </w:t>
      </w:r>
      <w:r>
        <w:rPr>
          <w:i/>
          <w:iCs/>
        </w:rPr>
        <w:t>13</w:t>
      </w:r>
      <w:r>
        <w:t>(8), 1262. https://doi.org/10.3390/biom13081262</w:t>
      </w:r>
    </w:p>
    <w:p w14:paraId="48984771" w14:textId="77777777" w:rsidR="007C7471" w:rsidRDefault="007C7471" w:rsidP="007C7471">
      <w:pPr>
        <w:pStyle w:val="Bibliography"/>
      </w:pPr>
      <w:r>
        <w:t xml:space="preserve">Osunkwo, I., Andemariam, B., Minniti, C. P., Inusa, B. P. D., El Rassi, F., Francis‐Gibson, B., Nero, A., Trimnell, C., Abboud, M. R., Arlet, J., Colombatti, R., de Montalembert, M., Jain, S., Jastaniah, W., Nur, E., Pita, M., DeBonnett, L., Ramscar, N., Bailey, T., … James, J. (2021). Impact of sickle cell disease on patientsʼ daily lives, symptoms reported, and disease management strategies: Results from the international Sickle Cell World Assessment Survey (SWAY). </w:t>
      </w:r>
      <w:r>
        <w:rPr>
          <w:i/>
          <w:iCs/>
        </w:rPr>
        <w:t>American Journal of Hematology</w:t>
      </w:r>
      <w:r>
        <w:t xml:space="preserve">, </w:t>
      </w:r>
      <w:r>
        <w:rPr>
          <w:i/>
          <w:iCs/>
        </w:rPr>
        <w:t>96</w:t>
      </w:r>
      <w:r>
        <w:t>(4), 404–417. https://doi.org/10.1002/ajh.26063</w:t>
      </w:r>
    </w:p>
    <w:p w14:paraId="14F98608" w14:textId="77777777" w:rsidR="007C7471" w:rsidRDefault="007C7471" w:rsidP="007C7471">
      <w:pPr>
        <w:pStyle w:val="Bibliography"/>
      </w:pPr>
      <w:r>
        <w:t xml:space="preserve">Otaigbe, I. I. (2025). Mitigating inequitable access to appropriate antibiotics in low- and middle-income countries. </w:t>
      </w:r>
      <w:r>
        <w:rPr>
          <w:i/>
          <w:iCs/>
        </w:rPr>
        <w:t>JAC-Antimicrobial Resistance</w:t>
      </w:r>
      <w:r>
        <w:t xml:space="preserve">, </w:t>
      </w:r>
      <w:r>
        <w:rPr>
          <w:i/>
          <w:iCs/>
        </w:rPr>
        <w:t>7</w:t>
      </w:r>
      <w:r>
        <w:t>(2), dlaf061. https://doi.org/10.1093/jacamr/dlaf061</w:t>
      </w:r>
    </w:p>
    <w:p w14:paraId="43979B6D" w14:textId="77777777" w:rsidR="007C7471" w:rsidRDefault="007C7471" w:rsidP="007C7471">
      <w:pPr>
        <w:pStyle w:val="Bibliography"/>
      </w:pPr>
      <w:r>
        <w:t xml:space="preserve">Ozturk, N. B., Herdan, E., Saner, F. H., &amp; Gurakar, A. (2023). A Comprehensive Review of the Diagnosis and Management of Acute Liver Failure. </w:t>
      </w:r>
      <w:r>
        <w:rPr>
          <w:i/>
          <w:iCs/>
        </w:rPr>
        <w:t>Journal of Clinical Medicine</w:t>
      </w:r>
      <w:r>
        <w:t xml:space="preserve">, </w:t>
      </w:r>
      <w:r>
        <w:rPr>
          <w:i/>
          <w:iCs/>
        </w:rPr>
        <w:t>12</w:t>
      </w:r>
      <w:r>
        <w:t>(23), 7451. https://doi.org/10.3390/jcm12237451</w:t>
      </w:r>
    </w:p>
    <w:p w14:paraId="2A32791E" w14:textId="77777777" w:rsidR="007C7471" w:rsidRDefault="007C7471" w:rsidP="007C7471">
      <w:pPr>
        <w:pStyle w:val="Bibliography"/>
      </w:pPr>
      <w:r>
        <w:t xml:space="preserve">Peretz, S., Livshits, L., Pretorius, E., Makhro, A., Bogdanova, A., Gassmann, M., Koren, A., &amp; Levin, C. (2022). The protective effect of the spleen in sickle cell patients. A comparative study between patients with asplenia/hyposplenism and hypersplenism. </w:t>
      </w:r>
      <w:r>
        <w:rPr>
          <w:i/>
          <w:iCs/>
        </w:rPr>
        <w:t>Frontiers in Physiology</w:t>
      </w:r>
      <w:r>
        <w:t xml:space="preserve">, </w:t>
      </w:r>
      <w:r>
        <w:rPr>
          <w:i/>
          <w:iCs/>
        </w:rPr>
        <w:t>13</w:t>
      </w:r>
      <w:r>
        <w:t>, 796837. https://doi.org/10.3389/fphys.2022.796837</w:t>
      </w:r>
    </w:p>
    <w:p w14:paraId="6D5D498A" w14:textId="77777777" w:rsidR="007C7471" w:rsidRDefault="007C7471" w:rsidP="007C7471">
      <w:pPr>
        <w:pStyle w:val="Bibliography"/>
      </w:pPr>
      <w:r>
        <w:t xml:space="preserve">Quan, N. K., &amp; Taylor-Robinson, A. W. (2026). A “paradox of progress” shapes the social determinants of infectious diseases in Vietnam, 1975–2025. </w:t>
      </w:r>
      <w:r>
        <w:rPr>
          <w:i/>
          <w:iCs/>
        </w:rPr>
        <w:t>Nature Communications</w:t>
      </w:r>
      <w:r>
        <w:t xml:space="preserve">, </w:t>
      </w:r>
      <w:r>
        <w:rPr>
          <w:i/>
          <w:iCs/>
        </w:rPr>
        <w:t>17</w:t>
      </w:r>
      <w:r>
        <w:t>, 3222. https://doi.org/10.1038/s41467-026-71419-7</w:t>
      </w:r>
    </w:p>
    <w:p w14:paraId="2EDB2493" w14:textId="77777777" w:rsidR="007C7471" w:rsidRDefault="007C7471" w:rsidP="007C7471">
      <w:pPr>
        <w:pStyle w:val="Bibliography"/>
      </w:pPr>
      <w:r>
        <w:t xml:space="preserve">Romero-González, G., Rodríguez-Chitiva, N., Cañameras, C., Paúl-Martínez, J., Urrutia-Jou, M., Troya, M., Soler-Majoral, J., Graterol Torres, F., Sánchez-Bayá, M., Calabia, J., &amp; Bover, J. (2024). Albuminuria, Forgotten No More: Underlining the Emerging Role in CardioRenal Crosstalk. </w:t>
      </w:r>
      <w:r>
        <w:rPr>
          <w:i/>
          <w:iCs/>
        </w:rPr>
        <w:t>Journal of Clinical Medicine</w:t>
      </w:r>
      <w:r>
        <w:t xml:space="preserve">, </w:t>
      </w:r>
      <w:r>
        <w:rPr>
          <w:i/>
          <w:iCs/>
        </w:rPr>
        <w:t>13</w:t>
      </w:r>
      <w:r>
        <w:t>(3), 777. https://doi.org/10.3390/jcm13030777</w:t>
      </w:r>
    </w:p>
    <w:p w14:paraId="2816F58B" w14:textId="77777777" w:rsidR="007C7471" w:rsidRDefault="007C7471" w:rsidP="007C7471">
      <w:pPr>
        <w:pStyle w:val="Bibliography"/>
      </w:pPr>
      <w:r>
        <w:t xml:space="preserve">Saceleanu, V. M., Toader, C., Ples, H., Covache-Busuioc, R.-A., Costin, H. P., Bratu, B.-G., Dumitrascu, D.-I., Bordeianu, A., Corlatescu, A. D., &amp; Ciurea, A. V. (2023). Integrative Approaches in Acute Ischemic Stroke: From Symptom Recognition to Future Innovations. </w:t>
      </w:r>
      <w:r>
        <w:rPr>
          <w:i/>
          <w:iCs/>
        </w:rPr>
        <w:t>Biomedicines</w:t>
      </w:r>
      <w:r>
        <w:t xml:space="preserve">, </w:t>
      </w:r>
      <w:r>
        <w:rPr>
          <w:i/>
          <w:iCs/>
        </w:rPr>
        <w:t>11</w:t>
      </w:r>
      <w:r>
        <w:t>(10), 2617. https://doi.org/10.3390/biomedicines11102617</w:t>
      </w:r>
    </w:p>
    <w:p w14:paraId="13D69CAE" w14:textId="77777777" w:rsidR="007C7471" w:rsidRDefault="007C7471" w:rsidP="007C7471">
      <w:pPr>
        <w:pStyle w:val="Bibliography"/>
      </w:pPr>
      <w:r>
        <w:t xml:space="preserve">Sharshakova, A., Solovyeva, V., Masgutova, G., Fattakhova, A., Rizvanov, A., Sufianov, A., Sufianova, G., &amp; Masgutov, R. (2026). Contemporary Strategies of Gene and Cell Therapy in the Treatment of Peripheral Nervous System Injuries and Disorders. </w:t>
      </w:r>
      <w:r>
        <w:rPr>
          <w:i/>
          <w:iCs/>
        </w:rPr>
        <w:t>International Journal of Molecular Sciences</w:t>
      </w:r>
      <w:r>
        <w:t xml:space="preserve">, </w:t>
      </w:r>
      <w:r>
        <w:rPr>
          <w:i/>
          <w:iCs/>
        </w:rPr>
        <w:t>27</w:t>
      </w:r>
      <w:r>
        <w:t>(5), 2335. https://doi.org/10.3390/ijms27052335</w:t>
      </w:r>
    </w:p>
    <w:p w14:paraId="2B45881E" w14:textId="77777777" w:rsidR="007C7471" w:rsidRDefault="007C7471" w:rsidP="007C7471">
      <w:pPr>
        <w:pStyle w:val="Bibliography"/>
      </w:pPr>
      <w:r>
        <w:lastRenderedPageBreak/>
        <w:t xml:space="preserve">Silva, M., &amp; Faustino, P. (2023). From Stress to Sick(le) and Back Again–Oxidative/Antioxidant Mechanisms, Genetic Modulation, and Cerebrovascular Disease in Children with Sickle Cell Anemia. </w:t>
      </w:r>
      <w:r>
        <w:rPr>
          <w:i/>
          <w:iCs/>
        </w:rPr>
        <w:t>Antioxidants</w:t>
      </w:r>
      <w:r>
        <w:t xml:space="preserve">, </w:t>
      </w:r>
      <w:r>
        <w:rPr>
          <w:i/>
          <w:iCs/>
        </w:rPr>
        <w:t>12</w:t>
      </w:r>
      <w:r>
        <w:t>(11), 1977. https://doi.org/10.3390/antiox12111977</w:t>
      </w:r>
    </w:p>
    <w:p w14:paraId="2583B6A0" w14:textId="77777777" w:rsidR="007C7471" w:rsidRDefault="007C7471" w:rsidP="007C7471">
      <w:pPr>
        <w:pStyle w:val="Bibliography"/>
      </w:pPr>
      <w:r>
        <w:t xml:space="preserve">Smart, L. R., Segbefia, C. I., &amp; Odame, I. (2026). Creative and Adaptive Solutions for Early Diagnosis of Sickle Cell Disease in Sub‐Saharan Africa. </w:t>
      </w:r>
      <w:r>
        <w:rPr>
          <w:i/>
          <w:iCs/>
        </w:rPr>
        <w:t>American Journal of Hematology</w:t>
      </w:r>
      <w:r>
        <w:t xml:space="preserve">, </w:t>
      </w:r>
      <w:r>
        <w:rPr>
          <w:i/>
          <w:iCs/>
        </w:rPr>
        <w:t>101</w:t>
      </w:r>
      <w:r>
        <w:t>(Suppl 1), 17–32. https://doi.org/10.1002/ajh.70210</w:t>
      </w:r>
    </w:p>
    <w:p w14:paraId="4901D5CA" w14:textId="77777777" w:rsidR="007C7471" w:rsidRDefault="007C7471" w:rsidP="007C7471">
      <w:pPr>
        <w:pStyle w:val="Bibliography"/>
      </w:pPr>
      <w:r>
        <w:t xml:space="preserve">Soliman, A. T., De Sanctis, V., Yassin, M., Alshurafa, A., Ata, F., &amp; Nashwan, A. (2022). Blood transfusion and iron overload in patients with Sickle Cell Disease (SCD): Personal experience and a short update of diabetes mellitus occurrence. </w:t>
      </w:r>
      <w:r>
        <w:rPr>
          <w:i/>
          <w:iCs/>
        </w:rPr>
        <w:t>Acta Bio Medica : Atenei Parmensis</w:t>
      </w:r>
      <w:r>
        <w:t xml:space="preserve">, </w:t>
      </w:r>
      <w:r>
        <w:rPr>
          <w:i/>
          <w:iCs/>
        </w:rPr>
        <w:t>93</w:t>
      </w:r>
      <w:r>
        <w:t>(4), e2022291. https://doi.org/10.23750/abm.v93i4.13330</w:t>
      </w:r>
    </w:p>
    <w:p w14:paraId="66739307" w14:textId="77777777" w:rsidR="007C7471" w:rsidRDefault="007C7471" w:rsidP="007C7471">
      <w:pPr>
        <w:pStyle w:val="Bibliography"/>
      </w:pPr>
      <w:r>
        <w:t xml:space="preserve">Splendore, C. O., de Oliveira, M. G., Costa, F. F., &amp; Silva, F. H. (2025). Resveratrol and Its Nitric Oxide–Donor Hybrid as an Emerging Therapy for Oxidative-Stress-Driven Priapism in Sickle Cell Disease. </w:t>
      </w:r>
      <w:r>
        <w:rPr>
          <w:i/>
          <w:iCs/>
        </w:rPr>
        <w:t>Antioxidants</w:t>
      </w:r>
      <w:r>
        <w:t xml:space="preserve">, </w:t>
      </w:r>
      <w:r>
        <w:rPr>
          <w:i/>
          <w:iCs/>
        </w:rPr>
        <w:t>14</w:t>
      </w:r>
      <w:r>
        <w:t>(10), 1213. https://doi.org/10.3390/antiox14101213</w:t>
      </w:r>
    </w:p>
    <w:p w14:paraId="7ADC5BEA" w14:textId="77777777" w:rsidR="007C7471" w:rsidRDefault="007C7471" w:rsidP="007C7471">
      <w:pPr>
        <w:pStyle w:val="Bibliography"/>
      </w:pPr>
      <w:r>
        <w:t xml:space="preserve">Taher, M., Aminondin, S. ‘Aisyah, Nasir, N. A., Jasmadi, N. A., Nizam, N. I. N., Shahrul, I. S., Susanti, D., Khotib, J., Faiyazuddin, M., Widodo, R. T., &amp; Haris, M. S. (2025). Sickle cell disease: Understanding pathophysiology, clinical features and advances in gene therapy approaches. </w:t>
      </w:r>
      <w:r>
        <w:rPr>
          <w:i/>
          <w:iCs/>
        </w:rPr>
        <w:t>Frontiers in Pharmacology</w:t>
      </w:r>
      <w:r>
        <w:t xml:space="preserve">, </w:t>
      </w:r>
      <w:r>
        <w:rPr>
          <w:i/>
          <w:iCs/>
        </w:rPr>
        <w:t>16</w:t>
      </w:r>
      <w:r>
        <w:t>, 1630994. https://doi.org/10.3389/fphar.2025.1630994</w:t>
      </w:r>
    </w:p>
    <w:p w14:paraId="2968E79C" w14:textId="51654B18" w:rsidR="007C7471" w:rsidRPr="00291A3B" w:rsidRDefault="007C7471" w:rsidP="007C7471">
      <w:pPr>
        <w:pStyle w:val="Bibliography"/>
      </w:pPr>
      <w:r w:rsidRPr="00291A3B">
        <w:t xml:space="preserve">Tebbi, C. K. (2022). Sickle Cell Disease, a Review. </w:t>
      </w:r>
      <w:r w:rsidRPr="00291A3B">
        <w:rPr>
          <w:i/>
          <w:iCs/>
        </w:rPr>
        <w:t>Hemato</w:t>
      </w:r>
      <w:r w:rsidRPr="00291A3B">
        <w:t xml:space="preserve">, </w:t>
      </w:r>
      <w:r w:rsidRPr="00291A3B">
        <w:rPr>
          <w:i/>
          <w:iCs/>
        </w:rPr>
        <w:t>3</w:t>
      </w:r>
      <w:r w:rsidRPr="00291A3B">
        <w:t>(2), 341–366. https://doi.org/10.3390/hemato3020024</w:t>
      </w:r>
    </w:p>
    <w:p w14:paraId="388A15ED" w14:textId="77777777" w:rsidR="007C7471" w:rsidRDefault="007C7471" w:rsidP="007C7471">
      <w:pPr>
        <w:pStyle w:val="Bibliography"/>
      </w:pPr>
      <w:r>
        <w:t xml:space="preserve">Torres, L. S., Asada, N., Weiss, M. J., Trumpp, A., Suda, T., Scadden, D. T., &amp; Ito, K. (2022). Recent advances in “sickle and niche” research—Tribute to Dr. Paul S Frenette -. </w:t>
      </w:r>
      <w:r>
        <w:rPr>
          <w:i/>
          <w:iCs/>
        </w:rPr>
        <w:t>Stem Cell Reports</w:t>
      </w:r>
      <w:r>
        <w:t xml:space="preserve">, </w:t>
      </w:r>
      <w:r>
        <w:rPr>
          <w:i/>
          <w:iCs/>
        </w:rPr>
        <w:t>17</w:t>
      </w:r>
      <w:r>
        <w:t>(7), 1509–1535. https://doi.org/10.1016/j.stemcr.2022.06.004</w:t>
      </w:r>
    </w:p>
    <w:p w14:paraId="2477FF2A" w14:textId="77777777" w:rsidR="007C7471" w:rsidRDefault="007C7471" w:rsidP="007C7471">
      <w:pPr>
        <w:pStyle w:val="Bibliography"/>
      </w:pPr>
      <w:r>
        <w:t xml:space="preserve">Tsai, J., Malik, S., &amp; Tjen-A-Looi, S. C. (2024). Pulmonary Hypertension: Pharmacological and Non-Pharmacological Therapies. </w:t>
      </w:r>
      <w:r>
        <w:rPr>
          <w:i/>
          <w:iCs/>
        </w:rPr>
        <w:t>Life</w:t>
      </w:r>
      <w:r>
        <w:t xml:space="preserve">, </w:t>
      </w:r>
      <w:r>
        <w:rPr>
          <w:i/>
          <w:iCs/>
        </w:rPr>
        <w:t>14</w:t>
      </w:r>
      <w:r>
        <w:t>(10), 1265. https://doi.org/10.3390/life14101265</w:t>
      </w:r>
    </w:p>
    <w:p w14:paraId="2A84AE79" w14:textId="77777777" w:rsidR="007C7471" w:rsidRDefault="007C7471" w:rsidP="007C7471">
      <w:pPr>
        <w:pStyle w:val="Bibliography"/>
      </w:pPr>
      <w:r>
        <w:t xml:space="preserve">Vassalotti, J. A., Francis, A., Santos Jr, A. C. S. D., Correa-Rotter, R., Abdellatif, D., Hsiao, L.-L., Roumeliotis, S., Haris, A., Kumaraswami, L. A., Lui, S.-F., Balducci, A., &amp; Liakopoulos, V. (2026). Are your kidneys okay? Detect early to protect kidney health. </w:t>
      </w:r>
      <w:r>
        <w:rPr>
          <w:i/>
          <w:iCs/>
        </w:rPr>
        <w:t>Kidney Research and Clinical Practice</w:t>
      </w:r>
      <w:r>
        <w:t xml:space="preserve">, </w:t>
      </w:r>
      <w:r>
        <w:rPr>
          <w:i/>
          <w:iCs/>
        </w:rPr>
        <w:t>45</w:t>
      </w:r>
      <w:r>
        <w:t>(2), 150–159. https://doi.org/10.23876/j.krcp.25.106</w:t>
      </w:r>
    </w:p>
    <w:p w14:paraId="3F2624FC" w14:textId="77777777" w:rsidR="007C7471" w:rsidRDefault="007C7471" w:rsidP="007C7471">
      <w:pPr>
        <w:pStyle w:val="Bibliography"/>
      </w:pPr>
      <w:r>
        <w:t xml:space="preserve">Vlad, A. L., Popazu, C., Lescai, A.-M., Voinescu, D. C., &amp; Baltă, A. A. Ștefania. (2025). Where Do We Stand in the Management of Rheumatoid Arthritis Ahead of EULAR/ACR 2025? </w:t>
      </w:r>
      <w:r>
        <w:rPr>
          <w:i/>
          <w:iCs/>
        </w:rPr>
        <w:t>Clinics and Practice</w:t>
      </w:r>
      <w:r>
        <w:t xml:space="preserve">, </w:t>
      </w:r>
      <w:r>
        <w:rPr>
          <w:i/>
          <w:iCs/>
        </w:rPr>
        <w:t>15</w:t>
      </w:r>
      <w:r>
        <w:t>(6), 103. https://doi.org/10.3390/clinpract15060103</w:t>
      </w:r>
    </w:p>
    <w:p w14:paraId="3565A6E6" w14:textId="77777777" w:rsidR="007C7471" w:rsidRDefault="007C7471" w:rsidP="007C7471">
      <w:pPr>
        <w:pStyle w:val="Bibliography"/>
      </w:pPr>
      <w:r>
        <w:t xml:space="preserve">Vlasopoulou, K., Synetos, A., Ktenopoulos, N., Katsaros, O., Koliastasis, L., Apostolos, A., Drakopoulou, M., Toutouzas, K., &amp; Tsioufis, C. (2025). Unmasking Left Ventricular Diastolic </w:t>
      </w:r>
      <w:r>
        <w:lastRenderedPageBreak/>
        <w:t xml:space="preserve">Dysfunction: Pathophysiology, Diagnosis, and Treatment Strategies. </w:t>
      </w:r>
      <w:r>
        <w:rPr>
          <w:i/>
          <w:iCs/>
        </w:rPr>
        <w:t>Medical Sciences</w:t>
      </w:r>
      <w:r>
        <w:t xml:space="preserve">, </w:t>
      </w:r>
      <w:r>
        <w:rPr>
          <w:i/>
          <w:iCs/>
        </w:rPr>
        <w:t>13</w:t>
      </w:r>
      <w:r>
        <w:t>(3), 204. https://doi.org/10.3390/medsci13030204</w:t>
      </w:r>
    </w:p>
    <w:p w14:paraId="17C086BF" w14:textId="77777777" w:rsidR="007C7471" w:rsidRDefault="007C7471" w:rsidP="007C7471">
      <w:pPr>
        <w:pStyle w:val="Bibliography"/>
      </w:pPr>
      <w:r>
        <w:t xml:space="preserve">Xu, W., Guo, Z., Xu, T., Chen, J., Chen, L., &amp; Xu, W. (2025). Reversing inflammatory diseases via trained immunity: Mechanisms, challenges, and prospects. </w:t>
      </w:r>
      <w:r>
        <w:rPr>
          <w:i/>
          <w:iCs/>
        </w:rPr>
        <w:t>Frontiers in Immunology</w:t>
      </w:r>
      <w:r>
        <w:t xml:space="preserve">, </w:t>
      </w:r>
      <w:r>
        <w:rPr>
          <w:i/>
          <w:iCs/>
        </w:rPr>
        <w:t>16</w:t>
      </w:r>
      <w:r>
        <w:t>, 1666233. https://doi.org/10.3389/fimmu.2025.1666233</w:t>
      </w:r>
    </w:p>
    <w:p w14:paraId="4FFE01E9" w14:textId="77777777" w:rsidR="007C7471" w:rsidRDefault="007C7471" w:rsidP="007C7471">
      <w:pPr>
        <w:pStyle w:val="Bibliography"/>
      </w:pPr>
      <w:r>
        <w:t xml:space="preserve">Xue, J., &amp; Li, X.-A. (2024). Therapeutics for sickle cell disease intravascular hemolysis. </w:t>
      </w:r>
      <w:r>
        <w:rPr>
          <w:i/>
          <w:iCs/>
        </w:rPr>
        <w:t>Frontiers in Physiology</w:t>
      </w:r>
      <w:r>
        <w:t xml:space="preserve">, </w:t>
      </w:r>
      <w:r>
        <w:rPr>
          <w:i/>
          <w:iCs/>
        </w:rPr>
        <w:t>15</w:t>
      </w:r>
      <w:r>
        <w:t>, 1474569. https://doi.org/10.3389/fphys.2024.1474569</w:t>
      </w:r>
    </w:p>
    <w:p w14:paraId="5E9C2E25" w14:textId="77777777" w:rsidR="007C7471" w:rsidRDefault="007C7471" w:rsidP="007C7471">
      <w:pPr>
        <w:pStyle w:val="Bibliography"/>
      </w:pPr>
      <w:r>
        <w:t xml:space="preserve">Yang, Y., &amp; Xu, G. (2022). Update on Pathogenesis of Glomerular Hyperfiltration in Early Diabetic Kidney Disease. </w:t>
      </w:r>
      <w:r>
        <w:rPr>
          <w:i/>
          <w:iCs/>
        </w:rPr>
        <w:t>Frontiers in Endocrinology</w:t>
      </w:r>
      <w:r>
        <w:t xml:space="preserve">, </w:t>
      </w:r>
      <w:r>
        <w:rPr>
          <w:i/>
          <w:iCs/>
        </w:rPr>
        <w:t>13</w:t>
      </w:r>
      <w:r>
        <w:t>, 872918. https://doi.org/10.3389/fendo.2022.872918</w:t>
      </w:r>
    </w:p>
    <w:p w14:paraId="28A32DDD" w14:textId="77777777" w:rsidR="007C7471" w:rsidRDefault="007C7471" w:rsidP="007C7471">
      <w:pPr>
        <w:pStyle w:val="Bibliography"/>
      </w:pPr>
      <w:r>
        <w:t xml:space="preserve">Yao, Z., Zhao, Y., Lu, L., Li, Y., &amp; Yu, Z. (2024). Extracerebral multiple organ dysfunction and interactions with brain injury after cardiac arrest. </w:t>
      </w:r>
      <w:r>
        <w:rPr>
          <w:i/>
          <w:iCs/>
        </w:rPr>
        <w:t>Resuscitation Plus</w:t>
      </w:r>
      <w:r>
        <w:t xml:space="preserve">, </w:t>
      </w:r>
      <w:r>
        <w:rPr>
          <w:i/>
          <w:iCs/>
        </w:rPr>
        <w:t>19</w:t>
      </w:r>
      <w:r>
        <w:t>, 100719. https://doi.org/10.1016/j.resplu.2024.100719</w:t>
      </w:r>
    </w:p>
    <w:p w14:paraId="17234AC2" w14:textId="77777777" w:rsidR="007C7471" w:rsidRDefault="007C7471" w:rsidP="007C7471">
      <w:pPr>
        <w:pStyle w:val="Bibliography"/>
      </w:pPr>
      <w:r>
        <w:t xml:space="preserve">Yuan, G., Ke, X., Lian, J., Wang, G., Lan, S.-H., &amp; Liu, X.-M. (2026). Risk factors for post-traumatic osteoarthritis following surgical treatment of acetabular posterior wall fractures: A retrospective study. </w:t>
      </w:r>
      <w:r>
        <w:rPr>
          <w:i/>
          <w:iCs/>
        </w:rPr>
        <w:t>Scientific Reports</w:t>
      </w:r>
      <w:r>
        <w:t xml:space="preserve">, </w:t>
      </w:r>
      <w:r>
        <w:rPr>
          <w:i/>
          <w:iCs/>
        </w:rPr>
        <w:t>16</w:t>
      </w:r>
      <w:r>
        <w:t>(1), 11210. https://doi.org/10.1038/s41598-026-41893-6</w:t>
      </w:r>
    </w:p>
    <w:p w14:paraId="3FF7B54A" w14:textId="77777777" w:rsidR="007C7471" w:rsidRDefault="007C7471" w:rsidP="007C7471">
      <w:pPr>
        <w:pStyle w:val="Bibliography"/>
      </w:pPr>
      <w:r>
        <w:t xml:space="preserve">Zedde, M., Quaresima, M., Capodanno, I., Grisendi, I., Assenza, F., Napoli, M., Moratti, C., Pavone, C., Bonacini, L., Di Cecco, G., D’Aniello, S., Valzania, F., Merli, F., &amp; Pascarella, R. (2024). Neurovascular Manifestations of Sickle Cell Disease. </w:t>
      </w:r>
      <w:r>
        <w:rPr>
          <w:i/>
          <w:iCs/>
        </w:rPr>
        <w:t>Hemato</w:t>
      </w:r>
      <w:r>
        <w:t xml:space="preserve">, </w:t>
      </w:r>
      <w:r>
        <w:rPr>
          <w:i/>
          <w:iCs/>
        </w:rPr>
        <w:t>5</w:t>
      </w:r>
      <w:r>
        <w:t>(3), 277–320. https://doi.org/10.3390/hemato5030023</w:t>
      </w:r>
    </w:p>
    <w:p w14:paraId="1CF2B64C" w14:textId="77777777" w:rsidR="007C7471" w:rsidRDefault="007C7471" w:rsidP="007C7471">
      <w:pPr>
        <w:pStyle w:val="Bibliography"/>
      </w:pPr>
      <w:r>
        <w:t xml:space="preserve">Zhao, B.-H., Ruze, A., Zhao, L., Li, Q.-L., Tang, J., Xiefukaiti, N., Gai, M.-T., Deng, A.-X., Shan, X.-F., &amp; Gao, X.-M. (2023). The role and mechanisms of microvascular damage in the ischemic myocardium. </w:t>
      </w:r>
      <w:r>
        <w:rPr>
          <w:i/>
          <w:iCs/>
        </w:rPr>
        <w:t>Cellular and Molecular Life Sciences: CMLS</w:t>
      </w:r>
      <w:r>
        <w:t xml:space="preserve">, </w:t>
      </w:r>
      <w:r>
        <w:rPr>
          <w:i/>
          <w:iCs/>
        </w:rPr>
        <w:t>80</w:t>
      </w:r>
      <w:r>
        <w:t>(11), 341. https://doi.org/10.1007/s00018-023-04998-z</w:t>
      </w:r>
    </w:p>
    <w:p w14:paraId="6A712719" w14:textId="726D5894" w:rsidR="001D753E" w:rsidRPr="000F7EE6" w:rsidRDefault="001D753E" w:rsidP="000F7EE6">
      <w:r>
        <w:fldChar w:fldCharType="end"/>
      </w:r>
    </w:p>
    <w:p w14:paraId="57A5DC98" w14:textId="77777777" w:rsidR="001C65D7" w:rsidRDefault="001C65D7"/>
    <w:sectPr w:rsidR="001C65D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Paul Bourne" w:date="2026-05-17T16:23:00Z" w:initials="DB">
    <w:p w14:paraId="7C1FE024" w14:textId="77777777" w:rsidR="00D430FD" w:rsidRDefault="00D430FD" w:rsidP="00D430FD">
      <w:pPr>
        <w:pStyle w:val="CommentText"/>
      </w:pPr>
      <w:r>
        <w:rPr>
          <w:rStyle w:val="CommentReference"/>
        </w:rPr>
        <w:annotationRef/>
      </w:r>
      <w:r>
        <w:rPr>
          <w:lang w:val="en-JM"/>
        </w:rPr>
        <w:t>This information is missing from the abstract</w:t>
      </w:r>
    </w:p>
  </w:comment>
  <w:comment w:id="1" w:author="Dr Paul Bourne" w:date="2026-05-17T16:32:00Z" w:initials="DB">
    <w:p w14:paraId="279C385B" w14:textId="77777777" w:rsidR="00AD1AEE" w:rsidRDefault="00AD1AEE" w:rsidP="00AD1AEE">
      <w:pPr>
        <w:pStyle w:val="CommentText"/>
      </w:pPr>
      <w:r>
        <w:rPr>
          <w:rStyle w:val="CommentReference"/>
        </w:rPr>
        <w:annotationRef/>
      </w:r>
      <w:r>
        <w:rPr>
          <w:lang w:val="en-JM"/>
        </w:rPr>
        <w:t>When an acronym or abbreviation is used in research, on the first instance is must be explained or the long-form presented to the reader.</w:t>
      </w:r>
    </w:p>
  </w:comment>
  <w:comment w:id="2" w:author="Dr Paul Bourne" w:date="2026-05-17T16:33:00Z" w:initials="DB">
    <w:p w14:paraId="384B5073" w14:textId="77777777" w:rsidR="00AD1AEE" w:rsidRDefault="00AD1AEE" w:rsidP="00AD1AEE">
      <w:pPr>
        <w:pStyle w:val="CommentText"/>
      </w:pPr>
      <w:r>
        <w:rPr>
          <w:rStyle w:val="CommentReference"/>
        </w:rPr>
        <w:annotationRef/>
      </w:r>
      <w:r>
        <w:rPr>
          <w:lang w:val="en-JM"/>
        </w:rPr>
        <w:t>Could I have some of the contributors,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1FE024" w15:done="0"/>
  <w15:commentEx w15:paraId="279C385B" w15:done="0"/>
  <w15:commentEx w15:paraId="384B50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C135B2" w16cex:dateUtc="2026-05-17T21:23:00Z"/>
  <w16cex:commentExtensible w16cex:durableId="551E7AB4" w16cex:dateUtc="2026-05-17T21:32:00Z"/>
  <w16cex:commentExtensible w16cex:durableId="2CAE8D54" w16cex:dateUtc="2026-05-17T2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1FE024" w16cid:durableId="47C135B2"/>
  <w16cid:commentId w16cid:paraId="279C385B" w16cid:durableId="551E7AB4"/>
  <w16cid:commentId w16cid:paraId="384B5073" w16cid:durableId="2CAE8D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B63C8" w14:textId="77777777" w:rsidR="008C1940" w:rsidRDefault="008C1940" w:rsidP="003916AE">
      <w:pPr>
        <w:spacing w:after="0" w:line="240" w:lineRule="auto"/>
      </w:pPr>
      <w:r>
        <w:separator/>
      </w:r>
    </w:p>
  </w:endnote>
  <w:endnote w:type="continuationSeparator" w:id="0">
    <w:p w14:paraId="44B59C7B" w14:textId="77777777" w:rsidR="008C1940" w:rsidRDefault="008C1940" w:rsidP="00391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CF78" w14:textId="77777777" w:rsidR="003916AE" w:rsidRDefault="00391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0A47" w14:textId="77777777" w:rsidR="003916AE" w:rsidRDefault="00391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DE97" w14:textId="77777777" w:rsidR="003916AE" w:rsidRDefault="00391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563C9" w14:textId="77777777" w:rsidR="008C1940" w:rsidRDefault="008C1940" w:rsidP="003916AE">
      <w:pPr>
        <w:spacing w:after="0" w:line="240" w:lineRule="auto"/>
      </w:pPr>
      <w:r>
        <w:separator/>
      </w:r>
    </w:p>
  </w:footnote>
  <w:footnote w:type="continuationSeparator" w:id="0">
    <w:p w14:paraId="38800C8F" w14:textId="77777777" w:rsidR="008C1940" w:rsidRDefault="008C1940" w:rsidP="00391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300" w14:textId="7D044C35" w:rsidR="003916AE" w:rsidRDefault="00000000">
    <w:pPr>
      <w:pStyle w:val="Header"/>
    </w:pPr>
    <w:r>
      <w:rPr>
        <w:noProof/>
      </w:rPr>
      <w:pict w14:anchorId="53ABB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C94C" w14:textId="4EFC6492" w:rsidR="003916AE" w:rsidRDefault="00000000">
    <w:pPr>
      <w:pStyle w:val="Header"/>
    </w:pPr>
    <w:r>
      <w:rPr>
        <w:noProof/>
      </w:rPr>
      <w:pict w14:anchorId="1DBBF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19594" w14:textId="072B56BE" w:rsidR="003916AE" w:rsidRDefault="00000000">
    <w:pPr>
      <w:pStyle w:val="Header"/>
    </w:pPr>
    <w:r>
      <w:rPr>
        <w:noProof/>
      </w:rPr>
      <w:pict w14:anchorId="09A7D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61F1"/>
    <w:multiLevelType w:val="hybridMultilevel"/>
    <w:tmpl w:val="C43CA4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540E5"/>
    <w:multiLevelType w:val="multilevel"/>
    <w:tmpl w:val="C882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0212A"/>
    <w:multiLevelType w:val="multilevel"/>
    <w:tmpl w:val="DE7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1A68A7"/>
    <w:multiLevelType w:val="multilevel"/>
    <w:tmpl w:val="3DC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BB14AB"/>
    <w:multiLevelType w:val="multilevel"/>
    <w:tmpl w:val="467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0D2052"/>
    <w:multiLevelType w:val="multilevel"/>
    <w:tmpl w:val="4B8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A41A9"/>
    <w:multiLevelType w:val="multilevel"/>
    <w:tmpl w:val="671A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6287520">
    <w:abstractNumId w:val="2"/>
  </w:num>
  <w:num w:numId="2" w16cid:durableId="2110393770">
    <w:abstractNumId w:val="1"/>
  </w:num>
  <w:num w:numId="3" w16cid:durableId="1160077229">
    <w:abstractNumId w:val="5"/>
  </w:num>
  <w:num w:numId="4" w16cid:durableId="260723642">
    <w:abstractNumId w:val="3"/>
  </w:num>
  <w:num w:numId="5" w16cid:durableId="347101012">
    <w:abstractNumId w:val="4"/>
  </w:num>
  <w:num w:numId="6" w16cid:durableId="1496066903">
    <w:abstractNumId w:val="6"/>
  </w:num>
  <w:num w:numId="7" w16cid:durableId="3720730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Paul Bourne">
    <w15:presenceInfo w15:providerId="Windows Live" w15:userId="cc38ce679b2bc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E6"/>
    <w:rsid w:val="00032F85"/>
    <w:rsid w:val="00054644"/>
    <w:rsid w:val="000739DA"/>
    <w:rsid w:val="000B53D9"/>
    <w:rsid w:val="000F7EE6"/>
    <w:rsid w:val="001302E6"/>
    <w:rsid w:val="00161FC7"/>
    <w:rsid w:val="001633A4"/>
    <w:rsid w:val="00175010"/>
    <w:rsid w:val="001A5CB3"/>
    <w:rsid w:val="001A5D4D"/>
    <w:rsid w:val="001A652D"/>
    <w:rsid w:val="001C65D7"/>
    <w:rsid w:val="001D6718"/>
    <w:rsid w:val="001D753E"/>
    <w:rsid w:val="00222AC0"/>
    <w:rsid w:val="00223781"/>
    <w:rsid w:val="002439DF"/>
    <w:rsid w:val="0024457A"/>
    <w:rsid w:val="00276036"/>
    <w:rsid w:val="00276E5A"/>
    <w:rsid w:val="00291A3B"/>
    <w:rsid w:val="002D0FC2"/>
    <w:rsid w:val="002E6046"/>
    <w:rsid w:val="003312EF"/>
    <w:rsid w:val="00343E5C"/>
    <w:rsid w:val="003510EB"/>
    <w:rsid w:val="003550D2"/>
    <w:rsid w:val="00357E7A"/>
    <w:rsid w:val="00383956"/>
    <w:rsid w:val="003907A0"/>
    <w:rsid w:val="003916AE"/>
    <w:rsid w:val="003F38E8"/>
    <w:rsid w:val="00426C1C"/>
    <w:rsid w:val="00494C5C"/>
    <w:rsid w:val="004C2D70"/>
    <w:rsid w:val="0053160D"/>
    <w:rsid w:val="00544E74"/>
    <w:rsid w:val="005A2680"/>
    <w:rsid w:val="005A304D"/>
    <w:rsid w:val="005F5207"/>
    <w:rsid w:val="00614BD1"/>
    <w:rsid w:val="00615386"/>
    <w:rsid w:val="00616E75"/>
    <w:rsid w:val="00652EAA"/>
    <w:rsid w:val="00662372"/>
    <w:rsid w:val="006626E6"/>
    <w:rsid w:val="00673A47"/>
    <w:rsid w:val="00692E7F"/>
    <w:rsid w:val="00693601"/>
    <w:rsid w:val="006F56EE"/>
    <w:rsid w:val="00711653"/>
    <w:rsid w:val="0073454C"/>
    <w:rsid w:val="00774B15"/>
    <w:rsid w:val="00782E07"/>
    <w:rsid w:val="00790249"/>
    <w:rsid w:val="007C5806"/>
    <w:rsid w:val="007C7471"/>
    <w:rsid w:val="007E1643"/>
    <w:rsid w:val="00804142"/>
    <w:rsid w:val="0080506F"/>
    <w:rsid w:val="00831576"/>
    <w:rsid w:val="00841EA8"/>
    <w:rsid w:val="008525D2"/>
    <w:rsid w:val="008754EA"/>
    <w:rsid w:val="008C1940"/>
    <w:rsid w:val="008F04DB"/>
    <w:rsid w:val="009356A2"/>
    <w:rsid w:val="009B34C9"/>
    <w:rsid w:val="009C54A7"/>
    <w:rsid w:val="009C72E8"/>
    <w:rsid w:val="009E08DA"/>
    <w:rsid w:val="00A25F83"/>
    <w:rsid w:val="00A3000A"/>
    <w:rsid w:val="00A44278"/>
    <w:rsid w:val="00A57405"/>
    <w:rsid w:val="00A867EA"/>
    <w:rsid w:val="00AA46D8"/>
    <w:rsid w:val="00AB5B5A"/>
    <w:rsid w:val="00AB6280"/>
    <w:rsid w:val="00AD1AEE"/>
    <w:rsid w:val="00AF4947"/>
    <w:rsid w:val="00B715D5"/>
    <w:rsid w:val="00B71C12"/>
    <w:rsid w:val="00BA56E5"/>
    <w:rsid w:val="00BB1870"/>
    <w:rsid w:val="00BB6E5D"/>
    <w:rsid w:val="00BD6D6D"/>
    <w:rsid w:val="00BE17B8"/>
    <w:rsid w:val="00C22A71"/>
    <w:rsid w:val="00C77741"/>
    <w:rsid w:val="00CA4E25"/>
    <w:rsid w:val="00CB1576"/>
    <w:rsid w:val="00CD1E1E"/>
    <w:rsid w:val="00CD32C3"/>
    <w:rsid w:val="00D0595E"/>
    <w:rsid w:val="00D24FBC"/>
    <w:rsid w:val="00D373D5"/>
    <w:rsid w:val="00D430FD"/>
    <w:rsid w:val="00D7172F"/>
    <w:rsid w:val="00D7662B"/>
    <w:rsid w:val="00DE3D20"/>
    <w:rsid w:val="00DF3B9F"/>
    <w:rsid w:val="00DF5717"/>
    <w:rsid w:val="00E00427"/>
    <w:rsid w:val="00E238E9"/>
    <w:rsid w:val="00E35669"/>
    <w:rsid w:val="00E600E4"/>
    <w:rsid w:val="00E853ED"/>
    <w:rsid w:val="00EA0789"/>
    <w:rsid w:val="00EB093F"/>
    <w:rsid w:val="00F26A16"/>
    <w:rsid w:val="00F609B1"/>
    <w:rsid w:val="00F6205E"/>
    <w:rsid w:val="00F77328"/>
    <w:rsid w:val="00F85122"/>
    <w:rsid w:val="00F94B01"/>
    <w:rsid w:val="00FA3D88"/>
    <w:rsid w:val="00FC797D"/>
    <w:rsid w:val="00FE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E4040"/>
  <w15:chartTrackingRefBased/>
  <w15:docId w15:val="{A1EEA81C-0394-4214-A1F4-93D9405C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EE6"/>
  </w:style>
  <w:style w:type="paragraph" w:styleId="Heading1">
    <w:name w:val="heading 1"/>
    <w:basedOn w:val="Normal"/>
    <w:next w:val="Normal"/>
    <w:link w:val="Heading1Char"/>
    <w:uiPriority w:val="9"/>
    <w:qFormat/>
    <w:rsid w:val="000F7E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7E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7E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7E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7E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7E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7E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7E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7E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E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7E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7E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7E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7E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7E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7E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7E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7EE6"/>
    <w:rPr>
      <w:rFonts w:eastAsiaTheme="majorEastAsia" w:cstheme="majorBidi"/>
      <w:color w:val="272727" w:themeColor="text1" w:themeTint="D8"/>
    </w:rPr>
  </w:style>
  <w:style w:type="paragraph" w:styleId="Title">
    <w:name w:val="Title"/>
    <w:basedOn w:val="Normal"/>
    <w:next w:val="Normal"/>
    <w:link w:val="TitleChar"/>
    <w:uiPriority w:val="10"/>
    <w:qFormat/>
    <w:rsid w:val="000F7E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E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7E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7E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7EE6"/>
    <w:pPr>
      <w:spacing w:before="160"/>
      <w:jc w:val="center"/>
    </w:pPr>
    <w:rPr>
      <w:i/>
      <w:iCs/>
      <w:color w:val="404040" w:themeColor="text1" w:themeTint="BF"/>
    </w:rPr>
  </w:style>
  <w:style w:type="character" w:customStyle="1" w:styleId="QuoteChar">
    <w:name w:val="Quote Char"/>
    <w:basedOn w:val="DefaultParagraphFont"/>
    <w:link w:val="Quote"/>
    <w:uiPriority w:val="29"/>
    <w:rsid w:val="000F7EE6"/>
    <w:rPr>
      <w:i/>
      <w:iCs/>
      <w:color w:val="404040" w:themeColor="text1" w:themeTint="BF"/>
    </w:rPr>
  </w:style>
  <w:style w:type="paragraph" w:styleId="ListParagraph">
    <w:name w:val="List Paragraph"/>
    <w:basedOn w:val="Normal"/>
    <w:uiPriority w:val="34"/>
    <w:qFormat/>
    <w:rsid w:val="000F7EE6"/>
    <w:pPr>
      <w:ind w:left="720"/>
      <w:contextualSpacing/>
    </w:pPr>
  </w:style>
  <w:style w:type="character" w:styleId="IntenseEmphasis">
    <w:name w:val="Intense Emphasis"/>
    <w:basedOn w:val="DefaultParagraphFont"/>
    <w:uiPriority w:val="21"/>
    <w:qFormat/>
    <w:rsid w:val="000F7EE6"/>
    <w:rPr>
      <w:i/>
      <w:iCs/>
      <w:color w:val="2F5496" w:themeColor="accent1" w:themeShade="BF"/>
    </w:rPr>
  </w:style>
  <w:style w:type="paragraph" w:styleId="IntenseQuote">
    <w:name w:val="Intense Quote"/>
    <w:basedOn w:val="Normal"/>
    <w:next w:val="Normal"/>
    <w:link w:val="IntenseQuoteChar"/>
    <w:uiPriority w:val="30"/>
    <w:qFormat/>
    <w:rsid w:val="000F7E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7EE6"/>
    <w:rPr>
      <w:i/>
      <w:iCs/>
      <w:color w:val="2F5496" w:themeColor="accent1" w:themeShade="BF"/>
    </w:rPr>
  </w:style>
  <w:style w:type="character" w:styleId="IntenseReference">
    <w:name w:val="Intense Reference"/>
    <w:basedOn w:val="DefaultParagraphFont"/>
    <w:uiPriority w:val="32"/>
    <w:qFormat/>
    <w:rsid w:val="000F7EE6"/>
    <w:rPr>
      <w:b/>
      <w:bCs/>
      <w:smallCaps/>
      <w:color w:val="2F5496" w:themeColor="accent1" w:themeShade="BF"/>
      <w:spacing w:val="5"/>
    </w:rPr>
  </w:style>
  <w:style w:type="paragraph" w:styleId="Bibliography">
    <w:name w:val="Bibliography"/>
    <w:basedOn w:val="Normal"/>
    <w:next w:val="Normal"/>
    <w:uiPriority w:val="37"/>
    <w:unhideWhenUsed/>
    <w:rsid w:val="00BB1870"/>
  </w:style>
  <w:style w:type="character" w:styleId="Hyperlink">
    <w:name w:val="Hyperlink"/>
    <w:basedOn w:val="DefaultParagraphFont"/>
    <w:uiPriority w:val="99"/>
    <w:unhideWhenUsed/>
    <w:rsid w:val="005A304D"/>
    <w:rPr>
      <w:color w:val="0563C1" w:themeColor="hyperlink"/>
      <w:u w:val="single"/>
    </w:rPr>
  </w:style>
  <w:style w:type="character" w:styleId="UnresolvedMention">
    <w:name w:val="Unresolved Mention"/>
    <w:basedOn w:val="DefaultParagraphFont"/>
    <w:uiPriority w:val="99"/>
    <w:semiHidden/>
    <w:unhideWhenUsed/>
    <w:rsid w:val="005A304D"/>
    <w:rPr>
      <w:color w:val="605E5C"/>
      <w:shd w:val="clear" w:color="auto" w:fill="E1DFDD"/>
    </w:rPr>
  </w:style>
  <w:style w:type="paragraph" w:styleId="Header">
    <w:name w:val="header"/>
    <w:basedOn w:val="Normal"/>
    <w:link w:val="HeaderChar"/>
    <w:uiPriority w:val="99"/>
    <w:unhideWhenUsed/>
    <w:rsid w:val="00391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6AE"/>
  </w:style>
  <w:style w:type="paragraph" w:styleId="Footer">
    <w:name w:val="footer"/>
    <w:basedOn w:val="Normal"/>
    <w:link w:val="FooterChar"/>
    <w:uiPriority w:val="99"/>
    <w:unhideWhenUsed/>
    <w:rsid w:val="00391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6AE"/>
  </w:style>
  <w:style w:type="character" w:styleId="CommentReference">
    <w:name w:val="annotation reference"/>
    <w:basedOn w:val="DefaultParagraphFont"/>
    <w:uiPriority w:val="99"/>
    <w:semiHidden/>
    <w:unhideWhenUsed/>
    <w:rsid w:val="00D430FD"/>
    <w:rPr>
      <w:sz w:val="16"/>
      <w:szCs w:val="16"/>
    </w:rPr>
  </w:style>
  <w:style w:type="paragraph" w:styleId="CommentText">
    <w:name w:val="annotation text"/>
    <w:basedOn w:val="Normal"/>
    <w:link w:val="CommentTextChar"/>
    <w:uiPriority w:val="99"/>
    <w:unhideWhenUsed/>
    <w:rsid w:val="00D430FD"/>
    <w:pPr>
      <w:spacing w:line="240" w:lineRule="auto"/>
    </w:pPr>
    <w:rPr>
      <w:sz w:val="20"/>
      <w:szCs w:val="20"/>
    </w:rPr>
  </w:style>
  <w:style w:type="character" w:customStyle="1" w:styleId="CommentTextChar">
    <w:name w:val="Comment Text Char"/>
    <w:basedOn w:val="DefaultParagraphFont"/>
    <w:link w:val="CommentText"/>
    <w:uiPriority w:val="99"/>
    <w:rsid w:val="00D430FD"/>
    <w:rPr>
      <w:sz w:val="20"/>
      <w:szCs w:val="20"/>
    </w:rPr>
  </w:style>
  <w:style w:type="paragraph" w:styleId="CommentSubject">
    <w:name w:val="annotation subject"/>
    <w:basedOn w:val="CommentText"/>
    <w:next w:val="CommentText"/>
    <w:link w:val="CommentSubjectChar"/>
    <w:uiPriority w:val="99"/>
    <w:semiHidden/>
    <w:unhideWhenUsed/>
    <w:rsid w:val="00D430FD"/>
    <w:rPr>
      <w:b/>
      <w:bCs/>
    </w:rPr>
  </w:style>
  <w:style w:type="character" w:customStyle="1" w:styleId="CommentSubjectChar">
    <w:name w:val="Comment Subject Char"/>
    <w:basedOn w:val="CommentTextChar"/>
    <w:link w:val="CommentSubject"/>
    <w:uiPriority w:val="99"/>
    <w:semiHidden/>
    <w:rsid w:val="00D430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22</Pages>
  <Words>43874</Words>
  <Characters>250082</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Dr Paul Bourne</cp:lastModifiedBy>
  <cp:revision>3</cp:revision>
  <dcterms:created xsi:type="dcterms:W3CDTF">2026-05-17T21:19:00Z</dcterms:created>
  <dcterms:modified xsi:type="dcterms:W3CDTF">2026-05-17T21:37:00Z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c886e06f-e80f-46a0-b109-8699cce0823b</vt:lpwstr>
  </property>
  <property fmtid="{D5CDD505-2E9C-101B-9397-08002B2CF9AE}" pid="3" name="ZOTERO_PREF_1">
    <vt:lpwstr>&lt;data data-version="3" zotero-version="9.0.3"&gt;&lt;session id="iUvxcn5q"/&gt;&lt;style id="http://www.zotero.org/styles/apa" locale="en-US"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