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D169C">
      <w:pPr>
        <w:spacing w:after="0" w:line="360" w:lineRule="auto"/>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EFFECTS OF TRELLIS TECHNIQUES ON GROWTH, DEVELOPMENT, AND YIELD OF </w:t>
      </w:r>
      <w:r>
        <w:rPr>
          <w:rStyle w:val="5"/>
          <w:rFonts w:ascii="Times New Roman" w:hAnsi="Times New Roman" w:cs="Times New Roman"/>
          <w:b/>
          <w:color w:val="000000" w:themeColor="text1"/>
          <w:sz w:val="28"/>
          <w:szCs w:val="28"/>
          <w14:textFill>
            <w14:solidFill>
              <w14:schemeClr w14:val="tx1"/>
            </w14:solidFill>
          </w14:textFill>
        </w:rPr>
        <w:t>DIOSCOREA PERSIMILIS</w:t>
      </w:r>
      <w:r>
        <w:rPr>
          <w:rFonts w:ascii="Times New Roman" w:hAnsi="Times New Roman" w:cs="Times New Roman"/>
          <w:b/>
          <w:color w:val="000000" w:themeColor="text1"/>
          <w:sz w:val="28"/>
          <w:szCs w:val="28"/>
          <w14:textFill>
            <w14:solidFill>
              <w14:schemeClr w14:val="tx1"/>
            </w14:solidFill>
          </w14:textFill>
        </w:rPr>
        <w:t xml:space="preserve"> IN THAI NGUYEN, VIETNAM</w:t>
      </w:r>
    </w:p>
    <w:p w14:paraId="5F1C8BB4">
      <w:pPr>
        <w:spacing w:after="0" w:line="360" w:lineRule="auto"/>
        <w:jc w:val="center"/>
        <w:rPr>
          <w:rFonts w:ascii="Times New Roman" w:hAnsi="Times New Roman" w:cs="Times New Roman"/>
          <w:b/>
          <w:color w:val="000000" w:themeColor="text1"/>
          <w:sz w:val="28"/>
          <w:szCs w:val="28"/>
          <w14:textFill>
            <w14:solidFill>
              <w14:schemeClr w14:val="tx1"/>
            </w14:solidFill>
          </w14:textFill>
        </w:rPr>
      </w:pPr>
    </w:p>
    <w:p w14:paraId="5726B042">
      <w:pPr>
        <w:spacing w:after="0" w:line="360" w:lineRule="auto"/>
        <w:jc w:val="center"/>
        <w:rPr>
          <w:rFonts w:ascii="Times New Roman" w:hAnsi="Times New Roman" w:cs="Times New Roman"/>
          <w:b/>
          <w:color w:val="000000" w:themeColor="text1"/>
          <w:sz w:val="28"/>
          <w:szCs w:val="28"/>
          <w14:textFill>
            <w14:solidFill>
              <w14:schemeClr w14:val="tx1"/>
            </w14:solidFill>
          </w14:textFill>
        </w:rPr>
      </w:pPr>
    </w:p>
    <w:p w14:paraId="2364D337">
      <w:pPr>
        <w:jc w:val="both"/>
        <w:rPr>
          <w:rFonts w:ascii="Arial" w:hAnsi="Arial" w:eastAsia="Times New Roman" w:cs="Arial"/>
          <w:b/>
          <w:sz w:val="24"/>
          <w:szCs w:val="20"/>
        </w:rPr>
      </w:pPr>
    </w:p>
    <w:p w14:paraId="3F5CE453">
      <w:pPr>
        <w:jc w:val="both"/>
        <w:rPr>
          <w:rFonts w:ascii="Arial" w:hAnsi="Arial" w:eastAsia="Times New Roman" w:cs="Arial"/>
          <w:i/>
          <w:sz w:val="20"/>
          <w:szCs w:val="20"/>
        </w:rPr>
      </w:pPr>
    </w:p>
    <w:p w14:paraId="160DEA25">
      <w:pPr>
        <w:spacing w:after="0" w:line="360" w:lineRule="auto"/>
        <w:jc w:val="center"/>
        <w:rPr>
          <w:rFonts w:ascii="Arial" w:hAnsi="Arial" w:eastAsia="Times New Roman" w:cs="Arial"/>
          <w:b/>
          <w:caps/>
          <w:szCs w:val="20"/>
        </w:rPr>
      </w:pPr>
      <w:r>
        <w:rPr>
          <w:rFonts w:ascii="Arial" w:hAnsi="Arial" w:eastAsia="Times New Roman" w:cs="Arial"/>
          <w:b/>
          <w:caps/>
          <w:szCs w:val="20"/>
        </w:rPr>
        <w:t>ABSTRACT</w:t>
      </w:r>
    </w:p>
    <w:p w14:paraId="2EDC3FB8">
      <w:pPr>
        <w:spacing w:after="0" w:line="360" w:lineRule="auto"/>
        <w:ind w:firstLine="720"/>
        <w:jc w:val="both"/>
        <w:rPr>
          <w:rFonts w:ascii="Arial" w:hAnsi="Arial" w:eastAsia="Calibri" w:cs="Arial"/>
          <w:sz w:val="20"/>
        </w:rPr>
      </w:pPr>
      <w:r>
        <w:rPr>
          <w:rFonts w:ascii="Arial" w:hAnsi="Arial" w:eastAsia="Calibri" w:cs="Arial"/>
          <w:sz w:val="20"/>
        </w:rPr>
        <w:t>The experiment was conducted to evaluate the effects of trellis techniques on the growth, yield, and economic efficiency of the medicinal plant Hoai Son (</w:t>
      </w:r>
      <w:r>
        <w:rPr>
          <w:rFonts w:ascii="Arial" w:hAnsi="Arial" w:eastAsia="Calibri" w:cs="Arial"/>
          <w:i/>
          <w:iCs/>
          <w:sz w:val="20"/>
        </w:rPr>
        <w:t>Dioscorea persimilis</w:t>
      </w:r>
      <w:r>
        <w:rPr>
          <w:rFonts w:ascii="Arial" w:hAnsi="Arial" w:eastAsia="Calibri" w:cs="Arial"/>
          <w:sz w:val="20"/>
        </w:rPr>
        <w:t xml:space="preserve">) in Dinh Hoa district, Thai Nguyen province, from 2024 to 2025. The study was arranged in a Randomized Complete Block Design with three replications and four treatments (T1, T2, T3, and T4). Growth characteristics, yield, and economic efficiency of </w:t>
      </w:r>
      <w:r>
        <w:rPr>
          <w:rFonts w:ascii="Arial" w:hAnsi="Arial" w:eastAsia="Calibri" w:cs="Arial"/>
          <w:i/>
          <w:iCs/>
          <w:sz w:val="20"/>
        </w:rPr>
        <w:t>Dioscorea persimilis</w:t>
      </w:r>
      <w:r>
        <w:rPr>
          <w:rFonts w:ascii="Arial" w:hAnsi="Arial" w:eastAsia="Calibri" w:cs="Arial"/>
          <w:sz w:val="20"/>
        </w:rPr>
        <w:t xml:space="preserve"> were recorded. The results showed that T2 (using a clustered trellis system) produced the highest plant height (202.3 cm), stem diameter (3.7 mm), leaf length (10.9 cm), leaf width (6.7 cm), tuber weight (0.68 kg), yield (31.6 t ha</w:t>
      </w:r>
      <w:r>
        <w:rPr>
          <w:rFonts w:ascii="Cambria Math" w:hAnsi="Cambria Math" w:eastAsia="Calibri" w:cs="Cambria Math"/>
          <w:sz w:val="20"/>
        </w:rPr>
        <w:t>⁻</w:t>
      </w:r>
      <w:r>
        <w:rPr>
          <w:rFonts w:ascii="Arial" w:hAnsi="Arial" w:eastAsia="Calibri" w:cs="Arial"/>
          <w:sz w:val="20"/>
        </w:rPr>
        <w:t>¹), and economic efficiency compared with the other treatments at the 95% confidence level. In conclusion, it is suggested that the clustered trellis system is a practical approach for enhancing the production of Hoai Son in mountainous areas of northern Vietnam.</w:t>
      </w:r>
    </w:p>
    <w:p w14:paraId="52854B1D">
      <w:pPr>
        <w:spacing w:after="0" w:line="360" w:lineRule="auto"/>
        <w:ind w:firstLine="720"/>
        <w:jc w:val="both"/>
        <w:rPr>
          <w:rFonts w:ascii="Arial" w:hAnsi="Arial" w:eastAsia="Calibri" w:cs="Arial"/>
          <w:i/>
          <w:iCs/>
          <w:sz w:val="20"/>
        </w:rPr>
      </w:pPr>
      <w:r>
        <w:rPr>
          <w:rFonts w:ascii="Arial" w:hAnsi="Arial" w:eastAsia="Calibri" w:cs="Arial"/>
          <w:sz w:val="20"/>
        </w:rPr>
        <w:t xml:space="preserve">Keywords: </w:t>
      </w:r>
      <w:r>
        <w:rPr>
          <w:rFonts w:ascii="Arial" w:hAnsi="Arial" w:eastAsia="Calibri" w:cs="Arial"/>
          <w:i/>
          <w:iCs/>
          <w:sz w:val="20"/>
        </w:rPr>
        <w:t>Dioscorea persimilis, Trellis Techniques, growth, yield, economic efficiency</w:t>
      </w:r>
    </w:p>
    <w:p w14:paraId="5E9F6622">
      <w:pPr>
        <w:spacing w:after="0" w:line="360" w:lineRule="auto"/>
        <w:rPr>
          <w:rFonts w:ascii="Arial" w:hAnsi="Arial" w:eastAsia="Times New Roman" w:cs="Arial"/>
          <w:b/>
          <w:caps/>
          <w:szCs w:val="20"/>
        </w:rPr>
      </w:pPr>
      <w:commentRangeStart w:id="0"/>
      <w:r>
        <w:rPr>
          <w:rFonts w:ascii="Arial" w:hAnsi="Arial" w:eastAsia="Times New Roman" w:cs="Arial"/>
          <w:b/>
          <w:caps/>
          <w:szCs w:val="20"/>
        </w:rPr>
        <w:t>I. Introduction</w:t>
      </w:r>
      <w:commentRangeEnd w:id="0"/>
      <w:r>
        <w:commentReference w:id="0"/>
      </w:r>
    </w:p>
    <w:p w14:paraId="241E14F3">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The Hoai Son plant, scientifically known as Dioscorea persimilis Prain et Burkill, belongs to the family Dioscoreaceae, order Dioscoreales, class Liliopsida, and phylum Magnoliophyta (Nguyen Thi Thu Huyen </w:t>
      </w:r>
      <w:r>
        <w:rPr>
          <w:rFonts w:ascii="Arial" w:hAnsi="Arial" w:eastAsia="Times New Roman" w:cs="Arial"/>
          <w:i/>
          <w:sz w:val="20"/>
          <w:szCs w:val="20"/>
        </w:rPr>
        <w:t>et al.,</w:t>
      </w:r>
      <w:r>
        <w:rPr>
          <w:rFonts w:ascii="Arial" w:hAnsi="Arial" w:eastAsia="Times New Roman" w:cs="Arial"/>
          <w:sz w:val="20"/>
          <w:szCs w:val="20"/>
        </w:rPr>
        <w:t xml:space="preserve"> 2019). In Vietnam, </w:t>
      </w:r>
      <w:r>
        <w:rPr>
          <w:rFonts w:ascii="Arial" w:hAnsi="Arial" w:eastAsia="Times New Roman" w:cs="Arial"/>
          <w:i/>
          <w:sz w:val="20"/>
          <w:szCs w:val="20"/>
        </w:rPr>
        <w:t>Dioscorea persimilis</w:t>
      </w:r>
      <w:r>
        <w:rPr>
          <w:rFonts w:ascii="Arial" w:hAnsi="Arial" w:eastAsia="Times New Roman" w:cs="Arial"/>
          <w:sz w:val="20"/>
          <w:szCs w:val="20"/>
        </w:rPr>
        <w:t xml:space="preserve"> is widely distributed throughout the northern mountainous and midland provinces (Hang </w:t>
      </w:r>
      <w:r>
        <w:rPr>
          <w:rFonts w:ascii="Arial" w:hAnsi="Arial" w:eastAsia="Times New Roman" w:cs="Arial"/>
          <w:i/>
          <w:sz w:val="20"/>
          <w:szCs w:val="20"/>
        </w:rPr>
        <w:t>et al.,</w:t>
      </w:r>
      <w:r>
        <w:rPr>
          <w:rFonts w:ascii="Arial" w:hAnsi="Arial" w:eastAsia="Times New Roman" w:cs="Arial"/>
          <w:sz w:val="20"/>
          <w:szCs w:val="20"/>
        </w:rPr>
        <w:t xml:space="preserve"> 2020). The species is known by various local names across different regions and ethnic communities, including Sơn Dược, Củ Mài, Khoai Mài, Mằn chèn, Mán dịn, Co mằn kép (Thai ethnic group), Mằn ôn (Nung ethnic group), Hìa dòi (Dao ethnic group), Gờ lờn (K'dong ethnic group), and Củ Lỗ (Nguyễn Thị Thu Huyền </w:t>
      </w:r>
      <w:r>
        <w:rPr>
          <w:rFonts w:ascii="Arial" w:hAnsi="Arial" w:eastAsia="Times New Roman" w:cs="Arial"/>
          <w:i/>
          <w:sz w:val="20"/>
          <w:szCs w:val="20"/>
        </w:rPr>
        <w:t>et al.,</w:t>
      </w:r>
      <w:r>
        <w:rPr>
          <w:rFonts w:ascii="Arial" w:hAnsi="Arial" w:eastAsia="Times New Roman" w:cs="Arial"/>
          <w:sz w:val="20"/>
          <w:szCs w:val="20"/>
        </w:rPr>
        <w:t xml:space="preserve"> 2019).</w:t>
      </w:r>
    </w:p>
    <w:p w14:paraId="311665A7">
      <w:pPr>
        <w:widowControl w:val="0"/>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The Hoai Son plant is considered a valuable nutritional food source, as its dried tubers contain approximately 63.25% starch and 6.75% protein (He </w:t>
      </w:r>
      <w:r>
        <w:rPr>
          <w:rFonts w:ascii="Arial" w:hAnsi="Arial" w:eastAsia="Times New Roman" w:cs="Arial"/>
          <w:i/>
          <w:sz w:val="20"/>
          <w:szCs w:val="20"/>
        </w:rPr>
        <w:t>et al.,</w:t>
      </w:r>
      <w:r>
        <w:rPr>
          <w:rFonts w:ascii="Arial" w:hAnsi="Arial" w:eastAsia="Times New Roman" w:cs="Arial"/>
          <w:sz w:val="20"/>
          <w:szCs w:val="20"/>
        </w:rPr>
        <w:t xml:space="preserve"> 2002). Furthermore, the tubers are rich in essential amino acids, B-complex vitamins, and important trace elements such as Zn, Fe, and Mn, with total starch content ranging from 70–80% (Chang </w:t>
      </w:r>
      <w:r>
        <w:rPr>
          <w:rFonts w:ascii="Arial" w:hAnsi="Arial" w:eastAsia="Times New Roman" w:cs="Arial"/>
          <w:i/>
          <w:sz w:val="20"/>
          <w:szCs w:val="20"/>
        </w:rPr>
        <w:t>et al.,</w:t>
      </w:r>
      <w:r>
        <w:rPr>
          <w:rFonts w:ascii="Arial" w:hAnsi="Arial" w:eastAsia="Times New Roman" w:cs="Arial"/>
          <w:sz w:val="20"/>
          <w:szCs w:val="20"/>
        </w:rPr>
        <w:t xml:space="preserve"> 2013). Moreover, the Hoai Son plant is an important medicinal species widely used in traditional medicine because of its high nutritional and pharmacological value (Mignouna </w:t>
      </w:r>
      <w:r>
        <w:rPr>
          <w:rFonts w:ascii="Arial" w:hAnsi="Arial" w:eastAsia="Times New Roman" w:cs="Arial"/>
          <w:i/>
          <w:sz w:val="20"/>
          <w:szCs w:val="20"/>
        </w:rPr>
        <w:t>et al.,</w:t>
      </w:r>
      <w:r>
        <w:rPr>
          <w:rFonts w:ascii="Arial" w:hAnsi="Arial" w:eastAsia="Times New Roman" w:cs="Arial"/>
          <w:sz w:val="20"/>
          <w:szCs w:val="20"/>
        </w:rPr>
        <w:t xml:space="preserve"> 2003). It has the effects of tonifying the spleen, and stabilizing the essence, and it is commonly used to treat digestive disorders, chronic diarrhea, spermatorrhea, and nocturnal urination. In addition, the tubers contain bioactive compounds such as diosgenin and saponins which exhibit antioxidant, and immune-boosting activities, and may support for treating chronic diseases (Chang </w:t>
      </w:r>
      <w:r>
        <w:rPr>
          <w:rFonts w:ascii="Arial" w:hAnsi="Arial" w:eastAsia="Times New Roman" w:cs="Arial"/>
          <w:i/>
          <w:sz w:val="20"/>
          <w:szCs w:val="20"/>
        </w:rPr>
        <w:t>et al.,</w:t>
      </w:r>
      <w:r>
        <w:rPr>
          <w:rFonts w:ascii="Arial" w:hAnsi="Arial" w:eastAsia="Times New Roman" w:cs="Arial"/>
          <w:sz w:val="20"/>
          <w:szCs w:val="20"/>
        </w:rPr>
        <w:t xml:space="preserve"> 2013).</w:t>
      </w:r>
    </w:p>
    <w:p w14:paraId="4346740F">
      <w:pPr>
        <w:widowControl w:val="0"/>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The Hoai Son plant is a climbing vine with soft, smooth, light-green stems that turn reddish brown when mature or dried. The stems are cylindrical or may possess 4–6 angular edges, and the vines twine from right to left during climbing. Therefore, trellis construction is usually carried out approximately 15–20 days after planting to support proper plant growth and development (Hue and Loc, 2005). However, according to Ngan et al. (2021), the cultivation of Hoai Sơn is still mostly based on traditional farming practices, with limited mechanization and low adoption of modern technologies such as soil tillers, mechanized planting systems, drip irrigation, and tuber harvesting equipment, particularly in trellis construction techniques for Hoai Sơn cultivation.</w:t>
      </w:r>
    </w:p>
    <w:p w14:paraId="00DF4CBA">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In Thai Nguyen, despite the favorable climatic conditions and substantial land resource potential for the development of medicinal plant cultivation areas, Hoai Sơn production is still mainly conducted on a small and fragmented scale, while proper planning and research on cultivation techniques suitable for local conditions are still lacking. Hence, the aim of this study was to evaluate suitable trellis systems for improving the growth, development, yield, and quality of the medicinal plant Hoai Sơn under Thai Nguyen conditions, thereby contributing to enhanced cultivation efficiency.</w:t>
      </w:r>
    </w:p>
    <w:p w14:paraId="118F36EB">
      <w:pPr>
        <w:spacing w:after="0" w:line="360" w:lineRule="auto"/>
        <w:jc w:val="both"/>
        <w:rPr>
          <w:rFonts w:ascii="Arial" w:hAnsi="Arial" w:eastAsia="Times New Roman" w:cs="Arial"/>
          <w:b/>
          <w:caps/>
          <w:szCs w:val="20"/>
        </w:rPr>
      </w:pPr>
      <w:commentRangeStart w:id="1"/>
      <w:r>
        <w:rPr>
          <w:rFonts w:ascii="Arial" w:hAnsi="Arial" w:eastAsia="Times New Roman" w:cs="Arial"/>
          <w:b/>
          <w:caps/>
          <w:szCs w:val="20"/>
        </w:rPr>
        <w:t>II. MATERIALS AND METHODS</w:t>
      </w:r>
      <w:commentRangeEnd w:id="1"/>
      <w:r>
        <w:commentReference w:id="1"/>
      </w:r>
    </w:p>
    <w:p w14:paraId="3E3A8374">
      <w:pPr>
        <w:spacing w:after="0" w:line="360" w:lineRule="auto"/>
        <w:jc w:val="both"/>
        <w:rPr>
          <w:rFonts w:ascii="Arial" w:hAnsi="Arial" w:eastAsia="Times New Roman" w:cs="Arial"/>
          <w:b/>
          <w:szCs w:val="20"/>
        </w:rPr>
      </w:pPr>
      <w:r>
        <w:rPr>
          <w:rFonts w:ascii="Arial" w:hAnsi="Arial" w:eastAsia="Times New Roman" w:cs="Arial"/>
          <w:b/>
          <w:szCs w:val="20"/>
        </w:rPr>
        <w:t>2.1. Plant materials and experiment treatments</w:t>
      </w:r>
    </w:p>
    <w:p w14:paraId="65D1D351">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The experiment was conducted in Boc Nhiêu commune, Dinh Hoa district, Thai Nguyen province, from 2024 to 2025. The experiment was designed using a Randomized Complete Block Design (RCBD) including of four treatments with three replications. Each experimental plot covered an area of 10 m², giving a total experimental area of 150 m², excluding buffer zones. The four treatments were established as follows:</w:t>
      </w:r>
    </w:p>
    <w:p w14:paraId="3DA4A83D">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T1: A-shaped trellis system (control)</w:t>
      </w:r>
    </w:p>
    <w:p w14:paraId="70D6EF85">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T2: Clustered trellis system</w:t>
      </w:r>
    </w:p>
    <w:p w14:paraId="00AFA679">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T3: String-supported trellis system</w:t>
      </w:r>
    </w:p>
    <w:p w14:paraId="6D922BD3">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T4: Net trellis system combined with tensioned strings</w:t>
      </w:r>
    </w:p>
    <w:p w14:paraId="1BA81C84">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Before planting, tuber cuttings approximately 5 cm long were treated for one week with a mixture of lime and wood ash at a 70:30 ratios. The planting density and spacing were 50,000 plants per hectare, with a spacing arrangement of 80 cm × 25 cm. The tuber cuttings were planted at a depth of approximately 5 cm. After planting, the cuttings were covered with soil, irrigated, and maintained under adequate moisture conditions to promote sprouting and early growth. Trellises were constructed 15-20 days after planting to support vine growth. The trellis structures needed to be build sturdy because the vigorous climbing of the plants could cause weak trellises to collapse. The basal fertilizer application consisted of 9 tons of organic microbial fertilizer, 500 kg of powdered lime, 300 kg of urea, 500 kg of superphosphate, and 150 kg of potassium chloride per hectare. Nitrogen and potassium fertilizers were with one-third of the total amount applied monthly from April to May, the remaining amount was applied in July.</w:t>
      </w:r>
    </w:p>
    <w:p w14:paraId="1B5AB152">
      <w:pPr>
        <w:spacing w:after="0" w:line="360" w:lineRule="auto"/>
        <w:jc w:val="both"/>
        <w:rPr>
          <w:rFonts w:ascii="Arial" w:hAnsi="Arial" w:eastAsia="Times New Roman" w:cs="Arial"/>
          <w:b/>
          <w:szCs w:val="20"/>
        </w:rPr>
      </w:pPr>
      <w:r>
        <w:rPr>
          <w:rFonts w:ascii="Arial" w:hAnsi="Arial" w:eastAsia="Times New Roman" w:cs="Arial"/>
          <w:b/>
          <w:szCs w:val="20"/>
        </w:rPr>
        <w:t>2.2 Data Collection</w:t>
      </w:r>
    </w:p>
    <w:p w14:paraId="01516791">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Leaf size, including leaf length and width (cm), was measured using vernier calipers at the stage when the plants reached the trellis. Stem diameter (mm) was measured at 5 cm above the ground surface using digital vernier calipers, and average values were calculated at both the trellis-reaching stage and the harvest stage. Tuber size, including tuber length and diameter, was measured using vernier calipers. Yield for each treatment was determined by weighing the total tuber yield harvested from each plot. Tuber characteristics and yield components were evaluated at the harvest stage.</w:t>
      </w:r>
    </w:p>
    <w:p w14:paraId="2AFED1CF">
      <w:pPr>
        <w:spacing w:after="0" w:line="360" w:lineRule="auto"/>
        <w:jc w:val="both"/>
        <w:rPr>
          <w:rFonts w:ascii="Arial" w:hAnsi="Arial" w:eastAsia="Times New Roman" w:cs="Arial"/>
          <w:b/>
          <w:szCs w:val="20"/>
        </w:rPr>
      </w:pPr>
      <w:r>
        <w:rPr>
          <w:rFonts w:ascii="Arial" w:hAnsi="Arial" w:eastAsia="Times New Roman" w:cs="Arial"/>
          <w:b/>
          <w:szCs w:val="20"/>
        </w:rPr>
        <w:t>2.3 Statistical Analysis</w:t>
      </w:r>
    </w:p>
    <w:p w14:paraId="0CC3CB85">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The data were analyzed using SAS 9.1 software to evaluate treatment effects, and mean comparisons among treatments were conducted using Duncan’s Multiple Range Test at a significance level of 95%.</w:t>
      </w:r>
    </w:p>
    <w:p w14:paraId="4E6359B6">
      <w:pPr>
        <w:spacing w:after="0" w:line="360" w:lineRule="auto"/>
        <w:jc w:val="both"/>
        <w:rPr>
          <w:rFonts w:ascii="Arial" w:hAnsi="Arial" w:eastAsia="Times New Roman" w:cs="Arial"/>
          <w:b/>
          <w:caps/>
          <w:szCs w:val="20"/>
        </w:rPr>
      </w:pPr>
      <w:r>
        <w:rPr>
          <w:rFonts w:ascii="Arial" w:hAnsi="Arial" w:eastAsia="Times New Roman" w:cs="Arial"/>
          <w:b/>
          <w:caps/>
          <w:szCs w:val="20"/>
        </w:rPr>
        <w:t>3. RESULTS AND DISCUSSION</w:t>
      </w:r>
    </w:p>
    <w:p w14:paraId="547579A3">
      <w:pPr>
        <w:spacing w:after="0" w:line="360" w:lineRule="auto"/>
        <w:jc w:val="both"/>
        <w:rPr>
          <w:rFonts w:ascii="Arial" w:hAnsi="Arial" w:eastAsia="Times New Roman" w:cs="Arial"/>
          <w:b/>
          <w:szCs w:val="20"/>
        </w:rPr>
      </w:pPr>
      <w:r>
        <w:rPr>
          <w:rFonts w:ascii="Arial" w:hAnsi="Arial" w:eastAsia="Times New Roman" w:cs="Arial"/>
          <w:b/>
          <w:szCs w:val="20"/>
        </w:rPr>
        <w:t>3.1. Effect of trellis system on the morphological characteristics of Hoai Sơn plants</w:t>
      </w:r>
    </w:p>
    <w:p w14:paraId="39C8548E">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According to Aminifard et al. (2012), plant height is evaluated through the rate of height growth and is closely associated with plant yield. Increased plant height under favorable growing conditions often contributes to higher yields. Therefore, plant height is an important indicator of plant growth potential and depends on both varietal characteristics and cultivation techniques. The results presented in Table 1 show that there were revealed significant differences among treatments in plant height (p ≤ 0.05). In contrast, T2 recorded the greatest plant height (202.3 cm), whereas the T3 and T4 showed lower plant heights, reaching 197.2 cm and 200.3 cm, respectively, both significantly lower than the control treatment at the 95% confidence level. This result indicates that T 2, in which clustered trellis formed a stable support structure, promoted plant growth by enabling the vines to attach easily and climb more effectively, thereby creating favorable conditions for stem elongation. This may be explained by the climbing characteristic of </w:t>
      </w:r>
      <w:r>
        <w:rPr>
          <w:rFonts w:ascii="Arial" w:hAnsi="Arial" w:eastAsia="Times New Roman" w:cs="Arial"/>
          <w:i/>
          <w:iCs/>
          <w:sz w:val="20"/>
          <w:szCs w:val="20"/>
        </w:rPr>
        <w:t>Dioscorea persimilis</w:t>
      </w:r>
      <w:r>
        <w:rPr>
          <w:rFonts w:ascii="Arial" w:hAnsi="Arial" w:eastAsia="Times New Roman" w:cs="Arial"/>
          <w:sz w:val="20"/>
          <w:szCs w:val="20"/>
        </w:rPr>
        <w:t xml:space="preserve">, whose stems twine from right to left around the support structure without tendrils like other climbing species (Nguyen Van Nam </w:t>
      </w:r>
      <w:r>
        <w:rPr>
          <w:rFonts w:ascii="Arial" w:hAnsi="Arial" w:eastAsia="Times New Roman" w:cs="Arial"/>
          <w:i/>
          <w:sz w:val="20"/>
          <w:szCs w:val="20"/>
        </w:rPr>
        <w:t>et al.,</w:t>
      </w:r>
      <w:r>
        <w:rPr>
          <w:rFonts w:ascii="Arial" w:hAnsi="Arial" w:eastAsia="Times New Roman" w:cs="Arial"/>
          <w:sz w:val="20"/>
          <w:szCs w:val="20"/>
        </w:rPr>
        <w:t xml:space="preserve"> 2020). Conversely, T3 and T4 which applying wire and mesh trellis systems, respectively provided less suitable support structures for vine attachment and climbing, resulting in shorter plant heights because these trellis types were not suitable for the climbing nature of the plants. These results are consistent with those reported by Le Quang Thai et al. (2018), who studied </w:t>
      </w:r>
      <w:r>
        <w:rPr>
          <w:rFonts w:ascii="Arial" w:hAnsi="Arial" w:eastAsia="Times New Roman" w:cs="Arial"/>
          <w:i/>
          <w:iCs/>
          <w:sz w:val="20"/>
          <w:szCs w:val="20"/>
        </w:rPr>
        <w:t>Dioscorea persimilis</w:t>
      </w:r>
      <w:r>
        <w:rPr>
          <w:rFonts w:ascii="Arial" w:hAnsi="Arial" w:eastAsia="Times New Roman" w:cs="Arial"/>
          <w:sz w:val="20"/>
          <w:szCs w:val="20"/>
        </w:rPr>
        <w:t xml:space="preserve"> in northern Vietnam and suggested that traditional trellis systems, such as A-shaped and clustered trellises, are more suitable than modern trellis types because of the characteristic twining stems of this medicinal plant.</w:t>
      </w:r>
    </w:p>
    <w:p w14:paraId="5560AC78">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The results presented in Table 1 indicated that there were no significant differences among treatments in terms of stem diameter, leaf length, and leaf width at the 95% confidence level. This shows that while the form of the trellis affects the plant's ability to grow tall, it has little influence on the development of other parts such as the roots and leaves. This can be explained by the fact that the </w:t>
      </w:r>
      <w:r>
        <w:rPr>
          <w:rFonts w:ascii="Arial" w:hAnsi="Arial" w:eastAsia="Times New Roman" w:cs="Arial"/>
          <w:i/>
          <w:iCs/>
          <w:sz w:val="20"/>
          <w:szCs w:val="20"/>
        </w:rPr>
        <w:t>Dioscorea persimilis</w:t>
      </w:r>
      <w:r>
        <w:rPr>
          <w:rFonts w:ascii="Arial" w:hAnsi="Arial" w:eastAsia="Times New Roman" w:cs="Arial"/>
          <w:sz w:val="20"/>
          <w:szCs w:val="20"/>
        </w:rPr>
        <w:t xml:space="preserve"> plant primarily grows its stem on the trellis to facilitate photosynthesis and nutrient accumulation for the tubers. Characteristics such as root diameter and leaf size are more dependent on nutrient levels and planting density than on the form of the trellis. It seems that the form of the trellis affects the plant's ability to grow tall, however little influence on the development of other parts such as the roots and leaves. This may be explained that the</w:t>
      </w:r>
      <w:r>
        <w:rPr>
          <w:rFonts w:ascii="Arial" w:hAnsi="Arial" w:eastAsia="Times New Roman" w:cs="Arial"/>
          <w:i/>
          <w:iCs/>
          <w:sz w:val="20"/>
          <w:szCs w:val="20"/>
        </w:rPr>
        <w:t xml:space="preserve"> Dioscorea persimilis </w:t>
      </w:r>
      <w:r>
        <w:rPr>
          <w:rFonts w:ascii="Arial" w:hAnsi="Arial" w:eastAsia="Times New Roman" w:cs="Arial"/>
          <w:sz w:val="20"/>
          <w:szCs w:val="20"/>
        </w:rPr>
        <w:t>plant grows its stem on a trellis to facilitate photosynthesis and accumulate nutrients for the tuber, whereas characteristics of this plant such as stem diameter and leaf size are generally generally influenced more by nutrient availability and planting density than by trellis type. This results are consistent with those reported by Nguyen Thi Hong et al. (2019) in a study on the impact of trellising techniques on yam plants (</w:t>
      </w:r>
      <w:r>
        <w:rPr>
          <w:rFonts w:ascii="Arial" w:hAnsi="Arial" w:eastAsia="Times New Roman" w:cs="Arial"/>
          <w:i/>
          <w:sz w:val="20"/>
          <w:szCs w:val="20"/>
        </w:rPr>
        <w:t>Dioscorea alata</w:t>
      </w:r>
      <w:r>
        <w:rPr>
          <w:rFonts w:ascii="Arial" w:hAnsi="Arial" w:eastAsia="Times New Roman" w:cs="Arial"/>
          <w:sz w:val="20"/>
          <w:szCs w:val="20"/>
        </w:rPr>
        <w:t>), which demonstrated that different trellis models had no significant effect on stem diameter and leaf size, except for plant height.</w:t>
      </w:r>
    </w:p>
    <w:p w14:paraId="78C54C1C">
      <w:pPr>
        <w:spacing w:after="0" w:line="360" w:lineRule="auto"/>
        <w:jc w:val="center"/>
        <w:rPr>
          <w:rFonts w:ascii="Arial" w:hAnsi="Arial" w:eastAsia="Times New Roman" w:cs="Arial"/>
          <w:b/>
          <w:sz w:val="20"/>
          <w:szCs w:val="20"/>
        </w:rPr>
      </w:pPr>
      <w:r>
        <w:rPr>
          <w:rFonts w:ascii="Arial" w:hAnsi="Arial" w:eastAsia="Times New Roman" w:cs="Arial"/>
          <w:b/>
          <w:sz w:val="20"/>
          <w:szCs w:val="20"/>
        </w:rPr>
        <w:t>Table 1. Effects of trellis systems on the morphological characteristics of Hoai Son medicinal plants in Thai Nguyen*</w:t>
      </w:r>
    </w:p>
    <w:tbl>
      <w:tblPr>
        <w:tblStyle w:val="10"/>
        <w:tblW w:w="935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1131"/>
        <w:gridCol w:w="1984"/>
        <w:gridCol w:w="2126"/>
        <w:gridCol w:w="1276"/>
        <w:gridCol w:w="1276"/>
      </w:tblGrid>
      <w:tr w14:paraId="1BCE80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auto" w:sz="4" w:space="0"/>
              <w:bottom w:val="single" w:color="auto" w:sz="4" w:space="0"/>
            </w:tcBorders>
            <w:vAlign w:val="center"/>
          </w:tcPr>
          <w:p w14:paraId="4405CA2E">
            <w:pPr>
              <w:spacing w:after="0" w:line="240" w:lineRule="auto"/>
              <w:jc w:val="center"/>
              <w:rPr>
                <w:rFonts w:ascii="Arial" w:hAnsi="Arial" w:eastAsia="Times New Roman" w:cs="Arial"/>
                <w:b/>
                <w:sz w:val="20"/>
                <w:szCs w:val="20"/>
              </w:rPr>
            </w:pPr>
            <w:r>
              <w:rPr>
                <w:rFonts w:ascii="Arial" w:hAnsi="Arial" w:eastAsia="Times New Roman" w:cs="Arial"/>
                <w:b/>
                <w:sz w:val="20"/>
                <w:szCs w:val="20"/>
              </w:rPr>
              <w:t>Treatment</w:t>
            </w:r>
          </w:p>
        </w:tc>
        <w:tc>
          <w:tcPr>
            <w:tcW w:w="1131" w:type="dxa"/>
            <w:tcBorders>
              <w:top w:val="single" w:color="auto" w:sz="4" w:space="0"/>
              <w:bottom w:val="single" w:color="auto" w:sz="4" w:space="0"/>
            </w:tcBorders>
            <w:vAlign w:val="center"/>
          </w:tcPr>
          <w:p w14:paraId="2D2A11DE">
            <w:pPr>
              <w:spacing w:after="0" w:line="240" w:lineRule="auto"/>
              <w:jc w:val="center"/>
              <w:rPr>
                <w:rFonts w:ascii="Arial" w:hAnsi="Arial" w:eastAsia="Times New Roman" w:cs="Arial"/>
                <w:b/>
                <w:sz w:val="20"/>
                <w:szCs w:val="20"/>
              </w:rPr>
            </w:pPr>
            <w:r>
              <w:rPr>
                <w:rFonts w:ascii="Arial" w:hAnsi="Arial" w:eastAsia="Times New Roman" w:cs="Arial"/>
                <w:b/>
                <w:sz w:val="20"/>
                <w:szCs w:val="20"/>
              </w:rPr>
              <w:t>Plant height (cm)</w:t>
            </w:r>
          </w:p>
        </w:tc>
        <w:tc>
          <w:tcPr>
            <w:tcW w:w="1984" w:type="dxa"/>
            <w:tcBorders>
              <w:top w:val="single" w:color="auto" w:sz="4" w:space="0"/>
              <w:bottom w:val="single" w:color="auto" w:sz="4" w:space="0"/>
            </w:tcBorders>
            <w:vAlign w:val="center"/>
          </w:tcPr>
          <w:p w14:paraId="41FC2C3E">
            <w:pPr>
              <w:spacing w:after="0" w:line="240" w:lineRule="auto"/>
              <w:jc w:val="center"/>
              <w:rPr>
                <w:rFonts w:ascii="Arial" w:hAnsi="Arial" w:eastAsia="Times New Roman" w:cs="Arial"/>
                <w:b/>
                <w:sz w:val="20"/>
                <w:szCs w:val="20"/>
              </w:rPr>
            </w:pPr>
            <w:r>
              <w:rPr>
                <w:rFonts w:ascii="Arial" w:hAnsi="Arial" w:eastAsia="Times New Roman" w:cs="Arial"/>
                <w:b/>
                <w:sz w:val="20"/>
                <w:szCs w:val="20"/>
              </w:rPr>
              <w:t>Stem diameter at trellis-reaching stage (mm)¹</w:t>
            </w:r>
          </w:p>
        </w:tc>
        <w:tc>
          <w:tcPr>
            <w:tcW w:w="2126" w:type="dxa"/>
            <w:tcBorders>
              <w:top w:val="single" w:color="auto" w:sz="4" w:space="0"/>
              <w:bottom w:val="single" w:color="auto" w:sz="4" w:space="0"/>
            </w:tcBorders>
            <w:vAlign w:val="center"/>
          </w:tcPr>
          <w:p w14:paraId="023A2204">
            <w:pPr>
              <w:spacing w:after="0" w:line="240" w:lineRule="auto"/>
              <w:jc w:val="center"/>
              <w:rPr>
                <w:rFonts w:ascii="Arial" w:hAnsi="Arial" w:eastAsia="Times New Roman" w:cs="Arial"/>
                <w:b/>
                <w:sz w:val="20"/>
                <w:szCs w:val="20"/>
              </w:rPr>
            </w:pPr>
            <w:r>
              <w:rPr>
                <w:rFonts w:ascii="Arial" w:hAnsi="Arial" w:eastAsia="Times New Roman" w:cs="Arial"/>
                <w:b/>
                <w:sz w:val="20"/>
                <w:szCs w:val="20"/>
              </w:rPr>
              <w:t>Stem diameter at harvest stage (mm)²</w:t>
            </w:r>
          </w:p>
        </w:tc>
        <w:tc>
          <w:tcPr>
            <w:tcW w:w="1276" w:type="dxa"/>
            <w:tcBorders>
              <w:top w:val="single" w:color="auto" w:sz="4" w:space="0"/>
              <w:bottom w:val="single" w:color="auto" w:sz="4" w:space="0"/>
            </w:tcBorders>
            <w:vAlign w:val="center"/>
          </w:tcPr>
          <w:p w14:paraId="0B379E9E">
            <w:pPr>
              <w:spacing w:after="0" w:line="240" w:lineRule="auto"/>
              <w:jc w:val="center"/>
              <w:rPr>
                <w:rFonts w:ascii="Arial" w:hAnsi="Arial" w:eastAsia="Times New Roman" w:cs="Arial"/>
                <w:b/>
                <w:sz w:val="20"/>
                <w:szCs w:val="20"/>
              </w:rPr>
            </w:pPr>
            <w:r>
              <w:rPr>
                <w:rFonts w:ascii="Arial" w:hAnsi="Arial" w:eastAsia="Times New Roman" w:cs="Arial"/>
                <w:b/>
                <w:sz w:val="20"/>
                <w:szCs w:val="20"/>
              </w:rPr>
              <w:t>Leaf length (cm)</w:t>
            </w:r>
          </w:p>
        </w:tc>
        <w:tc>
          <w:tcPr>
            <w:tcW w:w="1276" w:type="dxa"/>
            <w:tcBorders>
              <w:top w:val="single" w:color="auto" w:sz="4" w:space="0"/>
              <w:bottom w:val="single" w:color="auto" w:sz="4" w:space="0"/>
            </w:tcBorders>
            <w:vAlign w:val="center"/>
          </w:tcPr>
          <w:p w14:paraId="6FCCB87D">
            <w:pPr>
              <w:spacing w:after="0" w:line="240" w:lineRule="auto"/>
              <w:jc w:val="center"/>
              <w:rPr>
                <w:rFonts w:ascii="Arial" w:hAnsi="Arial" w:eastAsia="Times New Roman" w:cs="Arial"/>
                <w:b/>
                <w:sz w:val="20"/>
                <w:szCs w:val="20"/>
              </w:rPr>
            </w:pPr>
            <w:r>
              <w:rPr>
                <w:rFonts w:ascii="Arial" w:hAnsi="Arial" w:eastAsia="Times New Roman" w:cs="Arial"/>
                <w:b/>
                <w:sz w:val="20"/>
                <w:szCs w:val="20"/>
              </w:rPr>
              <w:t>Leaf width (cm)</w:t>
            </w:r>
          </w:p>
        </w:tc>
      </w:tr>
      <w:tr w14:paraId="1B2BDF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auto" w:sz="4" w:space="0"/>
            </w:tcBorders>
          </w:tcPr>
          <w:p w14:paraId="5C32C41A">
            <w:pPr>
              <w:spacing w:after="0" w:line="240" w:lineRule="auto"/>
              <w:jc w:val="both"/>
              <w:rPr>
                <w:rFonts w:ascii="Arial" w:hAnsi="Arial" w:eastAsia="Times New Roman" w:cs="Arial"/>
                <w:sz w:val="20"/>
                <w:szCs w:val="20"/>
              </w:rPr>
            </w:pPr>
            <w:r>
              <w:rPr>
                <w:rFonts w:ascii="Arial" w:hAnsi="Arial" w:eastAsia="Times New Roman" w:cs="Arial"/>
                <w:sz w:val="20"/>
                <w:szCs w:val="20"/>
              </w:rPr>
              <w:t>T1 (control)</w:t>
            </w:r>
          </w:p>
        </w:tc>
        <w:tc>
          <w:tcPr>
            <w:tcW w:w="1131" w:type="dxa"/>
            <w:tcBorders>
              <w:top w:val="single" w:color="auto" w:sz="4" w:space="0"/>
            </w:tcBorders>
            <w:vAlign w:val="center"/>
          </w:tcPr>
          <w:p w14:paraId="2299F22A">
            <w:pPr>
              <w:spacing w:after="0" w:line="240" w:lineRule="auto"/>
              <w:jc w:val="center"/>
              <w:rPr>
                <w:rFonts w:ascii="Arial" w:hAnsi="Arial" w:eastAsia="Times New Roman" w:cs="Arial"/>
                <w:sz w:val="20"/>
                <w:szCs w:val="20"/>
              </w:rPr>
            </w:pPr>
            <w:r>
              <w:rPr>
                <w:rFonts w:ascii="Arial" w:hAnsi="Arial" w:eastAsia="Times New Roman" w:cs="Arial"/>
                <w:sz w:val="20"/>
                <w:szCs w:val="20"/>
              </w:rPr>
              <w:t>201.9</w:t>
            </w:r>
            <w:r>
              <w:rPr>
                <w:rFonts w:ascii="Arial" w:hAnsi="Arial" w:eastAsia="Times New Roman" w:cs="Arial"/>
                <w:sz w:val="20"/>
                <w:szCs w:val="20"/>
                <w:vertAlign w:val="superscript"/>
              </w:rPr>
              <w:t>a</w:t>
            </w:r>
          </w:p>
        </w:tc>
        <w:tc>
          <w:tcPr>
            <w:tcW w:w="1984" w:type="dxa"/>
            <w:tcBorders>
              <w:top w:val="single" w:color="auto" w:sz="4" w:space="0"/>
            </w:tcBorders>
            <w:vAlign w:val="center"/>
          </w:tcPr>
          <w:p w14:paraId="06EBEB23">
            <w:pPr>
              <w:spacing w:after="0" w:line="240" w:lineRule="auto"/>
              <w:jc w:val="center"/>
              <w:rPr>
                <w:rFonts w:ascii="Arial" w:hAnsi="Arial" w:eastAsia="Times New Roman" w:cs="Arial"/>
                <w:sz w:val="20"/>
                <w:szCs w:val="20"/>
              </w:rPr>
            </w:pPr>
            <w:r>
              <w:rPr>
                <w:rFonts w:ascii="Arial" w:hAnsi="Arial" w:eastAsia="Times New Roman" w:cs="Arial"/>
                <w:sz w:val="20"/>
                <w:szCs w:val="20"/>
              </w:rPr>
              <w:t>3.69</w:t>
            </w:r>
            <w:r>
              <w:rPr>
                <w:rFonts w:ascii="Arial" w:hAnsi="Arial" w:eastAsia="Times New Roman" w:cs="Arial"/>
                <w:sz w:val="20"/>
                <w:szCs w:val="20"/>
                <w:vertAlign w:val="superscript"/>
              </w:rPr>
              <w:t>a</w:t>
            </w:r>
          </w:p>
        </w:tc>
        <w:tc>
          <w:tcPr>
            <w:tcW w:w="2126" w:type="dxa"/>
            <w:tcBorders>
              <w:top w:val="single" w:color="auto" w:sz="4" w:space="0"/>
            </w:tcBorders>
            <w:vAlign w:val="center"/>
          </w:tcPr>
          <w:p w14:paraId="23A841D5">
            <w:pPr>
              <w:spacing w:after="0" w:line="240" w:lineRule="auto"/>
              <w:jc w:val="center"/>
              <w:rPr>
                <w:rFonts w:ascii="Arial" w:hAnsi="Arial" w:eastAsia="Times New Roman" w:cs="Arial"/>
                <w:sz w:val="20"/>
                <w:szCs w:val="20"/>
              </w:rPr>
            </w:pPr>
            <w:r>
              <w:rPr>
                <w:rFonts w:ascii="Arial" w:hAnsi="Arial" w:eastAsia="Times New Roman" w:cs="Arial"/>
                <w:sz w:val="20"/>
                <w:szCs w:val="20"/>
              </w:rPr>
              <w:t>3.90</w:t>
            </w:r>
            <w:r>
              <w:rPr>
                <w:rFonts w:ascii="Arial" w:hAnsi="Arial" w:eastAsia="Times New Roman" w:cs="Arial"/>
                <w:sz w:val="20"/>
                <w:szCs w:val="20"/>
                <w:vertAlign w:val="superscript"/>
              </w:rPr>
              <w:t>a</w:t>
            </w:r>
          </w:p>
        </w:tc>
        <w:tc>
          <w:tcPr>
            <w:tcW w:w="1276" w:type="dxa"/>
            <w:tcBorders>
              <w:top w:val="single" w:color="auto" w:sz="4" w:space="0"/>
            </w:tcBorders>
            <w:vAlign w:val="center"/>
          </w:tcPr>
          <w:p w14:paraId="08F250FD">
            <w:pPr>
              <w:spacing w:after="0" w:line="240" w:lineRule="auto"/>
              <w:jc w:val="center"/>
              <w:rPr>
                <w:rFonts w:ascii="Arial" w:hAnsi="Arial" w:eastAsia="Times New Roman" w:cs="Arial"/>
                <w:sz w:val="20"/>
                <w:szCs w:val="20"/>
              </w:rPr>
            </w:pPr>
            <w:r>
              <w:rPr>
                <w:rFonts w:ascii="Arial" w:hAnsi="Arial" w:eastAsia="Times New Roman" w:cs="Arial"/>
                <w:sz w:val="20"/>
                <w:szCs w:val="20"/>
              </w:rPr>
              <w:t>10.8</w:t>
            </w:r>
            <w:r>
              <w:rPr>
                <w:rFonts w:ascii="Arial" w:hAnsi="Arial" w:eastAsia="Times New Roman" w:cs="Arial"/>
                <w:sz w:val="20"/>
                <w:szCs w:val="20"/>
                <w:vertAlign w:val="superscript"/>
              </w:rPr>
              <w:t>a</w:t>
            </w:r>
          </w:p>
        </w:tc>
        <w:tc>
          <w:tcPr>
            <w:tcW w:w="1276" w:type="dxa"/>
            <w:tcBorders>
              <w:top w:val="single" w:color="auto" w:sz="4" w:space="0"/>
            </w:tcBorders>
            <w:vAlign w:val="center"/>
          </w:tcPr>
          <w:p w14:paraId="5319ADC2">
            <w:pPr>
              <w:spacing w:after="0" w:line="240" w:lineRule="auto"/>
              <w:jc w:val="center"/>
              <w:rPr>
                <w:rFonts w:ascii="Arial" w:hAnsi="Arial" w:eastAsia="Times New Roman" w:cs="Arial"/>
                <w:sz w:val="20"/>
                <w:szCs w:val="20"/>
              </w:rPr>
            </w:pPr>
            <w:r>
              <w:rPr>
                <w:rFonts w:ascii="Arial" w:hAnsi="Arial" w:eastAsia="Times New Roman" w:cs="Arial"/>
                <w:sz w:val="20"/>
                <w:szCs w:val="20"/>
              </w:rPr>
              <w:t>6.6</w:t>
            </w:r>
            <w:r>
              <w:rPr>
                <w:rFonts w:ascii="Arial" w:hAnsi="Arial" w:eastAsia="Times New Roman" w:cs="Arial"/>
                <w:sz w:val="20"/>
                <w:szCs w:val="20"/>
                <w:vertAlign w:val="superscript"/>
              </w:rPr>
              <w:t>a</w:t>
            </w:r>
          </w:p>
        </w:tc>
      </w:tr>
      <w:tr w14:paraId="2058AC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7D3CD80E">
            <w:pPr>
              <w:spacing w:after="0" w:line="240" w:lineRule="auto"/>
              <w:jc w:val="both"/>
              <w:rPr>
                <w:rFonts w:ascii="Arial" w:hAnsi="Arial" w:eastAsia="Times New Roman" w:cs="Arial"/>
                <w:sz w:val="20"/>
                <w:szCs w:val="20"/>
              </w:rPr>
            </w:pPr>
            <w:r>
              <w:rPr>
                <w:rFonts w:ascii="Arial" w:hAnsi="Arial" w:eastAsia="Times New Roman" w:cs="Arial"/>
                <w:sz w:val="20"/>
                <w:szCs w:val="20"/>
              </w:rPr>
              <w:t>T2</w:t>
            </w:r>
          </w:p>
        </w:tc>
        <w:tc>
          <w:tcPr>
            <w:tcW w:w="1131" w:type="dxa"/>
            <w:vAlign w:val="center"/>
          </w:tcPr>
          <w:p w14:paraId="2239878D">
            <w:pPr>
              <w:spacing w:after="0" w:line="240" w:lineRule="auto"/>
              <w:jc w:val="center"/>
              <w:rPr>
                <w:rFonts w:ascii="Arial" w:hAnsi="Arial" w:eastAsia="Times New Roman" w:cs="Arial"/>
                <w:sz w:val="20"/>
                <w:szCs w:val="20"/>
              </w:rPr>
            </w:pPr>
            <w:r>
              <w:rPr>
                <w:rFonts w:ascii="Arial" w:hAnsi="Arial" w:eastAsia="Times New Roman" w:cs="Arial"/>
                <w:sz w:val="20"/>
                <w:szCs w:val="20"/>
              </w:rPr>
              <w:t>202.3</w:t>
            </w:r>
            <w:r>
              <w:rPr>
                <w:rFonts w:ascii="Arial" w:hAnsi="Arial" w:eastAsia="Times New Roman" w:cs="Arial"/>
                <w:sz w:val="20"/>
                <w:szCs w:val="20"/>
                <w:vertAlign w:val="superscript"/>
              </w:rPr>
              <w:t>a</w:t>
            </w:r>
          </w:p>
        </w:tc>
        <w:tc>
          <w:tcPr>
            <w:tcW w:w="1984" w:type="dxa"/>
            <w:vAlign w:val="center"/>
          </w:tcPr>
          <w:p w14:paraId="1411E672">
            <w:pPr>
              <w:spacing w:after="0" w:line="240" w:lineRule="auto"/>
              <w:jc w:val="center"/>
              <w:rPr>
                <w:rFonts w:ascii="Arial" w:hAnsi="Arial" w:eastAsia="Times New Roman" w:cs="Arial"/>
                <w:sz w:val="20"/>
                <w:szCs w:val="20"/>
              </w:rPr>
            </w:pPr>
            <w:r>
              <w:rPr>
                <w:rFonts w:ascii="Arial" w:hAnsi="Arial" w:eastAsia="Times New Roman" w:cs="Arial"/>
                <w:sz w:val="20"/>
                <w:szCs w:val="20"/>
              </w:rPr>
              <w:t>3.70</w:t>
            </w:r>
            <w:r>
              <w:rPr>
                <w:rFonts w:ascii="Arial" w:hAnsi="Arial" w:eastAsia="Times New Roman" w:cs="Arial"/>
                <w:sz w:val="20"/>
                <w:szCs w:val="20"/>
                <w:vertAlign w:val="superscript"/>
              </w:rPr>
              <w:t>a</w:t>
            </w:r>
          </w:p>
        </w:tc>
        <w:tc>
          <w:tcPr>
            <w:tcW w:w="2126" w:type="dxa"/>
            <w:vAlign w:val="center"/>
          </w:tcPr>
          <w:p w14:paraId="0DC25C10">
            <w:pPr>
              <w:spacing w:after="0" w:line="240" w:lineRule="auto"/>
              <w:jc w:val="center"/>
              <w:rPr>
                <w:rFonts w:ascii="Arial" w:hAnsi="Arial" w:eastAsia="Times New Roman" w:cs="Arial"/>
                <w:sz w:val="20"/>
                <w:szCs w:val="20"/>
              </w:rPr>
            </w:pPr>
            <w:r>
              <w:rPr>
                <w:rFonts w:ascii="Arial" w:hAnsi="Arial" w:eastAsia="Times New Roman" w:cs="Arial"/>
                <w:sz w:val="20"/>
                <w:szCs w:val="20"/>
              </w:rPr>
              <w:t>3.92</w:t>
            </w:r>
            <w:r>
              <w:rPr>
                <w:rFonts w:ascii="Arial" w:hAnsi="Arial" w:eastAsia="Times New Roman" w:cs="Arial"/>
                <w:sz w:val="20"/>
                <w:szCs w:val="20"/>
                <w:vertAlign w:val="superscript"/>
              </w:rPr>
              <w:t>a</w:t>
            </w:r>
          </w:p>
        </w:tc>
        <w:tc>
          <w:tcPr>
            <w:tcW w:w="1276" w:type="dxa"/>
            <w:vAlign w:val="center"/>
          </w:tcPr>
          <w:p w14:paraId="74529193">
            <w:pPr>
              <w:spacing w:after="0" w:line="240" w:lineRule="auto"/>
              <w:jc w:val="center"/>
              <w:rPr>
                <w:rFonts w:ascii="Arial" w:hAnsi="Arial" w:eastAsia="Times New Roman" w:cs="Arial"/>
                <w:sz w:val="20"/>
                <w:szCs w:val="20"/>
              </w:rPr>
            </w:pPr>
            <w:r>
              <w:rPr>
                <w:rFonts w:ascii="Arial" w:hAnsi="Arial" w:eastAsia="Times New Roman" w:cs="Arial"/>
                <w:sz w:val="20"/>
                <w:szCs w:val="20"/>
              </w:rPr>
              <w:t>10.9</w:t>
            </w:r>
            <w:r>
              <w:rPr>
                <w:rFonts w:ascii="Arial" w:hAnsi="Arial" w:eastAsia="Times New Roman" w:cs="Arial"/>
                <w:sz w:val="20"/>
                <w:szCs w:val="20"/>
                <w:vertAlign w:val="superscript"/>
              </w:rPr>
              <w:t>a</w:t>
            </w:r>
          </w:p>
        </w:tc>
        <w:tc>
          <w:tcPr>
            <w:tcW w:w="1276" w:type="dxa"/>
            <w:vAlign w:val="center"/>
          </w:tcPr>
          <w:p w14:paraId="1EA7A459">
            <w:pPr>
              <w:spacing w:after="0" w:line="240" w:lineRule="auto"/>
              <w:jc w:val="center"/>
              <w:rPr>
                <w:rFonts w:ascii="Arial" w:hAnsi="Arial" w:eastAsia="Times New Roman" w:cs="Arial"/>
                <w:sz w:val="20"/>
                <w:szCs w:val="20"/>
              </w:rPr>
            </w:pPr>
            <w:r>
              <w:rPr>
                <w:rFonts w:ascii="Arial" w:hAnsi="Arial" w:eastAsia="Times New Roman" w:cs="Arial"/>
                <w:sz w:val="20"/>
                <w:szCs w:val="20"/>
              </w:rPr>
              <w:t>6.7</w:t>
            </w:r>
            <w:r>
              <w:rPr>
                <w:rFonts w:ascii="Arial" w:hAnsi="Arial" w:eastAsia="Times New Roman" w:cs="Arial"/>
                <w:sz w:val="20"/>
                <w:szCs w:val="20"/>
                <w:vertAlign w:val="superscript"/>
              </w:rPr>
              <w:t>a</w:t>
            </w:r>
          </w:p>
        </w:tc>
      </w:tr>
      <w:tr w14:paraId="22701B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04D2C70B">
            <w:pPr>
              <w:spacing w:after="0" w:line="240" w:lineRule="auto"/>
              <w:jc w:val="both"/>
              <w:rPr>
                <w:rFonts w:ascii="Arial" w:hAnsi="Arial" w:eastAsia="Times New Roman" w:cs="Arial"/>
                <w:sz w:val="20"/>
                <w:szCs w:val="20"/>
              </w:rPr>
            </w:pPr>
            <w:r>
              <w:rPr>
                <w:rFonts w:ascii="Arial" w:hAnsi="Arial" w:eastAsia="Times New Roman" w:cs="Arial"/>
                <w:sz w:val="20"/>
                <w:szCs w:val="20"/>
              </w:rPr>
              <w:t>T3</w:t>
            </w:r>
          </w:p>
        </w:tc>
        <w:tc>
          <w:tcPr>
            <w:tcW w:w="1131" w:type="dxa"/>
            <w:vAlign w:val="center"/>
          </w:tcPr>
          <w:p w14:paraId="252AB269">
            <w:pPr>
              <w:spacing w:after="0" w:line="240" w:lineRule="auto"/>
              <w:jc w:val="center"/>
              <w:rPr>
                <w:rFonts w:ascii="Arial" w:hAnsi="Arial" w:eastAsia="Times New Roman" w:cs="Arial"/>
                <w:sz w:val="20"/>
                <w:szCs w:val="20"/>
              </w:rPr>
            </w:pPr>
            <w:r>
              <w:rPr>
                <w:rFonts w:ascii="Arial" w:hAnsi="Arial" w:eastAsia="Times New Roman" w:cs="Arial"/>
                <w:sz w:val="20"/>
                <w:szCs w:val="20"/>
              </w:rPr>
              <w:t>197.2</w:t>
            </w:r>
            <w:r>
              <w:rPr>
                <w:rFonts w:ascii="Arial" w:hAnsi="Arial" w:eastAsia="Times New Roman" w:cs="Arial"/>
                <w:sz w:val="20"/>
                <w:szCs w:val="20"/>
                <w:vertAlign w:val="superscript"/>
              </w:rPr>
              <w:t>c</w:t>
            </w:r>
          </w:p>
        </w:tc>
        <w:tc>
          <w:tcPr>
            <w:tcW w:w="1984" w:type="dxa"/>
            <w:vAlign w:val="center"/>
          </w:tcPr>
          <w:p w14:paraId="720B2F92">
            <w:pPr>
              <w:spacing w:after="0" w:line="240" w:lineRule="auto"/>
              <w:jc w:val="center"/>
              <w:rPr>
                <w:rFonts w:ascii="Arial" w:hAnsi="Arial" w:eastAsia="Times New Roman" w:cs="Arial"/>
                <w:sz w:val="20"/>
                <w:szCs w:val="20"/>
              </w:rPr>
            </w:pPr>
            <w:r>
              <w:rPr>
                <w:rFonts w:ascii="Arial" w:hAnsi="Arial" w:eastAsia="Times New Roman" w:cs="Arial"/>
                <w:sz w:val="20"/>
                <w:szCs w:val="20"/>
              </w:rPr>
              <w:t>3.62</w:t>
            </w:r>
            <w:r>
              <w:rPr>
                <w:rFonts w:ascii="Arial" w:hAnsi="Arial" w:eastAsia="Times New Roman" w:cs="Arial"/>
                <w:sz w:val="20"/>
                <w:szCs w:val="20"/>
                <w:vertAlign w:val="superscript"/>
              </w:rPr>
              <w:t>a</w:t>
            </w:r>
          </w:p>
        </w:tc>
        <w:tc>
          <w:tcPr>
            <w:tcW w:w="2126" w:type="dxa"/>
            <w:vAlign w:val="center"/>
          </w:tcPr>
          <w:p w14:paraId="322CF48B">
            <w:pPr>
              <w:spacing w:after="0" w:line="240" w:lineRule="auto"/>
              <w:jc w:val="center"/>
              <w:rPr>
                <w:rFonts w:ascii="Arial" w:hAnsi="Arial" w:eastAsia="Times New Roman" w:cs="Arial"/>
                <w:sz w:val="20"/>
                <w:szCs w:val="20"/>
              </w:rPr>
            </w:pPr>
            <w:r>
              <w:rPr>
                <w:rFonts w:ascii="Arial" w:hAnsi="Arial" w:eastAsia="Times New Roman" w:cs="Arial"/>
                <w:sz w:val="20"/>
                <w:szCs w:val="20"/>
              </w:rPr>
              <w:t>3.84</w:t>
            </w:r>
            <w:r>
              <w:rPr>
                <w:rFonts w:ascii="Arial" w:hAnsi="Arial" w:eastAsia="Times New Roman" w:cs="Arial"/>
                <w:sz w:val="20"/>
                <w:szCs w:val="20"/>
                <w:vertAlign w:val="superscript"/>
              </w:rPr>
              <w:t>a</w:t>
            </w:r>
          </w:p>
        </w:tc>
        <w:tc>
          <w:tcPr>
            <w:tcW w:w="1276" w:type="dxa"/>
            <w:vAlign w:val="center"/>
          </w:tcPr>
          <w:p w14:paraId="01AE3FC2">
            <w:pPr>
              <w:spacing w:after="0" w:line="240" w:lineRule="auto"/>
              <w:jc w:val="center"/>
              <w:rPr>
                <w:rFonts w:ascii="Arial" w:hAnsi="Arial" w:eastAsia="Times New Roman" w:cs="Arial"/>
                <w:sz w:val="20"/>
                <w:szCs w:val="20"/>
              </w:rPr>
            </w:pPr>
            <w:r>
              <w:rPr>
                <w:rFonts w:ascii="Arial" w:hAnsi="Arial" w:eastAsia="Times New Roman" w:cs="Arial"/>
                <w:sz w:val="20"/>
                <w:szCs w:val="20"/>
              </w:rPr>
              <w:t>10.5</w:t>
            </w:r>
            <w:r>
              <w:rPr>
                <w:rFonts w:ascii="Arial" w:hAnsi="Arial" w:eastAsia="Times New Roman" w:cs="Arial"/>
                <w:sz w:val="20"/>
                <w:szCs w:val="20"/>
                <w:vertAlign w:val="superscript"/>
              </w:rPr>
              <w:t>a</w:t>
            </w:r>
          </w:p>
        </w:tc>
        <w:tc>
          <w:tcPr>
            <w:tcW w:w="1276" w:type="dxa"/>
            <w:vAlign w:val="center"/>
          </w:tcPr>
          <w:p w14:paraId="14D09EFD">
            <w:pPr>
              <w:spacing w:after="0" w:line="240" w:lineRule="auto"/>
              <w:jc w:val="center"/>
              <w:rPr>
                <w:rFonts w:ascii="Arial" w:hAnsi="Arial" w:eastAsia="Times New Roman" w:cs="Arial"/>
                <w:sz w:val="20"/>
                <w:szCs w:val="20"/>
              </w:rPr>
            </w:pPr>
            <w:r>
              <w:rPr>
                <w:rFonts w:ascii="Arial" w:hAnsi="Arial" w:eastAsia="Times New Roman" w:cs="Arial"/>
                <w:sz w:val="20"/>
                <w:szCs w:val="20"/>
              </w:rPr>
              <w:t>6.4</w:t>
            </w:r>
            <w:r>
              <w:rPr>
                <w:rFonts w:ascii="Arial" w:hAnsi="Arial" w:eastAsia="Times New Roman" w:cs="Arial"/>
                <w:sz w:val="20"/>
                <w:szCs w:val="20"/>
                <w:vertAlign w:val="superscript"/>
              </w:rPr>
              <w:t>a</w:t>
            </w:r>
          </w:p>
        </w:tc>
      </w:tr>
      <w:tr w14:paraId="4E48D2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41DC6BFF">
            <w:pPr>
              <w:spacing w:after="0" w:line="240" w:lineRule="auto"/>
              <w:jc w:val="both"/>
              <w:rPr>
                <w:rFonts w:ascii="Arial" w:hAnsi="Arial" w:eastAsia="Times New Roman" w:cs="Arial"/>
                <w:sz w:val="20"/>
                <w:szCs w:val="20"/>
              </w:rPr>
            </w:pPr>
            <w:r>
              <w:rPr>
                <w:rFonts w:ascii="Arial" w:hAnsi="Arial" w:eastAsia="Times New Roman" w:cs="Arial"/>
                <w:sz w:val="20"/>
                <w:szCs w:val="20"/>
              </w:rPr>
              <w:t>T4</w:t>
            </w:r>
          </w:p>
        </w:tc>
        <w:tc>
          <w:tcPr>
            <w:tcW w:w="1131" w:type="dxa"/>
            <w:vAlign w:val="center"/>
          </w:tcPr>
          <w:p w14:paraId="4027F5B2">
            <w:pPr>
              <w:spacing w:after="0" w:line="240" w:lineRule="auto"/>
              <w:jc w:val="center"/>
              <w:rPr>
                <w:rFonts w:ascii="Arial" w:hAnsi="Arial" w:eastAsia="Times New Roman" w:cs="Arial"/>
                <w:sz w:val="20"/>
                <w:szCs w:val="20"/>
              </w:rPr>
            </w:pPr>
            <w:r>
              <w:rPr>
                <w:rFonts w:ascii="Arial" w:hAnsi="Arial" w:eastAsia="Times New Roman" w:cs="Arial"/>
                <w:sz w:val="20"/>
                <w:szCs w:val="20"/>
              </w:rPr>
              <w:t>200.3</w:t>
            </w:r>
            <w:r>
              <w:rPr>
                <w:rFonts w:ascii="Arial" w:hAnsi="Arial" w:eastAsia="Times New Roman" w:cs="Arial"/>
                <w:sz w:val="20"/>
                <w:szCs w:val="20"/>
                <w:vertAlign w:val="superscript"/>
              </w:rPr>
              <w:t>b</w:t>
            </w:r>
          </w:p>
        </w:tc>
        <w:tc>
          <w:tcPr>
            <w:tcW w:w="1984" w:type="dxa"/>
            <w:vAlign w:val="center"/>
          </w:tcPr>
          <w:p w14:paraId="58098242">
            <w:pPr>
              <w:spacing w:after="0" w:line="240" w:lineRule="auto"/>
              <w:jc w:val="center"/>
              <w:rPr>
                <w:rFonts w:ascii="Arial" w:hAnsi="Arial" w:eastAsia="Times New Roman" w:cs="Arial"/>
                <w:sz w:val="20"/>
                <w:szCs w:val="20"/>
              </w:rPr>
            </w:pPr>
            <w:r>
              <w:rPr>
                <w:rFonts w:ascii="Arial" w:hAnsi="Arial" w:eastAsia="Times New Roman" w:cs="Arial"/>
                <w:sz w:val="20"/>
                <w:szCs w:val="20"/>
              </w:rPr>
              <w:t>3.68</w:t>
            </w:r>
            <w:r>
              <w:rPr>
                <w:rFonts w:ascii="Arial" w:hAnsi="Arial" w:eastAsia="Times New Roman" w:cs="Arial"/>
                <w:sz w:val="20"/>
                <w:szCs w:val="20"/>
                <w:vertAlign w:val="superscript"/>
              </w:rPr>
              <w:t>a</w:t>
            </w:r>
          </w:p>
        </w:tc>
        <w:tc>
          <w:tcPr>
            <w:tcW w:w="2126" w:type="dxa"/>
            <w:vAlign w:val="center"/>
          </w:tcPr>
          <w:p w14:paraId="7FD6FA96">
            <w:pPr>
              <w:spacing w:after="0" w:line="240" w:lineRule="auto"/>
              <w:jc w:val="center"/>
              <w:rPr>
                <w:rFonts w:ascii="Arial" w:hAnsi="Arial" w:eastAsia="Times New Roman" w:cs="Arial"/>
                <w:sz w:val="20"/>
                <w:szCs w:val="20"/>
              </w:rPr>
            </w:pPr>
            <w:r>
              <w:rPr>
                <w:rFonts w:ascii="Arial" w:hAnsi="Arial" w:eastAsia="Times New Roman" w:cs="Arial"/>
                <w:sz w:val="20"/>
                <w:szCs w:val="20"/>
              </w:rPr>
              <w:t>3.89</w:t>
            </w:r>
            <w:r>
              <w:rPr>
                <w:rFonts w:ascii="Arial" w:hAnsi="Arial" w:eastAsia="Times New Roman" w:cs="Arial"/>
                <w:sz w:val="20"/>
                <w:szCs w:val="20"/>
                <w:vertAlign w:val="superscript"/>
              </w:rPr>
              <w:t>a</w:t>
            </w:r>
          </w:p>
        </w:tc>
        <w:tc>
          <w:tcPr>
            <w:tcW w:w="1276" w:type="dxa"/>
            <w:vAlign w:val="center"/>
          </w:tcPr>
          <w:p w14:paraId="755839CF">
            <w:pPr>
              <w:spacing w:after="0" w:line="240" w:lineRule="auto"/>
              <w:jc w:val="center"/>
              <w:rPr>
                <w:rFonts w:ascii="Arial" w:hAnsi="Arial" w:eastAsia="Times New Roman" w:cs="Arial"/>
                <w:sz w:val="20"/>
                <w:szCs w:val="20"/>
              </w:rPr>
            </w:pPr>
            <w:r>
              <w:rPr>
                <w:rFonts w:ascii="Arial" w:hAnsi="Arial" w:eastAsia="Times New Roman" w:cs="Arial"/>
                <w:sz w:val="20"/>
                <w:szCs w:val="20"/>
              </w:rPr>
              <w:t>10.6</w:t>
            </w:r>
            <w:r>
              <w:rPr>
                <w:rFonts w:ascii="Arial" w:hAnsi="Arial" w:eastAsia="Times New Roman" w:cs="Arial"/>
                <w:sz w:val="20"/>
                <w:szCs w:val="20"/>
                <w:vertAlign w:val="superscript"/>
              </w:rPr>
              <w:t>a</w:t>
            </w:r>
          </w:p>
        </w:tc>
        <w:tc>
          <w:tcPr>
            <w:tcW w:w="1276" w:type="dxa"/>
            <w:vAlign w:val="center"/>
          </w:tcPr>
          <w:p w14:paraId="54AEBB00">
            <w:pPr>
              <w:spacing w:after="0" w:line="240" w:lineRule="auto"/>
              <w:jc w:val="center"/>
              <w:rPr>
                <w:rFonts w:ascii="Arial" w:hAnsi="Arial" w:eastAsia="Times New Roman" w:cs="Arial"/>
                <w:sz w:val="20"/>
                <w:szCs w:val="20"/>
              </w:rPr>
            </w:pPr>
            <w:r>
              <w:rPr>
                <w:rFonts w:ascii="Arial" w:hAnsi="Arial" w:eastAsia="Times New Roman" w:cs="Arial"/>
                <w:sz w:val="20"/>
                <w:szCs w:val="20"/>
              </w:rPr>
              <w:t>6.5</w:t>
            </w:r>
            <w:r>
              <w:rPr>
                <w:rFonts w:ascii="Arial" w:hAnsi="Arial" w:eastAsia="Times New Roman" w:cs="Arial"/>
                <w:sz w:val="20"/>
                <w:szCs w:val="20"/>
                <w:vertAlign w:val="superscript"/>
              </w:rPr>
              <w:t>a</w:t>
            </w:r>
          </w:p>
        </w:tc>
      </w:tr>
      <w:tr w14:paraId="60412C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5AB221BD">
            <w:pPr>
              <w:spacing w:after="0" w:line="240" w:lineRule="auto"/>
              <w:jc w:val="both"/>
              <w:rPr>
                <w:rFonts w:ascii="Arial" w:hAnsi="Arial" w:eastAsia="Times New Roman" w:cs="Arial"/>
                <w:sz w:val="20"/>
                <w:szCs w:val="20"/>
              </w:rPr>
            </w:pPr>
            <w:r>
              <w:rPr>
                <w:rFonts w:ascii="Arial" w:hAnsi="Arial" w:eastAsia="Times New Roman" w:cs="Arial"/>
                <w:i/>
                <w:iCs/>
                <w:sz w:val="20"/>
                <w:szCs w:val="20"/>
              </w:rPr>
              <w:t>P</w:t>
            </w:r>
            <w:r>
              <w:rPr>
                <w:rFonts w:ascii="Arial" w:hAnsi="Arial" w:eastAsia="Times New Roman" w:cs="Arial"/>
                <w:sz w:val="20"/>
                <w:szCs w:val="20"/>
              </w:rPr>
              <w:t>-value</w:t>
            </w:r>
          </w:p>
        </w:tc>
        <w:tc>
          <w:tcPr>
            <w:tcW w:w="1131" w:type="dxa"/>
            <w:vAlign w:val="center"/>
          </w:tcPr>
          <w:p w14:paraId="7EC5431F">
            <w:pPr>
              <w:spacing w:after="0" w:line="240" w:lineRule="auto"/>
              <w:jc w:val="center"/>
              <w:rPr>
                <w:rFonts w:ascii="Arial" w:hAnsi="Arial" w:eastAsia="Times New Roman" w:cs="Arial"/>
                <w:sz w:val="20"/>
                <w:szCs w:val="20"/>
              </w:rPr>
            </w:pPr>
            <w:r>
              <w:rPr>
                <w:rFonts w:ascii="Arial" w:hAnsi="Arial" w:eastAsia="Times New Roman" w:cs="Arial"/>
                <w:sz w:val="20"/>
                <w:szCs w:val="20"/>
              </w:rPr>
              <w:t>≤0.05</w:t>
            </w:r>
          </w:p>
        </w:tc>
        <w:tc>
          <w:tcPr>
            <w:tcW w:w="1984" w:type="dxa"/>
            <w:vAlign w:val="center"/>
          </w:tcPr>
          <w:p w14:paraId="70ACF8F1">
            <w:pPr>
              <w:spacing w:after="0" w:line="240" w:lineRule="auto"/>
              <w:jc w:val="center"/>
              <w:rPr>
                <w:rFonts w:ascii="Arial" w:hAnsi="Arial" w:eastAsia="Times New Roman" w:cs="Arial"/>
                <w:sz w:val="20"/>
                <w:szCs w:val="20"/>
              </w:rPr>
            </w:pPr>
            <w:r>
              <w:rPr>
                <w:rFonts w:ascii="Arial" w:hAnsi="Arial" w:eastAsia="Times New Roman" w:cs="Arial"/>
                <w:sz w:val="20"/>
                <w:szCs w:val="20"/>
              </w:rPr>
              <w:t>&gt;0.05</w:t>
            </w:r>
          </w:p>
        </w:tc>
        <w:tc>
          <w:tcPr>
            <w:tcW w:w="2126" w:type="dxa"/>
            <w:vAlign w:val="center"/>
          </w:tcPr>
          <w:p w14:paraId="36D718FB">
            <w:pPr>
              <w:spacing w:after="0" w:line="240" w:lineRule="auto"/>
              <w:jc w:val="center"/>
              <w:rPr>
                <w:rFonts w:ascii="Arial" w:hAnsi="Arial" w:eastAsia="Times New Roman" w:cs="Arial"/>
                <w:sz w:val="20"/>
                <w:szCs w:val="20"/>
              </w:rPr>
            </w:pPr>
            <w:r>
              <w:rPr>
                <w:rFonts w:ascii="Arial" w:hAnsi="Arial" w:eastAsia="Times New Roman" w:cs="Arial"/>
                <w:sz w:val="20"/>
                <w:szCs w:val="20"/>
              </w:rPr>
              <w:t>&gt;0.05</w:t>
            </w:r>
          </w:p>
        </w:tc>
        <w:tc>
          <w:tcPr>
            <w:tcW w:w="1276" w:type="dxa"/>
            <w:vAlign w:val="center"/>
          </w:tcPr>
          <w:p w14:paraId="74E63085">
            <w:pPr>
              <w:spacing w:after="0" w:line="240" w:lineRule="auto"/>
              <w:jc w:val="center"/>
              <w:rPr>
                <w:rFonts w:ascii="Arial" w:hAnsi="Arial" w:eastAsia="Times New Roman" w:cs="Arial"/>
                <w:sz w:val="20"/>
                <w:szCs w:val="20"/>
              </w:rPr>
            </w:pPr>
            <w:r>
              <w:rPr>
                <w:rFonts w:ascii="Arial" w:hAnsi="Arial" w:eastAsia="Times New Roman" w:cs="Arial"/>
                <w:sz w:val="20"/>
                <w:szCs w:val="20"/>
              </w:rPr>
              <w:t>&gt;0.05</w:t>
            </w:r>
          </w:p>
        </w:tc>
        <w:tc>
          <w:tcPr>
            <w:tcW w:w="1276" w:type="dxa"/>
            <w:vAlign w:val="center"/>
          </w:tcPr>
          <w:p w14:paraId="3DE04844">
            <w:pPr>
              <w:spacing w:after="0" w:line="240" w:lineRule="auto"/>
              <w:jc w:val="center"/>
              <w:rPr>
                <w:rFonts w:ascii="Arial" w:hAnsi="Arial" w:eastAsia="Times New Roman" w:cs="Arial"/>
                <w:sz w:val="20"/>
                <w:szCs w:val="20"/>
              </w:rPr>
            </w:pPr>
            <w:r>
              <w:rPr>
                <w:rFonts w:ascii="Arial" w:hAnsi="Arial" w:eastAsia="Times New Roman" w:cs="Arial"/>
                <w:sz w:val="20"/>
                <w:szCs w:val="20"/>
              </w:rPr>
              <w:t>&gt;0.05</w:t>
            </w:r>
          </w:p>
        </w:tc>
      </w:tr>
      <w:tr w14:paraId="2FF00A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0" w:type="dxa"/>
          </w:tcPr>
          <w:p w14:paraId="3F56DA84">
            <w:pPr>
              <w:spacing w:after="0" w:line="240" w:lineRule="auto"/>
              <w:jc w:val="both"/>
              <w:rPr>
                <w:rFonts w:ascii="Arial" w:hAnsi="Arial" w:eastAsia="Times New Roman" w:cs="Arial"/>
                <w:i/>
                <w:iCs/>
                <w:sz w:val="20"/>
                <w:szCs w:val="20"/>
              </w:rPr>
            </w:pPr>
            <w:r>
              <w:rPr>
                <w:rFonts w:ascii="Arial" w:hAnsi="Arial" w:eastAsia="Times New Roman" w:cs="Arial"/>
                <w:sz w:val="20"/>
                <w:szCs w:val="20"/>
              </w:rPr>
              <w:t>LSD</w:t>
            </w:r>
            <w:r>
              <w:rPr>
                <w:rFonts w:ascii="Cambria Math" w:hAnsi="Cambria Math" w:eastAsia="Times New Roman" w:cs="Cambria Math"/>
                <w:sz w:val="20"/>
                <w:szCs w:val="20"/>
              </w:rPr>
              <w:t>₀</w:t>
            </w:r>
            <w:r>
              <w:rPr>
                <w:rFonts w:ascii="Arial" w:hAnsi="Arial" w:eastAsia="Times New Roman" w:cs="Arial"/>
                <w:sz w:val="20"/>
                <w:szCs w:val="20"/>
              </w:rPr>
              <w:t>.</w:t>
            </w:r>
            <w:r>
              <w:rPr>
                <w:rFonts w:ascii="Cambria Math" w:hAnsi="Cambria Math" w:eastAsia="Times New Roman" w:cs="Cambria Math"/>
                <w:sz w:val="20"/>
                <w:szCs w:val="20"/>
              </w:rPr>
              <w:t>₀₅</w:t>
            </w:r>
          </w:p>
        </w:tc>
        <w:tc>
          <w:tcPr>
            <w:tcW w:w="1131" w:type="dxa"/>
            <w:vAlign w:val="center"/>
          </w:tcPr>
          <w:p w14:paraId="0209C3C3">
            <w:pPr>
              <w:spacing w:after="0" w:line="240" w:lineRule="auto"/>
              <w:jc w:val="center"/>
              <w:rPr>
                <w:rFonts w:ascii="Arial" w:hAnsi="Arial" w:eastAsia="Times New Roman" w:cs="Arial"/>
                <w:sz w:val="20"/>
                <w:szCs w:val="20"/>
              </w:rPr>
            </w:pPr>
            <w:r>
              <w:rPr>
                <w:rFonts w:ascii="Arial" w:hAnsi="Arial" w:eastAsia="Times New Roman" w:cs="Arial"/>
                <w:sz w:val="20"/>
                <w:szCs w:val="20"/>
              </w:rPr>
              <w:t>0.68</w:t>
            </w:r>
          </w:p>
        </w:tc>
        <w:tc>
          <w:tcPr>
            <w:tcW w:w="1984" w:type="dxa"/>
            <w:vAlign w:val="center"/>
          </w:tcPr>
          <w:p w14:paraId="4BA7C018">
            <w:pPr>
              <w:spacing w:after="0" w:line="240" w:lineRule="auto"/>
              <w:jc w:val="center"/>
              <w:rPr>
                <w:rFonts w:ascii="Arial" w:hAnsi="Arial" w:eastAsia="Times New Roman" w:cs="Arial"/>
                <w:sz w:val="20"/>
                <w:szCs w:val="20"/>
              </w:rPr>
            </w:pPr>
            <w:r>
              <w:rPr>
                <w:rFonts w:ascii="Arial" w:hAnsi="Arial" w:eastAsia="Times New Roman" w:cs="Arial"/>
                <w:sz w:val="20"/>
                <w:szCs w:val="20"/>
              </w:rPr>
              <w:t>0.10</w:t>
            </w:r>
          </w:p>
        </w:tc>
        <w:tc>
          <w:tcPr>
            <w:tcW w:w="2126" w:type="dxa"/>
            <w:vAlign w:val="center"/>
          </w:tcPr>
          <w:p w14:paraId="7D8131A8">
            <w:pPr>
              <w:spacing w:after="0" w:line="240" w:lineRule="auto"/>
              <w:jc w:val="center"/>
              <w:rPr>
                <w:rFonts w:ascii="Arial" w:hAnsi="Arial" w:eastAsia="Times New Roman" w:cs="Arial"/>
                <w:sz w:val="20"/>
                <w:szCs w:val="20"/>
              </w:rPr>
            </w:pPr>
            <w:r>
              <w:rPr>
                <w:rFonts w:ascii="Arial" w:hAnsi="Arial" w:eastAsia="Times New Roman" w:cs="Arial"/>
                <w:sz w:val="20"/>
                <w:szCs w:val="20"/>
              </w:rPr>
              <w:t>0.09</w:t>
            </w:r>
          </w:p>
        </w:tc>
        <w:tc>
          <w:tcPr>
            <w:tcW w:w="1276" w:type="dxa"/>
            <w:vAlign w:val="center"/>
          </w:tcPr>
          <w:p w14:paraId="605B022D">
            <w:pPr>
              <w:spacing w:after="0" w:line="240" w:lineRule="auto"/>
              <w:jc w:val="center"/>
              <w:rPr>
                <w:rFonts w:ascii="Arial" w:hAnsi="Arial" w:eastAsia="Times New Roman" w:cs="Arial"/>
                <w:sz w:val="20"/>
                <w:szCs w:val="20"/>
              </w:rPr>
            </w:pPr>
            <w:r>
              <w:rPr>
                <w:rFonts w:ascii="Arial" w:hAnsi="Arial" w:eastAsia="Times New Roman" w:cs="Arial"/>
                <w:sz w:val="20"/>
                <w:szCs w:val="20"/>
              </w:rPr>
              <w:t>0.44</w:t>
            </w:r>
          </w:p>
        </w:tc>
        <w:tc>
          <w:tcPr>
            <w:tcW w:w="1276" w:type="dxa"/>
            <w:vAlign w:val="center"/>
          </w:tcPr>
          <w:p w14:paraId="1E6F53D6">
            <w:pPr>
              <w:widowControl w:val="0"/>
              <w:autoSpaceDE w:val="0"/>
              <w:autoSpaceDN w:val="0"/>
              <w:adjustRightInd w:val="0"/>
              <w:spacing w:after="0" w:line="240" w:lineRule="auto"/>
              <w:jc w:val="center"/>
              <w:rPr>
                <w:rFonts w:ascii="Arial" w:hAnsi="Arial" w:eastAsia="Times New Roman" w:cs="Arial"/>
                <w:sz w:val="20"/>
                <w:szCs w:val="20"/>
              </w:rPr>
            </w:pPr>
            <w:r>
              <w:rPr>
                <w:rFonts w:ascii="Arial" w:hAnsi="Arial" w:eastAsia="Times New Roman" w:cs="Arial"/>
                <w:sz w:val="20"/>
                <w:szCs w:val="20"/>
              </w:rPr>
              <w:t>0.62</w:t>
            </w:r>
          </w:p>
        </w:tc>
      </w:tr>
    </w:tbl>
    <w:p w14:paraId="26C69E28">
      <w:pPr>
        <w:spacing w:after="0" w:line="360" w:lineRule="auto"/>
        <w:jc w:val="both"/>
        <w:rPr>
          <w:rFonts w:ascii="Arial" w:hAnsi="Arial" w:eastAsia="Times New Roman" w:cs="Arial"/>
          <w:i/>
          <w:sz w:val="18"/>
          <w:szCs w:val="18"/>
        </w:rPr>
      </w:pPr>
      <w:r>
        <w:rPr>
          <w:rFonts w:ascii="Arial" w:hAnsi="Arial" w:eastAsia="Times New Roman" w:cs="Arial"/>
          <w:i/>
          <w:sz w:val="18"/>
          <w:szCs w:val="18"/>
        </w:rPr>
        <w:t>*Means followed by different letter are significantly different within columns by Duncan’s multiple range Test, p ≤ 0.05</w:t>
      </w:r>
    </w:p>
    <w:p w14:paraId="2CAE3B00">
      <w:pPr>
        <w:spacing w:after="0" w:line="360" w:lineRule="auto"/>
        <w:jc w:val="both"/>
        <w:rPr>
          <w:rFonts w:ascii="Arial" w:hAnsi="Arial" w:eastAsia="Times New Roman" w:cs="Arial"/>
          <w:b/>
          <w:szCs w:val="20"/>
        </w:rPr>
      </w:pPr>
      <w:r>
        <w:rPr>
          <w:rFonts w:ascii="Arial" w:hAnsi="Arial" w:eastAsia="Times New Roman" w:cs="Arial"/>
          <w:b/>
          <w:szCs w:val="20"/>
        </w:rPr>
        <w:t>3.2. Effect of of trellis system on the yield of Hoai Sơn plants</w:t>
      </w:r>
    </w:p>
    <w:p w14:paraId="331A3A01">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The data presented in Table 2 indicated that there were significant differences among treatments in tuber weight. T2 had the highest tuber weight (0.63 kg tuber</w:t>
      </w:r>
      <w:r>
        <w:rPr>
          <w:rFonts w:ascii="Cambria Math" w:hAnsi="Cambria Math" w:eastAsia="Times New Roman" w:cs="Cambria Math"/>
          <w:sz w:val="20"/>
          <w:szCs w:val="20"/>
        </w:rPr>
        <w:t>⁻</w:t>
      </w:r>
      <w:r>
        <w:rPr>
          <w:rFonts w:ascii="Arial" w:hAnsi="Arial" w:eastAsia="Times New Roman" w:cs="Arial"/>
          <w:sz w:val="20"/>
          <w:szCs w:val="20"/>
        </w:rPr>
        <w:t>¹), whereas T3 and T4 produced lower tuber weights of 0.56 and 0.59 kg tuber</w:t>
      </w:r>
      <w:r>
        <w:rPr>
          <w:rFonts w:ascii="Cambria Math" w:hAnsi="Cambria Math" w:eastAsia="Times New Roman" w:cs="Cambria Math"/>
          <w:sz w:val="20"/>
          <w:szCs w:val="20"/>
        </w:rPr>
        <w:t>⁻</w:t>
      </w:r>
      <w:r>
        <w:rPr>
          <w:rFonts w:ascii="Arial" w:hAnsi="Arial" w:eastAsia="Times New Roman" w:cs="Arial"/>
          <w:sz w:val="20"/>
          <w:szCs w:val="20"/>
        </w:rPr>
        <w:t>¹, respectively, both significantly lower than the control treatment (T1) at the 95% confidence level. It seems that different trellis types have different effects on on tuber biomass accumulation, with T2 producing the highest tuber weight. This can be explained the</w:t>
      </w:r>
      <w:r>
        <w:rPr>
          <w:rFonts w:ascii="Arial" w:hAnsi="Arial" w:eastAsia="Times New Roman" w:cs="Arial"/>
          <w:i/>
          <w:iCs/>
          <w:sz w:val="20"/>
          <w:szCs w:val="20"/>
        </w:rPr>
        <w:t xml:space="preserve"> Dioscorea persimilis</w:t>
      </w:r>
      <w:r>
        <w:rPr>
          <w:rFonts w:ascii="Arial" w:hAnsi="Arial" w:eastAsia="Times New Roman" w:cs="Arial"/>
          <w:sz w:val="20"/>
          <w:szCs w:val="20"/>
        </w:rPr>
        <w:t xml:space="preserve"> plant has a climbing stem so the clustered trellis (T2) and A-shaped trellis (T1) provided more suitable support conditions for stem and leaf development, thereby enhancing photosynthesis and nutrient accumulation in the tubers. Conversely, the trellis structures used in T3 and T4 was not suitable for the climbing nature of the plant, which may have adversely affected plant growth and photosynthetic efficiency, thus reducing tuber weight.</w:t>
      </w:r>
    </w:p>
    <w:p w14:paraId="10300B63">
      <w:pPr>
        <w:spacing w:after="0" w:line="360" w:lineRule="auto"/>
        <w:jc w:val="center"/>
        <w:rPr>
          <w:rFonts w:ascii="Arial" w:hAnsi="Arial" w:eastAsia="Times New Roman" w:cs="Arial"/>
          <w:b/>
          <w:sz w:val="20"/>
          <w:szCs w:val="20"/>
        </w:rPr>
      </w:pPr>
      <w:r>
        <w:rPr>
          <w:rFonts w:ascii="Arial" w:hAnsi="Arial" w:eastAsia="Times New Roman" w:cs="Arial"/>
          <w:b/>
          <w:sz w:val="20"/>
          <w:szCs w:val="20"/>
        </w:rPr>
        <w:t>Table 2. Effects of trellis systems on yield and yield components of Hoai Son medicinal plants in Thai Nguyen</w:t>
      </w:r>
    </w:p>
    <w:tbl>
      <w:tblPr>
        <w:tblStyle w:val="1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70"/>
        <w:gridCol w:w="1870"/>
        <w:gridCol w:w="1870"/>
        <w:gridCol w:w="1870"/>
        <w:gridCol w:w="1870"/>
      </w:tblGrid>
      <w:tr w14:paraId="623C0B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Borders>
              <w:top w:val="single" w:color="auto" w:sz="4" w:space="0"/>
              <w:bottom w:val="single" w:color="auto" w:sz="4" w:space="0"/>
            </w:tcBorders>
          </w:tcPr>
          <w:p w14:paraId="1E319255">
            <w:pPr>
              <w:spacing w:after="0" w:line="240" w:lineRule="auto"/>
              <w:jc w:val="center"/>
              <w:rPr>
                <w:rFonts w:ascii="Arial" w:hAnsi="Arial" w:eastAsia="Times New Roman" w:cs="Arial"/>
                <w:b/>
                <w:sz w:val="20"/>
                <w:szCs w:val="20"/>
              </w:rPr>
            </w:pPr>
            <w:r>
              <w:rPr>
                <w:rFonts w:ascii="Arial" w:hAnsi="Arial" w:eastAsia="Times New Roman" w:cs="Arial"/>
                <w:b/>
                <w:sz w:val="20"/>
                <w:szCs w:val="20"/>
              </w:rPr>
              <w:t>Treatment</w:t>
            </w:r>
          </w:p>
        </w:tc>
        <w:tc>
          <w:tcPr>
            <w:tcW w:w="1870" w:type="dxa"/>
            <w:tcBorders>
              <w:top w:val="single" w:color="auto" w:sz="4" w:space="0"/>
              <w:bottom w:val="single" w:color="auto" w:sz="4" w:space="0"/>
            </w:tcBorders>
          </w:tcPr>
          <w:p w14:paraId="6EC797A6">
            <w:pPr>
              <w:spacing w:after="0" w:line="240" w:lineRule="auto"/>
              <w:jc w:val="center"/>
              <w:rPr>
                <w:rFonts w:ascii="Arial" w:hAnsi="Arial" w:eastAsia="Times New Roman" w:cs="Arial"/>
                <w:b/>
                <w:sz w:val="20"/>
                <w:szCs w:val="20"/>
              </w:rPr>
            </w:pPr>
            <w:r>
              <w:rPr>
                <w:rFonts w:ascii="Arial" w:hAnsi="Arial" w:eastAsia="Times New Roman" w:cs="Arial"/>
                <w:b/>
                <w:sz w:val="20"/>
                <w:szCs w:val="20"/>
              </w:rPr>
              <w:t>Tuber weight (kg tuber</w:t>
            </w:r>
            <w:r>
              <w:rPr>
                <w:rFonts w:ascii="Cambria Math" w:hAnsi="Cambria Math" w:eastAsia="Times New Roman" w:cs="Cambria Math"/>
                <w:b/>
                <w:sz w:val="20"/>
                <w:szCs w:val="20"/>
              </w:rPr>
              <w:t>⁻</w:t>
            </w:r>
            <w:r>
              <w:rPr>
                <w:rFonts w:ascii="Arial" w:hAnsi="Arial" w:eastAsia="Times New Roman" w:cs="Arial"/>
                <w:b/>
                <w:sz w:val="20"/>
                <w:szCs w:val="20"/>
              </w:rPr>
              <w:t>¹)</w:t>
            </w:r>
          </w:p>
        </w:tc>
        <w:tc>
          <w:tcPr>
            <w:tcW w:w="1870" w:type="dxa"/>
            <w:tcBorders>
              <w:top w:val="single" w:color="auto" w:sz="4" w:space="0"/>
              <w:bottom w:val="single" w:color="auto" w:sz="4" w:space="0"/>
            </w:tcBorders>
          </w:tcPr>
          <w:p w14:paraId="7A11B429">
            <w:pPr>
              <w:spacing w:after="0" w:line="240" w:lineRule="auto"/>
              <w:jc w:val="center"/>
              <w:rPr>
                <w:rFonts w:ascii="Arial" w:hAnsi="Arial" w:eastAsia="Times New Roman" w:cs="Arial"/>
                <w:b/>
                <w:sz w:val="20"/>
                <w:szCs w:val="20"/>
              </w:rPr>
            </w:pPr>
            <w:r>
              <w:rPr>
                <w:rFonts w:ascii="Arial" w:hAnsi="Arial" w:eastAsia="Times New Roman" w:cs="Arial"/>
                <w:b/>
                <w:sz w:val="20"/>
                <w:szCs w:val="20"/>
              </w:rPr>
              <w:t>Tuber length (cm)</w:t>
            </w:r>
          </w:p>
        </w:tc>
        <w:tc>
          <w:tcPr>
            <w:tcW w:w="1870" w:type="dxa"/>
            <w:tcBorders>
              <w:top w:val="single" w:color="auto" w:sz="4" w:space="0"/>
              <w:bottom w:val="single" w:color="auto" w:sz="4" w:space="0"/>
            </w:tcBorders>
          </w:tcPr>
          <w:p w14:paraId="143988A6">
            <w:pPr>
              <w:spacing w:after="0" w:line="240" w:lineRule="auto"/>
              <w:jc w:val="center"/>
              <w:rPr>
                <w:rFonts w:ascii="Arial" w:hAnsi="Arial" w:eastAsia="Times New Roman" w:cs="Arial"/>
                <w:b/>
                <w:sz w:val="20"/>
                <w:szCs w:val="20"/>
              </w:rPr>
            </w:pPr>
            <w:r>
              <w:rPr>
                <w:rFonts w:ascii="Arial" w:hAnsi="Arial" w:eastAsia="Times New Roman" w:cs="Arial"/>
                <w:b/>
                <w:sz w:val="20"/>
                <w:szCs w:val="20"/>
              </w:rPr>
              <w:t>Tuber diameter (cm)</w:t>
            </w:r>
          </w:p>
        </w:tc>
        <w:tc>
          <w:tcPr>
            <w:tcW w:w="1870" w:type="dxa"/>
            <w:tcBorders>
              <w:top w:val="single" w:color="auto" w:sz="4" w:space="0"/>
              <w:bottom w:val="single" w:color="auto" w:sz="4" w:space="0"/>
            </w:tcBorders>
          </w:tcPr>
          <w:p w14:paraId="7E3C169A">
            <w:pPr>
              <w:spacing w:after="0" w:line="240" w:lineRule="auto"/>
              <w:jc w:val="center"/>
              <w:rPr>
                <w:rFonts w:ascii="Arial" w:hAnsi="Arial" w:eastAsia="Times New Roman" w:cs="Arial"/>
                <w:b/>
                <w:sz w:val="20"/>
                <w:szCs w:val="20"/>
              </w:rPr>
            </w:pPr>
            <w:r>
              <w:rPr>
                <w:rFonts w:ascii="Arial" w:hAnsi="Arial" w:eastAsia="Times New Roman" w:cs="Arial"/>
                <w:b/>
                <w:sz w:val="20"/>
                <w:szCs w:val="20"/>
              </w:rPr>
              <w:t>yield (t ha</w:t>
            </w:r>
            <w:r>
              <w:rPr>
                <w:rFonts w:ascii="Cambria Math" w:hAnsi="Cambria Math" w:eastAsia="Times New Roman" w:cs="Cambria Math"/>
                <w:b/>
                <w:sz w:val="20"/>
                <w:szCs w:val="20"/>
              </w:rPr>
              <w:t>⁻</w:t>
            </w:r>
            <w:r>
              <w:rPr>
                <w:rFonts w:ascii="Arial" w:hAnsi="Arial" w:eastAsia="Times New Roman" w:cs="Arial"/>
                <w:b/>
                <w:sz w:val="20"/>
                <w:szCs w:val="20"/>
              </w:rPr>
              <w:t>¹)</w:t>
            </w:r>
          </w:p>
        </w:tc>
      </w:tr>
      <w:tr w14:paraId="1B7A5F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Borders>
              <w:top w:val="single" w:color="auto" w:sz="4" w:space="0"/>
            </w:tcBorders>
          </w:tcPr>
          <w:p w14:paraId="347FF9C3">
            <w:pPr>
              <w:spacing w:after="0" w:line="240" w:lineRule="auto"/>
              <w:jc w:val="both"/>
              <w:rPr>
                <w:rFonts w:ascii="Arial" w:hAnsi="Arial" w:eastAsia="Times New Roman" w:cs="Arial"/>
                <w:sz w:val="20"/>
                <w:szCs w:val="20"/>
              </w:rPr>
            </w:pPr>
            <w:r>
              <w:rPr>
                <w:rFonts w:ascii="Arial" w:hAnsi="Arial" w:eastAsia="Times New Roman" w:cs="Arial"/>
                <w:sz w:val="20"/>
                <w:szCs w:val="20"/>
              </w:rPr>
              <w:t>T1 (control)</w:t>
            </w:r>
          </w:p>
        </w:tc>
        <w:tc>
          <w:tcPr>
            <w:tcW w:w="1870" w:type="dxa"/>
            <w:tcBorders>
              <w:top w:val="single" w:color="auto" w:sz="4" w:space="0"/>
            </w:tcBorders>
            <w:vAlign w:val="center"/>
          </w:tcPr>
          <w:p w14:paraId="2C9D8F19">
            <w:pPr>
              <w:spacing w:after="0" w:line="240" w:lineRule="auto"/>
              <w:jc w:val="center"/>
              <w:rPr>
                <w:rFonts w:ascii="Arial" w:hAnsi="Arial" w:eastAsia="Times New Roman" w:cs="Arial"/>
                <w:sz w:val="20"/>
                <w:szCs w:val="20"/>
              </w:rPr>
            </w:pPr>
            <w:r>
              <w:rPr>
                <w:rFonts w:ascii="Arial" w:hAnsi="Arial" w:eastAsia="Times New Roman" w:cs="Arial"/>
                <w:sz w:val="20"/>
                <w:szCs w:val="20"/>
              </w:rPr>
              <w:t>0.62</w:t>
            </w:r>
            <w:r>
              <w:rPr>
                <w:rFonts w:ascii="Arial" w:hAnsi="Arial" w:eastAsia="Times New Roman" w:cs="Arial"/>
                <w:sz w:val="20"/>
                <w:szCs w:val="20"/>
                <w:vertAlign w:val="superscript"/>
              </w:rPr>
              <w:t>a</w:t>
            </w:r>
          </w:p>
        </w:tc>
        <w:tc>
          <w:tcPr>
            <w:tcW w:w="1870" w:type="dxa"/>
            <w:tcBorders>
              <w:top w:val="single" w:color="auto" w:sz="4" w:space="0"/>
            </w:tcBorders>
            <w:vAlign w:val="center"/>
          </w:tcPr>
          <w:p w14:paraId="33878315">
            <w:pPr>
              <w:spacing w:after="0" w:line="240" w:lineRule="auto"/>
              <w:jc w:val="center"/>
              <w:rPr>
                <w:rFonts w:ascii="Arial" w:hAnsi="Arial" w:eastAsia="Times New Roman" w:cs="Arial"/>
                <w:sz w:val="20"/>
                <w:szCs w:val="20"/>
              </w:rPr>
            </w:pPr>
            <w:r>
              <w:rPr>
                <w:rFonts w:ascii="Arial" w:hAnsi="Arial" w:eastAsia="Times New Roman" w:cs="Arial"/>
                <w:sz w:val="20"/>
                <w:szCs w:val="20"/>
              </w:rPr>
              <w:t>68.77</w:t>
            </w:r>
            <w:r>
              <w:rPr>
                <w:rFonts w:ascii="Arial" w:hAnsi="Arial" w:eastAsia="Times New Roman" w:cs="Arial"/>
                <w:sz w:val="20"/>
                <w:szCs w:val="20"/>
                <w:vertAlign w:val="superscript"/>
              </w:rPr>
              <w:t>a</w:t>
            </w:r>
          </w:p>
        </w:tc>
        <w:tc>
          <w:tcPr>
            <w:tcW w:w="1870" w:type="dxa"/>
            <w:tcBorders>
              <w:top w:val="single" w:color="auto" w:sz="4" w:space="0"/>
            </w:tcBorders>
            <w:vAlign w:val="center"/>
          </w:tcPr>
          <w:p w14:paraId="70BC7DAA">
            <w:pPr>
              <w:spacing w:after="0" w:line="240" w:lineRule="auto"/>
              <w:jc w:val="center"/>
              <w:rPr>
                <w:rFonts w:ascii="Arial" w:hAnsi="Arial" w:eastAsia="Times New Roman" w:cs="Arial"/>
                <w:sz w:val="20"/>
                <w:szCs w:val="20"/>
              </w:rPr>
            </w:pPr>
            <w:r>
              <w:rPr>
                <w:rFonts w:ascii="Arial" w:hAnsi="Arial" w:eastAsia="Times New Roman" w:cs="Arial"/>
                <w:sz w:val="20"/>
                <w:szCs w:val="20"/>
              </w:rPr>
              <w:t>4.06</w:t>
            </w:r>
            <w:r>
              <w:rPr>
                <w:rFonts w:ascii="Arial" w:hAnsi="Arial" w:eastAsia="Times New Roman" w:cs="Arial"/>
                <w:sz w:val="20"/>
                <w:szCs w:val="20"/>
                <w:vertAlign w:val="superscript"/>
              </w:rPr>
              <w:t>b</w:t>
            </w:r>
          </w:p>
        </w:tc>
        <w:tc>
          <w:tcPr>
            <w:tcW w:w="1870" w:type="dxa"/>
            <w:tcBorders>
              <w:top w:val="single" w:color="auto" w:sz="4" w:space="0"/>
            </w:tcBorders>
            <w:vAlign w:val="center"/>
          </w:tcPr>
          <w:p w14:paraId="0A2DD613">
            <w:pPr>
              <w:spacing w:after="0" w:line="240" w:lineRule="auto"/>
              <w:jc w:val="center"/>
              <w:rPr>
                <w:rFonts w:ascii="Arial" w:hAnsi="Arial" w:eastAsia="Times New Roman" w:cs="Arial"/>
                <w:sz w:val="20"/>
                <w:szCs w:val="20"/>
              </w:rPr>
            </w:pPr>
            <w:r>
              <w:rPr>
                <w:rFonts w:ascii="Arial" w:hAnsi="Arial" w:eastAsia="Times New Roman" w:cs="Arial"/>
                <w:sz w:val="20"/>
                <w:szCs w:val="20"/>
              </w:rPr>
              <w:t>31.0</w:t>
            </w:r>
            <w:r>
              <w:rPr>
                <w:rFonts w:ascii="Arial" w:hAnsi="Arial" w:eastAsia="Times New Roman" w:cs="Arial"/>
                <w:sz w:val="20"/>
                <w:szCs w:val="20"/>
                <w:vertAlign w:val="superscript"/>
              </w:rPr>
              <w:t>a</w:t>
            </w:r>
          </w:p>
        </w:tc>
      </w:tr>
      <w:tr w14:paraId="464A46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Pr>
          <w:p w14:paraId="40A918B3">
            <w:pPr>
              <w:spacing w:after="0" w:line="240" w:lineRule="auto"/>
              <w:jc w:val="both"/>
              <w:rPr>
                <w:rFonts w:ascii="Arial" w:hAnsi="Arial" w:eastAsia="Times New Roman" w:cs="Arial"/>
                <w:sz w:val="20"/>
                <w:szCs w:val="20"/>
              </w:rPr>
            </w:pPr>
            <w:r>
              <w:rPr>
                <w:rFonts w:ascii="Arial" w:hAnsi="Arial" w:eastAsia="Times New Roman" w:cs="Arial"/>
                <w:sz w:val="20"/>
                <w:szCs w:val="20"/>
              </w:rPr>
              <w:t>T2</w:t>
            </w:r>
          </w:p>
        </w:tc>
        <w:tc>
          <w:tcPr>
            <w:tcW w:w="1870" w:type="dxa"/>
            <w:vAlign w:val="center"/>
          </w:tcPr>
          <w:p w14:paraId="3225616C">
            <w:pPr>
              <w:spacing w:after="0" w:line="240" w:lineRule="auto"/>
              <w:jc w:val="center"/>
              <w:rPr>
                <w:rFonts w:ascii="Arial" w:hAnsi="Arial" w:eastAsia="Times New Roman" w:cs="Arial"/>
                <w:sz w:val="20"/>
                <w:szCs w:val="20"/>
              </w:rPr>
            </w:pPr>
            <w:r>
              <w:rPr>
                <w:rFonts w:ascii="Arial" w:hAnsi="Arial" w:eastAsia="Times New Roman" w:cs="Arial"/>
                <w:sz w:val="20"/>
                <w:szCs w:val="20"/>
              </w:rPr>
              <w:t>0.63</w:t>
            </w:r>
            <w:r>
              <w:rPr>
                <w:rFonts w:ascii="Arial" w:hAnsi="Arial" w:eastAsia="Times New Roman" w:cs="Arial"/>
                <w:sz w:val="20"/>
                <w:szCs w:val="20"/>
                <w:vertAlign w:val="superscript"/>
              </w:rPr>
              <w:t>a</w:t>
            </w:r>
          </w:p>
        </w:tc>
        <w:tc>
          <w:tcPr>
            <w:tcW w:w="1870" w:type="dxa"/>
            <w:vAlign w:val="center"/>
          </w:tcPr>
          <w:p w14:paraId="5F173045">
            <w:pPr>
              <w:spacing w:after="0" w:line="240" w:lineRule="auto"/>
              <w:jc w:val="center"/>
              <w:rPr>
                <w:rFonts w:ascii="Arial" w:hAnsi="Arial" w:eastAsia="Times New Roman" w:cs="Arial"/>
                <w:sz w:val="20"/>
                <w:szCs w:val="20"/>
              </w:rPr>
            </w:pPr>
            <w:r>
              <w:rPr>
                <w:rFonts w:ascii="Arial" w:hAnsi="Arial" w:eastAsia="Times New Roman" w:cs="Arial"/>
                <w:sz w:val="20"/>
                <w:szCs w:val="20"/>
              </w:rPr>
              <w:t>69.16</w:t>
            </w:r>
            <w:r>
              <w:rPr>
                <w:rFonts w:ascii="Arial" w:hAnsi="Arial" w:eastAsia="Times New Roman" w:cs="Arial"/>
                <w:sz w:val="20"/>
                <w:szCs w:val="20"/>
                <w:vertAlign w:val="superscript"/>
              </w:rPr>
              <w:t>a</w:t>
            </w:r>
          </w:p>
        </w:tc>
        <w:tc>
          <w:tcPr>
            <w:tcW w:w="1870" w:type="dxa"/>
            <w:vAlign w:val="center"/>
          </w:tcPr>
          <w:p w14:paraId="17A39E36">
            <w:pPr>
              <w:spacing w:after="0" w:line="240" w:lineRule="auto"/>
              <w:jc w:val="center"/>
              <w:rPr>
                <w:rFonts w:ascii="Arial" w:hAnsi="Arial" w:eastAsia="Times New Roman" w:cs="Arial"/>
                <w:sz w:val="20"/>
                <w:szCs w:val="20"/>
              </w:rPr>
            </w:pPr>
            <w:r>
              <w:rPr>
                <w:rFonts w:ascii="Arial" w:hAnsi="Arial" w:eastAsia="Times New Roman" w:cs="Arial"/>
                <w:sz w:val="20"/>
                <w:szCs w:val="20"/>
              </w:rPr>
              <w:t>4.09</w:t>
            </w:r>
            <w:r>
              <w:rPr>
                <w:rFonts w:ascii="Arial" w:hAnsi="Arial" w:eastAsia="Times New Roman" w:cs="Arial"/>
                <w:sz w:val="20"/>
                <w:szCs w:val="20"/>
                <w:vertAlign w:val="superscript"/>
              </w:rPr>
              <w:t>a</w:t>
            </w:r>
          </w:p>
        </w:tc>
        <w:tc>
          <w:tcPr>
            <w:tcW w:w="1870" w:type="dxa"/>
            <w:vAlign w:val="center"/>
          </w:tcPr>
          <w:p w14:paraId="7AF93A9B">
            <w:pPr>
              <w:spacing w:after="0" w:line="240" w:lineRule="auto"/>
              <w:jc w:val="center"/>
              <w:rPr>
                <w:rFonts w:ascii="Arial" w:hAnsi="Arial" w:eastAsia="Times New Roman" w:cs="Arial"/>
                <w:sz w:val="20"/>
                <w:szCs w:val="20"/>
              </w:rPr>
            </w:pPr>
            <w:r>
              <w:rPr>
                <w:rFonts w:ascii="Arial" w:hAnsi="Arial" w:eastAsia="Times New Roman" w:cs="Arial"/>
                <w:sz w:val="20"/>
                <w:szCs w:val="20"/>
              </w:rPr>
              <w:t>31.6</w:t>
            </w:r>
            <w:r>
              <w:rPr>
                <w:rFonts w:ascii="Arial" w:hAnsi="Arial" w:eastAsia="Times New Roman" w:cs="Arial"/>
                <w:sz w:val="20"/>
                <w:szCs w:val="20"/>
                <w:vertAlign w:val="superscript"/>
              </w:rPr>
              <w:t>a</w:t>
            </w:r>
          </w:p>
        </w:tc>
      </w:tr>
      <w:tr w14:paraId="3FBA68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Pr>
          <w:p w14:paraId="2A9158E9">
            <w:pPr>
              <w:spacing w:after="0" w:line="240" w:lineRule="auto"/>
              <w:jc w:val="both"/>
              <w:rPr>
                <w:rFonts w:ascii="Arial" w:hAnsi="Arial" w:eastAsia="Times New Roman" w:cs="Arial"/>
                <w:sz w:val="20"/>
                <w:szCs w:val="20"/>
              </w:rPr>
            </w:pPr>
            <w:r>
              <w:rPr>
                <w:rFonts w:ascii="Arial" w:hAnsi="Arial" w:eastAsia="Times New Roman" w:cs="Arial"/>
                <w:sz w:val="20"/>
                <w:szCs w:val="20"/>
              </w:rPr>
              <w:t>T3</w:t>
            </w:r>
          </w:p>
        </w:tc>
        <w:tc>
          <w:tcPr>
            <w:tcW w:w="1870" w:type="dxa"/>
            <w:vAlign w:val="center"/>
          </w:tcPr>
          <w:p w14:paraId="250C9AB1">
            <w:pPr>
              <w:spacing w:after="0" w:line="240" w:lineRule="auto"/>
              <w:jc w:val="center"/>
              <w:rPr>
                <w:rFonts w:ascii="Arial" w:hAnsi="Arial" w:eastAsia="Times New Roman" w:cs="Arial"/>
                <w:sz w:val="20"/>
                <w:szCs w:val="20"/>
              </w:rPr>
            </w:pPr>
            <w:r>
              <w:rPr>
                <w:rFonts w:ascii="Arial" w:hAnsi="Arial" w:eastAsia="Times New Roman" w:cs="Arial"/>
                <w:sz w:val="20"/>
                <w:szCs w:val="20"/>
              </w:rPr>
              <w:t>0.56</w:t>
            </w:r>
            <w:r>
              <w:rPr>
                <w:rFonts w:ascii="Arial" w:hAnsi="Arial" w:eastAsia="Times New Roman" w:cs="Arial"/>
                <w:sz w:val="20"/>
                <w:szCs w:val="20"/>
                <w:vertAlign w:val="superscript"/>
              </w:rPr>
              <w:t>b</w:t>
            </w:r>
          </w:p>
        </w:tc>
        <w:tc>
          <w:tcPr>
            <w:tcW w:w="1870" w:type="dxa"/>
            <w:vAlign w:val="center"/>
          </w:tcPr>
          <w:p w14:paraId="6F974D0B">
            <w:pPr>
              <w:spacing w:after="0" w:line="240" w:lineRule="auto"/>
              <w:jc w:val="center"/>
              <w:rPr>
                <w:rFonts w:ascii="Arial" w:hAnsi="Arial" w:eastAsia="Times New Roman" w:cs="Arial"/>
                <w:sz w:val="20"/>
                <w:szCs w:val="20"/>
              </w:rPr>
            </w:pPr>
            <w:r>
              <w:rPr>
                <w:rFonts w:ascii="Arial" w:hAnsi="Arial" w:eastAsia="Times New Roman" w:cs="Arial"/>
                <w:sz w:val="20"/>
                <w:szCs w:val="20"/>
              </w:rPr>
              <w:t>62.65</w:t>
            </w:r>
            <w:r>
              <w:rPr>
                <w:rFonts w:ascii="Arial" w:hAnsi="Arial" w:eastAsia="Times New Roman" w:cs="Arial"/>
                <w:sz w:val="20"/>
                <w:szCs w:val="20"/>
                <w:vertAlign w:val="superscript"/>
              </w:rPr>
              <w:t>b</w:t>
            </w:r>
          </w:p>
        </w:tc>
        <w:tc>
          <w:tcPr>
            <w:tcW w:w="1870" w:type="dxa"/>
            <w:vAlign w:val="center"/>
          </w:tcPr>
          <w:p w14:paraId="1A73898C">
            <w:pPr>
              <w:spacing w:after="0" w:line="240" w:lineRule="auto"/>
              <w:jc w:val="center"/>
              <w:rPr>
                <w:rFonts w:ascii="Arial" w:hAnsi="Arial" w:eastAsia="Times New Roman" w:cs="Arial"/>
                <w:sz w:val="20"/>
                <w:szCs w:val="20"/>
              </w:rPr>
            </w:pPr>
            <w:r>
              <w:rPr>
                <w:rFonts w:ascii="Arial" w:hAnsi="Arial" w:eastAsia="Times New Roman" w:cs="Arial"/>
                <w:sz w:val="20"/>
                <w:szCs w:val="20"/>
              </w:rPr>
              <w:t>4.03</w:t>
            </w:r>
            <w:r>
              <w:rPr>
                <w:rFonts w:ascii="Arial" w:hAnsi="Arial" w:eastAsia="Times New Roman" w:cs="Arial"/>
                <w:sz w:val="20"/>
                <w:szCs w:val="20"/>
                <w:vertAlign w:val="superscript"/>
              </w:rPr>
              <w:t>c</w:t>
            </w:r>
          </w:p>
        </w:tc>
        <w:tc>
          <w:tcPr>
            <w:tcW w:w="1870" w:type="dxa"/>
            <w:vAlign w:val="center"/>
          </w:tcPr>
          <w:p w14:paraId="5D707EB9">
            <w:pPr>
              <w:spacing w:after="0" w:line="240" w:lineRule="auto"/>
              <w:jc w:val="center"/>
              <w:rPr>
                <w:rFonts w:ascii="Arial" w:hAnsi="Arial" w:eastAsia="Times New Roman" w:cs="Arial"/>
                <w:sz w:val="20"/>
                <w:szCs w:val="20"/>
              </w:rPr>
            </w:pPr>
            <w:r>
              <w:rPr>
                <w:rFonts w:ascii="Arial" w:hAnsi="Arial" w:eastAsia="Times New Roman" w:cs="Arial"/>
                <w:sz w:val="20"/>
                <w:szCs w:val="20"/>
              </w:rPr>
              <w:t>28.1</w:t>
            </w:r>
            <w:r>
              <w:rPr>
                <w:rFonts w:ascii="Arial" w:hAnsi="Arial" w:eastAsia="Times New Roman" w:cs="Arial"/>
                <w:sz w:val="20"/>
                <w:szCs w:val="20"/>
                <w:vertAlign w:val="superscript"/>
              </w:rPr>
              <w:t>b</w:t>
            </w:r>
          </w:p>
        </w:tc>
      </w:tr>
      <w:tr w14:paraId="3A0FD9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Pr>
          <w:p w14:paraId="6D3E78C7">
            <w:pPr>
              <w:spacing w:after="0" w:line="240" w:lineRule="auto"/>
              <w:jc w:val="both"/>
              <w:rPr>
                <w:rFonts w:ascii="Arial" w:hAnsi="Arial" w:eastAsia="Times New Roman" w:cs="Arial"/>
                <w:sz w:val="20"/>
                <w:szCs w:val="20"/>
              </w:rPr>
            </w:pPr>
            <w:r>
              <w:rPr>
                <w:rFonts w:ascii="Arial" w:hAnsi="Arial" w:eastAsia="Times New Roman" w:cs="Arial"/>
                <w:sz w:val="20"/>
                <w:szCs w:val="20"/>
              </w:rPr>
              <w:t>T4</w:t>
            </w:r>
          </w:p>
        </w:tc>
        <w:tc>
          <w:tcPr>
            <w:tcW w:w="1870" w:type="dxa"/>
            <w:vAlign w:val="center"/>
          </w:tcPr>
          <w:p w14:paraId="10AC4B1B">
            <w:pPr>
              <w:spacing w:after="0" w:line="240" w:lineRule="auto"/>
              <w:jc w:val="center"/>
              <w:rPr>
                <w:rFonts w:ascii="Arial" w:hAnsi="Arial" w:eastAsia="Times New Roman" w:cs="Arial"/>
                <w:sz w:val="20"/>
                <w:szCs w:val="20"/>
              </w:rPr>
            </w:pPr>
            <w:r>
              <w:rPr>
                <w:rFonts w:ascii="Arial" w:hAnsi="Arial" w:eastAsia="Times New Roman" w:cs="Arial"/>
                <w:sz w:val="20"/>
                <w:szCs w:val="20"/>
              </w:rPr>
              <w:t>0.59</w:t>
            </w:r>
            <w:r>
              <w:rPr>
                <w:rFonts w:ascii="Arial" w:hAnsi="Arial" w:eastAsia="Times New Roman" w:cs="Arial"/>
                <w:sz w:val="20"/>
                <w:szCs w:val="20"/>
                <w:vertAlign w:val="superscript"/>
              </w:rPr>
              <w:t>c</w:t>
            </w:r>
          </w:p>
        </w:tc>
        <w:tc>
          <w:tcPr>
            <w:tcW w:w="1870" w:type="dxa"/>
            <w:vAlign w:val="center"/>
          </w:tcPr>
          <w:p w14:paraId="3CC9F1FF">
            <w:pPr>
              <w:spacing w:after="0" w:line="240" w:lineRule="auto"/>
              <w:jc w:val="center"/>
              <w:rPr>
                <w:rFonts w:ascii="Arial" w:hAnsi="Arial" w:eastAsia="Times New Roman" w:cs="Arial"/>
                <w:sz w:val="20"/>
                <w:szCs w:val="20"/>
              </w:rPr>
            </w:pPr>
            <w:r>
              <w:rPr>
                <w:rFonts w:ascii="Arial" w:hAnsi="Arial" w:eastAsia="Times New Roman" w:cs="Arial"/>
                <w:sz w:val="20"/>
                <w:szCs w:val="20"/>
              </w:rPr>
              <w:t>65.75</w:t>
            </w:r>
            <w:r>
              <w:rPr>
                <w:rFonts w:ascii="Arial" w:hAnsi="Arial" w:eastAsia="Times New Roman" w:cs="Arial"/>
                <w:sz w:val="20"/>
                <w:szCs w:val="20"/>
                <w:vertAlign w:val="superscript"/>
              </w:rPr>
              <w:t>c</w:t>
            </w:r>
          </w:p>
        </w:tc>
        <w:tc>
          <w:tcPr>
            <w:tcW w:w="1870" w:type="dxa"/>
            <w:vAlign w:val="center"/>
          </w:tcPr>
          <w:p w14:paraId="2A559D67">
            <w:pPr>
              <w:spacing w:after="0" w:line="240" w:lineRule="auto"/>
              <w:jc w:val="center"/>
              <w:rPr>
                <w:rFonts w:ascii="Arial" w:hAnsi="Arial" w:eastAsia="Times New Roman" w:cs="Arial"/>
                <w:sz w:val="20"/>
                <w:szCs w:val="20"/>
              </w:rPr>
            </w:pPr>
            <w:r>
              <w:rPr>
                <w:rFonts w:ascii="Arial" w:hAnsi="Arial" w:eastAsia="Times New Roman" w:cs="Arial"/>
                <w:sz w:val="20"/>
                <w:szCs w:val="20"/>
              </w:rPr>
              <w:t>4.05</w:t>
            </w:r>
            <w:r>
              <w:rPr>
                <w:rFonts w:ascii="Arial" w:hAnsi="Arial" w:eastAsia="Times New Roman" w:cs="Arial"/>
                <w:sz w:val="20"/>
                <w:szCs w:val="20"/>
                <w:vertAlign w:val="superscript"/>
              </w:rPr>
              <w:t>b</w:t>
            </w:r>
          </w:p>
        </w:tc>
        <w:tc>
          <w:tcPr>
            <w:tcW w:w="1870" w:type="dxa"/>
            <w:vAlign w:val="center"/>
          </w:tcPr>
          <w:p w14:paraId="3184431F">
            <w:pPr>
              <w:spacing w:after="0" w:line="240" w:lineRule="auto"/>
              <w:jc w:val="center"/>
              <w:rPr>
                <w:rFonts w:ascii="Arial" w:hAnsi="Arial" w:eastAsia="Times New Roman" w:cs="Arial"/>
                <w:sz w:val="20"/>
                <w:szCs w:val="20"/>
              </w:rPr>
            </w:pPr>
            <w:r>
              <w:rPr>
                <w:rFonts w:ascii="Arial" w:hAnsi="Arial" w:eastAsia="Times New Roman" w:cs="Arial"/>
                <w:sz w:val="20"/>
                <w:szCs w:val="20"/>
              </w:rPr>
              <w:t>29.6</w:t>
            </w:r>
            <w:r>
              <w:rPr>
                <w:rFonts w:ascii="Arial" w:hAnsi="Arial" w:eastAsia="Times New Roman" w:cs="Arial"/>
                <w:sz w:val="20"/>
                <w:szCs w:val="20"/>
                <w:vertAlign w:val="superscript"/>
              </w:rPr>
              <w:t>c</w:t>
            </w:r>
          </w:p>
        </w:tc>
      </w:tr>
      <w:tr w14:paraId="261542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Pr>
          <w:p w14:paraId="0D224EC9">
            <w:pPr>
              <w:spacing w:after="0" w:line="240" w:lineRule="auto"/>
              <w:jc w:val="both"/>
              <w:rPr>
                <w:rFonts w:ascii="Arial" w:hAnsi="Arial" w:eastAsia="Times New Roman" w:cs="Arial"/>
                <w:sz w:val="20"/>
                <w:szCs w:val="20"/>
              </w:rPr>
            </w:pPr>
            <w:r>
              <w:rPr>
                <w:rFonts w:ascii="Arial" w:hAnsi="Arial" w:eastAsia="Times New Roman" w:cs="Arial"/>
                <w:i/>
                <w:iCs/>
                <w:sz w:val="20"/>
                <w:szCs w:val="20"/>
              </w:rPr>
              <w:t>P</w:t>
            </w:r>
            <w:r>
              <w:rPr>
                <w:rFonts w:ascii="Arial" w:hAnsi="Arial" w:eastAsia="Times New Roman" w:cs="Arial"/>
                <w:sz w:val="20"/>
                <w:szCs w:val="20"/>
              </w:rPr>
              <w:t>-value</w:t>
            </w:r>
          </w:p>
        </w:tc>
        <w:tc>
          <w:tcPr>
            <w:tcW w:w="1870" w:type="dxa"/>
            <w:vAlign w:val="center"/>
          </w:tcPr>
          <w:p w14:paraId="78351DED">
            <w:pPr>
              <w:spacing w:after="0" w:line="240" w:lineRule="auto"/>
              <w:jc w:val="center"/>
              <w:rPr>
                <w:rFonts w:ascii="Arial" w:hAnsi="Arial" w:eastAsia="Times New Roman" w:cs="Arial"/>
                <w:sz w:val="20"/>
                <w:szCs w:val="20"/>
              </w:rPr>
            </w:pPr>
            <w:r>
              <w:rPr>
                <w:rFonts w:ascii="Arial" w:hAnsi="Arial" w:eastAsia="Times New Roman" w:cs="Arial"/>
                <w:sz w:val="20"/>
                <w:szCs w:val="20"/>
              </w:rPr>
              <w:t>≤0.05</w:t>
            </w:r>
          </w:p>
        </w:tc>
        <w:tc>
          <w:tcPr>
            <w:tcW w:w="1870" w:type="dxa"/>
            <w:vAlign w:val="center"/>
          </w:tcPr>
          <w:p w14:paraId="28CA140C">
            <w:pPr>
              <w:spacing w:after="0" w:line="240" w:lineRule="auto"/>
              <w:jc w:val="center"/>
              <w:rPr>
                <w:rFonts w:ascii="Arial" w:hAnsi="Arial" w:eastAsia="Times New Roman" w:cs="Arial"/>
                <w:sz w:val="20"/>
                <w:szCs w:val="20"/>
              </w:rPr>
            </w:pPr>
            <w:r>
              <w:rPr>
                <w:rFonts w:ascii="Arial" w:hAnsi="Arial" w:eastAsia="Times New Roman" w:cs="Arial"/>
                <w:sz w:val="20"/>
                <w:szCs w:val="20"/>
              </w:rPr>
              <w:t>≤0.05</w:t>
            </w:r>
          </w:p>
        </w:tc>
        <w:tc>
          <w:tcPr>
            <w:tcW w:w="1870" w:type="dxa"/>
            <w:vAlign w:val="center"/>
          </w:tcPr>
          <w:p w14:paraId="6B6FC914">
            <w:pPr>
              <w:spacing w:after="0" w:line="240" w:lineRule="auto"/>
              <w:jc w:val="center"/>
              <w:rPr>
                <w:rFonts w:ascii="Arial" w:hAnsi="Arial" w:eastAsia="Times New Roman" w:cs="Arial"/>
                <w:sz w:val="20"/>
                <w:szCs w:val="20"/>
              </w:rPr>
            </w:pPr>
            <w:r>
              <w:rPr>
                <w:rFonts w:ascii="Arial" w:hAnsi="Arial" w:eastAsia="Times New Roman" w:cs="Arial"/>
                <w:sz w:val="20"/>
                <w:szCs w:val="20"/>
              </w:rPr>
              <w:t>≤0.05</w:t>
            </w:r>
          </w:p>
        </w:tc>
        <w:tc>
          <w:tcPr>
            <w:tcW w:w="1870" w:type="dxa"/>
            <w:vAlign w:val="center"/>
          </w:tcPr>
          <w:p w14:paraId="3A81F15D">
            <w:pPr>
              <w:spacing w:after="0" w:line="240" w:lineRule="auto"/>
              <w:jc w:val="center"/>
              <w:rPr>
                <w:rFonts w:ascii="Arial" w:hAnsi="Arial" w:eastAsia="Times New Roman" w:cs="Arial"/>
                <w:sz w:val="20"/>
                <w:szCs w:val="20"/>
              </w:rPr>
            </w:pPr>
            <w:r>
              <w:rPr>
                <w:rFonts w:ascii="Arial" w:hAnsi="Arial" w:eastAsia="Times New Roman" w:cs="Arial"/>
                <w:sz w:val="20"/>
                <w:szCs w:val="20"/>
              </w:rPr>
              <w:t>≤0.05</w:t>
            </w:r>
          </w:p>
        </w:tc>
      </w:tr>
      <w:tr w14:paraId="755E53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0" w:type="dxa"/>
          </w:tcPr>
          <w:p w14:paraId="189B2CFA">
            <w:pPr>
              <w:spacing w:after="0" w:line="240" w:lineRule="auto"/>
              <w:jc w:val="both"/>
              <w:rPr>
                <w:rFonts w:ascii="Arial" w:hAnsi="Arial" w:eastAsia="Times New Roman" w:cs="Arial"/>
                <w:i/>
                <w:iCs/>
                <w:sz w:val="20"/>
                <w:szCs w:val="20"/>
              </w:rPr>
            </w:pPr>
            <w:r>
              <w:rPr>
                <w:rFonts w:ascii="Arial" w:hAnsi="Arial" w:eastAsia="Times New Roman" w:cs="Arial"/>
                <w:sz w:val="20"/>
                <w:szCs w:val="20"/>
              </w:rPr>
              <w:t>LSD</w:t>
            </w:r>
            <w:r>
              <w:rPr>
                <w:rFonts w:ascii="Cambria Math" w:hAnsi="Cambria Math" w:eastAsia="Times New Roman" w:cs="Cambria Math"/>
                <w:sz w:val="20"/>
                <w:szCs w:val="20"/>
              </w:rPr>
              <w:t>₀</w:t>
            </w:r>
            <w:r>
              <w:rPr>
                <w:rFonts w:ascii="Arial" w:hAnsi="Arial" w:eastAsia="Times New Roman" w:cs="Arial"/>
                <w:sz w:val="20"/>
                <w:szCs w:val="20"/>
              </w:rPr>
              <w:t>.</w:t>
            </w:r>
            <w:r>
              <w:rPr>
                <w:rFonts w:ascii="Cambria Math" w:hAnsi="Cambria Math" w:eastAsia="Times New Roman" w:cs="Cambria Math"/>
                <w:sz w:val="20"/>
                <w:szCs w:val="20"/>
              </w:rPr>
              <w:t>₀₅</w:t>
            </w:r>
          </w:p>
        </w:tc>
        <w:tc>
          <w:tcPr>
            <w:tcW w:w="1870" w:type="dxa"/>
            <w:vAlign w:val="center"/>
          </w:tcPr>
          <w:p w14:paraId="14192E3E">
            <w:pPr>
              <w:widowControl w:val="0"/>
              <w:autoSpaceDE w:val="0"/>
              <w:autoSpaceDN w:val="0"/>
              <w:adjustRightInd w:val="0"/>
              <w:spacing w:after="0" w:line="240" w:lineRule="auto"/>
              <w:jc w:val="center"/>
              <w:rPr>
                <w:rFonts w:ascii="Arial" w:hAnsi="Arial" w:eastAsia="Times New Roman" w:cs="Arial"/>
                <w:sz w:val="20"/>
                <w:szCs w:val="20"/>
              </w:rPr>
            </w:pPr>
            <w:r>
              <w:rPr>
                <w:rFonts w:ascii="Arial" w:hAnsi="Arial" w:eastAsia="Times New Roman" w:cs="Arial"/>
                <w:sz w:val="20"/>
                <w:szCs w:val="20"/>
              </w:rPr>
              <w:t>0.01</w:t>
            </w:r>
          </w:p>
        </w:tc>
        <w:tc>
          <w:tcPr>
            <w:tcW w:w="1870" w:type="dxa"/>
            <w:vAlign w:val="center"/>
          </w:tcPr>
          <w:p w14:paraId="250FB593">
            <w:pPr>
              <w:widowControl w:val="0"/>
              <w:autoSpaceDE w:val="0"/>
              <w:autoSpaceDN w:val="0"/>
              <w:adjustRightInd w:val="0"/>
              <w:spacing w:after="0" w:line="240" w:lineRule="auto"/>
              <w:jc w:val="center"/>
              <w:rPr>
                <w:rFonts w:ascii="Arial" w:hAnsi="Arial" w:eastAsia="Times New Roman" w:cs="Arial"/>
                <w:sz w:val="20"/>
                <w:szCs w:val="20"/>
              </w:rPr>
            </w:pPr>
            <w:r>
              <w:rPr>
                <w:rFonts w:ascii="Arial" w:hAnsi="Arial" w:eastAsia="Times New Roman" w:cs="Arial"/>
                <w:sz w:val="20"/>
                <w:szCs w:val="20"/>
              </w:rPr>
              <w:t>1.34</w:t>
            </w:r>
          </w:p>
        </w:tc>
        <w:tc>
          <w:tcPr>
            <w:tcW w:w="1870" w:type="dxa"/>
            <w:vAlign w:val="center"/>
          </w:tcPr>
          <w:p w14:paraId="66B592F4">
            <w:pPr>
              <w:spacing w:after="0" w:line="240" w:lineRule="auto"/>
              <w:jc w:val="center"/>
              <w:rPr>
                <w:rFonts w:ascii="Arial" w:hAnsi="Arial" w:eastAsia="Times New Roman" w:cs="Arial"/>
                <w:sz w:val="20"/>
                <w:szCs w:val="20"/>
              </w:rPr>
            </w:pPr>
            <w:r>
              <w:rPr>
                <w:rFonts w:ascii="Arial" w:hAnsi="Arial" w:eastAsia="Times New Roman" w:cs="Arial"/>
                <w:sz w:val="20"/>
                <w:szCs w:val="20"/>
              </w:rPr>
              <w:t>0.01</w:t>
            </w:r>
          </w:p>
        </w:tc>
        <w:tc>
          <w:tcPr>
            <w:tcW w:w="1870" w:type="dxa"/>
            <w:vAlign w:val="center"/>
          </w:tcPr>
          <w:p w14:paraId="5ED39094">
            <w:pPr>
              <w:spacing w:after="0" w:line="240" w:lineRule="auto"/>
              <w:jc w:val="center"/>
              <w:rPr>
                <w:rFonts w:ascii="Arial" w:hAnsi="Arial" w:eastAsia="Times New Roman" w:cs="Arial"/>
                <w:sz w:val="20"/>
                <w:szCs w:val="20"/>
              </w:rPr>
            </w:pPr>
            <w:r>
              <w:rPr>
                <w:rFonts w:ascii="Arial" w:hAnsi="Arial" w:eastAsia="Times New Roman" w:cs="Arial"/>
                <w:sz w:val="20"/>
                <w:szCs w:val="20"/>
              </w:rPr>
              <w:t>0.97</w:t>
            </w:r>
          </w:p>
        </w:tc>
      </w:tr>
    </w:tbl>
    <w:p w14:paraId="3EC3ED72">
      <w:pPr>
        <w:spacing w:after="0" w:line="360" w:lineRule="auto"/>
        <w:jc w:val="both"/>
        <w:rPr>
          <w:rFonts w:ascii="Arial" w:hAnsi="Arial" w:eastAsia="Times New Roman" w:cs="Arial"/>
          <w:i/>
          <w:sz w:val="18"/>
          <w:szCs w:val="18"/>
        </w:rPr>
      </w:pPr>
      <w:r>
        <w:rPr>
          <w:rFonts w:ascii="Arial" w:hAnsi="Arial" w:eastAsia="Times New Roman" w:cs="Arial"/>
          <w:i/>
          <w:sz w:val="18"/>
          <w:szCs w:val="18"/>
        </w:rPr>
        <w:t>*Means followed by different letter are significantly different within columns by Duncan’s multiple range Test, p ≤ 0.05</w:t>
      </w:r>
    </w:p>
    <w:p w14:paraId="7D791609">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According to the Vietnamese Pharmacopoeia V, Part 2, the tubers of </w:t>
      </w:r>
      <w:r>
        <w:rPr>
          <w:rFonts w:ascii="Arial" w:hAnsi="Arial" w:eastAsia="Times New Roman" w:cs="Arial"/>
          <w:i/>
          <w:iCs/>
          <w:sz w:val="20"/>
          <w:szCs w:val="20"/>
        </w:rPr>
        <w:t>Dioscorea persimilis</w:t>
      </w:r>
      <w:r>
        <w:rPr>
          <w:rFonts w:ascii="Arial" w:hAnsi="Arial" w:eastAsia="Times New Roman" w:cs="Arial"/>
          <w:sz w:val="20"/>
          <w:szCs w:val="20"/>
        </w:rPr>
        <w:t xml:space="preserve"> have various shapes, ranging in length from 5 cm and possibly up to 1 m. The diameter of tuberfrom 1 cm to 3 cm, and up to 10 cm. The results in Table 2 indicated that there was significant difference among treatments in terms of tuber size (p≤0.05). T2 had the highest tuber length and diameter, with values ​​of 69.16 cm and 4.09 cm, respectively. T3 had the lowest tuber size, with a length of 62.65 cm and a diameter of 4.03 cm, both significantly lower than T1 (control) at a 95% confidence level. The remaining treatments had tuber sizes lower than T1 (control) at a 95% confidence level.</w:t>
      </w:r>
    </w:p>
    <w:p w14:paraId="294F5F7E">
      <w:pPr>
        <w:spacing w:after="0" w:line="360" w:lineRule="auto"/>
        <w:jc w:val="both"/>
        <w:rPr>
          <w:rFonts w:ascii="Arial" w:hAnsi="Arial" w:eastAsia="Times New Roman" w:cs="Arial"/>
          <w:b/>
          <w:szCs w:val="20"/>
        </w:rPr>
      </w:pPr>
      <w:commentRangeStart w:id="2"/>
      <w:r>
        <w:rPr>
          <w:rFonts w:ascii="Arial" w:hAnsi="Arial" w:eastAsia="Times New Roman" w:cs="Arial"/>
          <w:b/>
          <w:szCs w:val="20"/>
        </w:rPr>
        <w:t>3.3. Effects of trellis systems on the economic efficiency of Hoai Son cultivation</w:t>
      </w:r>
      <w:commentRangeEnd w:id="2"/>
      <w:r>
        <w:commentReference w:id="2"/>
      </w:r>
    </w:p>
    <w:p w14:paraId="650F20F0">
      <w:pPr>
        <w:spacing w:after="0"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drawing>
          <wp:inline distT="0" distB="0" distL="0" distR="0">
            <wp:extent cx="3340735" cy="333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3361505" cy="3356119"/>
                    </a:xfrm>
                    <a:prstGeom prst="rect">
                      <a:avLst/>
                    </a:prstGeom>
                  </pic:spPr>
                </pic:pic>
              </a:graphicData>
            </a:graphic>
          </wp:inline>
        </w:drawing>
      </w:r>
    </w:p>
    <w:p w14:paraId="106F91EC">
      <w:pPr>
        <w:spacing w:after="0" w:line="360" w:lineRule="auto"/>
        <w:jc w:val="center"/>
        <w:rPr>
          <w:rFonts w:ascii="Arial" w:hAnsi="Arial" w:eastAsia="Times New Roman" w:cs="Arial"/>
          <w:b/>
          <w:szCs w:val="20"/>
        </w:rPr>
      </w:pPr>
      <w:commentRangeStart w:id="3"/>
      <w:r>
        <w:rPr>
          <w:rFonts w:ascii="Arial" w:hAnsi="Arial" w:eastAsia="Times New Roman" w:cs="Arial"/>
          <w:b/>
          <w:szCs w:val="20"/>
        </w:rPr>
        <w:t>Figure 1. Effects of trellis systems on the economic efficiency of Hoai Son cultivation</w:t>
      </w:r>
      <w:commentRangeEnd w:id="3"/>
      <w:r>
        <w:commentReference w:id="3"/>
      </w:r>
    </w:p>
    <w:p w14:paraId="233DD271">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 xml:space="preserve">Figure 1 shows that different trellis construction techniques had varying effects on the economic efficiency of </w:t>
      </w:r>
      <w:r>
        <w:rPr>
          <w:rFonts w:ascii="Arial" w:hAnsi="Arial" w:eastAsia="Times New Roman" w:cs="Arial"/>
          <w:i/>
          <w:iCs/>
          <w:sz w:val="20"/>
          <w:szCs w:val="20"/>
        </w:rPr>
        <w:t>Dioscorea persimilis</w:t>
      </w:r>
      <w:r>
        <w:rPr>
          <w:rFonts w:ascii="Arial" w:hAnsi="Arial" w:eastAsia="Times New Roman" w:cs="Arial"/>
          <w:sz w:val="20"/>
          <w:szCs w:val="20"/>
        </w:rPr>
        <w:t>, mainly due to differences in material costs, labor requirements, and yield among the experimental treatments. Among the trellis systems, T2 using clustered trellises produced the highest yield and the greatest profit. Therefore, compared with the other treatments, T2 was considered the most economically efficient trellis system under the experimental conditions.</w:t>
      </w:r>
    </w:p>
    <w:p w14:paraId="15BF0C60">
      <w:pPr>
        <w:spacing w:after="0" w:line="360" w:lineRule="auto"/>
        <w:jc w:val="both"/>
        <w:rPr>
          <w:rFonts w:ascii="Arial" w:hAnsi="Arial" w:eastAsia="Times New Roman" w:cs="Arial"/>
          <w:b/>
          <w:caps/>
          <w:szCs w:val="20"/>
        </w:rPr>
      </w:pPr>
      <w:r>
        <w:rPr>
          <w:rFonts w:ascii="Arial" w:hAnsi="Arial" w:eastAsia="Times New Roman" w:cs="Arial"/>
          <w:b/>
          <w:caps/>
          <w:szCs w:val="20"/>
        </w:rPr>
        <w:t>4. CONCLUSIONS</w:t>
      </w:r>
    </w:p>
    <w:p w14:paraId="5D4A71C0">
      <w:pPr>
        <w:spacing w:after="0" w:line="360" w:lineRule="auto"/>
        <w:ind w:firstLine="720"/>
        <w:jc w:val="both"/>
        <w:rPr>
          <w:rFonts w:ascii="Arial" w:hAnsi="Arial" w:eastAsia="Times New Roman" w:cs="Arial"/>
          <w:sz w:val="20"/>
          <w:szCs w:val="20"/>
        </w:rPr>
      </w:pPr>
      <w:r>
        <w:rPr>
          <w:rFonts w:ascii="Arial" w:hAnsi="Arial" w:eastAsia="Times New Roman" w:cs="Arial"/>
          <w:sz w:val="20"/>
          <w:szCs w:val="20"/>
        </w:rPr>
        <w:t>In conclusion, different trellis construction techniques have varying effects on the growth, development, yield of Dioscorea persimilis. T2 using clustered trellises resulted in the best plant growth, development, tuber yield under production conditions in Thai Nguyen. Therefore, the clustered trellis system is recommended as an effective cultivation to improving the growth performance, yield, and economic efficiency of Dioscorea persimilis cultivation in Thai Nguyen province.</w:t>
      </w:r>
    </w:p>
    <w:p w14:paraId="0D2F984E">
      <w:pPr>
        <w:spacing w:after="200" w:line="276" w:lineRule="auto"/>
        <w:rPr>
          <w:rFonts w:ascii="Calibri" w:hAnsi="Calibri" w:eastAsia="Times New Roman" w:cs="Times New Roman"/>
          <w:lang w:val="en-GB" w:eastAsia="en-GB"/>
        </w:rPr>
      </w:pPr>
    </w:p>
    <w:p w14:paraId="2FC345BD">
      <w:pPr>
        <w:spacing w:after="0" w:line="360" w:lineRule="auto"/>
        <w:jc w:val="both"/>
        <w:rPr>
          <w:rFonts w:ascii="Arial" w:hAnsi="Arial" w:eastAsia="Times New Roman" w:cs="Arial"/>
          <w:b/>
          <w:caps/>
          <w:szCs w:val="20"/>
        </w:rPr>
      </w:pPr>
      <w:commentRangeStart w:id="4"/>
      <w:r>
        <w:rPr>
          <w:rFonts w:ascii="Arial" w:hAnsi="Arial" w:eastAsia="Times New Roman" w:cs="Arial"/>
          <w:b/>
          <w:caps/>
          <w:szCs w:val="20"/>
        </w:rPr>
        <w:t>REFERENCES</w:t>
      </w:r>
      <w:commentRangeEnd w:id="4"/>
      <w:r>
        <w:commentReference w:id="4"/>
      </w:r>
    </w:p>
    <w:p w14:paraId="71572538">
      <w:pPr>
        <w:widowControl w:val="0"/>
        <w:spacing w:after="0" w:line="360" w:lineRule="auto"/>
        <w:jc w:val="both"/>
        <w:rPr>
          <w:rFonts w:ascii="Arial" w:hAnsi="Arial" w:eastAsia="Times New Roman" w:cs="Arial"/>
          <w:sz w:val="20"/>
          <w:szCs w:val="20"/>
        </w:rPr>
      </w:pPr>
      <w:r>
        <w:rPr>
          <w:rFonts w:ascii="Arial" w:hAnsi="Arial" w:eastAsia="Times New Roman" w:cs="Arial"/>
          <w:sz w:val="20"/>
          <w:szCs w:val="20"/>
        </w:rPr>
        <w:t>1. Aminifard, M.H., Aroiee, H., Ameri, A. and Fatemi, H. 2012. Effect of plant density and nitrogen fertilizer on growth, yield and fruit quality of sweet pepper (</w:t>
      </w:r>
      <w:r>
        <w:rPr>
          <w:rFonts w:ascii="Arial" w:hAnsi="Arial" w:eastAsia="Times New Roman" w:cs="Arial"/>
          <w:i/>
          <w:sz w:val="20"/>
          <w:szCs w:val="20"/>
        </w:rPr>
        <w:t>Capsicum annuum</w:t>
      </w:r>
      <w:r>
        <w:rPr>
          <w:rFonts w:ascii="Arial" w:hAnsi="Arial" w:eastAsia="Times New Roman" w:cs="Arial"/>
          <w:sz w:val="20"/>
          <w:szCs w:val="20"/>
        </w:rPr>
        <w:t xml:space="preserve"> L.). African Journal of Agricultural Research. 7(6): 859–866.</w:t>
      </w:r>
      <w:bookmarkStart w:id="0" w:name="_GoBack"/>
      <w:bookmarkEnd w:id="0"/>
    </w:p>
    <w:p w14:paraId="373BD313">
      <w:pPr>
        <w:spacing w:after="0" w:line="360" w:lineRule="auto"/>
        <w:jc w:val="both"/>
        <w:rPr>
          <w:rFonts w:ascii="Arial" w:hAnsi="Arial" w:eastAsia="Times New Roman" w:cs="Arial"/>
          <w:sz w:val="20"/>
          <w:szCs w:val="20"/>
        </w:rPr>
      </w:pPr>
      <w:r>
        <w:rPr>
          <w:rFonts w:ascii="Arial" w:hAnsi="Arial" w:eastAsia="Times New Roman" w:cs="Arial"/>
          <w:sz w:val="20"/>
          <w:szCs w:val="20"/>
        </w:rPr>
        <w:t>2. Ministry of Health. 2018. Vietnamese Pharmacopoeia V. Medical Publishing House, Hanoi, Vietnam.</w:t>
      </w:r>
    </w:p>
    <w:p w14:paraId="0D1D51F4">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3. Chang, W.T., Chen, H.M., Yin, S.Y., Chen, Y.H., Wen, C.C., Wei, W.C., Lai, P., Wang, C.H. and Yang, N.S. 2013. Specific </w:t>
      </w:r>
      <w:r>
        <w:rPr>
          <w:rFonts w:ascii="Arial" w:hAnsi="Arial" w:eastAsia="Times New Roman" w:cs="Arial"/>
          <w:i/>
          <w:sz w:val="20"/>
          <w:szCs w:val="20"/>
        </w:rPr>
        <w:t>Dioscorea</w:t>
      </w:r>
      <w:r>
        <w:rPr>
          <w:rFonts w:ascii="Arial" w:hAnsi="Arial" w:eastAsia="Times New Roman" w:cs="Arial"/>
          <w:sz w:val="20"/>
          <w:szCs w:val="20"/>
        </w:rPr>
        <w:t xml:space="preserve"> phytoextracts enhance TCL-loaded DC-based vaccines against cancer. Evidence-Based Complementary and Alternative Medicine. 2013: 1–13.</w:t>
      </w:r>
    </w:p>
    <w:p w14:paraId="38DDAD25">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4. Hang, P.T., Dieu, N.T.T., Dat, P.T. and Nhien, N.T.T. 2020. Some morphological and anatomical characteristics of wild </w:t>
      </w:r>
      <w:r>
        <w:rPr>
          <w:rFonts w:ascii="Arial" w:hAnsi="Arial" w:eastAsia="Times New Roman" w:cs="Arial"/>
          <w:i/>
          <w:sz w:val="20"/>
          <w:szCs w:val="20"/>
        </w:rPr>
        <w:t>Dioscoreaceae</w:t>
      </w:r>
      <w:r>
        <w:rPr>
          <w:rFonts w:ascii="Arial" w:hAnsi="Arial" w:eastAsia="Times New Roman" w:cs="Arial"/>
          <w:sz w:val="20"/>
          <w:szCs w:val="20"/>
        </w:rPr>
        <w:t xml:space="preserve"> species in Bay Nui, An Giang Province. Can Tho University Journal of Science. 56(3A): 44–52.</w:t>
      </w:r>
    </w:p>
    <w:p w14:paraId="2B48446D">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5. He, B., Jiang, J., Mo, J., Huang, D., Zhou, L., Ban, H. and He, Y. 2002. Study on the quality of rhizome of </w:t>
      </w:r>
      <w:r>
        <w:rPr>
          <w:rFonts w:ascii="Arial" w:hAnsi="Arial" w:eastAsia="Times New Roman" w:cs="Arial"/>
          <w:i/>
          <w:sz w:val="20"/>
          <w:szCs w:val="20"/>
        </w:rPr>
        <w:t>Dioscorea persimilis</w:t>
      </w:r>
      <w:r>
        <w:rPr>
          <w:rFonts w:ascii="Arial" w:hAnsi="Arial" w:eastAsia="Times New Roman" w:cs="Arial"/>
          <w:sz w:val="20"/>
          <w:szCs w:val="20"/>
        </w:rPr>
        <w:t>. Journal of Chinese Medicinal Materials. 25(4): 233–236.</w:t>
      </w:r>
    </w:p>
    <w:p w14:paraId="0E75D73A">
      <w:pPr>
        <w:widowControl w:val="0"/>
        <w:spacing w:after="0" w:line="360" w:lineRule="auto"/>
        <w:jc w:val="both"/>
        <w:rPr>
          <w:rFonts w:ascii="Arial" w:hAnsi="Arial" w:eastAsia="Times New Roman" w:cs="Arial"/>
          <w:sz w:val="20"/>
          <w:szCs w:val="20"/>
        </w:rPr>
      </w:pPr>
      <w:r>
        <w:rPr>
          <w:rFonts w:ascii="Arial" w:hAnsi="Arial" w:eastAsia="Times New Roman" w:cs="Arial"/>
          <w:sz w:val="20"/>
          <w:szCs w:val="20"/>
        </w:rPr>
        <w:t>Hue, N.T.N. and Loc, D.T. 2005. Tuberous plants and intensive cultivation techniques. Labor and Social Publishing House, Hanoi, Vietnam.</w:t>
      </w:r>
    </w:p>
    <w:p w14:paraId="59CE8670">
      <w:pPr>
        <w:widowControl w:val="0"/>
        <w:spacing w:after="0" w:line="360" w:lineRule="auto"/>
        <w:jc w:val="both"/>
        <w:rPr>
          <w:rFonts w:ascii="Arial" w:hAnsi="Arial" w:eastAsia="Times New Roman" w:cs="Arial"/>
          <w:sz w:val="20"/>
          <w:szCs w:val="20"/>
        </w:rPr>
      </w:pPr>
      <w:r>
        <w:rPr>
          <w:rFonts w:ascii="Arial" w:hAnsi="Arial" w:eastAsia="Times New Roman" w:cs="Arial"/>
          <w:sz w:val="20"/>
          <w:szCs w:val="20"/>
        </w:rPr>
        <w:t>6. Le Quang Thai, Tran Thi Thanh and Do Van Khoa. 2018. Study on the effects of trellis construction techniques on the growth and yield of Hoai Son in Northern Vietnam. Journal of Science and Development. 16(4): 543–549 (</w:t>
      </w:r>
      <w:r>
        <w:rPr>
          <w:rFonts w:ascii="Arial" w:hAnsi="Arial" w:eastAsia="Times New Roman" w:cs="Arial"/>
          <w:i/>
          <w:sz w:val="20"/>
          <w:szCs w:val="20"/>
        </w:rPr>
        <w:t>In Vietnamese</w:t>
      </w:r>
      <w:r>
        <w:rPr>
          <w:rFonts w:ascii="Arial" w:hAnsi="Arial" w:eastAsia="Times New Roman" w:cs="Arial"/>
          <w:sz w:val="20"/>
          <w:szCs w:val="20"/>
        </w:rPr>
        <w:t>).</w:t>
      </w:r>
    </w:p>
    <w:p w14:paraId="630863A2">
      <w:pPr>
        <w:spacing w:after="0" w:line="360" w:lineRule="auto"/>
        <w:jc w:val="both"/>
        <w:rPr>
          <w:rFonts w:ascii="Arial" w:hAnsi="Arial" w:eastAsia="Times New Roman" w:cs="Arial"/>
          <w:sz w:val="20"/>
          <w:szCs w:val="20"/>
        </w:rPr>
      </w:pPr>
      <w:r>
        <w:rPr>
          <w:rFonts w:ascii="Arial" w:hAnsi="Arial" w:eastAsia="Times New Roman" w:cs="Arial"/>
          <w:sz w:val="20"/>
          <w:szCs w:val="20"/>
        </w:rPr>
        <w:t>7. Mignouna, H.D., Abang, M.M. and Asiedu, R. 2003. Harnessing modern biotechnology for tropical tuber crop improvement: Yam (</w:t>
      </w:r>
      <w:r>
        <w:rPr>
          <w:rFonts w:ascii="Arial" w:hAnsi="Arial" w:eastAsia="Times New Roman" w:cs="Arial"/>
          <w:i/>
          <w:sz w:val="20"/>
          <w:szCs w:val="20"/>
        </w:rPr>
        <w:t>Dioscorea</w:t>
      </w:r>
      <w:r>
        <w:rPr>
          <w:rFonts w:ascii="Arial" w:hAnsi="Arial" w:eastAsia="Times New Roman" w:cs="Arial"/>
          <w:sz w:val="20"/>
          <w:szCs w:val="20"/>
        </w:rPr>
        <w:t xml:space="preserve"> spp.) molecular breeding. African Journal of Biotechnology. 2(12): 478–485.</w:t>
      </w:r>
    </w:p>
    <w:p w14:paraId="53E31BBC">
      <w:pPr>
        <w:spacing w:after="0" w:line="360" w:lineRule="auto"/>
        <w:jc w:val="both"/>
        <w:rPr>
          <w:rFonts w:ascii="Arial" w:hAnsi="Arial" w:eastAsia="Times New Roman" w:cs="Arial"/>
          <w:sz w:val="20"/>
          <w:szCs w:val="20"/>
        </w:rPr>
      </w:pPr>
      <w:r>
        <w:rPr>
          <w:rFonts w:ascii="Arial" w:hAnsi="Arial" w:eastAsia="Times New Roman" w:cs="Arial"/>
          <w:sz w:val="20"/>
          <w:szCs w:val="20"/>
        </w:rPr>
        <w:t xml:space="preserve">8. Ngan, N.T.T., Hoang, N.H., Hien, N.T., Lan, N.N., Huong, P.T.M. and Quang, T.H. 2021. Secondary metabolites from the tubers of </w:t>
      </w:r>
      <w:r>
        <w:rPr>
          <w:rFonts w:ascii="Arial" w:hAnsi="Arial" w:eastAsia="Times New Roman" w:cs="Arial"/>
          <w:i/>
          <w:sz w:val="20"/>
          <w:szCs w:val="20"/>
        </w:rPr>
        <w:t>Dioscorea persimilis</w:t>
      </w:r>
      <w:r>
        <w:rPr>
          <w:rFonts w:ascii="Arial" w:hAnsi="Arial" w:eastAsia="Times New Roman" w:cs="Arial"/>
          <w:sz w:val="20"/>
          <w:szCs w:val="20"/>
        </w:rPr>
        <w:t>. Vietnam Journal of Chemistry. 59(5): 684–688.</w:t>
      </w:r>
    </w:p>
    <w:p w14:paraId="4AABEBFD">
      <w:pPr>
        <w:spacing w:after="0" w:line="360" w:lineRule="auto"/>
        <w:jc w:val="both"/>
        <w:rPr>
          <w:rFonts w:ascii="Arial" w:hAnsi="Arial" w:eastAsia="Times New Roman" w:cs="Arial"/>
          <w:sz w:val="20"/>
          <w:szCs w:val="20"/>
        </w:rPr>
      </w:pPr>
      <w:r>
        <w:rPr>
          <w:rFonts w:ascii="Arial" w:hAnsi="Arial" w:eastAsia="Times New Roman" w:cs="Arial"/>
          <w:sz w:val="20"/>
          <w:szCs w:val="20"/>
        </w:rPr>
        <w:t>9. Nguyen Thi Hong, Tran Van Thanh and Nguyen Van Dong. 2019. Effects of different trellis systems on the growth and development of yam (</w:t>
      </w:r>
      <w:r>
        <w:rPr>
          <w:rFonts w:ascii="Arial" w:hAnsi="Arial" w:eastAsia="Times New Roman" w:cs="Arial"/>
          <w:i/>
          <w:sz w:val="20"/>
          <w:szCs w:val="20"/>
        </w:rPr>
        <w:t>Dioscorea alata</w:t>
      </w:r>
      <w:r>
        <w:rPr>
          <w:rFonts w:ascii="Arial" w:hAnsi="Arial" w:eastAsia="Times New Roman" w:cs="Arial"/>
          <w:sz w:val="20"/>
          <w:szCs w:val="20"/>
        </w:rPr>
        <w:t xml:space="preserve"> L.) in Central Vietnam. Vietnam Journal of Agricultural Sciences. 17(3): 150–157 (</w:t>
      </w:r>
      <w:r>
        <w:rPr>
          <w:rFonts w:ascii="Arial" w:hAnsi="Arial" w:eastAsia="Times New Roman" w:cs="Arial"/>
          <w:i/>
          <w:sz w:val="20"/>
          <w:szCs w:val="20"/>
        </w:rPr>
        <w:t>In Vietnamese</w:t>
      </w:r>
      <w:r>
        <w:rPr>
          <w:rFonts w:ascii="Arial" w:hAnsi="Arial" w:eastAsia="Times New Roman" w:cs="Arial"/>
          <w:sz w:val="20"/>
          <w:szCs w:val="20"/>
        </w:rPr>
        <w:t>).</w:t>
      </w:r>
    </w:p>
    <w:p w14:paraId="408929F1">
      <w:pPr>
        <w:spacing w:after="0" w:line="360" w:lineRule="auto"/>
        <w:jc w:val="both"/>
        <w:rPr>
          <w:rFonts w:ascii="Arial" w:hAnsi="Arial" w:eastAsia="Times New Roman" w:cs="Arial"/>
          <w:sz w:val="20"/>
          <w:szCs w:val="20"/>
        </w:rPr>
      </w:pPr>
      <w:r>
        <w:rPr>
          <w:rFonts w:ascii="Arial" w:hAnsi="Arial" w:eastAsia="Times New Roman" w:cs="Arial"/>
          <w:sz w:val="20"/>
          <w:szCs w:val="20"/>
        </w:rPr>
        <w:t>10. Nguyen Thi Thu Huyen, Pham Thi Tuyet Nhung, Nguyen Viet Than, Hoang Thi Cuc and Le Thanh Liem. 2019. Study on morphological and microscopic characteristics of two yam species collected in Thai Nguyen. Journal of Science and Technology – Thai Nguyen University. 194(01): 87–89 (</w:t>
      </w:r>
      <w:r>
        <w:rPr>
          <w:rFonts w:ascii="Arial" w:hAnsi="Arial" w:eastAsia="Times New Roman" w:cs="Arial"/>
          <w:i/>
          <w:sz w:val="20"/>
          <w:szCs w:val="20"/>
        </w:rPr>
        <w:t>In Vietnamese</w:t>
      </w:r>
      <w:r>
        <w:rPr>
          <w:rFonts w:ascii="Arial" w:hAnsi="Arial" w:eastAsia="Times New Roman" w:cs="Arial"/>
          <w:sz w:val="20"/>
          <w:szCs w:val="20"/>
        </w:rPr>
        <w:t>).</w:t>
      </w:r>
    </w:p>
    <w:p w14:paraId="691AE501">
      <w:pPr>
        <w:spacing w:after="0" w:line="360" w:lineRule="auto"/>
        <w:jc w:val="both"/>
        <w:rPr>
          <w:rFonts w:ascii="Arial" w:hAnsi="Arial" w:eastAsia="Times New Roman" w:cs="Arial"/>
          <w:sz w:val="20"/>
          <w:szCs w:val="20"/>
        </w:rPr>
      </w:pPr>
      <w:r>
        <w:rPr>
          <w:rFonts w:ascii="Arial" w:hAnsi="Arial" w:eastAsia="Times New Roman" w:cs="Arial"/>
          <w:sz w:val="20"/>
          <w:szCs w:val="20"/>
        </w:rPr>
        <w:t>11. Nguyen Van Nam, Pham Minh Duc and Tran Van Khoa. 2020. Effects of organic fertilizer derived from agricultural waste on the growth and development of yam (</w:t>
      </w:r>
      <w:r>
        <w:rPr>
          <w:rFonts w:ascii="Arial" w:hAnsi="Arial" w:eastAsia="Times New Roman" w:cs="Arial"/>
          <w:i/>
          <w:sz w:val="20"/>
          <w:szCs w:val="20"/>
        </w:rPr>
        <w:t>Dioscorea alata</w:t>
      </w:r>
      <w:r>
        <w:rPr>
          <w:rFonts w:ascii="Arial" w:hAnsi="Arial" w:eastAsia="Times New Roman" w:cs="Arial"/>
          <w:sz w:val="20"/>
          <w:szCs w:val="20"/>
        </w:rPr>
        <w:t xml:space="preserve"> L.). Journal of Agricultural Science and Technology. 11(4): 65–72 (</w:t>
      </w:r>
      <w:r>
        <w:rPr>
          <w:rFonts w:ascii="Arial" w:hAnsi="Arial" w:eastAsia="Times New Roman" w:cs="Arial"/>
          <w:i/>
          <w:sz w:val="20"/>
          <w:szCs w:val="20"/>
        </w:rPr>
        <w:t>In Vietnamese</w:t>
      </w:r>
      <w:r>
        <w:rPr>
          <w:rFonts w:ascii="Arial" w:hAnsi="Arial" w:eastAsia="Times New Roman" w:cs="Arial"/>
          <w:sz w:val="20"/>
          <w:szCs w:val="20"/>
        </w:rPr>
        <w:t>).</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andra K " w:date="2026-05-21T19:01:35Z" w:initials="KC">
    <w:p w14:paraId="28A0E8A4">
      <w:pPr>
        <w:pStyle w:val="4"/>
        <w:rPr>
          <w:rFonts w:hint="default"/>
          <w:lang w:val="en-IN"/>
        </w:rPr>
      </w:pPr>
      <w:r>
        <w:rPr>
          <w:rFonts w:hint="default"/>
          <w:lang w:val="en-IN"/>
        </w:rPr>
        <w:t>Explain crop in 5-6 lines including nutrient profile but add research gap and rationale</w:t>
      </w:r>
    </w:p>
  </w:comment>
  <w:comment w:id="1" w:author="Chandra K " w:date="2026-05-21T19:07:58Z" w:initials="KC">
    <w:p w14:paraId="62C4FB54">
      <w:pPr>
        <w:pStyle w:val="4"/>
        <w:rPr>
          <w:rFonts w:hint="default"/>
          <w:lang w:val="en-IN"/>
        </w:rPr>
      </w:pPr>
      <w:r>
        <w:rPr>
          <w:rFonts w:hint="default"/>
          <w:lang w:val="en-IN"/>
        </w:rPr>
        <w:t>Keep numbering uniform throughout the article</w:t>
      </w:r>
    </w:p>
  </w:comment>
  <w:comment w:id="2" w:author="Chandra K " w:date="2026-05-21T19:11:53Z" w:initials="KC">
    <w:p w14:paraId="50EDDAAE">
      <w:pPr>
        <w:pStyle w:val="4"/>
        <w:rPr>
          <w:rFonts w:hint="default"/>
          <w:lang w:val="en-IN"/>
        </w:rPr>
      </w:pPr>
      <w:r>
        <w:rPr>
          <w:rFonts w:hint="default"/>
          <w:lang w:val="en-IN"/>
        </w:rPr>
        <w:t>Add economic efficiency table of different trellis system</w:t>
      </w:r>
    </w:p>
  </w:comment>
  <w:comment w:id="3" w:author="Chandra K " w:date="2026-05-21T19:12:44Z" w:initials="KC">
    <w:p w14:paraId="27E66F76">
      <w:pPr>
        <w:pStyle w:val="4"/>
        <w:rPr>
          <w:rFonts w:hint="default"/>
          <w:lang w:val="en-IN"/>
        </w:rPr>
      </w:pPr>
      <w:r>
        <w:rPr>
          <w:rFonts w:hint="default"/>
          <w:lang w:val="en-IN"/>
        </w:rPr>
        <w:t xml:space="preserve">In support table must be added </w:t>
      </w:r>
    </w:p>
  </w:comment>
  <w:comment w:id="4" w:author="Chandra K " w:date="2026-05-21T19:13:31Z" w:initials="KC">
    <w:p w14:paraId="50FBBF69">
      <w:pPr>
        <w:pStyle w:val="4"/>
        <w:rPr>
          <w:rFonts w:hint="default"/>
          <w:lang w:val="en-IN"/>
        </w:rPr>
      </w:pPr>
      <w:r>
        <w:rPr>
          <w:rFonts w:hint="default"/>
          <w:lang w:val="en-IN"/>
        </w:rPr>
        <w:t xml:space="preserve">Add few more recent references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A0E8A4" w15:done="0"/>
  <w15:commentEx w15:paraId="62C4FB54" w15:done="0"/>
  <w15:commentEx w15:paraId="50EDDAAE" w15:done="0"/>
  <w15:commentEx w15:paraId="27E66F76" w15:done="0"/>
  <w15:commentEx w15:paraId="50FBBF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63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C9A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160E">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5F85">
    <w:pPr>
      <w:pStyle w:val="7"/>
    </w:pPr>
    <w:r>
      <w:pict>
        <v:shape id="PowerPlusWaterMarkObject101814361" o:spid="_x0000_s1027"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72E4">
    <w:pPr>
      <w:pStyle w:val="7"/>
    </w:pPr>
    <w:r>
      <w:pict>
        <v:shape id="PowerPlusWaterMarkObject101814360" o:spid="_x0000_s1026"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1098">
    <w:pPr>
      <w:pStyle w:val="7"/>
    </w:pPr>
    <w:r>
      <w:pict>
        <v:shape id="PowerPlusWaterMarkObject101814359" o:spid="_x0000_s1025"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dra K ">
    <w15:presenceInfo w15:providerId="None" w15:userId="Chandra K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F8"/>
    <w:rsid w:val="0000384E"/>
    <w:rsid w:val="00016624"/>
    <w:rsid w:val="00023B1F"/>
    <w:rsid w:val="00023C1F"/>
    <w:rsid w:val="00035D00"/>
    <w:rsid w:val="0004091E"/>
    <w:rsid w:val="0007240C"/>
    <w:rsid w:val="000B12AF"/>
    <w:rsid w:val="000B47F4"/>
    <w:rsid w:val="000D7881"/>
    <w:rsid w:val="000E177C"/>
    <w:rsid w:val="001009A7"/>
    <w:rsid w:val="00112DFB"/>
    <w:rsid w:val="00114EF0"/>
    <w:rsid w:val="0012121D"/>
    <w:rsid w:val="00156E0B"/>
    <w:rsid w:val="00167D0D"/>
    <w:rsid w:val="001753B8"/>
    <w:rsid w:val="001B6D46"/>
    <w:rsid w:val="001F1164"/>
    <w:rsid w:val="00202280"/>
    <w:rsid w:val="00206C72"/>
    <w:rsid w:val="00235DB7"/>
    <w:rsid w:val="00263EBE"/>
    <w:rsid w:val="0027433B"/>
    <w:rsid w:val="002752AC"/>
    <w:rsid w:val="002E6D20"/>
    <w:rsid w:val="002F60D8"/>
    <w:rsid w:val="00341A34"/>
    <w:rsid w:val="00360B5D"/>
    <w:rsid w:val="00367DC9"/>
    <w:rsid w:val="003749B1"/>
    <w:rsid w:val="00384A12"/>
    <w:rsid w:val="003E3847"/>
    <w:rsid w:val="00407498"/>
    <w:rsid w:val="004A6EA0"/>
    <w:rsid w:val="004B6B29"/>
    <w:rsid w:val="00520EFF"/>
    <w:rsid w:val="00523A62"/>
    <w:rsid w:val="005540AD"/>
    <w:rsid w:val="005F3923"/>
    <w:rsid w:val="0063071C"/>
    <w:rsid w:val="00647D13"/>
    <w:rsid w:val="00685F27"/>
    <w:rsid w:val="00687004"/>
    <w:rsid w:val="0069405C"/>
    <w:rsid w:val="006A18E5"/>
    <w:rsid w:val="006B76B5"/>
    <w:rsid w:val="006D18EE"/>
    <w:rsid w:val="006D1DBF"/>
    <w:rsid w:val="006D7B5E"/>
    <w:rsid w:val="006E4A97"/>
    <w:rsid w:val="006E7523"/>
    <w:rsid w:val="006F3E51"/>
    <w:rsid w:val="00714836"/>
    <w:rsid w:val="007359D4"/>
    <w:rsid w:val="00770A9E"/>
    <w:rsid w:val="0078253B"/>
    <w:rsid w:val="00796296"/>
    <w:rsid w:val="007A4A75"/>
    <w:rsid w:val="007B584E"/>
    <w:rsid w:val="007C2C12"/>
    <w:rsid w:val="007E3A96"/>
    <w:rsid w:val="007F4A8D"/>
    <w:rsid w:val="008001CE"/>
    <w:rsid w:val="008032E1"/>
    <w:rsid w:val="008062BC"/>
    <w:rsid w:val="00815462"/>
    <w:rsid w:val="00844D9B"/>
    <w:rsid w:val="00863A55"/>
    <w:rsid w:val="00886527"/>
    <w:rsid w:val="00887F18"/>
    <w:rsid w:val="008B7F4C"/>
    <w:rsid w:val="008D2341"/>
    <w:rsid w:val="00913285"/>
    <w:rsid w:val="00923339"/>
    <w:rsid w:val="00926B9E"/>
    <w:rsid w:val="00946B1F"/>
    <w:rsid w:val="00947056"/>
    <w:rsid w:val="009557B4"/>
    <w:rsid w:val="00975848"/>
    <w:rsid w:val="009777D6"/>
    <w:rsid w:val="009C3306"/>
    <w:rsid w:val="009D19EF"/>
    <w:rsid w:val="009D712C"/>
    <w:rsid w:val="00A01490"/>
    <w:rsid w:val="00A1409B"/>
    <w:rsid w:val="00A26D31"/>
    <w:rsid w:val="00A34454"/>
    <w:rsid w:val="00A47E3C"/>
    <w:rsid w:val="00A81C4F"/>
    <w:rsid w:val="00AA5851"/>
    <w:rsid w:val="00AB2883"/>
    <w:rsid w:val="00AC2310"/>
    <w:rsid w:val="00AD5B04"/>
    <w:rsid w:val="00AF1AD7"/>
    <w:rsid w:val="00AF5667"/>
    <w:rsid w:val="00B02A43"/>
    <w:rsid w:val="00B460D9"/>
    <w:rsid w:val="00B701F6"/>
    <w:rsid w:val="00B84406"/>
    <w:rsid w:val="00B8462E"/>
    <w:rsid w:val="00BA2DEB"/>
    <w:rsid w:val="00BD0721"/>
    <w:rsid w:val="00BF29A5"/>
    <w:rsid w:val="00C1581D"/>
    <w:rsid w:val="00C34004"/>
    <w:rsid w:val="00C46BB8"/>
    <w:rsid w:val="00C65F0D"/>
    <w:rsid w:val="00CA29E1"/>
    <w:rsid w:val="00CB098F"/>
    <w:rsid w:val="00CD1578"/>
    <w:rsid w:val="00CE20B8"/>
    <w:rsid w:val="00CE5878"/>
    <w:rsid w:val="00D04CE9"/>
    <w:rsid w:val="00D13C3D"/>
    <w:rsid w:val="00D151BD"/>
    <w:rsid w:val="00D2035D"/>
    <w:rsid w:val="00D317F2"/>
    <w:rsid w:val="00D70894"/>
    <w:rsid w:val="00D86FF7"/>
    <w:rsid w:val="00D97688"/>
    <w:rsid w:val="00DE19E2"/>
    <w:rsid w:val="00DF18F8"/>
    <w:rsid w:val="00E46337"/>
    <w:rsid w:val="00E86796"/>
    <w:rsid w:val="00E94DA8"/>
    <w:rsid w:val="00EA5052"/>
    <w:rsid w:val="00EE55E5"/>
    <w:rsid w:val="00F015E6"/>
    <w:rsid w:val="00F130E8"/>
    <w:rsid w:val="00F33E40"/>
    <w:rsid w:val="00F46845"/>
    <w:rsid w:val="00F95DE7"/>
    <w:rsid w:val="00FA625A"/>
    <w:rsid w:val="00FB0DDE"/>
    <w:rsid w:val="00FB2C0A"/>
    <w:rsid w:val="00FE5567"/>
    <w:rsid w:val="00FF2303"/>
    <w:rsid w:val="71A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character" w:styleId="5">
    <w:name w:val="Emphasis"/>
    <w:basedOn w:val="2"/>
    <w:qFormat/>
    <w:uiPriority w:val="20"/>
    <w:rPr>
      <w:i/>
      <w:iCs/>
    </w:rPr>
  </w:style>
  <w:style w:type="paragraph" w:styleId="6">
    <w:name w:val="footer"/>
    <w:basedOn w:val="1"/>
    <w:link w:val="17"/>
    <w:unhideWhenUsed/>
    <w:qFormat/>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u w:val="single"/>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whitespace-normal"/>
    <w:basedOn w:val="2"/>
    <w:qFormat/>
    <w:uiPriority w:val="0"/>
  </w:style>
  <w:style w:type="character" w:customStyle="1" w:styleId="13">
    <w:name w:val="fontstyle01"/>
    <w:basedOn w:val="2"/>
    <w:qFormat/>
    <w:uiPriority w:val="0"/>
    <w:rPr>
      <w:rFonts w:hint="default" w:ascii="Times New Roman" w:hAnsi="Times New Roman" w:cs="Times New Roman"/>
      <w:color w:val="000000"/>
      <w:sz w:val="26"/>
      <w:szCs w:val="26"/>
    </w:rPr>
  </w:style>
  <w:style w:type="character" w:customStyle="1" w:styleId="14">
    <w:name w:val="fontstyle21"/>
    <w:basedOn w:val="2"/>
    <w:qFormat/>
    <w:uiPriority w:val="0"/>
    <w:rPr>
      <w:rFonts w:hint="default" w:ascii="Times New Roman" w:hAnsi="Times New Roman" w:cs="Times New Roman"/>
      <w:i/>
      <w:iCs/>
      <w:color w:val="0D0D0D"/>
      <w:sz w:val="24"/>
      <w:szCs w:val="24"/>
    </w:rPr>
  </w:style>
  <w:style w:type="character" w:customStyle="1" w:styleId="15">
    <w:name w:val="Unresolved Mention"/>
    <w:basedOn w:val="2"/>
    <w:semiHidden/>
    <w:unhideWhenUsed/>
    <w:qFormat/>
    <w:uiPriority w:val="99"/>
    <w:rPr>
      <w:color w:val="605E5C"/>
      <w:shd w:val="clear" w:color="auto" w:fill="E1DFDD"/>
    </w:rPr>
  </w:style>
  <w:style w:type="character" w:customStyle="1" w:styleId="16">
    <w:name w:val="Header Char"/>
    <w:basedOn w:val="2"/>
    <w:link w:val="7"/>
    <w:qFormat/>
    <w:uiPriority w:val="99"/>
  </w:style>
  <w:style w:type="character" w:customStyle="1" w:styleId="17">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2561</Words>
  <Characters>14113</Characters>
  <Lines>118</Lines>
  <Paragraphs>33</Paragraphs>
  <TotalTime>404</TotalTime>
  <ScaleCrop>false</ScaleCrop>
  <LinksUpToDate>false</LinksUpToDate>
  <CharactersWithSpaces>16547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2026-05-18T06:52:00Z</dcterms:created>
  <dc:creator>Admin</dc:creator>
  <cp:lastModifiedBy>Chandra K </cp:lastModifiedBy>
  <dcterms:modified xsi:type="dcterms:W3CDTF">2026-05-21T13:43:45Z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eyJoZGlkIjoiMWJmYmVhMGQ2YWQwOTc0ZDFkYmVkZTE0NzFkNThlYzIiLCJ1c2VySWQiOiI1NjcxMDIyNjk5MzcifQ==</vt:lpwstr>
  </property>
  <property fmtid="{D5CDD505-2E9C-101B-9397-08002B2CF9AE}" pid="3" name="KSOProductBuildVer">
    <vt:lpwstr>1033-12.1.0.26372</vt:lpwstr>
  </property>
  <property fmtid="{D5CDD505-2E9C-101B-9397-08002B2CF9AE}" pid="4" name="ICV">
    <vt:lpwstr>D8F3596A25544961A4CD0E861CD57BE5_12</vt:lpwstr>
  </property>
</Properties>
</file>