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2A19D6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2A19D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A19D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B6FF602" w:rsidR="00204042" w:rsidRPr="002A19D6" w:rsidRDefault="00C13AA9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2A19D6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Environment and Climate Change </w:t>
              </w:r>
            </w:hyperlink>
          </w:p>
        </w:tc>
      </w:tr>
      <w:tr w:rsidR="00204042" w:rsidRPr="002A19D6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2A19D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A19D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05C4F262" w:rsidR="00204042" w:rsidRPr="002A19D6" w:rsidRDefault="00BB4E8F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19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Ms_IJECC_159173</w:t>
            </w:r>
          </w:p>
        </w:tc>
      </w:tr>
      <w:tr w:rsidR="00204042" w:rsidRPr="002A19D6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2A19D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A19D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4CD3C260" w:rsidR="00204042" w:rsidRPr="002A19D6" w:rsidRDefault="00BB4E8F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19D6">
              <w:rPr>
                <w:rFonts w:ascii="Arial" w:hAnsi="Arial" w:cs="Arial"/>
                <w:b/>
                <w:sz w:val="20"/>
                <w:szCs w:val="20"/>
                <w:lang w:val="en-GB"/>
              </w:rPr>
              <w:t>Seasonal Evaluation of Agrometeorological Advisory Services and Farmer Response in Sugarcane Cultivation under GKMS</w:t>
            </w:r>
          </w:p>
        </w:tc>
      </w:tr>
      <w:tr w:rsidR="00204042" w:rsidRPr="002A19D6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2A19D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A19D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2A19D6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19D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2A19D6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2A19D6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2A19D6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2A19D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2A19D6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2A19D6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2A19D6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2A19D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2A19D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A19D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2A19D6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A19D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A19D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2A19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A19D6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2A19D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19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A19D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2A19D6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A19D6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19C4C5E1" w:rsidR="00204042" w:rsidRPr="002A19D6" w:rsidRDefault="00AF53A8" w:rsidP="00AF3F59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19D6">
              <w:rPr>
                <w:rFonts w:ascii="Arial" w:hAnsi="Arial" w:cs="Arial"/>
                <w:sz w:val="20"/>
                <w:szCs w:val="20"/>
              </w:rPr>
              <w:t>This manuscript highlights the importance of agrometeorological advisory services in improving climate-resilient sugarcane farming. The study provides useful insights into farmer adoption, satisfaction, and seasonal effectiveness of weather-based advisories under the GKMS and DAMU system. The findings may help improve timely and location-specific advisory services for sustainable agricultural management.</w:t>
            </w:r>
          </w:p>
        </w:tc>
        <w:tc>
          <w:tcPr>
            <w:tcW w:w="1667" w:type="pct"/>
          </w:tcPr>
          <w:p w14:paraId="46643927" w14:textId="77777777" w:rsidR="00204042" w:rsidRPr="002A19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2A19D6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2A19D6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2A19D6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A19D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2A19D6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2A19D6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2A19D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2A19D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A19D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2A19D6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19D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A19D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2A19D6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2A19D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19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2A19D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19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2A19D6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A19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65C8B347" w:rsidR="00204042" w:rsidRPr="002A19D6" w:rsidRDefault="00AF53A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19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2A19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A19D6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2A19D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A19D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2A19D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19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2A19D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19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5F929497" w:rsidR="00204042" w:rsidRPr="002A19D6" w:rsidRDefault="00AF53A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19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C68848" w14:textId="77777777" w:rsidR="00204042" w:rsidRPr="002A19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A19D6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2A19D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A19D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2A19D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19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2A19D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A19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155B50FB" w:rsidR="00204042" w:rsidRPr="002A19D6" w:rsidRDefault="00AF53A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19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2A19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A19D6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2A19D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A19D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2A19D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19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2A19D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A19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6B3E64C7" w:rsidR="00204042" w:rsidRPr="002A19D6" w:rsidRDefault="00AF53A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19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EAFF5" w14:textId="77777777" w:rsidR="00204042" w:rsidRPr="002A19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A19D6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2A19D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A19D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2A19D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19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2A19D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A19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53AD1DF4" w:rsidR="00204042" w:rsidRPr="002A19D6" w:rsidRDefault="00AF53A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19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AACFE7" w14:textId="77777777" w:rsidR="00204042" w:rsidRPr="002A19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A19D6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2A19D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A19D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2A19D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19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2A19D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A19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3362F6A1" w:rsidR="00204042" w:rsidRPr="002A19D6" w:rsidRDefault="00AF53A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19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2A19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A19D6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2A19D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A19D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2A19D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19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2A19D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19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769C41EC" w:rsidR="00204042" w:rsidRPr="002A19D6" w:rsidRDefault="00AF53A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19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2A19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A19D6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2A19D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A19D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2A19D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19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2A19D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A19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223A3D99" w:rsidR="00204042" w:rsidRPr="002A19D6" w:rsidRDefault="00AF53A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19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103D7017" w14:textId="77777777" w:rsidR="00204042" w:rsidRPr="002A19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A19D6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2A19D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19D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2A19D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19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2A19D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19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2F59C87C" w:rsidR="00204042" w:rsidRPr="002A19D6" w:rsidRDefault="00AF53A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19D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2A19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A19D6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2A19D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19D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2A19D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19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2A19D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19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2A19D6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2A19D6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226D15D7" w:rsidR="00204042" w:rsidRPr="002A19D6" w:rsidRDefault="00AF53A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19D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731B36A" w14:textId="77777777" w:rsidR="00204042" w:rsidRPr="002A19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A19D6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2A19D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19D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11. Does the discussion relate findings to </w:t>
            </w:r>
            <w:r w:rsidRPr="002A19D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existing literature?</w:t>
            </w:r>
          </w:p>
          <w:p w14:paraId="203100FE" w14:textId="77777777" w:rsidR="00204042" w:rsidRPr="002A19D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19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2A19D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19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4DEB95F2" w:rsidR="00204042" w:rsidRPr="002A19D6" w:rsidRDefault="00AF53A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19D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076CB8C3" w14:textId="77777777" w:rsidR="00204042" w:rsidRPr="002A19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A19D6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2A19D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19D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2A19D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19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2A19D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19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61E451A2" w:rsidR="00204042" w:rsidRPr="002A19D6" w:rsidRDefault="00AF53A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19D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2A19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A19D6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2A19D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19D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2A19D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19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2A19D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19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0F1CA333" w:rsidR="00204042" w:rsidRPr="002A19D6" w:rsidRDefault="00AF53A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19D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1FF1B95" w14:textId="77777777" w:rsidR="00204042" w:rsidRPr="002A19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A19D6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2A19D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19D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2A19D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19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2A19D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19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2A19D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19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58AD8BDB" w:rsidR="00204042" w:rsidRPr="002A19D6" w:rsidRDefault="00AF53A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19D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2A19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A19D6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2A19D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19D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2A19D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19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2A19D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19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2A19D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19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14DB3078" w:rsidR="00204042" w:rsidRPr="002A19D6" w:rsidRDefault="00AF53A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19D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D972FCB" w14:textId="77777777" w:rsidR="00204042" w:rsidRPr="002A19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2A19D6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2A19D6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2A19D6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A19D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2A19D6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821"/>
        <w:gridCol w:w="4568"/>
      </w:tblGrid>
      <w:tr w:rsidR="00EA6E35" w:rsidRPr="002A19D6" w14:paraId="149ADB7B" w14:textId="77777777" w:rsidTr="004015B6">
        <w:trPr>
          <w:trHeight w:val="20"/>
          <w:jc w:val="center"/>
        </w:trPr>
        <w:tc>
          <w:tcPr>
            <w:tcW w:w="1621" w:type="pct"/>
            <w:noWrap/>
          </w:tcPr>
          <w:p w14:paraId="63797B48" w14:textId="77777777" w:rsidR="00204042" w:rsidRPr="002A19D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35" w:type="pct"/>
          </w:tcPr>
          <w:p w14:paraId="467B62F4" w14:textId="77777777" w:rsidR="00204042" w:rsidRPr="002A19D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A19D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2A19D6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4" w:type="pct"/>
          </w:tcPr>
          <w:p w14:paraId="60C614CC" w14:textId="77777777" w:rsidR="00204042" w:rsidRPr="002A19D6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A19D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A19D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2A19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A19D6" w14:paraId="268171E1" w14:textId="77777777" w:rsidTr="004015B6">
        <w:trPr>
          <w:trHeight w:val="20"/>
          <w:jc w:val="center"/>
        </w:trPr>
        <w:tc>
          <w:tcPr>
            <w:tcW w:w="1621" w:type="pct"/>
            <w:noWrap/>
          </w:tcPr>
          <w:p w14:paraId="13E2BA27" w14:textId="77777777" w:rsidR="00204042" w:rsidRPr="002A19D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19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2A19D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2A19D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19D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2A19D6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735" w:type="pct"/>
          </w:tcPr>
          <w:p w14:paraId="3EB64465" w14:textId="528DE89B" w:rsidR="00204042" w:rsidRPr="002A19D6" w:rsidRDefault="00AF53A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19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44" w:type="pct"/>
          </w:tcPr>
          <w:p w14:paraId="716ABA7E" w14:textId="77777777" w:rsidR="00204042" w:rsidRPr="002A19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A19D6" w14:paraId="4502FD80" w14:textId="77777777" w:rsidTr="004015B6">
        <w:trPr>
          <w:trHeight w:val="20"/>
          <w:jc w:val="center"/>
        </w:trPr>
        <w:tc>
          <w:tcPr>
            <w:tcW w:w="1621" w:type="pct"/>
            <w:noWrap/>
          </w:tcPr>
          <w:p w14:paraId="4EFA9330" w14:textId="77777777" w:rsidR="00204042" w:rsidRPr="002A19D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A19D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Is the abstract of the article comprehensive? </w:t>
            </w:r>
          </w:p>
          <w:p w14:paraId="7DED7917" w14:textId="77777777" w:rsidR="00204042" w:rsidRPr="002A19D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19D6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2A19D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19D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2A19D6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5" w:type="pct"/>
          </w:tcPr>
          <w:p w14:paraId="7DC0514E" w14:textId="62D9266F" w:rsidR="00204042" w:rsidRPr="002A19D6" w:rsidRDefault="00AF53A8" w:rsidP="00EA6E3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19D6">
              <w:rPr>
                <w:rFonts w:ascii="Arial" w:hAnsi="Arial" w:cs="Arial"/>
                <w:sz w:val="20"/>
                <w:szCs w:val="20"/>
              </w:rPr>
              <w:t>Abstract is somewhat lengthy and contains grammatical issues and repetitive sentences. Some important statistical details and clearer presentation of key results would improve its overall quality.</w:t>
            </w:r>
          </w:p>
        </w:tc>
        <w:tc>
          <w:tcPr>
            <w:tcW w:w="1644" w:type="pct"/>
          </w:tcPr>
          <w:p w14:paraId="55FC2422" w14:textId="77777777" w:rsidR="00204042" w:rsidRPr="002A19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A19D6" w14:paraId="5C3740FC" w14:textId="77777777" w:rsidTr="004015B6">
        <w:trPr>
          <w:trHeight w:val="20"/>
          <w:jc w:val="center"/>
        </w:trPr>
        <w:tc>
          <w:tcPr>
            <w:tcW w:w="1621" w:type="pct"/>
            <w:noWrap/>
            <w:hideMark/>
          </w:tcPr>
          <w:p w14:paraId="1EC3E67A" w14:textId="77777777" w:rsidR="00204042" w:rsidRPr="002A19D6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A19D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2A19D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2A19D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19D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2A19D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19D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735" w:type="pct"/>
          </w:tcPr>
          <w:p w14:paraId="31E7B2CA" w14:textId="490D29BD" w:rsidR="00AF53A8" w:rsidRPr="002A19D6" w:rsidRDefault="00AF53A8" w:rsidP="00AF53A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A19D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The manuscript contains many grammatical and sentence construction errors, making several sections difficult to read smoothly. </w:t>
            </w:r>
          </w:p>
          <w:p w14:paraId="20C2ABC7" w14:textId="77777777" w:rsidR="00AF53A8" w:rsidRPr="002A19D6" w:rsidRDefault="00AF53A8" w:rsidP="00AF53A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A19D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The Introduction is repetitive and too lengthy in some places. Similar points about weather advisories and climate resilience are repeated multiple times. </w:t>
            </w:r>
          </w:p>
          <w:p w14:paraId="51C21099" w14:textId="77777777" w:rsidR="00AF53A8" w:rsidRPr="002A19D6" w:rsidRDefault="00AF53A8" w:rsidP="00AF53A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A19D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The objectives are written in paragraph form instead of being presented clearly and concisely. </w:t>
            </w:r>
          </w:p>
          <w:p w14:paraId="1D039207" w14:textId="77777777" w:rsidR="00AF53A8" w:rsidRPr="002A19D6" w:rsidRDefault="00AF53A8" w:rsidP="00AF53A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A19D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The methodology section lacks important details such as: </w:t>
            </w:r>
          </w:p>
          <w:p w14:paraId="2D05E538" w14:textId="77777777" w:rsidR="00AF53A8" w:rsidRPr="002A19D6" w:rsidRDefault="00AF53A8" w:rsidP="00AF53A8">
            <w:pPr>
              <w:numPr>
                <w:ilvl w:val="1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A19D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sampling procedure, </w:t>
            </w:r>
          </w:p>
          <w:p w14:paraId="5637648B" w14:textId="77777777" w:rsidR="00AF53A8" w:rsidRPr="002A19D6" w:rsidRDefault="00AF53A8" w:rsidP="00AF53A8">
            <w:pPr>
              <w:numPr>
                <w:ilvl w:val="1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A19D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farmer selection criteria, </w:t>
            </w:r>
          </w:p>
          <w:p w14:paraId="2619021D" w14:textId="77777777" w:rsidR="00AF53A8" w:rsidRPr="002A19D6" w:rsidRDefault="00AF53A8" w:rsidP="00AF53A8">
            <w:pPr>
              <w:numPr>
                <w:ilvl w:val="1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A19D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survey design, </w:t>
            </w:r>
          </w:p>
          <w:p w14:paraId="2872CF4E" w14:textId="77777777" w:rsidR="00AF53A8" w:rsidRPr="002A19D6" w:rsidRDefault="00AF53A8" w:rsidP="00AF53A8">
            <w:pPr>
              <w:numPr>
                <w:ilvl w:val="1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A19D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questionnaire validation, </w:t>
            </w:r>
          </w:p>
          <w:p w14:paraId="5787A2B9" w14:textId="77777777" w:rsidR="00AF53A8" w:rsidRPr="002A19D6" w:rsidRDefault="00AF53A8" w:rsidP="00AF53A8">
            <w:pPr>
              <w:numPr>
                <w:ilvl w:val="1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A19D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statistical software used. </w:t>
            </w:r>
          </w:p>
          <w:p w14:paraId="097A86AD" w14:textId="77777777" w:rsidR="00AF53A8" w:rsidRPr="002A19D6" w:rsidRDefault="00AF53A8" w:rsidP="00AF53A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A19D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The study repeatedly mentions “response time,” but the method of measuring response time is not clearly explained. </w:t>
            </w:r>
          </w:p>
          <w:p w14:paraId="3C8D4ACD" w14:textId="77777777" w:rsidR="00AF53A8" w:rsidRPr="002A19D6" w:rsidRDefault="00AF53A8" w:rsidP="00AF53A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A19D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The hypotheses section is unnecessarily detailed for this type of study and could be simplified. </w:t>
            </w:r>
          </w:p>
          <w:p w14:paraId="137B7DE8" w14:textId="77777777" w:rsidR="00AF53A8" w:rsidRPr="002A19D6" w:rsidRDefault="00AF53A8" w:rsidP="00AF53A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A19D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The formula for percentage calculation is incomplete in the manuscript. </w:t>
            </w:r>
          </w:p>
          <w:p w14:paraId="0399E22F" w14:textId="77777777" w:rsidR="00AF53A8" w:rsidRPr="002A19D6" w:rsidRDefault="00AF53A8" w:rsidP="00AF53A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A19D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ANOVA analysis is mentioned, but actual ANOVA tables, F-values, p-values, and significance levels are not properly presented. </w:t>
            </w:r>
          </w:p>
          <w:p w14:paraId="4186E1B1" w14:textId="77777777" w:rsidR="00AF53A8" w:rsidRPr="002A19D6" w:rsidRDefault="00AF53A8" w:rsidP="00AF53A8">
            <w:pPr>
              <w:numPr>
                <w:ilvl w:val="0"/>
                <w:numId w:val="13"/>
              </w:numPr>
              <w:ind w:left="714" w:hanging="357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A19D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Correlation analysis is discussed, but correlation coefficient values are not shown anywhere in the Results section. </w:t>
            </w:r>
          </w:p>
          <w:p w14:paraId="7A124803" w14:textId="68C1518D" w:rsidR="00AF53A8" w:rsidRPr="002A19D6" w:rsidRDefault="00AF53A8" w:rsidP="00AF53A8">
            <w:pPr>
              <w:numPr>
                <w:ilvl w:val="0"/>
                <w:numId w:val="15"/>
              </w:numPr>
              <w:ind w:left="714" w:hanging="357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A19D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The Results and Discussion section is mostly descriptive and lacks deep scientific interpretation. </w:t>
            </w:r>
          </w:p>
          <w:p w14:paraId="2A61A110" w14:textId="77777777" w:rsidR="00AF53A8" w:rsidRPr="002A19D6" w:rsidRDefault="00AF53A8" w:rsidP="00AF53A8">
            <w:pPr>
              <w:numPr>
                <w:ilvl w:val="0"/>
                <w:numId w:val="15"/>
              </w:numPr>
              <w:ind w:left="714" w:hanging="357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A19D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Several conclusions are generalized without sufficient statistical evidence. </w:t>
            </w:r>
          </w:p>
          <w:p w14:paraId="7E6CB3F5" w14:textId="77777777" w:rsidR="00AF53A8" w:rsidRPr="002A19D6" w:rsidRDefault="00AF53A8" w:rsidP="00AF53A8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A19D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Table 1 contains multiple spelling mistakes such as: </w:t>
            </w:r>
          </w:p>
          <w:p w14:paraId="2B40B358" w14:textId="77777777" w:rsidR="00AF53A8" w:rsidRPr="002A19D6" w:rsidRDefault="00AF53A8" w:rsidP="00AF53A8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A19D6">
              <w:rPr>
                <w:rFonts w:ascii="Arial" w:hAnsi="Arial" w:cs="Arial"/>
                <w:sz w:val="20"/>
                <w:szCs w:val="20"/>
                <w:lang w:val="en-IN" w:eastAsia="en-IN"/>
              </w:rPr>
              <w:t>“</w:t>
            </w:r>
            <w:proofErr w:type="spellStart"/>
            <w:r w:rsidRPr="002A19D6">
              <w:rPr>
                <w:rFonts w:ascii="Arial" w:hAnsi="Arial" w:cs="Arial"/>
                <w:sz w:val="20"/>
                <w:szCs w:val="20"/>
                <w:lang w:val="en-IN" w:eastAsia="en-IN"/>
              </w:rPr>
              <w:t>Mansoon</w:t>
            </w:r>
            <w:proofErr w:type="spellEnd"/>
            <w:r w:rsidRPr="002A19D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” instead of “Monsoon” </w:t>
            </w:r>
          </w:p>
          <w:p w14:paraId="6C2CFBD3" w14:textId="77777777" w:rsidR="00AF53A8" w:rsidRPr="002A19D6" w:rsidRDefault="00AF53A8" w:rsidP="00AF53A8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A19D6">
              <w:rPr>
                <w:rFonts w:ascii="Arial" w:hAnsi="Arial" w:cs="Arial"/>
                <w:sz w:val="20"/>
                <w:szCs w:val="20"/>
                <w:lang w:val="en-IN" w:eastAsia="en-IN"/>
              </w:rPr>
              <w:t>“</w:t>
            </w:r>
            <w:proofErr w:type="spellStart"/>
            <w:r w:rsidRPr="002A19D6">
              <w:rPr>
                <w:rFonts w:ascii="Arial" w:hAnsi="Arial" w:cs="Arial"/>
                <w:sz w:val="20"/>
                <w:szCs w:val="20"/>
                <w:lang w:val="en-IN" w:eastAsia="en-IN"/>
              </w:rPr>
              <w:t>Revelent</w:t>
            </w:r>
            <w:proofErr w:type="spellEnd"/>
            <w:r w:rsidRPr="002A19D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” instead of “Relevant” </w:t>
            </w:r>
          </w:p>
          <w:p w14:paraId="14C5CB16" w14:textId="77777777" w:rsidR="00AF53A8" w:rsidRPr="002A19D6" w:rsidRDefault="00AF53A8" w:rsidP="00AF53A8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A19D6">
              <w:rPr>
                <w:rFonts w:ascii="Arial" w:hAnsi="Arial" w:cs="Arial"/>
                <w:sz w:val="20"/>
                <w:szCs w:val="20"/>
                <w:lang w:val="en-IN" w:eastAsia="en-IN"/>
              </w:rPr>
              <w:t>“</w:t>
            </w:r>
            <w:proofErr w:type="spellStart"/>
            <w:r w:rsidRPr="002A19D6">
              <w:rPr>
                <w:rFonts w:ascii="Arial" w:hAnsi="Arial" w:cs="Arial"/>
                <w:sz w:val="20"/>
                <w:szCs w:val="20"/>
                <w:lang w:val="en-IN" w:eastAsia="en-IN"/>
              </w:rPr>
              <w:t>Irrelevent</w:t>
            </w:r>
            <w:proofErr w:type="spellEnd"/>
            <w:r w:rsidRPr="002A19D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” instead of “Irrelevant” </w:t>
            </w:r>
          </w:p>
          <w:p w14:paraId="030CC12B" w14:textId="77777777" w:rsidR="00AF53A8" w:rsidRPr="002A19D6" w:rsidRDefault="00AF53A8" w:rsidP="00AF53A8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A19D6">
              <w:rPr>
                <w:rFonts w:ascii="Arial" w:hAnsi="Arial" w:cs="Arial"/>
                <w:sz w:val="20"/>
                <w:szCs w:val="20"/>
                <w:lang w:val="en-IN" w:eastAsia="en-IN"/>
              </w:rPr>
              <w:t>“</w:t>
            </w:r>
            <w:proofErr w:type="spellStart"/>
            <w:r w:rsidRPr="002A19D6">
              <w:rPr>
                <w:rFonts w:ascii="Arial" w:hAnsi="Arial" w:cs="Arial"/>
                <w:sz w:val="20"/>
                <w:szCs w:val="20"/>
                <w:lang w:val="en-IN" w:eastAsia="en-IN"/>
              </w:rPr>
              <w:t>Prepar</w:t>
            </w:r>
            <w:proofErr w:type="spellEnd"/>
            <w:r w:rsidRPr="002A19D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” instead of “Prepared” </w:t>
            </w:r>
          </w:p>
          <w:p w14:paraId="1B5B4E9D" w14:textId="77777777" w:rsidR="00AF53A8" w:rsidRPr="002A19D6" w:rsidRDefault="00AF53A8" w:rsidP="00AF53A8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A19D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Seasonal classifications are inconsistent: </w:t>
            </w:r>
          </w:p>
          <w:p w14:paraId="18E39529" w14:textId="77777777" w:rsidR="00AF53A8" w:rsidRPr="002A19D6" w:rsidRDefault="00AF53A8" w:rsidP="00AF53A8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A19D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Winter season is wrongly mentioned as “SMT (40 to 52*)” instead of SMW 1–8. </w:t>
            </w:r>
          </w:p>
          <w:p w14:paraId="6DDE123E" w14:textId="77777777" w:rsidR="00AF53A8" w:rsidRPr="002A19D6" w:rsidRDefault="00AF53A8" w:rsidP="00AF53A8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A19D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The abbreviation “SMT” is used in tables instead of “SMW,” creating inconsistency. </w:t>
            </w:r>
          </w:p>
          <w:p w14:paraId="7B6ED83E" w14:textId="692541A8" w:rsidR="00AF53A8" w:rsidRPr="002A19D6" w:rsidRDefault="00AF53A8" w:rsidP="00AF53A8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A19D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Table formatting is very </w:t>
            </w:r>
            <w:r w:rsidR="00C10BFF" w:rsidRPr="002A19D6">
              <w:rPr>
                <w:rFonts w:ascii="Arial" w:hAnsi="Arial" w:cs="Arial"/>
                <w:sz w:val="20"/>
                <w:szCs w:val="20"/>
                <w:lang w:val="en-IN" w:eastAsia="en-IN"/>
              </w:rPr>
              <w:t>improper</w:t>
            </w:r>
            <w:r w:rsidRPr="002A19D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and difficult to understand. The arrangement of headings and variables needs major correction. </w:t>
            </w:r>
          </w:p>
          <w:p w14:paraId="666ACF50" w14:textId="0AB3CC07" w:rsidR="00AF53A8" w:rsidRPr="002A19D6" w:rsidRDefault="00AF53A8" w:rsidP="00AF53A8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A19D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Figures are </w:t>
            </w:r>
            <w:r w:rsidR="00E373E8" w:rsidRPr="002A19D6">
              <w:rPr>
                <w:rFonts w:ascii="Arial" w:hAnsi="Arial" w:cs="Arial"/>
                <w:sz w:val="20"/>
                <w:szCs w:val="20"/>
                <w:lang w:val="en-IN" w:eastAsia="en-IN"/>
              </w:rPr>
              <w:t>not properly</w:t>
            </w:r>
            <w:r w:rsidRPr="002A19D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</w:t>
            </w:r>
            <w:r w:rsidR="00F60D6A" w:rsidRPr="002A19D6">
              <w:rPr>
                <w:rFonts w:ascii="Arial" w:hAnsi="Arial" w:cs="Arial"/>
                <w:sz w:val="20"/>
                <w:szCs w:val="20"/>
                <w:lang w:val="en-IN" w:eastAsia="en-IN"/>
              </w:rPr>
              <w:t>labelled</w:t>
            </w:r>
            <w:r w:rsidRPr="002A19D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and not properly explained in the manuscript text. </w:t>
            </w:r>
          </w:p>
          <w:p w14:paraId="2AA01598" w14:textId="77777777" w:rsidR="00AF53A8" w:rsidRPr="002A19D6" w:rsidRDefault="00AF53A8" w:rsidP="00AF53A8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A19D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The manuscript lacks graphical presentation of statistical findings such as adoption percentages, satisfaction trends, or seasonal comparisons. </w:t>
            </w:r>
          </w:p>
          <w:p w14:paraId="5A69206A" w14:textId="77777777" w:rsidR="00AF53A8" w:rsidRPr="002A19D6" w:rsidRDefault="00AF53A8" w:rsidP="00AF53A8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A19D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Several references are very recent (2025) but appear unrelated or weakly connected to the discussion. </w:t>
            </w:r>
          </w:p>
          <w:p w14:paraId="0E0D6531" w14:textId="77777777" w:rsidR="00AF53A8" w:rsidRPr="002A19D6" w:rsidRDefault="00AF53A8" w:rsidP="00AF53A8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A19D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Reference formatting is inconsistent throughout the manuscript. </w:t>
            </w:r>
          </w:p>
          <w:p w14:paraId="32EFC4BF" w14:textId="77777777" w:rsidR="00AF53A8" w:rsidRPr="002A19D6" w:rsidRDefault="00AF53A8" w:rsidP="00AF53A8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A19D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The discussion section repeats </w:t>
            </w:r>
            <w:proofErr w:type="gramStart"/>
            <w:r w:rsidRPr="002A19D6">
              <w:rPr>
                <w:rFonts w:ascii="Arial" w:hAnsi="Arial" w:cs="Arial"/>
                <w:sz w:val="20"/>
                <w:szCs w:val="20"/>
                <w:lang w:val="en-IN" w:eastAsia="en-IN"/>
              </w:rPr>
              <w:t>results</w:t>
            </w:r>
            <w:proofErr w:type="gramEnd"/>
            <w:r w:rsidRPr="002A19D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instead of critically comparing findings with previous studies. </w:t>
            </w:r>
          </w:p>
          <w:p w14:paraId="335B92DA" w14:textId="77777777" w:rsidR="00AF53A8" w:rsidRPr="002A19D6" w:rsidRDefault="00AF53A8" w:rsidP="00AF53A8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A19D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The manuscript does not discuss limitations of the study. </w:t>
            </w:r>
          </w:p>
          <w:p w14:paraId="5B1D8943" w14:textId="77777777" w:rsidR="00AF53A8" w:rsidRPr="002A19D6" w:rsidRDefault="00AF53A8" w:rsidP="00AF53A8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A19D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Farmer satisfaction analysis is too general and lacks detailed interpretation. </w:t>
            </w:r>
          </w:p>
          <w:p w14:paraId="1727C7E7" w14:textId="77777777" w:rsidR="00AF53A8" w:rsidRPr="002A19D6" w:rsidRDefault="00AF53A8" w:rsidP="00AF53A8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A19D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The conclusion section repeats many statements from the Results and Discussion instead of providing concise final insights. </w:t>
            </w:r>
          </w:p>
          <w:p w14:paraId="6C2CA65B" w14:textId="77777777" w:rsidR="00AF53A8" w:rsidRPr="002A19D6" w:rsidRDefault="00AF53A8" w:rsidP="00AF53A8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A19D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There are several punctuation and spacing inconsistencies throughout the manuscript. </w:t>
            </w:r>
          </w:p>
          <w:p w14:paraId="07F6EF2B" w14:textId="77777777" w:rsidR="00AF53A8" w:rsidRPr="002A19D6" w:rsidRDefault="00AF53A8" w:rsidP="00AF53A8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A19D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The manuscript needs thorough English </w:t>
            </w:r>
            <w:r w:rsidRPr="002A19D6">
              <w:rPr>
                <w:rFonts w:ascii="Arial" w:hAnsi="Arial" w:cs="Arial"/>
                <w:sz w:val="20"/>
                <w:szCs w:val="20"/>
                <w:lang w:val="en-IN" w:eastAsia="en-IN"/>
              </w:rPr>
              <w:lastRenderedPageBreak/>
              <w:t xml:space="preserve">language editing before publication. </w:t>
            </w:r>
          </w:p>
          <w:p w14:paraId="25087CE6" w14:textId="77777777" w:rsidR="00204042" w:rsidRPr="002A19D6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44" w:type="pct"/>
          </w:tcPr>
          <w:p w14:paraId="51AC5B4C" w14:textId="77777777" w:rsidR="00204042" w:rsidRPr="002A19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A19D6" w14:paraId="0D69610E" w14:textId="77777777" w:rsidTr="004015B6">
        <w:trPr>
          <w:trHeight w:val="20"/>
          <w:jc w:val="center"/>
        </w:trPr>
        <w:tc>
          <w:tcPr>
            <w:tcW w:w="1621" w:type="pct"/>
            <w:noWrap/>
          </w:tcPr>
          <w:p w14:paraId="4EC4DD3C" w14:textId="77777777" w:rsidR="00204042" w:rsidRPr="002A19D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19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2A19D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19D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2A19D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2A19D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19D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2A19D6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35" w:type="pct"/>
          </w:tcPr>
          <w:p w14:paraId="1E6ADAA5" w14:textId="77777777" w:rsidR="00AF53A8" w:rsidRPr="002A19D6" w:rsidRDefault="00AF53A8" w:rsidP="00AF53A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A19D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Many references are cited in the text without proper sentence structure. For example: </w:t>
            </w:r>
          </w:p>
          <w:p w14:paraId="0452BBE5" w14:textId="77777777" w:rsidR="00AF53A8" w:rsidRPr="002A19D6" w:rsidRDefault="00AF53A8" w:rsidP="00AF53A8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A19D6">
              <w:rPr>
                <w:rFonts w:ascii="Arial" w:hAnsi="Arial" w:cs="Arial"/>
                <w:sz w:val="20"/>
                <w:szCs w:val="20"/>
                <w:lang w:val="en-IN" w:eastAsia="en-IN"/>
              </w:rPr>
              <w:t>“</w:t>
            </w:r>
            <w:proofErr w:type="gramStart"/>
            <w:r w:rsidRPr="002A19D6">
              <w:rPr>
                <w:rFonts w:ascii="Arial" w:hAnsi="Arial" w:cs="Arial"/>
                <w:sz w:val="20"/>
                <w:szCs w:val="20"/>
                <w:lang w:val="en-IN" w:eastAsia="en-IN"/>
              </w:rPr>
              <w:t>similar</w:t>
            </w:r>
            <w:proofErr w:type="gramEnd"/>
            <w:r w:rsidRPr="002A19D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as Srivastava et al., 2022” </w:t>
            </w:r>
          </w:p>
          <w:p w14:paraId="74FEEC65" w14:textId="77777777" w:rsidR="00AF53A8" w:rsidRPr="002A19D6" w:rsidRDefault="00AF53A8" w:rsidP="00AF53A8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A19D6">
              <w:rPr>
                <w:rFonts w:ascii="Arial" w:hAnsi="Arial" w:cs="Arial"/>
                <w:sz w:val="20"/>
                <w:szCs w:val="20"/>
                <w:lang w:val="en-IN" w:eastAsia="en-IN"/>
              </w:rPr>
              <w:t>“</w:t>
            </w:r>
            <w:proofErr w:type="gramStart"/>
            <w:r w:rsidRPr="002A19D6">
              <w:rPr>
                <w:rFonts w:ascii="Arial" w:hAnsi="Arial" w:cs="Arial"/>
                <w:sz w:val="20"/>
                <w:szCs w:val="20"/>
                <w:lang w:val="en-IN" w:eastAsia="en-IN"/>
              </w:rPr>
              <w:t>closed</w:t>
            </w:r>
            <w:proofErr w:type="gramEnd"/>
            <w:r w:rsidRPr="002A19D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as result reported as Mall et al., 2016” </w:t>
            </w:r>
          </w:p>
          <w:p w14:paraId="55F581BC" w14:textId="77777777" w:rsidR="00204042" w:rsidRPr="002A19D6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44" w:type="pct"/>
          </w:tcPr>
          <w:p w14:paraId="467EE6CF" w14:textId="77777777" w:rsidR="00204042" w:rsidRPr="002A19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A19D6" w14:paraId="124FFBD8" w14:textId="77777777" w:rsidTr="004015B6">
        <w:trPr>
          <w:trHeight w:val="20"/>
          <w:jc w:val="center"/>
        </w:trPr>
        <w:tc>
          <w:tcPr>
            <w:tcW w:w="1621" w:type="pct"/>
            <w:noWrap/>
          </w:tcPr>
          <w:p w14:paraId="1EBCFF00" w14:textId="77777777" w:rsidR="00204042" w:rsidRPr="002A19D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19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2A19D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19D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2A19D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2A19D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19D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2A19D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35" w:type="pct"/>
          </w:tcPr>
          <w:p w14:paraId="54F0B5A8" w14:textId="16612937" w:rsidR="00204042" w:rsidRPr="002A19D6" w:rsidRDefault="00AF53A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19D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44" w:type="pct"/>
          </w:tcPr>
          <w:p w14:paraId="3175E146" w14:textId="77777777" w:rsidR="00204042" w:rsidRPr="002A19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2A19D6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F6D6FEE" w14:textId="77777777" w:rsidR="00710F6E" w:rsidRPr="002A19D6" w:rsidRDefault="00710F6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9EFE278" w14:textId="77777777" w:rsidR="00710F6E" w:rsidRPr="002A19D6" w:rsidRDefault="00710F6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A9430F3" w14:textId="77777777" w:rsidR="00710F6E" w:rsidRPr="002A19D6" w:rsidRDefault="00710F6E" w:rsidP="00710F6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A19D6">
        <w:rPr>
          <w:rFonts w:ascii="Arial" w:hAnsi="Arial" w:cs="Arial"/>
          <w:b/>
          <w:u w:val="single"/>
        </w:rPr>
        <w:t>Reviewer details:</w:t>
      </w:r>
    </w:p>
    <w:p w14:paraId="3F7477BC" w14:textId="77777777" w:rsidR="00710F6E" w:rsidRPr="002A19D6" w:rsidRDefault="00710F6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76B503F" w14:textId="2B99CAB5" w:rsidR="00710F6E" w:rsidRPr="002A19D6" w:rsidRDefault="00710F6E" w:rsidP="00710F6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r w:rsidRPr="002A19D6">
        <w:rPr>
          <w:rFonts w:ascii="Arial" w:eastAsia="MS Mincho" w:hAnsi="Arial" w:cs="Arial"/>
          <w:b/>
          <w:bCs/>
          <w:sz w:val="20"/>
          <w:szCs w:val="20"/>
          <w:lang w:val="en-GB"/>
        </w:rPr>
        <w:t>Monika Ray</w:t>
      </w:r>
      <w:r w:rsidRPr="002A19D6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2A19D6">
        <w:rPr>
          <w:rFonts w:ascii="Arial" w:eastAsia="MS Mincho" w:hAnsi="Arial" w:cs="Arial"/>
          <w:b/>
          <w:bCs/>
          <w:sz w:val="20"/>
          <w:szCs w:val="20"/>
          <w:lang w:val="en-GB"/>
        </w:rPr>
        <w:t>Odisha University of Agriculture and Technology, India</w:t>
      </w:r>
    </w:p>
    <w:sectPr w:rsidR="00710F6E" w:rsidRPr="002A19D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648A5" w14:textId="77777777" w:rsidR="00552B16" w:rsidRDefault="00552B16">
      <w:r>
        <w:separator/>
      </w:r>
    </w:p>
  </w:endnote>
  <w:endnote w:type="continuationSeparator" w:id="0">
    <w:p w14:paraId="453C4CA8" w14:textId="77777777" w:rsidR="00552B16" w:rsidRDefault="00552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23F1A" w14:textId="77777777" w:rsidR="00552B16" w:rsidRDefault="00552B16">
      <w:r>
        <w:separator/>
      </w:r>
    </w:p>
  </w:footnote>
  <w:footnote w:type="continuationSeparator" w:id="0">
    <w:p w14:paraId="3E113481" w14:textId="77777777" w:rsidR="00552B16" w:rsidRDefault="00552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A23C4F"/>
    <w:multiLevelType w:val="multilevel"/>
    <w:tmpl w:val="24F2B5C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AC2893"/>
    <w:multiLevelType w:val="multilevel"/>
    <w:tmpl w:val="8A069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596755A"/>
    <w:multiLevelType w:val="multilevel"/>
    <w:tmpl w:val="B17C562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265F0D"/>
    <w:multiLevelType w:val="multilevel"/>
    <w:tmpl w:val="9B3A9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990BA9"/>
    <w:multiLevelType w:val="multilevel"/>
    <w:tmpl w:val="0EC4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C197C00"/>
    <w:multiLevelType w:val="multilevel"/>
    <w:tmpl w:val="9F620D1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E65F72"/>
    <w:multiLevelType w:val="multilevel"/>
    <w:tmpl w:val="E41E0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9258730">
    <w:abstractNumId w:val="4"/>
  </w:num>
  <w:num w:numId="2" w16cid:durableId="982849195">
    <w:abstractNumId w:val="10"/>
  </w:num>
  <w:num w:numId="3" w16cid:durableId="402407803">
    <w:abstractNumId w:val="9"/>
  </w:num>
  <w:num w:numId="4" w16cid:durableId="520778615">
    <w:abstractNumId w:val="13"/>
  </w:num>
  <w:num w:numId="5" w16cid:durableId="1149054807">
    <w:abstractNumId w:val="7"/>
  </w:num>
  <w:num w:numId="6" w16cid:durableId="48841321">
    <w:abstractNumId w:val="0"/>
  </w:num>
  <w:num w:numId="7" w16cid:durableId="385492747">
    <w:abstractNumId w:val="3"/>
  </w:num>
  <w:num w:numId="8" w16cid:durableId="1389112662">
    <w:abstractNumId w:val="18"/>
  </w:num>
  <w:num w:numId="9" w16cid:durableId="569074771">
    <w:abstractNumId w:val="15"/>
  </w:num>
  <w:num w:numId="10" w16cid:durableId="1578708702">
    <w:abstractNumId w:val="2"/>
  </w:num>
  <w:num w:numId="11" w16cid:durableId="984698250">
    <w:abstractNumId w:val="1"/>
  </w:num>
  <w:num w:numId="12" w16cid:durableId="1502085894">
    <w:abstractNumId w:val="5"/>
  </w:num>
  <w:num w:numId="13" w16cid:durableId="310982854">
    <w:abstractNumId w:val="17"/>
  </w:num>
  <w:num w:numId="14" w16cid:durableId="515076537">
    <w:abstractNumId w:val="12"/>
  </w:num>
  <w:num w:numId="15" w16cid:durableId="208688027">
    <w:abstractNumId w:val="6"/>
  </w:num>
  <w:num w:numId="16" w16cid:durableId="381053636">
    <w:abstractNumId w:val="8"/>
  </w:num>
  <w:num w:numId="17" w16cid:durableId="656035810">
    <w:abstractNumId w:val="11"/>
  </w:num>
  <w:num w:numId="18" w16cid:durableId="1019507057">
    <w:abstractNumId w:val="14"/>
  </w:num>
  <w:num w:numId="19" w16cid:durableId="13888036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204042"/>
    <w:rsid w:val="00206283"/>
    <w:rsid w:val="00261933"/>
    <w:rsid w:val="002A19D6"/>
    <w:rsid w:val="002C66D6"/>
    <w:rsid w:val="0039407F"/>
    <w:rsid w:val="004015B6"/>
    <w:rsid w:val="005136E7"/>
    <w:rsid w:val="00552B16"/>
    <w:rsid w:val="005B6C7D"/>
    <w:rsid w:val="005C677A"/>
    <w:rsid w:val="006534F5"/>
    <w:rsid w:val="00710F6E"/>
    <w:rsid w:val="007A699C"/>
    <w:rsid w:val="007B03AC"/>
    <w:rsid w:val="008B0405"/>
    <w:rsid w:val="008D2987"/>
    <w:rsid w:val="00916DCD"/>
    <w:rsid w:val="00995F9E"/>
    <w:rsid w:val="009A3A95"/>
    <w:rsid w:val="009E4093"/>
    <w:rsid w:val="00A7113E"/>
    <w:rsid w:val="00AA476E"/>
    <w:rsid w:val="00AF3F59"/>
    <w:rsid w:val="00AF53A8"/>
    <w:rsid w:val="00B66F2E"/>
    <w:rsid w:val="00B749A6"/>
    <w:rsid w:val="00BB4E8F"/>
    <w:rsid w:val="00C10BFF"/>
    <w:rsid w:val="00C13AA9"/>
    <w:rsid w:val="00C255C0"/>
    <w:rsid w:val="00CD5666"/>
    <w:rsid w:val="00D51B4B"/>
    <w:rsid w:val="00DF4831"/>
    <w:rsid w:val="00E13F66"/>
    <w:rsid w:val="00E24527"/>
    <w:rsid w:val="00E373E8"/>
    <w:rsid w:val="00E46CBC"/>
    <w:rsid w:val="00E760C2"/>
    <w:rsid w:val="00EA6E35"/>
    <w:rsid w:val="00EE3E18"/>
    <w:rsid w:val="00F60D6A"/>
    <w:rsid w:val="00FB74AD"/>
    <w:rsid w:val="00FD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10F6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ecc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1130</Words>
  <Characters>6442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45</cp:revision>
  <dcterms:created xsi:type="dcterms:W3CDTF">2026-03-24T06:15:00Z</dcterms:created>
  <dcterms:modified xsi:type="dcterms:W3CDTF">2026-05-22T07:11:00Z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