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BB5E98" w14:paraId="1F0035F1" w14:textId="77777777" w:rsidTr="00EA6E35">
        <w:trPr>
          <w:trHeight w:val="20"/>
          <w:jc w:val="center"/>
        </w:trPr>
        <w:tc>
          <w:tcPr>
            <w:tcW w:w="1186" w:type="pct"/>
          </w:tcPr>
          <w:p w14:paraId="4AB88081" w14:textId="77777777" w:rsidR="00204042" w:rsidRPr="00BB5E98" w:rsidRDefault="00EA6E35" w:rsidP="00EA6E35">
            <w:pPr>
              <w:pStyle w:val="BodyText"/>
              <w:ind w:left="90"/>
              <w:jc w:val="left"/>
              <w:rPr>
                <w:rFonts w:ascii="Arial" w:hAnsi="Arial" w:cs="Arial"/>
                <w:bCs/>
                <w:sz w:val="20"/>
                <w:szCs w:val="20"/>
                <w:lang w:val="en-GB" w:eastAsia="en-US"/>
              </w:rPr>
            </w:pPr>
            <w:bookmarkStart w:id="0" w:name="_Hlk228807786"/>
            <w:r w:rsidRPr="00BB5E98">
              <w:rPr>
                <w:rFonts w:ascii="Arial" w:hAnsi="Arial" w:cs="Arial"/>
                <w:bCs/>
                <w:sz w:val="20"/>
                <w:szCs w:val="20"/>
                <w:lang w:val="en-GB" w:eastAsia="en-US"/>
              </w:rPr>
              <w:t>Journal Name:</w:t>
            </w:r>
          </w:p>
        </w:tc>
        <w:tc>
          <w:tcPr>
            <w:tcW w:w="3814" w:type="pct"/>
          </w:tcPr>
          <w:p w14:paraId="2326B526" w14:textId="7B6FF602" w:rsidR="00204042" w:rsidRPr="00BB5E98" w:rsidRDefault="00C13AA9" w:rsidP="00AF3F59">
            <w:pPr>
              <w:rPr>
                <w:rFonts w:ascii="Arial" w:hAnsi="Arial" w:cs="Arial"/>
                <w:b/>
                <w:bCs/>
                <w:color w:val="0000FF"/>
                <w:sz w:val="20"/>
                <w:szCs w:val="20"/>
                <w:lang w:val="en-GB"/>
              </w:rPr>
            </w:pPr>
            <w:hyperlink r:id="rId7" w:history="1">
              <w:r w:rsidRPr="00BB5E98">
                <w:rPr>
                  <w:rFonts w:ascii="Arial" w:hAnsi="Arial" w:cs="Arial"/>
                  <w:bCs/>
                  <w:noProof/>
                  <w:color w:val="0000FF"/>
                  <w:sz w:val="20"/>
                  <w:szCs w:val="20"/>
                  <w:u w:val="single"/>
                </w:rPr>
                <w:t xml:space="preserve">International Journal of Environment and Climate Change </w:t>
              </w:r>
            </w:hyperlink>
          </w:p>
        </w:tc>
      </w:tr>
      <w:bookmarkEnd w:id="0"/>
      <w:tr w:rsidR="00204042" w:rsidRPr="00BB5E98" w14:paraId="2DBBB563" w14:textId="77777777" w:rsidTr="00EA6E35">
        <w:trPr>
          <w:trHeight w:val="20"/>
          <w:jc w:val="center"/>
        </w:trPr>
        <w:tc>
          <w:tcPr>
            <w:tcW w:w="1186" w:type="pct"/>
          </w:tcPr>
          <w:p w14:paraId="66222ECC" w14:textId="77777777" w:rsidR="00204042" w:rsidRPr="00BB5E98" w:rsidRDefault="00EA6E35" w:rsidP="00EA6E35">
            <w:pPr>
              <w:pStyle w:val="BodyText"/>
              <w:ind w:left="90"/>
              <w:jc w:val="left"/>
              <w:rPr>
                <w:rFonts w:ascii="Arial" w:hAnsi="Arial" w:cs="Arial"/>
                <w:bCs/>
                <w:sz w:val="20"/>
                <w:szCs w:val="20"/>
                <w:lang w:val="en-GB" w:eastAsia="en-US"/>
              </w:rPr>
            </w:pPr>
            <w:r w:rsidRPr="00BB5E98">
              <w:rPr>
                <w:rFonts w:ascii="Arial" w:hAnsi="Arial" w:cs="Arial"/>
                <w:bCs/>
                <w:sz w:val="20"/>
                <w:szCs w:val="20"/>
                <w:lang w:val="en-GB" w:eastAsia="en-US"/>
              </w:rPr>
              <w:t>Manuscript Number:</w:t>
            </w:r>
          </w:p>
        </w:tc>
        <w:tc>
          <w:tcPr>
            <w:tcW w:w="3814" w:type="pct"/>
          </w:tcPr>
          <w:p w14:paraId="486A368E" w14:textId="051C15D1" w:rsidR="00204042" w:rsidRPr="00BB5E98" w:rsidRDefault="00474EA1" w:rsidP="00EA6E35">
            <w:pPr>
              <w:pStyle w:val="NormalWeb"/>
              <w:spacing w:before="0" w:beforeAutospacing="0" w:after="0" w:afterAutospacing="0"/>
              <w:rPr>
                <w:rFonts w:ascii="Arial" w:hAnsi="Arial" w:cs="Arial"/>
                <w:b/>
                <w:bCs/>
                <w:sz w:val="20"/>
                <w:szCs w:val="20"/>
                <w:lang w:val="en-GB"/>
              </w:rPr>
            </w:pPr>
            <w:r w:rsidRPr="00BB5E98">
              <w:rPr>
                <w:rFonts w:ascii="Arial" w:hAnsi="Arial" w:cs="Arial"/>
                <w:b/>
                <w:bCs/>
                <w:sz w:val="20"/>
                <w:szCs w:val="20"/>
                <w:lang w:val="en-GB"/>
              </w:rPr>
              <w:t>Ms_IJECC_158067</w:t>
            </w:r>
          </w:p>
        </w:tc>
      </w:tr>
      <w:tr w:rsidR="00204042" w:rsidRPr="00BB5E98" w14:paraId="114A2590" w14:textId="77777777" w:rsidTr="00EA6E35">
        <w:trPr>
          <w:trHeight w:val="20"/>
          <w:jc w:val="center"/>
        </w:trPr>
        <w:tc>
          <w:tcPr>
            <w:tcW w:w="1186" w:type="pct"/>
          </w:tcPr>
          <w:p w14:paraId="152A5B9A" w14:textId="77777777" w:rsidR="00204042" w:rsidRPr="00BB5E98" w:rsidRDefault="00EA6E35" w:rsidP="00EA6E35">
            <w:pPr>
              <w:pStyle w:val="BodyText"/>
              <w:ind w:left="90"/>
              <w:jc w:val="left"/>
              <w:rPr>
                <w:rFonts w:ascii="Arial" w:hAnsi="Arial" w:cs="Arial"/>
                <w:bCs/>
                <w:sz w:val="20"/>
                <w:szCs w:val="20"/>
                <w:lang w:val="en-GB" w:eastAsia="en-US"/>
              </w:rPr>
            </w:pPr>
            <w:r w:rsidRPr="00BB5E98">
              <w:rPr>
                <w:rFonts w:ascii="Arial" w:hAnsi="Arial" w:cs="Arial"/>
                <w:bCs/>
                <w:sz w:val="20"/>
                <w:szCs w:val="20"/>
                <w:lang w:val="en-GB" w:eastAsia="en-US"/>
              </w:rPr>
              <w:t xml:space="preserve">Title of the Manuscript: </w:t>
            </w:r>
          </w:p>
        </w:tc>
        <w:tc>
          <w:tcPr>
            <w:tcW w:w="3814" w:type="pct"/>
          </w:tcPr>
          <w:p w14:paraId="1508E51C" w14:textId="626B6531" w:rsidR="00204042" w:rsidRPr="00BB5E98" w:rsidRDefault="00474EA1" w:rsidP="00EA6E35">
            <w:pPr>
              <w:pStyle w:val="NormalWeb"/>
              <w:spacing w:before="0" w:beforeAutospacing="0" w:after="0" w:afterAutospacing="0"/>
              <w:rPr>
                <w:rFonts w:ascii="Arial" w:hAnsi="Arial" w:cs="Arial"/>
                <w:b/>
                <w:sz w:val="20"/>
                <w:szCs w:val="20"/>
                <w:lang w:val="en-GB"/>
              </w:rPr>
            </w:pPr>
            <w:r w:rsidRPr="00BB5E98">
              <w:rPr>
                <w:rFonts w:ascii="Arial" w:hAnsi="Arial" w:cs="Arial"/>
                <w:b/>
                <w:sz w:val="20"/>
                <w:szCs w:val="20"/>
                <w:lang w:val="en-GB"/>
              </w:rPr>
              <w:t>Influence of Agricultural Feedstock on the Physicochemical Properties and Performance of Biochar</w:t>
            </w:r>
          </w:p>
        </w:tc>
      </w:tr>
      <w:tr w:rsidR="00204042" w:rsidRPr="00BB5E98" w14:paraId="6BB500B9" w14:textId="77777777" w:rsidTr="00EA6E35">
        <w:trPr>
          <w:trHeight w:val="20"/>
          <w:jc w:val="center"/>
        </w:trPr>
        <w:tc>
          <w:tcPr>
            <w:tcW w:w="1186" w:type="pct"/>
          </w:tcPr>
          <w:p w14:paraId="648FB63D" w14:textId="77777777" w:rsidR="00204042" w:rsidRPr="00BB5E98" w:rsidRDefault="00EA6E35" w:rsidP="00EA6E35">
            <w:pPr>
              <w:pStyle w:val="BodyText"/>
              <w:ind w:left="90"/>
              <w:jc w:val="left"/>
              <w:rPr>
                <w:rFonts w:ascii="Arial" w:hAnsi="Arial" w:cs="Arial"/>
                <w:bCs/>
                <w:sz w:val="20"/>
                <w:szCs w:val="20"/>
                <w:lang w:val="en-GB" w:eastAsia="en-US"/>
              </w:rPr>
            </w:pPr>
            <w:r w:rsidRPr="00BB5E98">
              <w:rPr>
                <w:rFonts w:ascii="Arial" w:hAnsi="Arial" w:cs="Arial"/>
                <w:bCs/>
                <w:sz w:val="20"/>
                <w:szCs w:val="20"/>
                <w:lang w:val="en-GB" w:eastAsia="en-US"/>
              </w:rPr>
              <w:t>Type of the Article</w:t>
            </w:r>
          </w:p>
        </w:tc>
        <w:tc>
          <w:tcPr>
            <w:tcW w:w="3814" w:type="pct"/>
          </w:tcPr>
          <w:p w14:paraId="784F3373" w14:textId="77777777" w:rsidR="00204042" w:rsidRPr="00BB5E98" w:rsidRDefault="00EA6E35" w:rsidP="00EA6E35">
            <w:pPr>
              <w:pStyle w:val="NormalWeb"/>
              <w:spacing w:before="0" w:beforeAutospacing="0" w:after="0" w:afterAutospacing="0"/>
              <w:rPr>
                <w:rFonts w:ascii="Arial" w:hAnsi="Arial" w:cs="Arial"/>
                <w:b/>
                <w:sz w:val="20"/>
                <w:szCs w:val="20"/>
                <w:lang w:val="en-GB"/>
              </w:rPr>
            </w:pPr>
            <w:r w:rsidRPr="00BB5E98">
              <w:rPr>
                <w:rFonts w:ascii="Arial" w:hAnsi="Arial" w:cs="Arial"/>
                <w:b/>
                <w:sz w:val="20"/>
                <w:szCs w:val="20"/>
                <w:lang w:val="en-GB"/>
              </w:rPr>
              <w:t>Research Article</w:t>
            </w:r>
          </w:p>
          <w:p w14:paraId="1175B532" w14:textId="77777777" w:rsidR="00204042" w:rsidRPr="00BB5E98"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BB5E98" w:rsidRDefault="00204042">
      <w:pPr>
        <w:pStyle w:val="BodyText"/>
        <w:rPr>
          <w:rFonts w:ascii="Arial" w:hAnsi="Arial" w:cs="Arial"/>
          <w:i/>
          <w:sz w:val="20"/>
          <w:szCs w:val="20"/>
          <w:u w:val="single"/>
          <w:lang w:val="en-GB"/>
        </w:rPr>
      </w:pPr>
    </w:p>
    <w:p w14:paraId="02748C5E" w14:textId="77777777" w:rsidR="00204042" w:rsidRPr="00BB5E98" w:rsidRDefault="00204042">
      <w:pPr>
        <w:jc w:val="both"/>
        <w:rPr>
          <w:rFonts w:ascii="Arial" w:eastAsia="MS Mincho" w:hAnsi="Arial" w:cs="Arial"/>
          <w:sz w:val="20"/>
          <w:szCs w:val="20"/>
          <w:lang w:val="en-GB" w:eastAsia="x-none"/>
        </w:rPr>
      </w:pPr>
    </w:p>
    <w:p w14:paraId="4C39AB3E" w14:textId="77777777" w:rsidR="00204042" w:rsidRPr="00BB5E98" w:rsidRDefault="00204042">
      <w:pPr>
        <w:jc w:val="both"/>
        <w:rPr>
          <w:rFonts w:ascii="Arial" w:eastAsia="MS Mincho" w:hAnsi="Arial" w:cs="Arial"/>
          <w:sz w:val="20"/>
          <w:szCs w:val="20"/>
          <w:lang w:val="en-GB" w:eastAsia="x-none"/>
        </w:rPr>
      </w:pPr>
    </w:p>
    <w:p w14:paraId="5B6B5319" w14:textId="77777777" w:rsidR="00204042" w:rsidRPr="00BB5E98" w:rsidRDefault="00EA6E35">
      <w:pPr>
        <w:jc w:val="both"/>
        <w:rPr>
          <w:rFonts w:ascii="Arial" w:eastAsia="MS Mincho" w:hAnsi="Arial" w:cs="Arial"/>
          <w:b/>
          <w:sz w:val="20"/>
          <w:szCs w:val="20"/>
          <w:u w:val="single"/>
          <w:lang w:val="en-GB" w:eastAsia="x-none"/>
        </w:rPr>
      </w:pPr>
      <w:r w:rsidRPr="00BB5E98">
        <w:rPr>
          <w:rFonts w:ascii="Arial" w:eastAsia="MS Mincho" w:hAnsi="Arial" w:cs="Arial"/>
          <w:b/>
          <w:sz w:val="20"/>
          <w:szCs w:val="20"/>
          <w:highlight w:val="yellow"/>
          <w:u w:val="single"/>
          <w:lang w:val="en-GB" w:eastAsia="x-none"/>
        </w:rPr>
        <w:t>PART 1 (Importance of the manuscript)</w:t>
      </w:r>
      <w:r w:rsidRPr="00BB5E98">
        <w:rPr>
          <w:rFonts w:ascii="Arial" w:eastAsia="MS Mincho" w:hAnsi="Arial" w:cs="Arial"/>
          <w:b/>
          <w:sz w:val="20"/>
          <w:szCs w:val="20"/>
          <w:u w:val="single"/>
          <w:lang w:val="en-GB" w:eastAsia="x-none"/>
        </w:rPr>
        <w:t xml:space="preserve"> </w:t>
      </w:r>
    </w:p>
    <w:p w14:paraId="3F5FD44D" w14:textId="77777777" w:rsidR="00204042" w:rsidRPr="00BB5E98"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BB5E98" w14:paraId="2501090B" w14:textId="77777777" w:rsidTr="005C677A">
        <w:trPr>
          <w:trHeight w:val="20"/>
          <w:jc w:val="center"/>
        </w:trPr>
        <w:tc>
          <w:tcPr>
            <w:tcW w:w="1666" w:type="pct"/>
            <w:noWrap/>
          </w:tcPr>
          <w:p w14:paraId="5A606F3A" w14:textId="77777777" w:rsidR="00204042" w:rsidRPr="00BB5E98"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BB5E98" w:rsidRDefault="00EA6E35" w:rsidP="00EA6E35">
            <w:pPr>
              <w:keepNext/>
              <w:outlineLvl w:val="1"/>
              <w:rPr>
                <w:rFonts w:ascii="Arial" w:eastAsia="MS Mincho" w:hAnsi="Arial" w:cs="Arial"/>
                <w:b/>
                <w:bCs/>
                <w:sz w:val="20"/>
                <w:szCs w:val="20"/>
                <w:lang w:val="en-GB"/>
              </w:rPr>
            </w:pPr>
            <w:r w:rsidRPr="00BB5E98">
              <w:rPr>
                <w:rFonts w:ascii="Arial" w:eastAsia="MS Mincho" w:hAnsi="Arial" w:cs="Arial"/>
                <w:b/>
                <w:bCs/>
                <w:sz w:val="20"/>
                <w:szCs w:val="20"/>
                <w:lang w:val="en-GB"/>
              </w:rPr>
              <w:t>Comments of the Reviewers</w:t>
            </w:r>
          </w:p>
        </w:tc>
        <w:tc>
          <w:tcPr>
            <w:tcW w:w="1667" w:type="pct"/>
          </w:tcPr>
          <w:p w14:paraId="2195925D" w14:textId="77777777" w:rsidR="00204042" w:rsidRPr="00BB5E98" w:rsidRDefault="00EA6E35" w:rsidP="00EA6E35">
            <w:pPr>
              <w:spacing w:after="160" w:line="256" w:lineRule="auto"/>
              <w:rPr>
                <w:rFonts w:ascii="Arial" w:eastAsia="Calibri" w:hAnsi="Arial" w:cs="Arial"/>
                <w:kern w:val="2"/>
                <w:sz w:val="20"/>
                <w:szCs w:val="20"/>
                <w:lang w:val="en-GB"/>
              </w:rPr>
            </w:pPr>
            <w:r w:rsidRPr="00BB5E98">
              <w:rPr>
                <w:rFonts w:ascii="Arial" w:eastAsia="Calibri" w:hAnsi="Arial" w:cs="Arial"/>
                <w:b/>
                <w:kern w:val="2"/>
                <w:sz w:val="20"/>
                <w:szCs w:val="20"/>
                <w:lang w:val="en-GB"/>
              </w:rPr>
              <w:t>Author’s Feedback</w:t>
            </w:r>
            <w:r w:rsidRPr="00BB5E98">
              <w:rPr>
                <w:rFonts w:ascii="Arial" w:eastAsia="Calibri" w:hAnsi="Arial" w:cs="Arial"/>
                <w:kern w:val="2"/>
                <w:sz w:val="20"/>
                <w:szCs w:val="20"/>
                <w:lang w:val="en-GB"/>
              </w:rPr>
              <w:t xml:space="preserve"> </w:t>
            </w:r>
          </w:p>
          <w:p w14:paraId="021CC6BE"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0DF168A9" w14:textId="77777777" w:rsidTr="005C677A">
        <w:trPr>
          <w:trHeight w:val="20"/>
          <w:jc w:val="center"/>
        </w:trPr>
        <w:tc>
          <w:tcPr>
            <w:tcW w:w="1666" w:type="pct"/>
            <w:noWrap/>
            <w:hideMark/>
          </w:tcPr>
          <w:p w14:paraId="1698C27A" w14:textId="77777777" w:rsidR="002C66D6" w:rsidRPr="00BB5E98" w:rsidRDefault="00EA6E35" w:rsidP="00AF3F59">
            <w:pPr>
              <w:rPr>
                <w:rFonts w:ascii="Arial" w:hAnsi="Arial" w:cs="Arial"/>
                <w:bCs/>
                <w:sz w:val="20"/>
                <w:szCs w:val="20"/>
                <w:lang w:val="en-GB"/>
              </w:rPr>
            </w:pPr>
            <w:r w:rsidRPr="00BB5E98">
              <w:rPr>
                <w:rFonts w:ascii="Arial" w:hAnsi="Arial" w:cs="Arial"/>
                <w:b/>
                <w:bCs/>
                <w:sz w:val="20"/>
                <w:szCs w:val="20"/>
                <w:lang w:val="en-GB"/>
              </w:rPr>
              <w:t>Please write a few sentences regarding the importance of this manuscript for the scientific community.</w:t>
            </w:r>
            <w:r w:rsidRPr="00BB5E98">
              <w:rPr>
                <w:rFonts w:ascii="Arial" w:hAnsi="Arial" w:cs="Arial"/>
                <w:bCs/>
                <w:sz w:val="20"/>
                <w:szCs w:val="20"/>
                <w:lang w:val="en-GB"/>
              </w:rPr>
              <w:t xml:space="preserve"> A minimum of 3-4 sentences may </w:t>
            </w:r>
          </w:p>
          <w:p w14:paraId="33C4B04F" w14:textId="61EB2FE1" w:rsidR="00204042" w:rsidRPr="00BB5E98" w:rsidRDefault="00EA6E35" w:rsidP="00AF3F59">
            <w:pPr>
              <w:rPr>
                <w:rFonts w:ascii="Arial" w:eastAsia="MS Mincho" w:hAnsi="Arial" w:cs="Arial"/>
                <w:bCs/>
                <w:sz w:val="20"/>
                <w:szCs w:val="20"/>
                <w:lang w:val="en-GB"/>
              </w:rPr>
            </w:pPr>
            <w:r w:rsidRPr="00BB5E98">
              <w:rPr>
                <w:rFonts w:ascii="Arial" w:hAnsi="Arial" w:cs="Arial"/>
                <w:bCs/>
                <w:sz w:val="20"/>
                <w:szCs w:val="20"/>
                <w:lang w:val="en-GB"/>
              </w:rPr>
              <w:t>be required for this part.</w:t>
            </w:r>
          </w:p>
        </w:tc>
        <w:tc>
          <w:tcPr>
            <w:tcW w:w="1667" w:type="pct"/>
          </w:tcPr>
          <w:p w14:paraId="0BFCE51D" w14:textId="1CCC0058" w:rsidR="002F1B98" w:rsidRPr="00BB5E98" w:rsidRDefault="002F1B98" w:rsidP="002F1B98">
            <w:pPr>
              <w:contextualSpacing/>
              <w:jc w:val="both"/>
              <w:rPr>
                <w:rFonts w:ascii="Arial" w:hAnsi="Arial" w:cs="Arial"/>
                <w:b/>
                <w:bCs/>
                <w:sz w:val="20"/>
                <w:szCs w:val="20"/>
                <w:lang w:val="en-MY"/>
              </w:rPr>
            </w:pPr>
            <w:r w:rsidRPr="00BB5E98">
              <w:rPr>
                <w:rFonts w:ascii="Arial" w:hAnsi="Arial" w:cs="Arial"/>
                <w:b/>
                <w:bCs/>
                <w:sz w:val="20"/>
                <w:szCs w:val="20"/>
                <w:lang w:val="en-MY"/>
              </w:rPr>
              <w:t xml:space="preserve">This manuscript provides a contribution to the scientific community by systematically linking agricultural feedstock selection specifically coconut shell which resulting physicochemical properties and functional performance of biochar. It advances current understanding by integrating multiple characterization techniques (XRD, SEM, FTIR, BET, and zeta potential) to present a comprehensive structure–property relationship, which is often fragmented in existing literature. </w:t>
            </w:r>
          </w:p>
          <w:p w14:paraId="7FEE40E7" w14:textId="77777777" w:rsidR="002F1B98" w:rsidRPr="00BB5E98" w:rsidRDefault="002F1B98" w:rsidP="002F1B98">
            <w:pPr>
              <w:contextualSpacing/>
              <w:jc w:val="both"/>
              <w:rPr>
                <w:rFonts w:ascii="Arial" w:hAnsi="Arial" w:cs="Arial"/>
                <w:b/>
                <w:bCs/>
                <w:sz w:val="20"/>
                <w:szCs w:val="20"/>
                <w:lang w:val="en-MY"/>
              </w:rPr>
            </w:pPr>
            <w:r w:rsidRPr="00BB5E98">
              <w:rPr>
                <w:rFonts w:ascii="Arial" w:hAnsi="Arial" w:cs="Arial"/>
                <w:b/>
                <w:bCs/>
                <w:sz w:val="20"/>
                <w:szCs w:val="20"/>
                <w:lang w:val="en-MY"/>
              </w:rPr>
              <w:t>Importantly, the study highlights how low-cost, waste-derived materials can be engineered into high-performance adsorbents, reinforcing the relevance of circular economy principles and sustainable materials science. The findings have direct implications for environmental remediation, particularly in wastewater treatment and pollutant adsorption, offering a scalable and economically viable alternative to conventional materials. Overall, this work bridges fundamental material characterization with practical environmental applications, making it valuable for both academic researchers and industry practitioners.</w:t>
            </w:r>
          </w:p>
          <w:p w14:paraId="1BAC91DB" w14:textId="77777777" w:rsidR="00204042" w:rsidRPr="00BB5E98" w:rsidRDefault="00204042" w:rsidP="002F1B98">
            <w:pPr>
              <w:contextualSpacing/>
              <w:jc w:val="both"/>
              <w:rPr>
                <w:rFonts w:ascii="Arial" w:hAnsi="Arial" w:cs="Arial"/>
                <w:b/>
                <w:bCs/>
                <w:sz w:val="20"/>
                <w:szCs w:val="20"/>
                <w:lang w:val="en-MY"/>
              </w:rPr>
            </w:pPr>
          </w:p>
        </w:tc>
        <w:tc>
          <w:tcPr>
            <w:tcW w:w="1667" w:type="pct"/>
          </w:tcPr>
          <w:p w14:paraId="46643927" w14:textId="77777777" w:rsidR="00204042" w:rsidRPr="00BB5E98" w:rsidRDefault="00204042" w:rsidP="00EA6E35">
            <w:pPr>
              <w:keepNext/>
              <w:outlineLvl w:val="1"/>
              <w:rPr>
                <w:rFonts w:ascii="Arial" w:eastAsia="MS Mincho" w:hAnsi="Arial" w:cs="Arial"/>
                <w:bCs/>
                <w:sz w:val="20"/>
                <w:szCs w:val="20"/>
                <w:lang w:val="en-GB"/>
              </w:rPr>
            </w:pPr>
          </w:p>
        </w:tc>
      </w:tr>
    </w:tbl>
    <w:p w14:paraId="0148C68F" w14:textId="77777777" w:rsidR="00204042" w:rsidRPr="00BB5E98" w:rsidRDefault="00204042">
      <w:pPr>
        <w:rPr>
          <w:rFonts w:ascii="Arial" w:hAnsi="Arial" w:cs="Arial"/>
          <w:sz w:val="20"/>
          <w:szCs w:val="20"/>
          <w:lang w:val="en-GB"/>
        </w:rPr>
      </w:pPr>
    </w:p>
    <w:p w14:paraId="7B92B319" w14:textId="77777777" w:rsidR="00204042" w:rsidRPr="00BB5E98" w:rsidRDefault="00204042">
      <w:pPr>
        <w:rPr>
          <w:rFonts w:ascii="Arial" w:hAnsi="Arial" w:cs="Arial"/>
          <w:sz w:val="20"/>
          <w:szCs w:val="20"/>
          <w:lang w:val="en-GB"/>
        </w:rPr>
      </w:pPr>
    </w:p>
    <w:p w14:paraId="45EDC2EA" w14:textId="77777777" w:rsidR="00204042" w:rsidRPr="00BB5E98" w:rsidRDefault="00EA6E35">
      <w:pPr>
        <w:keepNext/>
        <w:outlineLvl w:val="1"/>
        <w:rPr>
          <w:rFonts w:ascii="Arial" w:eastAsia="MS Mincho" w:hAnsi="Arial" w:cs="Arial"/>
          <w:b/>
          <w:bCs/>
          <w:sz w:val="20"/>
          <w:szCs w:val="20"/>
          <w:highlight w:val="yellow"/>
          <w:u w:val="single"/>
          <w:lang w:val="en-GB"/>
        </w:rPr>
      </w:pPr>
      <w:r w:rsidRPr="00BB5E98">
        <w:rPr>
          <w:rFonts w:ascii="Arial" w:eastAsia="MS Mincho" w:hAnsi="Arial" w:cs="Arial"/>
          <w:b/>
          <w:bCs/>
          <w:sz w:val="20"/>
          <w:szCs w:val="20"/>
          <w:highlight w:val="yellow"/>
          <w:u w:val="single"/>
          <w:lang w:val="en-GB"/>
        </w:rPr>
        <w:t>PART 2.1 (Objective Evaluation)</w:t>
      </w:r>
    </w:p>
    <w:p w14:paraId="4D5B5629" w14:textId="77777777" w:rsidR="00204042" w:rsidRPr="00BB5E9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B5E98" w14:paraId="5A000E89" w14:textId="77777777" w:rsidTr="005C677A">
        <w:trPr>
          <w:trHeight w:val="20"/>
          <w:jc w:val="center"/>
        </w:trPr>
        <w:tc>
          <w:tcPr>
            <w:tcW w:w="1666" w:type="pct"/>
            <w:noWrap/>
          </w:tcPr>
          <w:p w14:paraId="440543DA" w14:textId="77777777" w:rsidR="00204042" w:rsidRPr="00BB5E98"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BB5E98" w:rsidRDefault="00EA6E35" w:rsidP="00EA6E35">
            <w:pPr>
              <w:keepNext/>
              <w:outlineLvl w:val="1"/>
              <w:rPr>
                <w:rFonts w:ascii="Arial" w:eastAsia="MS Mincho" w:hAnsi="Arial" w:cs="Arial"/>
                <w:b/>
                <w:bCs/>
                <w:sz w:val="20"/>
                <w:szCs w:val="20"/>
                <w:lang w:val="en-GB"/>
              </w:rPr>
            </w:pPr>
            <w:r w:rsidRPr="00BB5E98">
              <w:rPr>
                <w:rFonts w:ascii="Arial" w:eastAsia="MS Mincho" w:hAnsi="Arial" w:cs="Arial"/>
                <w:b/>
                <w:bCs/>
                <w:sz w:val="20"/>
                <w:szCs w:val="20"/>
                <w:lang w:val="en-GB"/>
              </w:rPr>
              <w:t>Rating of the Reviewers</w:t>
            </w:r>
          </w:p>
        </w:tc>
        <w:tc>
          <w:tcPr>
            <w:tcW w:w="1667" w:type="pct"/>
            <w:hideMark/>
          </w:tcPr>
          <w:p w14:paraId="042D541A" w14:textId="77777777" w:rsidR="00204042" w:rsidRPr="00BB5E98" w:rsidRDefault="00EA6E35" w:rsidP="00EA6E35">
            <w:pPr>
              <w:spacing w:after="160" w:line="256" w:lineRule="auto"/>
              <w:rPr>
                <w:rFonts w:ascii="Arial" w:hAnsi="Arial" w:cs="Arial"/>
                <w:b/>
                <w:sz w:val="20"/>
                <w:szCs w:val="20"/>
                <w:lang w:val="en-GB"/>
              </w:rPr>
            </w:pPr>
            <w:r w:rsidRPr="00BB5E98">
              <w:rPr>
                <w:rFonts w:ascii="Arial" w:eastAsia="Calibri" w:hAnsi="Arial" w:cs="Arial"/>
                <w:b/>
                <w:kern w:val="2"/>
                <w:sz w:val="20"/>
                <w:szCs w:val="20"/>
                <w:lang w:val="en-GB"/>
              </w:rPr>
              <w:t>Author’s Feedback</w:t>
            </w:r>
            <w:r w:rsidRPr="00BB5E98">
              <w:rPr>
                <w:rFonts w:ascii="Arial" w:eastAsia="Calibri" w:hAnsi="Arial" w:cs="Arial"/>
                <w:kern w:val="2"/>
                <w:sz w:val="20"/>
                <w:szCs w:val="20"/>
                <w:lang w:val="en-GB"/>
              </w:rPr>
              <w:t xml:space="preserve"> </w:t>
            </w:r>
          </w:p>
        </w:tc>
      </w:tr>
      <w:tr w:rsidR="00EA6E35" w:rsidRPr="00BB5E98" w14:paraId="54617DA3" w14:textId="77777777" w:rsidTr="005C677A">
        <w:trPr>
          <w:trHeight w:val="20"/>
          <w:jc w:val="center"/>
        </w:trPr>
        <w:tc>
          <w:tcPr>
            <w:tcW w:w="1666" w:type="pct"/>
            <w:noWrap/>
            <w:hideMark/>
          </w:tcPr>
          <w:p w14:paraId="4F3A743C" w14:textId="77777777" w:rsidR="00204042" w:rsidRPr="00BB5E98" w:rsidRDefault="00EA6E35" w:rsidP="00AF3F59">
            <w:pPr>
              <w:rPr>
                <w:rFonts w:ascii="Arial" w:hAnsi="Arial" w:cs="Arial"/>
                <w:b/>
                <w:bCs/>
                <w:sz w:val="20"/>
                <w:szCs w:val="20"/>
                <w:lang w:val="en-GB"/>
              </w:rPr>
            </w:pPr>
            <w:r w:rsidRPr="00BB5E98">
              <w:rPr>
                <w:rFonts w:ascii="Arial" w:hAnsi="Arial" w:cs="Arial"/>
                <w:b/>
                <w:bCs/>
                <w:sz w:val="20"/>
                <w:szCs w:val="20"/>
                <w:lang w:val="en-GB"/>
              </w:rPr>
              <w:t xml:space="preserve">1. Is the title clear and appropriate for the study? </w:t>
            </w:r>
          </w:p>
          <w:p w14:paraId="108A132B"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1C0E0548" w14:textId="77777777" w:rsidR="00204042" w:rsidRPr="00BB5E98" w:rsidRDefault="00EA6E35" w:rsidP="00AF3F59">
            <w:pPr>
              <w:rPr>
                <w:rFonts w:ascii="Arial" w:hAnsi="Arial" w:cs="Arial"/>
                <w:sz w:val="20"/>
                <w:szCs w:val="20"/>
                <w:u w:val="single"/>
                <w:lang w:val="en-GB"/>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F1E320D" w:rsidR="00204042" w:rsidRPr="00BB5E98" w:rsidRDefault="002F1B98" w:rsidP="002F1B98">
            <w:pPr>
              <w:ind w:left="360"/>
              <w:rPr>
                <w:rFonts w:ascii="Arial" w:hAnsi="Arial" w:cs="Arial"/>
                <w:b/>
                <w:bCs/>
                <w:sz w:val="20"/>
                <w:szCs w:val="20"/>
                <w:lang w:val="en-GB"/>
              </w:rPr>
            </w:pPr>
            <w:r w:rsidRPr="00BB5E98">
              <w:rPr>
                <w:rFonts w:ascii="Arial" w:hAnsi="Arial" w:cs="Arial"/>
                <w:b/>
                <w:bCs/>
                <w:sz w:val="20"/>
                <w:szCs w:val="20"/>
              </w:rPr>
              <w:t>4 (Good)</w:t>
            </w:r>
          </w:p>
        </w:tc>
        <w:tc>
          <w:tcPr>
            <w:tcW w:w="1667" w:type="pct"/>
          </w:tcPr>
          <w:p w14:paraId="0C69DD75"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7E673966" w14:textId="77777777" w:rsidTr="005C677A">
        <w:trPr>
          <w:trHeight w:val="20"/>
          <w:jc w:val="center"/>
        </w:trPr>
        <w:tc>
          <w:tcPr>
            <w:tcW w:w="1666" w:type="pct"/>
            <w:noWrap/>
            <w:hideMark/>
          </w:tcPr>
          <w:p w14:paraId="3B1DAF88" w14:textId="77777777" w:rsidR="00204042" w:rsidRPr="00BB5E98" w:rsidRDefault="00EA6E35" w:rsidP="00EA6E35">
            <w:pPr>
              <w:keepNext/>
              <w:outlineLvl w:val="1"/>
              <w:rPr>
                <w:rFonts w:ascii="Arial" w:eastAsia="MS Mincho" w:hAnsi="Arial" w:cs="Arial"/>
                <w:b/>
                <w:bCs/>
                <w:sz w:val="20"/>
                <w:szCs w:val="20"/>
                <w:lang w:val="en-GB"/>
              </w:rPr>
            </w:pPr>
            <w:r w:rsidRPr="00BB5E98">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47A338A2" w14:textId="77777777" w:rsidR="00204042" w:rsidRPr="00BB5E98" w:rsidRDefault="00EA6E35" w:rsidP="00AF3F59">
            <w:pPr>
              <w:rPr>
                <w:rFonts w:ascii="Arial" w:hAnsi="Arial" w:cs="Arial"/>
                <w:sz w:val="20"/>
                <w:szCs w:val="20"/>
                <w:lang w:val="en-GB"/>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483AAAA" w:rsidR="00204042" w:rsidRPr="00BB5E98" w:rsidRDefault="002F1B98" w:rsidP="002F1B98">
            <w:pPr>
              <w:ind w:left="360"/>
              <w:rPr>
                <w:rFonts w:ascii="Arial" w:hAnsi="Arial" w:cs="Arial"/>
                <w:b/>
                <w:bCs/>
                <w:sz w:val="20"/>
                <w:szCs w:val="20"/>
                <w:lang w:val="en-GB"/>
              </w:rPr>
            </w:pPr>
            <w:r w:rsidRPr="00BB5E98">
              <w:rPr>
                <w:rFonts w:ascii="Arial" w:hAnsi="Arial" w:cs="Arial"/>
                <w:b/>
                <w:bCs/>
                <w:sz w:val="20"/>
                <w:szCs w:val="20"/>
              </w:rPr>
              <w:t>4 (Good)</w:t>
            </w:r>
          </w:p>
        </w:tc>
        <w:tc>
          <w:tcPr>
            <w:tcW w:w="1667" w:type="pct"/>
          </w:tcPr>
          <w:p w14:paraId="7FC68848"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57435C06" w14:textId="77777777" w:rsidTr="005C677A">
        <w:trPr>
          <w:trHeight w:val="20"/>
          <w:jc w:val="center"/>
        </w:trPr>
        <w:tc>
          <w:tcPr>
            <w:tcW w:w="1666" w:type="pct"/>
            <w:noWrap/>
            <w:hideMark/>
          </w:tcPr>
          <w:p w14:paraId="5911F903" w14:textId="77777777" w:rsidR="00204042" w:rsidRPr="00BB5E98" w:rsidRDefault="00EA6E35" w:rsidP="00EA6E35">
            <w:pPr>
              <w:keepNext/>
              <w:outlineLvl w:val="1"/>
              <w:rPr>
                <w:rFonts w:ascii="Arial" w:eastAsia="MS Mincho" w:hAnsi="Arial" w:cs="Arial"/>
                <w:b/>
                <w:bCs/>
                <w:sz w:val="20"/>
                <w:szCs w:val="20"/>
                <w:lang w:val="en-GB" w:eastAsia="x-none"/>
              </w:rPr>
            </w:pPr>
            <w:r w:rsidRPr="00BB5E98">
              <w:rPr>
                <w:rFonts w:ascii="Arial" w:eastAsia="MS Mincho" w:hAnsi="Arial" w:cs="Arial"/>
                <w:b/>
                <w:bCs/>
                <w:sz w:val="20"/>
                <w:szCs w:val="20"/>
                <w:lang w:val="en-GB" w:eastAsia="x-none"/>
              </w:rPr>
              <w:t>3. Are the keywords appropriate and useful?</w:t>
            </w:r>
          </w:p>
          <w:p w14:paraId="218AC4C7"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63ABD437" w14:textId="77777777" w:rsidR="00204042" w:rsidRPr="00BB5E98" w:rsidRDefault="00EA6E35" w:rsidP="00AF3F59">
            <w:pPr>
              <w:rPr>
                <w:rFonts w:ascii="Arial" w:hAnsi="Arial" w:cs="Arial"/>
                <w:sz w:val="20"/>
                <w:szCs w:val="20"/>
                <w:lang w:val="en-GB" w:eastAsia="x-none"/>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4352D5A" w:rsidR="00204042" w:rsidRPr="00BB5E98" w:rsidRDefault="002F1B98" w:rsidP="002F1B98">
            <w:pPr>
              <w:ind w:left="360"/>
              <w:rPr>
                <w:rFonts w:ascii="Arial" w:hAnsi="Arial" w:cs="Arial"/>
                <w:b/>
                <w:bCs/>
                <w:sz w:val="20"/>
                <w:szCs w:val="20"/>
                <w:lang w:val="en-GB"/>
              </w:rPr>
            </w:pPr>
            <w:r w:rsidRPr="00BB5E98">
              <w:rPr>
                <w:rFonts w:ascii="Arial" w:hAnsi="Arial" w:cs="Arial"/>
                <w:b/>
                <w:bCs/>
                <w:sz w:val="20"/>
                <w:szCs w:val="20"/>
              </w:rPr>
              <w:t>3 (Satisfactory)</w:t>
            </w:r>
          </w:p>
        </w:tc>
        <w:tc>
          <w:tcPr>
            <w:tcW w:w="1667" w:type="pct"/>
          </w:tcPr>
          <w:p w14:paraId="61E2DCF4"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6D90F5AF" w14:textId="77777777" w:rsidTr="005C677A">
        <w:trPr>
          <w:trHeight w:val="20"/>
          <w:jc w:val="center"/>
        </w:trPr>
        <w:tc>
          <w:tcPr>
            <w:tcW w:w="1666" w:type="pct"/>
            <w:noWrap/>
            <w:hideMark/>
          </w:tcPr>
          <w:p w14:paraId="4E2E34C9" w14:textId="77777777" w:rsidR="00204042" w:rsidRPr="00BB5E98" w:rsidRDefault="00EA6E35" w:rsidP="00EA6E35">
            <w:pPr>
              <w:keepNext/>
              <w:outlineLvl w:val="1"/>
              <w:rPr>
                <w:rFonts w:ascii="Arial" w:eastAsia="MS Mincho" w:hAnsi="Arial" w:cs="Arial"/>
                <w:b/>
                <w:bCs/>
                <w:sz w:val="20"/>
                <w:szCs w:val="20"/>
                <w:lang w:val="en-GB" w:eastAsia="x-none"/>
              </w:rPr>
            </w:pPr>
            <w:r w:rsidRPr="00BB5E98">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257E3302" w14:textId="77777777" w:rsidR="00204042" w:rsidRPr="00BB5E98" w:rsidRDefault="00EA6E35" w:rsidP="00AF3F59">
            <w:pPr>
              <w:rPr>
                <w:rFonts w:ascii="Arial" w:hAnsi="Arial" w:cs="Arial"/>
                <w:sz w:val="20"/>
                <w:szCs w:val="20"/>
                <w:lang w:val="en-GB" w:eastAsia="x-none"/>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2BABA75" w:rsidR="00204042" w:rsidRPr="00BB5E98" w:rsidRDefault="002F1B98" w:rsidP="00EA6E35">
            <w:pPr>
              <w:ind w:left="360"/>
              <w:rPr>
                <w:rFonts w:ascii="Arial" w:hAnsi="Arial" w:cs="Arial"/>
                <w:b/>
                <w:bCs/>
                <w:sz w:val="20"/>
                <w:szCs w:val="20"/>
                <w:lang w:val="en-GB"/>
              </w:rPr>
            </w:pPr>
            <w:r w:rsidRPr="00BB5E98">
              <w:rPr>
                <w:rFonts w:ascii="Arial" w:hAnsi="Arial" w:cs="Arial"/>
                <w:b/>
                <w:bCs/>
                <w:sz w:val="20"/>
                <w:szCs w:val="20"/>
              </w:rPr>
              <w:t>4 (Good)</w:t>
            </w:r>
          </w:p>
        </w:tc>
        <w:tc>
          <w:tcPr>
            <w:tcW w:w="1667" w:type="pct"/>
          </w:tcPr>
          <w:p w14:paraId="0A5EAFF5"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71F6A822" w14:textId="77777777" w:rsidTr="005C677A">
        <w:trPr>
          <w:trHeight w:val="20"/>
          <w:jc w:val="center"/>
        </w:trPr>
        <w:tc>
          <w:tcPr>
            <w:tcW w:w="1666" w:type="pct"/>
            <w:noWrap/>
            <w:hideMark/>
          </w:tcPr>
          <w:p w14:paraId="6D2E36CE" w14:textId="77777777" w:rsidR="00204042" w:rsidRPr="00BB5E98" w:rsidRDefault="00EA6E35" w:rsidP="00EA6E35">
            <w:pPr>
              <w:keepNext/>
              <w:outlineLvl w:val="1"/>
              <w:rPr>
                <w:rFonts w:ascii="Arial" w:eastAsia="MS Mincho" w:hAnsi="Arial" w:cs="Arial"/>
                <w:b/>
                <w:bCs/>
                <w:sz w:val="20"/>
                <w:szCs w:val="20"/>
                <w:lang w:val="en-GB" w:eastAsia="x-none"/>
              </w:rPr>
            </w:pPr>
            <w:r w:rsidRPr="00BB5E98">
              <w:rPr>
                <w:rFonts w:ascii="Arial" w:eastAsia="MS Mincho" w:hAnsi="Arial" w:cs="Arial"/>
                <w:b/>
                <w:bCs/>
                <w:sz w:val="20"/>
                <w:szCs w:val="20"/>
                <w:lang w:val="en-GB" w:eastAsia="x-none"/>
              </w:rPr>
              <w:t>5. Are the research objectives/hypotheses clearly stated?</w:t>
            </w:r>
          </w:p>
          <w:p w14:paraId="20F95CF9"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197071BC" w14:textId="77777777" w:rsidR="00204042" w:rsidRPr="00BB5E98" w:rsidRDefault="00EA6E35" w:rsidP="00AF3F59">
            <w:pPr>
              <w:rPr>
                <w:rFonts w:ascii="Arial" w:hAnsi="Arial" w:cs="Arial"/>
                <w:sz w:val="20"/>
                <w:szCs w:val="20"/>
                <w:lang w:val="en-GB" w:eastAsia="x-none"/>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7FD037C" w:rsidR="00204042" w:rsidRPr="00BB5E98" w:rsidRDefault="002F1B98" w:rsidP="002F1B98">
            <w:pPr>
              <w:ind w:left="360"/>
              <w:rPr>
                <w:rFonts w:ascii="Arial" w:hAnsi="Arial" w:cs="Arial"/>
                <w:b/>
                <w:bCs/>
                <w:sz w:val="20"/>
                <w:szCs w:val="20"/>
                <w:lang w:val="en-GB"/>
              </w:rPr>
            </w:pPr>
            <w:r w:rsidRPr="00BB5E98">
              <w:rPr>
                <w:rFonts w:ascii="Arial" w:hAnsi="Arial" w:cs="Arial"/>
                <w:b/>
                <w:bCs/>
                <w:sz w:val="20"/>
                <w:szCs w:val="20"/>
              </w:rPr>
              <w:t>3 (Satisfactory)</w:t>
            </w:r>
          </w:p>
        </w:tc>
        <w:tc>
          <w:tcPr>
            <w:tcW w:w="1667" w:type="pct"/>
          </w:tcPr>
          <w:p w14:paraId="56AACFE7"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393BE728" w14:textId="77777777" w:rsidTr="005C677A">
        <w:trPr>
          <w:trHeight w:val="20"/>
          <w:jc w:val="center"/>
        </w:trPr>
        <w:tc>
          <w:tcPr>
            <w:tcW w:w="1666" w:type="pct"/>
            <w:noWrap/>
            <w:hideMark/>
          </w:tcPr>
          <w:p w14:paraId="1E9D0AAD" w14:textId="77777777" w:rsidR="00204042" w:rsidRPr="00BB5E98" w:rsidRDefault="00EA6E35" w:rsidP="00EA6E35">
            <w:pPr>
              <w:keepNext/>
              <w:outlineLvl w:val="1"/>
              <w:rPr>
                <w:rFonts w:ascii="Arial" w:eastAsia="MS Mincho" w:hAnsi="Arial" w:cs="Arial"/>
                <w:b/>
                <w:bCs/>
                <w:sz w:val="20"/>
                <w:szCs w:val="20"/>
                <w:lang w:val="en-GB" w:eastAsia="x-none"/>
              </w:rPr>
            </w:pPr>
            <w:r w:rsidRPr="00BB5E98">
              <w:rPr>
                <w:rFonts w:ascii="Arial" w:eastAsia="MS Mincho" w:hAnsi="Arial" w:cs="Arial"/>
                <w:b/>
                <w:bCs/>
                <w:sz w:val="20"/>
                <w:szCs w:val="20"/>
                <w:lang w:val="en-GB" w:eastAsia="x-none"/>
              </w:rPr>
              <w:t>6. Is the literature review relevant and up to date?</w:t>
            </w:r>
          </w:p>
          <w:p w14:paraId="09AF5F19"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27E00A2A" w14:textId="77777777" w:rsidR="00204042" w:rsidRPr="00BB5E98" w:rsidRDefault="00EA6E35" w:rsidP="00AF3F59">
            <w:pPr>
              <w:rPr>
                <w:rFonts w:ascii="Arial" w:hAnsi="Arial" w:cs="Arial"/>
                <w:sz w:val="20"/>
                <w:szCs w:val="20"/>
                <w:lang w:val="en-GB" w:eastAsia="x-none"/>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02AA53C" w:rsidR="00204042" w:rsidRPr="00BB5E98" w:rsidRDefault="00E54C50" w:rsidP="00E54C50">
            <w:pPr>
              <w:ind w:left="360"/>
              <w:rPr>
                <w:rFonts w:ascii="Arial" w:hAnsi="Arial" w:cs="Arial"/>
                <w:b/>
                <w:bCs/>
                <w:sz w:val="20"/>
                <w:szCs w:val="20"/>
                <w:lang w:val="en-GB"/>
              </w:rPr>
            </w:pPr>
            <w:r w:rsidRPr="00BB5E98">
              <w:rPr>
                <w:rFonts w:ascii="Arial" w:hAnsi="Arial" w:cs="Arial"/>
                <w:b/>
                <w:bCs/>
                <w:sz w:val="20"/>
                <w:szCs w:val="20"/>
              </w:rPr>
              <w:t>4 (Good)</w:t>
            </w:r>
          </w:p>
        </w:tc>
        <w:tc>
          <w:tcPr>
            <w:tcW w:w="1667" w:type="pct"/>
          </w:tcPr>
          <w:p w14:paraId="734BAD15"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7D2E0D24" w14:textId="77777777" w:rsidTr="005C677A">
        <w:trPr>
          <w:trHeight w:val="20"/>
          <w:jc w:val="center"/>
        </w:trPr>
        <w:tc>
          <w:tcPr>
            <w:tcW w:w="1666" w:type="pct"/>
            <w:noWrap/>
            <w:hideMark/>
          </w:tcPr>
          <w:p w14:paraId="4A1FABFE" w14:textId="77777777" w:rsidR="00204042" w:rsidRPr="00BB5E98" w:rsidRDefault="00EA6E35" w:rsidP="00EA6E35">
            <w:pPr>
              <w:keepNext/>
              <w:outlineLvl w:val="1"/>
              <w:rPr>
                <w:rFonts w:ascii="Arial" w:eastAsia="MS Mincho" w:hAnsi="Arial" w:cs="Arial"/>
                <w:b/>
                <w:bCs/>
                <w:sz w:val="20"/>
                <w:szCs w:val="20"/>
                <w:lang w:val="en-GB" w:eastAsia="x-none"/>
              </w:rPr>
            </w:pPr>
            <w:r w:rsidRPr="00BB5E98">
              <w:rPr>
                <w:rFonts w:ascii="Arial" w:eastAsia="MS Mincho" w:hAnsi="Arial" w:cs="Arial"/>
                <w:b/>
                <w:bCs/>
                <w:sz w:val="20"/>
                <w:szCs w:val="20"/>
                <w:lang w:val="en-GB" w:eastAsia="x-none"/>
              </w:rPr>
              <w:t>7. Is the research methodology appropriate for the study?</w:t>
            </w:r>
          </w:p>
          <w:p w14:paraId="3C160D89"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35120794" w14:textId="77777777" w:rsidR="00204042" w:rsidRPr="00BB5E98" w:rsidRDefault="00EA6E35" w:rsidP="00AF3F59">
            <w:pPr>
              <w:rPr>
                <w:rFonts w:ascii="Arial" w:hAnsi="Arial" w:cs="Arial"/>
                <w:sz w:val="20"/>
                <w:szCs w:val="20"/>
                <w:lang w:val="en-GB"/>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5668739" w:rsidR="00204042" w:rsidRPr="00BB5E98" w:rsidRDefault="00E54C50" w:rsidP="00E54C50">
            <w:pPr>
              <w:ind w:left="360"/>
              <w:rPr>
                <w:rFonts w:ascii="Arial" w:hAnsi="Arial" w:cs="Arial"/>
                <w:b/>
                <w:bCs/>
                <w:sz w:val="20"/>
                <w:szCs w:val="20"/>
                <w:lang w:val="en-GB"/>
              </w:rPr>
            </w:pPr>
            <w:r w:rsidRPr="00BB5E98">
              <w:rPr>
                <w:rFonts w:ascii="Arial" w:hAnsi="Arial" w:cs="Arial"/>
                <w:b/>
                <w:bCs/>
                <w:sz w:val="20"/>
                <w:szCs w:val="20"/>
              </w:rPr>
              <w:t>4 (Good)</w:t>
            </w:r>
          </w:p>
        </w:tc>
        <w:tc>
          <w:tcPr>
            <w:tcW w:w="1667" w:type="pct"/>
          </w:tcPr>
          <w:p w14:paraId="5B378D21"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2001E977" w14:textId="77777777" w:rsidTr="005C677A">
        <w:trPr>
          <w:trHeight w:val="20"/>
          <w:jc w:val="center"/>
        </w:trPr>
        <w:tc>
          <w:tcPr>
            <w:tcW w:w="1666" w:type="pct"/>
            <w:noWrap/>
            <w:hideMark/>
          </w:tcPr>
          <w:p w14:paraId="6ABB1C54" w14:textId="77777777" w:rsidR="00204042" w:rsidRPr="00BB5E98" w:rsidRDefault="00EA6E35" w:rsidP="00EA6E35">
            <w:pPr>
              <w:keepNext/>
              <w:outlineLvl w:val="1"/>
              <w:rPr>
                <w:rFonts w:ascii="Arial" w:eastAsia="MS Mincho" w:hAnsi="Arial" w:cs="Arial"/>
                <w:b/>
                <w:bCs/>
                <w:sz w:val="20"/>
                <w:szCs w:val="20"/>
                <w:lang w:val="en-GB" w:eastAsia="x-none"/>
              </w:rPr>
            </w:pPr>
            <w:r w:rsidRPr="00BB5E98">
              <w:rPr>
                <w:rFonts w:ascii="Arial" w:eastAsia="MS Mincho" w:hAnsi="Arial" w:cs="Arial"/>
                <w:b/>
                <w:bCs/>
                <w:sz w:val="20"/>
                <w:szCs w:val="20"/>
                <w:lang w:val="en-GB" w:eastAsia="x-none"/>
              </w:rPr>
              <w:t>8. Were ethical issues properly addressed (if applicable)?</w:t>
            </w:r>
          </w:p>
          <w:p w14:paraId="273AC544"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14AE9A1F" w14:textId="77777777" w:rsidR="00204042" w:rsidRPr="00BB5E98" w:rsidRDefault="00EA6E35" w:rsidP="00AF3F59">
            <w:pPr>
              <w:rPr>
                <w:rFonts w:ascii="Arial" w:hAnsi="Arial" w:cs="Arial"/>
                <w:sz w:val="20"/>
                <w:szCs w:val="20"/>
                <w:lang w:val="en-GB" w:eastAsia="x-none"/>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0F4BAE6" w:rsidR="00204042" w:rsidRPr="00BB5E98" w:rsidRDefault="00E54C50" w:rsidP="00E54C50">
            <w:pPr>
              <w:ind w:left="360"/>
              <w:rPr>
                <w:rFonts w:ascii="Arial" w:hAnsi="Arial" w:cs="Arial"/>
                <w:b/>
                <w:bCs/>
                <w:sz w:val="20"/>
                <w:szCs w:val="20"/>
                <w:lang w:val="en-GB"/>
              </w:rPr>
            </w:pPr>
            <w:r w:rsidRPr="00BB5E98">
              <w:rPr>
                <w:rFonts w:ascii="Arial" w:hAnsi="Arial" w:cs="Arial"/>
                <w:b/>
                <w:bCs/>
                <w:sz w:val="20"/>
                <w:szCs w:val="20"/>
              </w:rPr>
              <w:t>N/A (Not Applicable)</w:t>
            </w:r>
          </w:p>
        </w:tc>
        <w:tc>
          <w:tcPr>
            <w:tcW w:w="1667" w:type="pct"/>
          </w:tcPr>
          <w:p w14:paraId="103D7017"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14A68263" w14:textId="77777777" w:rsidTr="005C677A">
        <w:trPr>
          <w:trHeight w:val="20"/>
          <w:jc w:val="center"/>
        </w:trPr>
        <w:tc>
          <w:tcPr>
            <w:tcW w:w="1666" w:type="pct"/>
            <w:noWrap/>
            <w:hideMark/>
          </w:tcPr>
          <w:p w14:paraId="04663C2C" w14:textId="77777777" w:rsidR="00204042" w:rsidRPr="00BB5E98" w:rsidRDefault="00EA6E35" w:rsidP="00AF3F59">
            <w:pPr>
              <w:rPr>
                <w:rFonts w:ascii="Arial" w:hAnsi="Arial" w:cs="Arial"/>
                <w:b/>
                <w:sz w:val="20"/>
                <w:szCs w:val="20"/>
                <w:lang w:val="en-GB"/>
              </w:rPr>
            </w:pPr>
            <w:r w:rsidRPr="00BB5E98">
              <w:rPr>
                <w:rFonts w:ascii="Arial" w:hAnsi="Arial" w:cs="Arial"/>
                <w:b/>
                <w:sz w:val="20"/>
                <w:szCs w:val="20"/>
                <w:lang w:val="en-GB"/>
              </w:rPr>
              <w:t xml:space="preserve">9. Are the results presented clearly? </w:t>
            </w:r>
          </w:p>
          <w:p w14:paraId="611F1177"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7FEDE5E2" w14:textId="77777777" w:rsidR="00204042" w:rsidRPr="00BB5E98" w:rsidRDefault="00EA6E35" w:rsidP="00AF3F59">
            <w:pPr>
              <w:rPr>
                <w:rFonts w:ascii="Arial" w:hAnsi="Arial" w:cs="Arial"/>
                <w:bCs/>
                <w:sz w:val="20"/>
                <w:szCs w:val="20"/>
                <w:lang w:val="en-GB"/>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70FC49A" w:rsidR="00204042" w:rsidRPr="00BB5E98" w:rsidRDefault="00E54C50" w:rsidP="00E54C50">
            <w:pPr>
              <w:contextualSpacing/>
              <w:rPr>
                <w:rFonts w:ascii="Arial" w:hAnsi="Arial" w:cs="Arial"/>
                <w:b/>
                <w:sz w:val="20"/>
                <w:szCs w:val="20"/>
                <w:lang w:val="en-GB"/>
              </w:rPr>
            </w:pPr>
            <w:r w:rsidRPr="00BB5E98">
              <w:rPr>
                <w:rFonts w:ascii="Arial" w:hAnsi="Arial" w:cs="Arial"/>
                <w:b/>
                <w:sz w:val="20"/>
                <w:szCs w:val="20"/>
              </w:rPr>
              <w:t>4 (Good)</w:t>
            </w:r>
          </w:p>
        </w:tc>
        <w:tc>
          <w:tcPr>
            <w:tcW w:w="1667" w:type="pct"/>
          </w:tcPr>
          <w:p w14:paraId="5C85D0C2"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08BCC8AC" w14:textId="77777777" w:rsidTr="005C677A">
        <w:trPr>
          <w:trHeight w:val="20"/>
          <w:jc w:val="center"/>
        </w:trPr>
        <w:tc>
          <w:tcPr>
            <w:tcW w:w="1666" w:type="pct"/>
            <w:noWrap/>
            <w:hideMark/>
          </w:tcPr>
          <w:p w14:paraId="52E4D69F" w14:textId="77777777" w:rsidR="00204042" w:rsidRPr="00BB5E98" w:rsidRDefault="00EA6E35" w:rsidP="00AF3F59">
            <w:pPr>
              <w:rPr>
                <w:rFonts w:ascii="Arial" w:hAnsi="Arial" w:cs="Arial"/>
                <w:b/>
                <w:sz w:val="20"/>
                <w:szCs w:val="20"/>
                <w:lang w:val="en-GB"/>
              </w:rPr>
            </w:pPr>
            <w:r w:rsidRPr="00BB5E98">
              <w:rPr>
                <w:rFonts w:ascii="Arial" w:hAnsi="Arial" w:cs="Arial"/>
                <w:b/>
                <w:sz w:val="20"/>
                <w:szCs w:val="20"/>
                <w:lang w:val="en-GB"/>
              </w:rPr>
              <w:t>10. Are tables and figures clear, relevant, and necessary?</w:t>
            </w:r>
          </w:p>
          <w:p w14:paraId="300A769E"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0EB1E99D"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BB5E98" w:rsidRDefault="00AA476E" w:rsidP="00AF3F59">
            <w:pPr>
              <w:rPr>
                <w:rFonts w:ascii="Arial" w:hAnsi="Arial" w:cs="Arial"/>
                <w:color w:val="404040"/>
                <w:sz w:val="20"/>
                <w:szCs w:val="20"/>
                <w:shd w:val="clear" w:color="auto" w:fill="FFFFFF"/>
                <w:lang w:val="en-GB"/>
              </w:rPr>
            </w:pPr>
          </w:p>
          <w:p w14:paraId="1C75519C" w14:textId="77777777" w:rsidR="001061B4" w:rsidRPr="00BB5E98" w:rsidRDefault="001061B4" w:rsidP="00AF3F59">
            <w:pPr>
              <w:rPr>
                <w:rFonts w:ascii="Arial" w:hAnsi="Arial" w:cs="Arial"/>
                <w:sz w:val="20"/>
                <w:szCs w:val="20"/>
                <w:lang w:val="en-GB"/>
              </w:rPr>
            </w:pPr>
          </w:p>
        </w:tc>
        <w:tc>
          <w:tcPr>
            <w:tcW w:w="1667" w:type="pct"/>
          </w:tcPr>
          <w:p w14:paraId="5BC888B7" w14:textId="61790363" w:rsidR="00204042" w:rsidRPr="00BB5E98" w:rsidRDefault="00E54C50" w:rsidP="00AF3F59">
            <w:pPr>
              <w:contextualSpacing/>
              <w:rPr>
                <w:rFonts w:ascii="Arial" w:hAnsi="Arial" w:cs="Arial"/>
                <w:bCs/>
                <w:sz w:val="20"/>
                <w:szCs w:val="20"/>
                <w:lang w:val="en-GB"/>
              </w:rPr>
            </w:pPr>
            <w:r w:rsidRPr="00BB5E98">
              <w:rPr>
                <w:rFonts w:ascii="Arial" w:hAnsi="Arial" w:cs="Arial"/>
                <w:b/>
                <w:sz w:val="20"/>
                <w:szCs w:val="20"/>
              </w:rPr>
              <w:t>4 (Good)</w:t>
            </w:r>
          </w:p>
        </w:tc>
        <w:tc>
          <w:tcPr>
            <w:tcW w:w="1667" w:type="pct"/>
          </w:tcPr>
          <w:p w14:paraId="3731B36A"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70F8B6FA" w14:textId="77777777" w:rsidTr="005C677A">
        <w:trPr>
          <w:trHeight w:val="20"/>
          <w:jc w:val="center"/>
        </w:trPr>
        <w:tc>
          <w:tcPr>
            <w:tcW w:w="1666" w:type="pct"/>
            <w:noWrap/>
            <w:hideMark/>
          </w:tcPr>
          <w:p w14:paraId="4D6B15D2" w14:textId="77777777" w:rsidR="00204042" w:rsidRPr="00BB5E98" w:rsidRDefault="00EA6E35" w:rsidP="00AF3F59">
            <w:pPr>
              <w:rPr>
                <w:rFonts w:ascii="Arial" w:hAnsi="Arial" w:cs="Arial"/>
                <w:b/>
                <w:sz w:val="20"/>
                <w:szCs w:val="20"/>
                <w:lang w:val="en-GB"/>
              </w:rPr>
            </w:pPr>
            <w:r w:rsidRPr="00BB5E98">
              <w:rPr>
                <w:rFonts w:ascii="Arial" w:hAnsi="Arial" w:cs="Arial"/>
                <w:b/>
                <w:sz w:val="20"/>
                <w:szCs w:val="20"/>
                <w:lang w:val="en-GB"/>
              </w:rPr>
              <w:t>11. Does the discussion relate findings to existing literature?</w:t>
            </w:r>
          </w:p>
          <w:p w14:paraId="203100FE"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12FFD2BD" w14:textId="77777777" w:rsidR="00204042" w:rsidRPr="00BB5E98" w:rsidRDefault="00EA6E35" w:rsidP="00AF3F59">
            <w:pPr>
              <w:rPr>
                <w:rFonts w:ascii="Arial" w:hAnsi="Arial" w:cs="Arial"/>
                <w:sz w:val="20"/>
                <w:szCs w:val="20"/>
                <w:lang w:val="en-GB"/>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DAFC108" w:rsidR="00204042" w:rsidRPr="00BB5E98" w:rsidRDefault="00E54C50" w:rsidP="00E54C50">
            <w:pPr>
              <w:contextualSpacing/>
              <w:rPr>
                <w:rFonts w:ascii="Arial" w:hAnsi="Arial" w:cs="Arial"/>
                <w:bCs/>
                <w:sz w:val="20"/>
                <w:szCs w:val="20"/>
                <w:lang w:val="en-GB"/>
              </w:rPr>
            </w:pPr>
            <w:r w:rsidRPr="00BB5E98">
              <w:rPr>
                <w:rFonts w:ascii="Arial" w:hAnsi="Arial" w:cs="Arial"/>
                <w:b/>
                <w:bCs/>
                <w:sz w:val="20"/>
                <w:szCs w:val="20"/>
              </w:rPr>
              <w:t>3 (Satisfactory)</w:t>
            </w:r>
          </w:p>
        </w:tc>
        <w:tc>
          <w:tcPr>
            <w:tcW w:w="1667" w:type="pct"/>
          </w:tcPr>
          <w:p w14:paraId="076CB8C3"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494768AA" w14:textId="77777777" w:rsidTr="005C677A">
        <w:trPr>
          <w:trHeight w:val="20"/>
          <w:jc w:val="center"/>
        </w:trPr>
        <w:tc>
          <w:tcPr>
            <w:tcW w:w="1666" w:type="pct"/>
            <w:noWrap/>
            <w:hideMark/>
          </w:tcPr>
          <w:p w14:paraId="1090801F" w14:textId="77777777" w:rsidR="00204042" w:rsidRPr="00BB5E98" w:rsidRDefault="00EA6E35" w:rsidP="00AF3F59">
            <w:pPr>
              <w:rPr>
                <w:rFonts w:ascii="Arial" w:hAnsi="Arial" w:cs="Arial"/>
                <w:b/>
                <w:sz w:val="20"/>
                <w:szCs w:val="20"/>
                <w:lang w:val="en-GB"/>
              </w:rPr>
            </w:pPr>
            <w:r w:rsidRPr="00BB5E98">
              <w:rPr>
                <w:rFonts w:ascii="Arial" w:hAnsi="Arial" w:cs="Arial"/>
                <w:b/>
                <w:sz w:val="20"/>
                <w:szCs w:val="20"/>
                <w:lang w:val="en-GB"/>
              </w:rPr>
              <w:t>12. Are the conclusions supported by the data?</w:t>
            </w:r>
          </w:p>
          <w:p w14:paraId="128FDCF0"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341B9517" w14:textId="77777777" w:rsidR="00204042" w:rsidRPr="00BB5E98" w:rsidRDefault="00EA6E35" w:rsidP="00AF3F59">
            <w:pPr>
              <w:rPr>
                <w:rFonts w:ascii="Arial" w:hAnsi="Arial" w:cs="Arial"/>
                <w:sz w:val="20"/>
                <w:szCs w:val="20"/>
                <w:lang w:val="en-GB"/>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A83CA2C" w:rsidR="00204042" w:rsidRPr="00BB5E98" w:rsidRDefault="00E54C50" w:rsidP="00AF3F59">
            <w:pPr>
              <w:contextualSpacing/>
              <w:rPr>
                <w:rFonts w:ascii="Arial" w:hAnsi="Arial" w:cs="Arial"/>
                <w:bCs/>
                <w:sz w:val="20"/>
                <w:szCs w:val="20"/>
                <w:lang w:val="en-GB"/>
              </w:rPr>
            </w:pPr>
            <w:r w:rsidRPr="00BB5E98">
              <w:rPr>
                <w:rFonts w:ascii="Arial" w:hAnsi="Arial" w:cs="Arial"/>
                <w:b/>
                <w:sz w:val="20"/>
                <w:szCs w:val="20"/>
              </w:rPr>
              <w:t>4 (Good)</w:t>
            </w:r>
          </w:p>
        </w:tc>
        <w:tc>
          <w:tcPr>
            <w:tcW w:w="1667" w:type="pct"/>
          </w:tcPr>
          <w:p w14:paraId="4CC8AAA5"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62D20FB3" w14:textId="77777777" w:rsidTr="005C677A">
        <w:trPr>
          <w:trHeight w:val="20"/>
          <w:jc w:val="center"/>
        </w:trPr>
        <w:tc>
          <w:tcPr>
            <w:tcW w:w="1666" w:type="pct"/>
            <w:noWrap/>
            <w:hideMark/>
          </w:tcPr>
          <w:p w14:paraId="53870ABD" w14:textId="77777777" w:rsidR="00204042" w:rsidRPr="00BB5E98" w:rsidRDefault="00EA6E35" w:rsidP="00AF3F59">
            <w:pPr>
              <w:rPr>
                <w:rFonts w:ascii="Arial" w:hAnsi="Arial" w:cs="Arial"/>
                <w:b/>
                <w:sz w:val="20"/>
                <w:szCs w:val="20"/>
                <w:lang w:val="en-GB"/>
              </w:rPr>
            </w:pPr>
            <w:r w:rsidRPr="00BB5E98">
              <w:rPr>
                <w:rFonts w:ascii="Arial" w:hAnsi="Arial" w:cs="Arial"/>
                <w:b/>
                <w:sz w:val="20"/>
                <w:szCs w:val="20"/>
                <w:lang w:val="en-GB"/>
              </w:rPr>
              <w:t>13. Are the limitations of the study discussed?</w:t>
            </w:r>
          </w:p>
          <w:p w14:paraId="7EB3CB59"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528D1B9A" w14:textId="77777777" w:rsidR="00204042" w:rsidRPr="00BB5E98" w:rsidRDefault="00EA6E35" w:rsidP="00AF3F59">
            <w:pPr>
              <w:rPr>
                <w:rFonts w:ascii="Arial" w:hAnsi="Arial" w:cs="Arial"/>
                <w:sz w:val="20"/>
                <w:szCs w:val="20"/>
                <w:lang w:val="en-GB"/>
              </w:rPr>
            </w:pPr>
            <w:r w:rsidRPr="00BB5E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F58519C" w:rsidR="00204042" w:rsidRPr="00BB5E98" w:rsidRDefault="00E54C50" w:rsidP="00E54C50">
            <w:pPr>
              <w:contextualSpacing/>
              <w:rPr>
                <w:rFonts w:ascii="Arial" w:hAnsi="Arial" w:cs="Arial"/>
                <w:bCs/>
                <w:sz w:val="20"/>
                <w:szCs w:val="20"/>
                <w:lang w:val="en-GB"/>
              </w:rPr>
            </w:pPr>
            <w:r w:rsidRPr="00BB5E98">
              <w:rPr>
                <w:rFonts w:ascii="Arial" w:hAnsi="Arial" w:cs="Arial"/>
                <w:b/>
                <w:bCs/>
                <w:sz w:val="20"/>
                <w:szCs w:val="20"/>
              </w:rPr>
              <w:t>2 (Needs Improvement)</w:t>
            </w:r>
          </w:p>
        </w:tc>
        <w:tc>
          <w:tcPr>
            <w:tcW w:w="1667" w:type="pct"/>
          </w:tcPr>
          <w:p w14:paraId="71FF1B95"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3E9E14AE" w14:textId="77777777" w:rsidTr="005C677A">
        <w:trPr>
          <w:trHeight w:val="20"/>
          <w:jc w:val="center"/>
        </w:trPr>
        <w:tc>
          <w:tcPr>
            <w:tcW w:w="1666" w:type="pct"/>
            <w:noWrap/>
            <w:hideMark/>
          </w:tcPr>
          <w:p w14:paraId="2FB12783" w14:textId="77777777" w:rsidR="00204042" w:rsidRPr="00BB5E98" w:rsidRDefault="00EA6E35" w:rsidP="00AF3F59">
            <w:pPr>
              <w:rPr>
                <w:rFonts w:ascii="Arial" w:hAnsi="Arial" w:cs="Arial"/>
                <w:b/>
                <w:sz w:val="20"/>
                <w:szCs w:val="20"/>
                <w:lang w:val="en-GB"/>
              </w:rPr>
            </w:pPr>
            <w:r w:rsidRPr="00BB5E98">
              <w:rPr>
                <w:rFonts w:ascii="Arial" w:hAnsi="Arial" w:cs="Arial"/>
                <w:b/>
                <w:sz w:val="20"/>
                <w:szCs w:val="20"/>
                <w:lang w:val="en-GB"/>
              </w:rPr>
              <w:t>14. Are the references relevant and sufficient (in number)?</w:t>
            </w:r>
          </w:p>
          <w:p w14:paraId="3A458C21"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191DA907"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BB5E98" w:rsidRDefault="00EA6E35" w:rsidP="00AF3F59">
            <w:pPr>
              <w:rPr>
                <w:rFonts w:ascii="Arial" w:hAnsi="Arial" w:cs="Arial"/>
                <w:sz w:val="20"/>
                <w:szCs w:val="20"/>
                <w:lang w:val="en-GB"/>
              </w:rPr>
            </w:pPr>
            <w:r w:rsidRPr="00BB5E98">
              <w:rPr>
                <w:rFonts w:ascii="Arial" w:hAnsi="Arial" w:cs="Arial"/>
                <w:color w:val="404040"/>
                <w:sz w:val="20"/>
                <w:szCs w:val="20"/>
                <w:shd w:val="clear" w:color="auto" w:fill="FFFFFF"/>
                <w:lang w:val="en-GB"/>
              </w:rPr>
              <w:t>N/A = Not Applicable</w:t>
            </w:r>
          </w:p>
        </w:tc>
        <w:tc>
          <w:tcPr>
            <w:tcW w:w="1667" w:type="pct"/>
          </w:tcPr>
          <w:p w14:paraId="32977494" w14:textId="592AAB14" w:rsidR="00204042" w:rsidRPr="00BB5E98" w:rsidRDefault="00E54C50" w:rsidP="00E54C50">
            <w:pPr>
              <w:contextualSpacing/>
              <w:rPr>
                <w:rFonts w:ascii="Arial" w:hAnsi="Arial" w:cs="Arial"/>
                <w:bCs/>
                <w:sz w:val="20"/>
                <w:szCs w:val="20"/>
                <w:lang w:val="en-GB"/>
              </w:rPr>
            </w:pPr>
            <w:r w:rsidRPr="00BB5E98">
              <w:rPr>
                <w:rFonts w:ascii="Arial" w:hAnsi="Arial" w:cs="Arial"/>
                <w:b/>
                <w:bCs/>
                <w:sz w:val="20"/>
                <w:szCs w:val="20"/>
              </w:rPr>
              <w:t>4 (Good)</w:t>
            </w:r>
          </w:p>
        </w:tc>
        <w:tc>
          <w:tcPr>
            <w:tcW w:w="1667" w:type="pct"/>
          </w:tcPr>
          <w:p w14:paraId="776025FB"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6C116638" w14:textId="77777777" w:rsidTr="005C677A">
        <w:trPr>
          <w:trHeight w:val="20"/>
          <w:jc w:val="center"/>
        </w:trPr>
        <w:tc>
          <w:tcPr>
            <w:tcW w:w="1666" w:type="pct"/>
            <w:noWrap/>
            <w:hideMark/>
          </w:tcPr>
          <w:p w14:paraId="518C32D9" w14:textId="77777777" w:rsidR="00204042" w:rsidRPr="00BB5E98" w:rsidRDefault="00EA6E35" w:rsidP="00AF3F59">
            <w:pPr>
              <w:rPr>
                <w:rFonts w:ascii="Arial" w:hAnsi="Arial" w:cs="Arial"/>
                <w:b/>
                <w:sz w:val="20"/>
                <w:szCs w:val="20"/>
                <w:lang w:val="en-GB"/>
              </w:rPr>
            </w:pPr>
            <w:r w:rsidRPr="00BB5E98">
              <w:rPr>
                <w:rFonts w:ascii="Arial" w:hAnsi="Arial" w:cs="Arial"/>
                <w:b/>
                <w:sz w:val="20"/>
                <w:szCs w:val="20"/>
                <w:lang w:val="en-GB"/>
              </w:rPr>
              <w:t>15. Is the manuscript written in clear and understandable language?</w:t>
            </w:r>
          </w:p>
          <w:p w14:paraId="0A878E4B"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Rating Scale: </w:t>
            </w:r>
          </w:p>
          <w:p w14:paraId="0D6A9676" w14:textId="77777777" w:rsidR="00204042" w:rsidRPr="00BB5E98" w:rsidRDefault="00EA6E35" w:rsidP="00AF3F59">
            <w:pPr>
              <w:rPr>
                <w:rFonts w:ascii="Arial" w:hAnsi="Arial" w:cs="Arial"/>
                <w:color w:val="404040"/>
                <w:sz w:val="20"/>
                <w:szCs w:val="20"/>
                <w:shd w:val="clear" w:color="auto" w:fill="FFFFFF"/>
                <w:lang w:val="en-GB"/>
              </w:rPr>
            </w:pPr>
            <w:r w:rsidRPr="00BB5E9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BB5E98" w:rsidRDefault="00EA6E35" w:rsidP="00AF3F59">
            <w:pPr>
              <w:rPr>
                <w:rFonts w:ascii="Arial" w:hAnsi="Arial" w:cs="Arial"/>
                <w:sz w:val="20"/>
                <w:szCs w:val="20"/>
                <w:lang w:val="en-GB"/>
              </w:rPr>
            </w:pPr>
            <w:r w:rsidRPr="00BB5E98">
              <w:rPr>
                <w:rFonts w:ascii="Arial" w:hAnsi="Arial" w:cs="Arial"/>
                <w:color w:val="404040"/>
                <w:sz w:val="20"/>
                <w:szCs w:val="20"/>
                <w:shd w:val="clear" w:color="auto" w:fill="FFFFFF"/>
                <w:lang w:val="en-GB"/>
              </w:rPr>
              <w:t>N/A = Not Applicable</w:t>
            </w:r>
          </w:p>
        </w:tc>
        <w:tc>
          <w:tcPr>
            <w:tcW w:w="1667" w:type="pct"/>
          </w:tcPr>
          <w:p w14:paraId="1AB8C62B" w14:textId="18FAEA89" w:rsidR="00204042" w:rsidRPr="00BB5E98" w:rsidRDefault="00E54C50" w:rsidP="00E54C50">
            <w:pPr>
              <w:contextualSpacing/>
              <w:rPr>
                <w:rFonts w:ascii="Arial" w:hAnsi="Arial" w:cs="Arial"/>
                <w:bCs/>
                <w:sz w:val="20"/>
                <w:szCs w:val="20"/>
                <w:lang w:val="en-GB"/>
              </w:rPr>
            </w:pPr>
            <w:r w:rsidRPr="00BB5E98">
              <w:rPr>
                <w:rFonts w:ascii="Arial" w:hAnsi="Arial" w:cs="Arial"/>
                <w:b/>
                <w:bCs/>
                <w:sz w:val="20"/>
                <w:szCs w:val="20"/>
              </w:rPr>
              <w:t>3 (Satisfactory)</w:t>
            </w:r>
          </w:p>
        </w:tc>
        <w:tc>
          <w:tcPr>
            <w:tcW w:w="1667" w:type="pct"/>
          </w:tcPr>
          <w:p w14:paraId="3D972FCB" w14:textId="77777777" w:rsidR="00204042" w:rsidRPr="00BB5E98" w:rsidRDefault="00204042" w:rsidP="00EA6E35">
            <w:pPr>
              <w:keepNext/>
              <w:outlineLvl w:val="1"/>
              <w:rPr>
                <w:rFonts w:ascii="Arial" w:eastAsia="MS Mincho" w:hAnsi="Arial" w:cs="Arial"/>
                <w:bCs/>
                <w:sz w:val="20"/>
                <w:szCs w:val="20"/>
                <w:lang w:val="en-GB"/>
              </w:rPr>
            </w:pPr>
          </w:p>
        </w:tc>
      </w:tr>
    </w:tbl>
    <w:p w14:paraId="728B6CA0" w14:textId="77777777" w:rsidR="00204042" w:rsidRPr="00BB5E98" w:rsidRDefault="00204042">
      <w:pPr>
        <w:jc w:val="both"/>
        <w:rPr>
          <w:rFonts w:ascii="Arial" w:eastAsia="MS Mincho" w:hAnsi="Arial" w:cs="Arial"/>
          <w:b/>
          <w:bCs/>
          <w:sz w:val="20"/>
          <w:szCs w:val="20"/>
          <w:u w:val="single"/>
          <w:lang w:val="en-GB" w:eastAsia="x-none"/>
        </w:rPr>
      </w:pPr>
    </w:p>
    <w:p w14:paraId="4531F6FC" w14:textId="77777777" w:rsidR="00AA476E" w:rsidRPr="00BB5E98" w:rsidRDefault="00AA476E">
      <w:pPr>
        <w:jc w:val="both"/>
        <w:rPr>
          <w:rFonts w:ascii="Arial" w:eastAsia="MS Mincho" w:hAnsi="Arial" w:cs="Arial"/>
          <w:b/>
          <w:bCs/>
          <w:sz w:val="20"/>
          <w:szCs w:val="20"/>
          <w:u w:val="single"/>
          <w:lang w:val="en-GB" w:eastAsia="x-none"/>
        </w:rPr>
      </w:pPr>
    </w:p>
    <w:p w14:paraId="793DF82F" w14:textId="77777777" w:rsidR="00204042" w:rsidRPr="00BB5E98" w:rsidRDefault="00EA6E35">
      <w:pPr>
        <w:keepNext/>
        <w:outlineLvl w:val="1"/>
        <w:rPr>
          <w:rFonts w:ascii="Arial" w:eastAsia="MS Mincho" w:hAnsi="Arial" w:cs="Arial"/>
          <w:b/>
          <w:bCs/>
          <w:sz w:val="20"/>
          <w:szCs w:val="20"/>
          <w:u w:val="single"/>
          <w:lang w:val="en-GB"/>
        </w:rPr>
      </w:pPr>
      <w:r w:rsidRPr="00BB5E98">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BB5E98" w:rsidRDefault="00204042">
      <w:pPr>
        <w:rPr>
          <w:rFonts w:ascii="Arial" w:hAnsi="Arial" w:cs="Arial"/>
          <w:sz w:val="20"/>
          <w:szCs w:val="20"/>
          <w:lang w:val="en-GB"/>
        </w:rPr>
      </w:pPr>
    </w:p>
    <w:tbl>
      <w:tblPr>
        <w:tblW w:w="49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1"/>
        <w:gridCol w:w="5871"/>
        <w:gridCol w:w="3404"/>
      </w:tblGrid>
      <w:tr w:rsidR="00EA6E35" w:rsidRPr="00BB5E98" w14:paraId="149ADB7B" w14:textId="77777777" w:rsidTr="00E54C50">
        <w:trPr>
          <w:trHeight w:val="20"/>
          <w:jc w:val="center"/>
        </w:trPr>
        <w:tc>
          <w:tcPr>
            <w:tcW w:w="1665" w:type="pct"/>
            <w:noWrap/>
          </w:tcPr>
          <w:p w14:paraId="63797B48" w14:textId="77777777" w:rsidR="00204042" w:rsidRPr="00BB5E98" w:rsidRDefault="00204042" w:rsidP="00EA6E35">
            <w:pPr>
              <w:keepNext/>
              <w:outlineLvl w:val="1"/>
              <w:rPr>
                <w:rFonts w:ascii="Arial" w:eastAsia="MS Mincho" w:hAnsi="Arial" w:cs="Arial"/>
                <w:b/>
                <w:bCs/>
                <w:sz w:val="20"/>
                <w:szCs w:val="20"/>
                <w:lang w:val="en-GB"/>
              </w:rPr>
            </w:pPr>
          </w:p>
        </w:tc>
        <w:tc>
          <w:tcPr>
            <w:tcW w:w="2111" w:type="pct"/>
          </w:tcPr>
          <w:p w14:paraId="467B62F4" w14:textId="77777777" w:rsidR="00204042" w:rsidRPr="00BB5E98" w:rsidRDefault="00EA6E35" w:rsidP="00EA6E35">
            <w:pPr>
              <w:keepNext/>
              <w:outlineLvl w:val="1"/>
              <w:rPr>
                <w:rFonts w:ascii="Arial" w:eastAsia="MS Mincho" w:hAnsi="Arial" w:cs="Arial"/>
                <w:b/>
                <w:bCs/>
                <w:sz w:val="20"/>
                <w:szCs w:val="20"/>
                <w:lang w:val="en-GB"/>
              </w:rPr>
            </w:pPr>
            <w:r w:rsidRPr="00BB5E98">
              <w:rPr>
                <w:rFonts w:ascii="Arial" w:eastAsia="MS Mincho" w:hAnsi="Arial" w:cs="Arial"/>
                <w:b/>
                <w:bCs/>
                <w:sz w:val="20"/>
                <w:szCs w:val="20"/>
                <w:lang w:val="en-GB"/>
              </w:rPr>
              <w:t>Reviewer’s comment</w:t>
            </w:r>
          </w:p>
          <w:p w14:paraId="069016C4" w14:textId="77777777" w:rsidR="00204042" w:rsidRPr="00BB5E98" w:rsidRDefault="00204042" w:rsidP="00AF3F59">
            <w:pPr>
              <w:rPr>
                <w:rFonts w:ascii="Arial" w:hAnsi="Arial" w:cs="Arial"/>
                <w:sz w:val="20"/>
                <w:szCs w:val="20"/>
                <w:lang w:val="en-GB"/>
              </w:rPr>
            </w:pPr>
          </w:p>
        </w:tc>
        <w:tc>
          <w:tcPr>
            <w:tcW w:w="1225" w:type="pct"/>
          </w:tcPr>
          <w:p w14:paraId="60C614CC" w14:textId="77777777" w:rsidR="00204042" w:rsidRPr="00BB5E98" w:rsidRDefault="00EA6E35" w:rsidP="00EA6E35">
            <w:pPr>
              <w:spacing w:after="160" w:line="256" w:lineRule="auto"/>
              <w:rPr>
                <w:rFonts w:ascii="Arial" w:eastAsia="Calibri" w:hAnsi="Arial" w:cs="Arial"/>
                <w:kern w:val="2"/>
                <w:sz w:val="20"/>
                <w:szCs w:val="20"/>
                <w:lang w:val="en-IN"/>
              </w:rPr>
            </w:pPr>
            <w:r w:rsidRPr="00BB5E98">
              <w:rPr>
                <w:rFonts w:ascii="Arial" w:eastAsia="Calibri" w:hAnsi="Arial" w:cs="Arial"/>
                <w:b/>
                <w:kern w:val="2"/>
                <w:sz w:val="20"/>
                <w:szCs w:val="20"/>
                <w:lang w:val="en-IN"/>
              </w:rPr>
              <w:t>Author’s Feedback</w:t>
            </w:r>
            <w:r w:rsidRPr="00BB5E98">
              <w:rPr>
                <w:rFonts w:ascii="Arial" w:eastAsia="Calibri" w:hAnsi="Arial" w:cs="Arial"/>
                <w:kern w:val="2"/>
                <w:sz w:val="20"/>
                <w:szCs w:val="20"/>
                <w:lang w:val="en-IN"/>
              </w:rPr>
              <w:t xml:space="preserve"> (It is mandatory that authors should write his/her feedback here)</w:t>
            </w:r>
          </w:p>
          <w:p w14:paraId="2A18CDC6"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268171E1" w14:textId="77777777" w:rsidTr="00E54C50">
        <w:trPr>
          <w:trHeight w:val="20"/>
          <w:jc w:val="center"/>
        </w:trPr>
        <w:tc>
          <w:tcPr>
            <w:tcW w:w="1665" w:type="pct"/>
            <w:noWrap/>
          </w:tcPr>
          <w:p w14:paraId="13E2BA27" w14:textId="77777777" w:rsidR="00204042" w:rsidRPr="00BB5E98" w:rsidRDefault="00EA6E35" w:rsidP="00AF3F59">
            <w:pPr>
              <w:rPr>
                <w:rFonts w:ascii="Arial" w:hAnsi="Arial" w:cs="Arial"/>
                <w:b/>
                <w:bCs/>
                <w:sz w:val="20"/>
                <w:szCs w:val="20"/>
                <w:lang w:val="en-GB"/>
              </w:rPr>
            </w:pPr>
            <w:r w:rsidRPr="00BB5E98">
              <w:rPr>
                <w:rFonts w:ascii="Arial" w:hAnsi="Arial" w:cs="Arial"/>
                <w:b/>
                <w:bCs/>
                <w:sz w:val="20"/>
                <w:szCs w:val="20"/>
                <w:lang w:val="en-GB"/>
              </w:rPr>
              <w:t>Is the title of the article suitable?</w:t>
            </w:r>
          </w:p>
          <w:p w14:paraId="7C0C340B" w14:textId="77777777" w:rsidR="00204042" w:rsidRPr="00BB5E98" w:rsidRDefault="00204042" w:rsidP="00AF3F59">
            <w:pPr>
              <w:rPr>
                <w:rFonts w:ascii="Arial" w:hAnsi="Arial" w:cs="Arial"/>
                <w:bCs/>
                <w:sz w:val="20"/>
                <w:szCs w:val="20"/>
                <w:lang w:val="en-GB"/>
              </w:rPr>
            </w:pPr>
          </w:p>
          <w:p w14:paraId="7B358DF1" w14:textId="77777777" w:rsidR="00204042" w:rsidRPr="00BB5E98" w:rsidRDefault="00EA6E35" w:rsidP="00AF3F59">
            <w:pPr>
              <w:rPr>
                <w:rFonts w:ascii="Arial" w:hAnsi="Arial" w:cs="Arial"/>
                <w:bCs/>
                <w:sz w:val="20"/>
                <w:szCs w:val="20"/>
                <w:lang w:val="en-GB"/>
              </w:rPr>
            </w:pPr>
            <w:r w:rsidRPr="00BB5E98">
              <w:rPr>
                <w:rFonts w:ascii="Arial" w:hAnsi="Arial" w:cs="Arial"/>
                <w:bCs/>
                <w:sz w:val="20"/>
                <w:szCs w:val="20"/>
                <w:lang w:val="en-GB"/>
              </w:rPr>
              <w:t>If your answer is NO, please provide a brief, clear suggestion for improvement.</w:t>
            </w:r>
          </w:p>
          <w:p w14:paraId="509351CF" w14:textId="77777777" w:rsidR="00204042" w:rsidRPr="00BB5E98" w:rsidRDefault="00204042" w:rsidP="00AF3F59">
            <w:pPr>
              <w:rPr>
                <w:rFonts w:ascii="Arial" w:hAnsi="Arial" w:cs="Arial"/>
                <w:sz w:val="20"/>
                <w:szCs w:val="20"/>
                <w:u w:val="single"/>
                <w:lang w:val="en-GB"/>
              </w:rPr>
            </w:pPr>
          </w:p>
        </w:tc>
        <w:tc>
          <w:tcPr>
            <w:tcW w:w="2111" w:type="pct"/>
          </w:tcPr>
          <w:p w14:paraId="3EB64465" w14:textId="29AA5F54" w:rsidR="00204042" w:rsidRPr="00BB5E98" w:rsidRDefault="00E54C50" w:rsidP="00E54C50">
            <w:pPr>
              <w:ind w:left="360"/>
              <w:rPr>
                <w:rFonts w:ascii="Arial" w:hAnsi="Arial" w:cs="Arial"/>
                <w:b/>
                <w:bCs/>
                <w:sz w:val="20"/>
                <w:szCs w:val="20"/>
                <w:lang w:val="en-GB"/>
              </w:rPr>
            </w:pPr>
            <w:r w:rsidRPr="00BB5E98">
              <w:rPr>
                <w:rFonts w:ascii="Arial" w:hAnsi="Arial" w:cs="Arial"/>
                <w:b/>
                <w:bCs/>
                <w:sz w:val="20"/>
                <w:szCs w:val="20"/>
                <w:lang w:val="en-GB"/>
              </w:rPr>
              <w:t>Y</w:t>
            </w:r>
            <w:r w:rsidRPr="00BB5E98">
              <w:rPr>
                <w:rFonts w:ascii="Arial" w:hAnsi="Arial" w:cs="Arial"/>
                <w:b/>
                <w:bCs/>
                <w:sz w:val="20"/>
                <w:szCs w:val="20"/>
              </w:rPr>
              <w:t>es – the title accurately reflects the content of the manuscript, which investigates how coconut shell as an agricultural feedstock influences the physicochemical properties and performance potential of the resulting biochar.</w:t>
            </w:r>
          </w:p>
        </w:tc>
        <w:tc>
          <w:tcPr>
            <w:tcW w:w="1225" w:type="pct"/>
          </w:tcPr>
          <w:p w14:paraId="716ABA7E"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4502FD80" w14:textId="77777777" w:rsidTr="00E54C50">
        <w:trPr>
          <w:trHeight w:val="20"/>
          <w:jc w:val="center"/>
        </w:trPr>
        <w:tc>
          <w:tcPr>
            <w:tcW w:w="1665" w:type="pct"/>
            <w:noWrap/>
          </w:tcPr>
          <w:p w14:paraId="4EFA9330" w14:textId="77777777" w:rsidR="00204042" w:rsidRPr="00BB5E98" w:rsidRDefault="00EA6E35" w:rsidP="00EA6E35">
            <w:pPr>
              <w:keepNext/>
              <w:outlineLvl w:val="1"/>
              <w:rPr>
                <w:rFonts w:ascii="Arial" w:eastAsia="MS Mincho" w:hAnsi="Arial" w:cs="Arial"/>
                <w:b/>
                <w:bCs/>
                <w:sz w:val="20"/>
                <w:szCs w:val="20"/>
                <w:lang w:val="en-GB"/>
              </w:rPr>
            </w:pPr>
            <w:r w:rsidRPr="00BB5E98">
              <w:rPr>
                <w:rFonts w:ascii="Arial" w:eastAsia="MS Mincho" w:hAnsi="Arial" w:cs="Arial"/>
                <w:b/>
                <w:bCs/>
                <w:sz w:val="20"/>
                <w:szCs w:val="20"/>
                <w:lang w:val="en-GB"/>
              </w:rPr>
              <w:t xml:space="preserve">Is the abstract of the article comprehensive? </w:t>
            </w:r>
          </w:p>
          <w:p w14:paraId="7DED7917" w14:textId="77777777" w:rsidR="00204042" w:rsidRPr="00BB5E98" w:rsidRDefault="00EA6E35" w:rsidP="00AF3F59">
            <w:pPr>
              <w:rPr>
                <w:rFonts w:ascii="Arial" w:hAnsi="Arial" w:cs="Arial"/>
                <w:bCs/>
                <w:sz w:val="20"/>
                <w:szCs w:val="20"/>
                <w:lang w:val="en-GB"/>
              </w:rPr>
            </w:pPr>
            <w:r w:rsidRPr="00BB5E98">
              <w:rPr>
                <w:rFonts w:ascii="Arial" w:hAnsi="Arial" w:cs="Arial"/>
                <w:bCs/>
                <w:sz w:val="20"/>
                <w:szCs w:val="20"/>
                <w:lang w:val="en-GB"/>
              </w:rPr>
              <w:t>s</w:t>
            </w:r>
          </w:p>
          <w:p w14:paraId="1A4B73B3" w14:textId="77777777" w:rsidR="00204042" w:rsidRPr="00BB5E98" w:rsidRDefault="00EA6E35" w:rsidP="00AF3F59">
            <w:pPr>
              <w:rPr>
                <w:rFonts w:ascii="Arial" w:hAnsi="Arial" w:cs="Arial"/>
                <w:bCs/>
                <w:sz w:val="20"/>
                <w:szCs w:val="20"/>
                <w:lang w:val="en-GB"/>
              </w:rPr>
            </w:pPr>
            <w:r w:rsidRPr="00BB5E98">
              <w:rPr>
                <w:rFonts w:ascii="Arial" w:hAnsi="Arial" w:cs="Arial"/>
                <w:bCs/>
                <w:sz w:val="20"/>
                <w:szCs w:val="20"/>
                <w:lang w:val="en-GB"/>
              </w:rPr>
              <w:t>If your answer is NO, please provide a brief, clear suggestion for improvement.</w:t>
            </w:r>
          </w:p>
          <w:p w14:paraId="5BA255BE" w14:textId="77777777" w:rsidR="00204042" w:rsidRPr="00BB5E98" w:rsidRDefault="00204042" w:rsidP="00AF3F59">
            <w:pPr>
              <w:rPr>
                <w:rFonts w:ascii="Arial" w:hAnsi="Arial" w:cs="Arial"/>
                <w:sz w:val="20"/>
                <w:szCs w:val="20"/>
                <w:lang w:val="en-GB"/>
              </w:rPr>
            </w:pPr>
          </w:p>
        </w:tc>
        <w:tc>
          <w:tcPr>
            <w:tcW w:w="2111" w:type="pct"/>
          </w:tcPr>
          <w:p w14:paraId="6C073397" w14:textId="77777777" w:rsidR="00E54C50" w:rsidRPr="00BB5E98" w:rsidRDefault="00E54C50" w:rsidP="00E54C50">
            <w:pPr>
              <w:ind w:left="360"/>
              <w:rPr>
                <w:rFonts w:ascii="Arial" w:hAnsi="Arial" w:cs="Arial"/>
                <w:b/>
                <w:bCs/>
                <w:sz w:val="20"/>
                <w:szCs w:val="20"/>
                <w:lang w:val="en-MY"/>
              </w:rPr>
            </w:pPr>
            <w:r w:rsidRPr="00BB5E98">
              <w:rPr>
                <w:rFonts w:ascii="Arial" w:hAnsi="Arial" w:cs="Arial"/>
                <w:b/>
                <w:bCs/>
                <w:sz w:val="20"/>
                <w:szCs w:val="20"/>
                <w:lang w:val="en-MY"/>
              </w:rPr>
              <w:t>No (Needs Improvement)</w:t>
            </w:r>
          </w:p>
          <w:p w14:paraId="67B0CC4C" w14:textId="77777777" w:rsidR="00204042" w:rsidRPr="00BB5E98" w:rsidRDefault="00E54C50" w:rsidP="00E54C50">
            <w:pPr>
              <w:ind w:left="360"/>
              <w:jc w:val="both"/>
              <w:rPr>
                <w:rFonts w:ascii="Arial" w:hAnsi="Arial" w:cs="Arial"/>
                <w:b/>
                <w:bCs/>
                <w:sz w:val="20"/>
                <w:szCs w:val="20"/>
                <w:lang w:val="en-MY"/>
              </w:rPr>
            </w:pPr>
            <w:r w:rsidRPr="00BB5E98">
              <w:rPr>
                <w:rFonts w:ascii="Arial" w:hAnsi="Arial" w:cs="Arial"/>
                <w:b/>
                <w:bCs/>
                <w:sz w:val="20"/>
                <w:szCs w:val="20"/>
                <w:lang w:val="en-MY"/>
              </w:rPr>
              <w:t xml:space="preserve">The abstract is informative but not fully comprehensive. </w:t>
            </w:r>
          </w:p>
          <w:p w14:paraId="31D651E6" w14:textId="77777777" w:rsidR="00E54C50" w:rsidRPr="00BB5E98" w:rsidRDefault="00E54C50" w:rsidP="00E54C50">
            <w:pPr>
              <w:ind w:left="360"/>
              <w:jc w:val="both"/>
              <w:rPr>
                <w:rFonts w:ascii="Arial" w:hAnsi="Arial" w:cs="Arial"/>
                <w:b/>
                <w:bCs/>
                <w:sz w:val="20"/>
                <w:szCs w:val="20"/>
                <w:lang w:val="en-MY"/>
              </w:rPr>
            </w:pPr>
          </w:p>
          <w:p w14:paraId="3B105387" w14:textId="77777777" w:rsidR="00E54C50" w:rsidRPr="00BB5E98" w:rsidRDefault="00E54C50" w:rsidP="00E54C50">
            <w:pPr>
              <w:ind w:left="360"/>
              <w:jc w:val="both"/>
              <w:rPr>
                <w:rFonts w:ascii="Arial" w:hAnsi="Arial" w:cs="Arial"/>
                <w:b/>
                <w:bCs/>
                <w:sz w:val="20"/>
                <w:szCs w:val="20"/>
                <w:lang w:val="en-MY"/>
              </w:rPr>
            </w:pPr>
            <w:r w:rsidRPr="00BB5E98">
              <w:rPr>
                <w:rFonts w:ascii="Arial" w:hAnsi="Arial" w:cs="Arial"/>
                <w:b/>
                <w:bCs/>
                <w:sz w:val="20"/>
                <w:szCs w:val="20"/>
                <w:lang w:val="en-MY"/>
              </w:rPr>
              <w:t>Suggested revised abstract:</w:t>
            </w:r>
          </w:p>
          <w:p w14:paraId="7C614864" w14:textId="41A5AB7A" w:rsidR="00E54C50" w:rsidRPr="00BB5E98" w:rsidRDefault="00E54C50" w:rsidP="00E54C50">
            <w:pPr>
              <w:ind w:left="360"/>
              <w:jc w:val="both"/>
              <w:rPr>
                <w:rFonts w:ascii="Arial" w:hAnsi="Arial" w:cs="Arial"/>
                <w:b/>
                <w:bCs/>
                <w:sz w:val="20"/>
                <w:szCs w:val="20"/>
                <w:lang w:val="en-MY"/>
              </w:rPr>
            </w:pPr>
            <w:r w:rsidRPr="00BB5E98">
              <w:rPr>
                <w:rFonts w:ascii="Arial" w:hAnsi="Arial" w:cs="Arial"/>
                <w:b/>
                <w:bCs/>
                <w:sz w:val="20"/>
                <w:szCs w:val="20"/>
                <w:lang w:val="en-MY"/>
              </w:rPr>
              <w:t>Limited understanding exists of how pyrolysis conditions affect the physicochemical properties of biochar derived from specific agricultural feedstocks. This study investigates coconut shell–derived biochar produced via oxygen-limited pyrolysis at 600°C with a heating rate of 5°C min</w:t>
            </w:r>
            <w:r w:rsidRPr="00BB5E98">
              <w:rPr>
                <w:rFonts w:ascii="Cambria Math" w:hAnsi="Cambria Math" w:cs="Cambria Math"/>
                <w:b/>
                <w:bCs/>
                <w:sz w:val="20"/>
                <w:szCs w:val="20"/>
                <w:lang w:val="en-MY"/>
              </w:rPr>
              <w:t>⁻</w:t>
            </w:r>
            <w:r w:rsidRPr="00BB5E98">
              <w:rPr>
                <w:rFonts w:ascii="Arial" w:hAnsi="Arial" w:cs="Arial"/>
                <w:b/>
                <w:bCs/>
                <w:sz w:val="20"/>
                <w:szCs w:val="20"/>
                <w:lang w:val="en-MY"/>
              </w:rPr>
              <w:t>¹. X-ray diffraction revealed a predominantly amorphous structure (crystallinity index: 30.3%) with broad peaks at 2θ ≈ 23.15° and 43.80°, indicating high structural disorder favorable for adsorption. Dynamic light scattering showed a unimodal particle size distribution centered at ~1550 nm, while zeta potential measurements indicated a mean surface charge of −17 mV, confirming moderate colloidal stability and affinity for cationic contaminants. BET and BJH analyses demonstrated a hierarchical pore structure with cumulative pore volume reaching ~77 cc g</w:t>
            </w:r>
            <w:r w:rsidRPr="00BB5E98">
              <w:rPr>
                <w:rFonts w:ascii="Cambria Math" w:hAnsi="Cambria Math" w:cs="Cambria Math"/>
                <w:b/>
                <w:bCs/>
                <w:sz w:val="20"/>
                <w:szCs w:val="20"/>
                <w:lang w:val="en-MY"/>
              </w:rPr>
              <w:t>⁻</w:t>
            </w:r>
            <w:r w:rsidRPr="00BB5E98">
              <w:rPr>
                <w:rFonts w:ascii="Arial" w:hAnsi="Arial" w:cs="Arial"/>
                <w:b/>
                <w:bCs/>
                <w:sz w:val="20"/>
                <w:szCs w:val="20"/>
                <w:lang w:val="en-MY"/>
              </w:rPr>
              <w:t>¹ in the 40–51 nm range and a micropore volume of ~0.13 cc g</w:t>
            </w:r>
            <w:r w:rsidRPr="00BB5E98">
              <w:rPr>
                <w:rFonts w:ascii="Cambria Math" w:hAnsi="Cambria Math" w:cs="Cambria Math"/>
                <w:b/>
                <w:bCs/>
                <w:sz w:val="20"/>
                <w:szCs w:val="20"/>
                <w:lang w:val="en-MY"/>
              </w:rPr>
              <w:t>⁻</w:t>
            </w:r>
            <w:r w:rsidRPr="00BB5E98">
              <w:rPr>
                <w:rFonts w:ascii="Arial" w:hAnsi="Arial" w:cs="Arial"/>
                <w:b/>
                <w:bCs/>
                <w:sz w:val="20"/>
                <w:szCs w:val="20"/>
                <w:lang w:val="en-MY"/>
              </w:rPr>
              <w:t>¹. FTIR analysis confirmed the presence of –OH, C=O, and aromatic C=C functional groups, contributing to surface reactivity. Collectively, these structural, chemical, and electrokinetic properties position coconut shell biochar as a low-cost, high-performance material for environmental remediation and wastewater treatment, comparable in key characteristics to commercial activated carbon.</w:t>
            </w:r>
          </w:p>
          <w:p w14:paraId="7DC0514E" w14:textId="049A630B" w:rsidR="00E54C50" w:rsidRPr="00BB5E98" w:rsidRDefault="00E54C50" w:rsidP="00E54C50">
            <w:pPr>
              <w:ind w:left="360"/>
              <w:jc w:val="both"/>
              <w:rPr>
                <w:rFonts w:ascii="Arial" w:hAnsi="Arial" w:cs="Arial"/>
                <w:b/>
                <w:bCs/>
                <w:sz w:val="20"/>
                <w:szCs w:val="20"/>
                <w:lang w:val="en-MY"/>
              </w:rPr>
            </w:pPr>
          </w:p>
        </w:tc>
        <w:tc>
          <w:tcPr>
            <w:tcW w:w="1225" w:type="pct"/>
          </w:tcPr>
          <w:p w14:paraId="55FC2422"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5C3740FC" w14:textId="77777777" w:rsidTr="00E54C50">
        <w:trPr>
          <w:trHeight w:val="20"/>
          <w:jc w:val="center"/>
        </w:trPr>
        <w:tc>
          <w:tcPr>
            <w:tcW w:w="1665" w:type="pct"/>
            <w:noWrap/>
            <w:hideMark/>
          </w:tcPr>
          <w:p w14:paraId="1EC3E67A" w14:textId="77777777" w:rsidR="00204042" w:rsidRPr="00BB5E98" w:rsidRDefault="00EA6E35" w:rsidP="00EA6E35">
            <w:pPr>
              <w:keepNext/>
              <w:outlineLvl w:val="1"/>
              <w:rPr>
                <w:rFonts w:ascii="Arial" w:eastAsia="MS Mincho" w:hAnsi="Arial" w:cs="Arial"/>
                <w:bCs/>
                <w:sz w:val="20"/>
                <w:szCs w:val="20"/>
                <w:lang w:val="en-GB"/>
              </w:rPr>
            </w:pPr>
            <w:r w:rsidRPr="00BB5E98">
              <w:rPr>
                <w:rFonts w:ascii="Arial" w:eastAsia="MS Mincho" w:hAnsi="Arial" w:cs="Arial"/>
                <w:b/>
                <w:bCs/>
                <w:sz w:val="20"/>
                <w:szCs w:val="20"/>
                <w:lang w:val="en-GB"/>
              </w:rPr>
              <w:t xml:space="preserve">Is the manuscript scientifically correct? </w:t>
            </w:r>
            <w:r w:rsidRPr="00BB5E98">
              <w:rPr>
                <w:rFonts w:ascii="Arial" w:eastAsia="MS Mincho" w:hAnsi="Arial" w:cs="Arial"/>
                <w:b/>
                <w:bCs/>
                <w:sz w:val="20"/>
                <w:szCs w:val="20"/>
                <w:lang w:val="en-GB"/>
              </w:rPr>
              <w:br/>
            </w:r>
          </w:p>
          <w:p w14:paraId="5C6D9B07" w14:textId="77777777" w:rsidR="00204042" w:rsidRPr="00BB5E98" w:rsidRDefault="00EA6E35" w:rsidP="00AF3F59">
            <w:pPr>
              <w:rPr>
                <w:rFonts w:ascii="Arial" w:hAnsi="Arial" w:cs="Arial"/>
                <w:bCs/>
                <w:sz w:val="20"/>
                <w:szCs w:val="20"/>
                <w:lang w:val="en-GB"/>
              </w:rPr>
            </w:pPr>
            <w:r w:rsidRPr="00BB5E98">
              <w:rPr>
                <w:rFonts w:ascii="Arial" w:hAnsi="Arial" w:cs="Arial"/>
                <w:bCs/>
                <w:sz w:val="20"/>
                <w:szCs w:val="20"/>
                <w:lang w:val="en-GB"/>
              </w:rPr>
              <w:t>If your answer is NO, please provide a brief, clear suggestion for improvement</w:t>
            </w:r>
          </w:p>
          <w:p w14:paraId="73E14B09" w14:textId="77777777" w:rsidR="00204042" w:rsidRPr="00BB5E98" w:rsidRDefault="00EA6E35" w:rsidP="00AF3F59">
            <w:pPr>
              <w:rPr>
                <w:rFonts w:ascii="Arial" w:hAnsi="Arial" w:cs="Arial"/>
                <w:b/>
                <w:sz w:val="20"/>
                <w:szCs w:val="20"/>
                <w:lang w:val="en-GB"/>
              </w:rPr>
            </w:pPr>
            <w:r w:rsidRPr="00BB5E98">
              <w:rPr>
                <w:rFonts w:ascii="Arial" w:hAnsi="Arial" w:cs="Arial"/>
                <w:bCs/>
                <w:sz w:val="20"/>
                <w:szCs w:val="20"/>
                <w:lang w:val="en-GB"/>
              </w:rPr>
              <w:t>.</w:t>
            </w:r>
          </w:p>
        </w:tc>
        <w:tc>
          <w:tcPr>
            <w:tcW w:w="2111" w:type="pct"/>
          </w:tcPr>
          <w:p w14:paraId="40C8830B" w14:textId="77777777" w:rsidR="00F017FD" w:rsidRPr="00BB5E98" w:rsidRDefault="00F017FD" w:rsidP="00F017FD">
            <w:pPr>
              <w:contextualSpacing/>
              <w:rPr>
                <w:rFonts w:ascii="Arial" w:hAnsi="Arial" w:cs="Arial"/>
                <w:bCs/>
                <w:sz w:val="20"/>
                <w:szCs w:val="20"/>
                <w:lang w:val="en-MY"/>
              </w:rPr>
            </w:pPr>
            <w:r w:rsidRPr="00BB5E98">
              <w:rPr>
                <w:rFonts w:ascii="Arial" w:hAnsi="Arial" w:cs="Arial"/>
                <w:b/>
                <w:bCs/>
                <w:sz w:val="20"/>
                <w:szCs w:val="20"/>
                <w:lang w:val="en-MY"/>
              </w:rPr>
              <w:t>No (Needs Improvement)</w:t>
            </w:r>
          </w:p>
          <w:p w14:paraId="675800E1" w14:textId="516B816F" w:rsidR="00F017FD" w:rsidRPr="00BB5E98" w:rsidRDefault="00F017FD" w:rsidP="00F017FD">
            <w:pPr>
              <w:contextualSpacing/>
              <w:rPr>
                <w:rFonts w:ascii="Arial" w:hAnsi="Arial" w:cs="Arial"/>
                <w:b/>
                <w:sz w:val="20"/>
                <w:szCs w:val="20"/>
                <w:lang w:val="en-MY"/>
              </w:rPr>
            </w:pPr>
            <w:r w:rsidRPr="00BB5E98">
              <w:rPr>
                <w:rFonts w:ascii="Arial" w:hAnsi="Arial" w:cs="Arial"/>
                <w:b/>
                <w:sz w:val="20"/>
                <w:szCs w:val="20"/>
                <w:lang w:val="en-MY"/>
              </w:rPr>
              <w:t>The manuscript is partially scientifically correct, but it contains several factual errors, methodological inconsistencies, and overstatements that compromise its scientific accuracy.</w:t>
            </w:r>
          </w:p>
          <w:p w14:paraId="5C6935E3" w14:textId="77777777" w:rsidR="00204042" w:rsidRPr="00BB5E98" w:rsidRDefault="00204042" w:rsidP="00AF3F59">
            <w:pPr>
              <w:contextualSpacing/>
              <w:rPr>
                <w:rFonts w:ascii="Arial" w:hAnsi="Arial" w:cs="Arial"/>
                <w:b/>
                <w:sz w:val="20"/>
                <w:szCs w:val="20"/>
                <w:lang w:val="en-MY"/>
              </w:rPr>
            </w:pPr>
          </w:p>
          <w:p w14:paraId="25087CE6" w14:textId="2AA937C0" w:rsidR="00F017FD" w:rsidRPr="00BB5E98" w:rsidRDefault="00F017FD" w:rsidP="00F017FD">
            <w:pPr>
              <w:contextualSpacing/>
              <w:rPr>
                <w:rFonts w:ascii="Arial" w:hAnsi="Arial" w:cs="Arial"/>
                <w:bCs/>
                <w:sz w:val="20"/>
                <w:szCs w:val="20"/>
                <w:lang w:val="en-MY"/>
              </w:rPr>
            </w:pPr>
            <w:r w:rsidRPr="00BB5E98">
              <w:rPr>
                <w:rFonts w:ascii="Arial" w:hAnsi="Arial" w:cs="Arial"/>
                <w:b/>
                <w:sz w:val="20"/>
                <w:szCs w:val="20"/>
              </w:rPr>
              <w:t>The manuscript reports interesting characterization data, but scientific correctness is compromised by factual errors (1500°C, "husk" vs. "shell"), overstatements (adsorption claims without adsorption data), missing contextual information (zeta potential pH), and taxonomic mistakes. These issues require correction before the manuscript can be considered scientifically sound. A revision addressing the seven points above would elevate the rating to "Good" or "Excellent."</w:t>
            </w:r>
          </w:p>
        </w:tc>
        <w:tc>
          <w:tcPr>
            <w:tcW w:w="1225" w:type="pct"/>
          </w:tcPr>
          <w:p w14:paraId="51AC5B4C"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0D69610E" w14:textId="77777777" w:rsidTr="00E54C50">
        <w:trPr>
          <w:trHeight w:val="20"/>
          <w:jc w:val="center"/>
        </w:trPr>
        <w:tc>
          <w:tcPr>
            <w:tcW w:w="1665" w:type="pct"/>
            <w:noWrap/>
          </w:tcPr>
          <w:p w14:paraId="4EC4DD3C" w14:textId="77777777" w:rsidR="00204042" w:rsidRPr="00BB5E98" w:rsidRDefault="00EA6E35" w:rsidP="00AF3F59">
            <w:pPr>
              <w:rPr>
                <w:rFonts w:ascii="Arial" w:hAnsi="Arial" w:cs="Arial"/>
                <w:b/>
                <w:bCs/>
                <w:sz w:val="20"/>
                <w:szCs w:val="20"/>
                <w:lang w:val="en-GB"/>
              </w:rPr>
            </w:pPr>
            <w:r w:rsidRPr="00BB5E98">
              <w:rPr>
                <w:rFonts w:ascii="Arial" w:hAnsi="Arial" w:cs="Arial"/>
                <w:b/>
                <w:bCs/>
                <w:sz w:val="20"/>
                <w:szCs w:val="20"/>
                <w:lang w:val="en-GB"/>
              </w:rPr>
              <w:t xml:space="preserve">Are the references sufficient and recent? </w:t>
            </w:r>
          </w:p>
          <w:p w14:paraId="716830E5" w14:textId="77777777" w:rsidR="00204042" w:rsidRPr="00BB5E98" w:rsidRDefault="00EA6E35" w:rsidP="00AF3F59">
            <w:pPr>
              <w:rPr>
                <w:rFonts w:ascii="Arial" w:hAnsi="Arial" w:cs="Arial"/>
                <w:bCs/>
                <w:sz w:val="20"/>
                <w:szCs w:val="20"/>
                <w:lang w:val="en-GB"/>
              </w:rPr>
            </w:pPr>
            <w:r w:rsidRPr="00BB5E98">
              <w:rPr>
                <w:rFonts w:ascii="Arial" w:hAnsi="Arial" w:cs="Arial"/>
                <w:bCs/>
                <w:sz w:val="20"/>
                <w:szCs w:val="20"/>
                <w:lang w:val="en-GB"/>
              </w:rPr>
              <w:t>(YES or NO)</w:t>
            </w:r>
          </w:p>
          <w:p w14:paraId="4528A2D3" w14:textId="77777777" w:rsidR="00204042" w:rsidRPr="00BB5E98" w:rsidRDefault="00204042" w:rsidP="00AF3F59">
            <w:pPr>
              <w:rPr>
                <w:rFonts w:ascii="Arial" w:hAnsi="Arial" w:cs="Arial"/>
                <w:bCs/>
                <w:sz w:val="20"/>
                <w:szCs w:val="20"/>
                <w:lang w:val="en-GB"/>
              </w:rPr>
            </w:pPr>
          </w:p>
          <w:p w14:paraId="42FB4634" w14:textId="77777777" w:rsidR="00204042" w:rsidRPr="00BB5E98" w:rsidRDefault="00EA6E35" w:rsidP="00AF3F59">
            <w:pPr>
              <w:rPr>
                <w:rFonts w:ascii="Arial" w:hAnsi="Arial" w:cs="Arial"/>
                <w:bCs/>
                <w:sz w:val="20"/>
                <w:szCs w:val="20"/>
                <w:lang w:val="en-GB"/>
              </w:rPr>
            </w:pPr>
            <w:r w:rsidRPr="00BB5E98">
              <w:rPr>
                <w:rFonts w:ascii="Arial" w:hAnsi="Arial" w:cs="Arial"/>
                <w:bCs/>
                <w:sz w:val="20"/>
                <w:szCs w:val="20"/>
                <w:lang w:val="en-GB"/>
              </w:rPr>
              <w:t>If your answer is NO, please provide clear suggestion for improvement.</w:t>
            </w:r>
          </w:p>
          <w:p w14:paraId="3CC112A8" w14:textId="77777777" w:rsidR="00204042" w:rsidRPr="00BB5E98" w:rsidRDefault="00204042" w:rsidP="00AF3F59">
            <w:pPr>
              <w:rPr>
                <w:rFonts w:ascii="Arial" w:hAnsi="Arial" w:cs="Arial"/>
                <w:b/>
                <w:bCs/>
                <w:sz w:val="20"/>
                <w:szCs w:val="20"/>
                <w:lang w:val="en-GB"/>
              </w:rPr>
            </w:pPr>
          </w:p>
        </w:tc>
        <w:tc>
          <w:tcPr>
            <w:tcW w:w="2111" w:type="pct"/>
          </w:tcPr>
          <w:p w14:paraId="710C4103" w14:textId="285E42AB" w:rsidR="00F017FD" w:rsidRPr="00BB5E98" w:rsidRDefault="00F017FD" w:rsidP="00F017FD">
            <w:pPr>
              <w:contextualSpacing/>
              <w:rPr>
                <w:rFonts w:ascii="Arial" w:hAnsi="Arial" w:cs="Arial"/>
                <w:b/>
                <w:sz w:val="20"/>
                <w:szCs w:val="20"/>
                <w:lang w:val="en-MY"/>
              </w:rPr>
            </w:pPr>
            <w:r w:rsidRPr="00BB5E98">
              <w:rPr>
                <w:rFonts w:ascii="Arial" w:hAnsi="Arial" w:cs="Arial"/>
                <w:b/>
                <w:sz w:val="20"/>
                <w:szCs w:val="20"/>
                <w:lang w:val="en-MY"/>
              </w:rPr>
              <w:t>Yes</w:t>
            </w:r>
          </w:p>
          <w:p w14:paraId="55F581BC" w14:textId="32C3EE39" w:rsidR="00F017FD" w:rsidRPr="00BB5E98" w:rsidRDefault="00F017FD" w:rsidP="00F017FD">
            <w:pPr>
              <w:contextualSpacing/>
              <w:rPr>
                <w:rFonts w:ascii="Arial" w:hAnsi="Arial" w:cs="Arial"/>
                <w:b/>
                <w:sz w:val="20"/>
                <w:szCs w:val="20"/>
                <w:lang w:val="en-MY"/>
              </w:rPr>
            </w:pPr>
            <w:r w:rsidRPr="00BB5E98">
              <w:rPr>
                <w:rFonts w:ascii="Arial" w:hAnsi="Arial" w:cs="Arial"/>
                <w:b/>
                <w:sz w:val="20"/>
                <w:szCs w:val="20"/>
                <w:lang w:val="en-MY"/>
              </w:rPr>
              <w:t>While the reference list contains 49 entries and includes some recent publications (2023–2026), it has notable gaps in both sufficiency and recency for a manuscript of this scope.</w:t>
            </w:r>
          </w:p>
        </w:tc>
        <w:tc>
          <w:tcPr>
            <w:tcW w:w="1225" w:type="pct"/>
          </w:tcPr>
          <w:p w14:paraId="467EE6CF" w14:textId="77777777" w:rsidR="00204042" w:rsidRPr="00BB5E98" w:rsidRDefault="00204042" w:rsidP="00EA6E35">
            <w:pPr>
              <w:keepNext/>
              <w:outlineLvl w:val="1"/>
              <w:rPr>
                <w:rFonts w:ascii="Arial" w:eastAsia="MS Mincho" w:hAnsi="Arial" w:cs="Arial"/>
                <w:bCs/>
                <w:sz w:val="20"/>
                <w:szCs w:val="20"/>
                <w:lang w:val="en-GB"/>
              </w:rPr>
            </w:pPr>
          </w:p>
        </w:tc>
      </w:tr>
      <w:tr w:rsidR="00EA6E35" w:rsidRPr="00BB5E98" w14:paraId="124FFBD8" w14:textId="77777777" w:rsidTr="00E54C50">
        <w:trPr>
          <w:trHeight w:val="20"/>
          <w:jc w:val="center"/>
        </w:trPr>
        <w:tc>
          <w:tcPr>
            <w:tcW w:w="1665" w:type="pct"/>
            <w:noWrap/>
          </w:tcPr>
          <w:p w14:paraId="1EBCFF00" w14:textId="77777777" w:rsidR="00204042" w:rsidRPr="00BB5E98" w:rsidRDefault="00EA6E35" w:rsidP="00AF3F59">
            <w:pPr>
              <w:rPr>
                <w:rFonts w:ascii="Arial" w:hAnsi="Arial" w:cs="Arial"/>
                <w:b/>
                <w:bCs/>
                <w:sz w:val="20"/>
                <w:szCs w:val="20"/>
                <w:lang w:val="en-GB"/>
              </w:rPr>
            </w:pPr>
            <w:r w:rsidRPr="00BB5E98">
              <w:rPr>
                <w:rFonts w:ascii="Arial" w:hAnsi="Arial" w:cs="Arial"/>
                <w:b/>
                <w:bCs/>
                <w:sz w:val="20"/>
                <w:szCs w:val="20"/>
                <w:lang w:val="en-GB"/>
              </w:rPr>
              <w:t>Are there ethical issues in this manuscript?</w:t>
            </w:r>
          </w:p>
          <w:p w14:paraId="538F5D38" w14:textId="77777777" w:rsidR="00204042" w:rsidRPr="00BB5E98" w:rsidRDefault="00EA6E35" w:rsidP="00AF3F59">
            <w:pPr>
              <w:rPr>
                <w:rFonts w:ascii="Arial" w:hAnsi="Arial" w:cs="Arial"/>
                <w:bCs/>
                <w:sz w:val="20"/>
                <w:szCs w:val="20"/>
                <w:lang w:val="en-GB"/>
              </w:rPr>
            </w:pPr>
            <w:r w:rsidRPr="00BB5E98">
              <w:rPr>
                <w:rFonts w:ascii="Arial" w:hAnsi="Arial" w:cs="Arial"/>
                <w:bCs/>
                <w:sz w:val="20"/>
                <w:szCs w:val="20"/>
                <w:lang w:val="en-GB"/>
              </w:rPr>
              <w:t>(YES or NO)</w:t>
            </w:r>
          </w:p>
          <w:p w14:paraId="3DF80C5A" w14:textId="77777777" w:rsidR="00204042" w:rsidRPr="00BB5E98" w:rsidRDefault="00204042" w:rsidP="00AF3F59">
            <w:pPr>
              <w:rPr>
                <w:rFonts w:ascii="Arial" w:hAnsi="Arial" w:cs="Arial"/>
                <w:bCs/>
                <w:sz w:val="20"/>
                <w:szCs w:val="20"/>
                <w:lang w:val="en-GB"/>
              </w:rPr>
            </w:pPr>
          </w:p>
          <w:p w14:paraId="6FFEBED2" w14:textId="77777777" w:rsidR="00204042" w:rsidRPr="00BB5E98" w:rsidRDefault="00EA6E35" w:rsidP="00AF3F59">
            <w:pPr>
              <w:rPr>
                <w:rFonts w:ascii="Arial" w:hAnsi="Arial" w:cs="Arial"/>
                <w:bCs/>
                <w:sz w:val="20"/>
                <w:szCs w:val="20"/>
                <w:lang w:val="en-GB"/>
              </w:rPr>
            </w:pPr>
            <w:r w:rsidRPr="00BB5E98">
              <w:rPr>
                <w:rFonts w:ascii="Arial" w:hAnsi="Arial" w:cs="Arial"/>
                <w:bCs/>
                <w:sz w:val="20"/>
                <w:szCs w:val="20"/>
                <w:lang w:val="en-GB"/>
              </w:rPr>
              <w:t>(If yes, kindly please write down the ethical issues here in details)</w:t>
            </w:r>
          </w:p>
          <w:p w14:paraId="1AEB6E3C" w14:textId="77777777" w:rsidR="00204042" w:rsidRPr="00BB5E98" w:rsidRDefault="00204042" w:rsidP="00AF3F59">
            <w:pPr>
              <w:rPr>
                <w:rFonts w:ascii="Arial" w:hAnsi="Arial" w:cs="Arial"/>
                <w:bCs/>
                <w:sz w:val="20"/>
                <w:szCs w:val="20"/>
                <w:lang w:val="en-GB"/>
              </w:rPr>
            </w:pPr>
          </w:p>
        </w:tc>
        <w:tc>
          <w:tcPr>
            <w:tcW w:w="2111" w:type="pct"/>
          </w:tcPr>
          <w:p w14:paraId="0E1D2D07" w14:textId="77777777" w:rsidR="00204042" w:rsidRPr="00BB5E98" w:rsidRDefault="00F017FD" w:rsidP="00AF3F59">
            <w:pPr>
              <w:contextualSpacing/>
              <w:rPr>
                <w:rFonts w:ascii="Arial" w:hAnsi="Arial" w:cs="Arial"/>
                <w:b/>
                <w:sz w:val="20"/>
                <w:szCs w:val="20"/>
                <w:lang w:val="en-GB"/>
              </w:rPr>
            </w:pPr>
            <w:r w:rsidRPr="00BB5E98">
              <w:rPr>
                <w:rFonts w:ascii="Arial" w:hAnsi="Arial" w:cs="Arial"/>
                <w:b/>
                <w:sz w:val="20"/>
                <w:szCs w:val="20"/>
                <w:lang w:val="en-GB"/>
              </w:rPr>
              <w:t>No</w:t>
            </w:r>
          </w:p>
          <w:p w14:paraId="33D684D1" w14:textId="77777777" w:rsidR="00F017FD" w:rsidRPr="00BB5E98" w:rsidRDefault="00F017FD" w:rsidP="00F017FD">
            <w:pPr>
              <w:contextualSpacing/>
              <w:rPr>
                <w:rFonts w:ascii="Arial" w:hAnsi="Arial" w:cs="Arial"/>
                <w:b/>
                <w:sz w:val="20"/>
                <w:szCs w:val="20"/>
                <w:lang w:val="en-MY"/>
              </w:rPr>
            </w:pPr>
            <w:r w:rsidRPr="00BB5E98">
              <w:rPr>
                <w:rFonts w:ascii="Arial" w:hAnsi="Arial" w:cs="Arial"/>
                <w:b/>
                <w:sz w:val="20"/>
                <w:szCs w:val="20"/>
                <w:lang w:val="en-MY"/>
              </w:rPr>
              <w:t>The manuscript describes a straightforward materials characterization study involving:</w:t>
            </w:r>
          </w:p>
          <w:p w14:paraId="47B2052A" w14:textId="77777777" w:rsidR="00F017FD" w:rsidRPr="00BB5E98" w:rsidRDefault="00F017FD" w:rsidP="00F017FD">
            <w:pPr>
              <w:numPr>
                <w:ilvl w:val="0"/>
                <w:numId w:val="13"/>
              </w:numPr>
              <w:contextualSpacing/>
              <w:rPr>
                <w:rFonts w:ascii="Arial" w:hAnsi="Arial" w:cs="Arial"/>
                <w:b/>
                <w:sz w:val="20"/>
                <w:szCs w:val="20"/>
                <w:lang w:val="en-MY"/>
              </w:rPr>
            </w:pPr>
            <w:r w:rsidRPr="00BB5E98">
              <w:rPr>
                <w:rFonts w:ascii="Arial" w:hAnsi="Arial" w:cs="Arial"/>
                <w:b/>
                <w:sz w:val="20"/>
                <w:szCs w:val="20"/>
                <w:lang w:val="en-MY"/>
              </w:rPr>
              <w:t>Agricultural waste (coconut shells) – No animal or human subjects are involved.</w:t>
            </w:r>
          </w:p>
          <w:p w14:paraId="137D01CA" w14:textId="77777777" w:rsidR="00F017FD" w:rsidRPr="00BB5E98" w:rsidRDefault="00F017FD" w:rsidP="00F017FD">
            <w:pPr>
              <w:numPr>
                <w:ilvl w:val="0"/>
                <w:numId w:val="13"/>
              </w:numPr>
              <w:contextualSpacing/>
              <w:rPr>
                <w:rFonts w:ascii="Arial" w:hAnsi="Arial" w:cs="Arial"/>
                <w:b/>
                <w:sz w:val="20"/>
                <w:szCs w:val="20"/>
                <w:lang w:val="en-MY"/>
              </w:rPr>
            </w:pPr>
            <w:r w:rsidRPr="00BB5E98">
              <w:rPr>
                <w:rFonts w:ascii="Arial" w:hAnsi="Arial" w:cs="Arial"/>
                <w:b/>
                <w:sz w:val="20"/>
                <w:szCs w:val="20"/>
                <w:lang w:val="en-MY"/>
              </w:rPr>
              <w:t>Laboratory pyrolysis and sample analysis – No unethical or prohibited procedures are used.</w:t>
            </w:r>
          </w:p>
          <w:p w14:paraId="3DBA5A94" w14:textId="77777777" w:rsidR="00F017FD" w:rsidRPr="00BB5E98" w:rsidRDefault="00F017FD" w:rsidP="00F017FD">
            <w:pPr>
              <w:numPr>
                <w:ilvl w:val="0"/>
                <w:numId w:val="13"/>
              </w:numPr>
              <w:contextualSpacing/>
              <w:rPr>
                <w:rFonts w:ascii="Arial" w:hAnsi="Arial" w:cs="Arial"/>
                <w:b/>
                <w:sz w:val="20"/>
                <w:szCs w:val="20"/>
                <w:lang w:val="en-MY"/>
              </w:rPr>
            </w:pPr>
            <w:r w:rsidRPr="00BB5E98">
              <w:rPr>
                <w:rFonts w:ascii="Arial" w:hAnsi="Arial" w:cs="Arial"/>
                <w:b/>
                <w:sz w:val="20"/>
                <w:szCs w:val="20"/>
                <w:lang w:val="en-MY"/>
              </w:rPr>
              <w:t>No fabricated or manipulated data visible from the content provided (though statistical reporting is incomplete, this is a rigor issue, not an ethical violation per se).</w:t>
            </w:r>
          </w:p>
          <w:p w14:paraId="3131C273" w14:textId="77777777" w:rsidR="00F017FD" w:rsidRPr="00BB5E98" w:rsidRDefault="00F017FD" w:rsidP="00F017FD">
            <w:pPr>
              <w:numPr>
                <w:ilvl w:val="0"/>
                <w:numId w:val="13"/>
              </w:numPr>
              <w:contextualSpacing/>
              <w:rPr>
                <w:rFonts w:ascii="Arial" w:hAnsi="Arial" w:cs="Arial"/>
                <w:b/>
                <w:sz w:val="20"/>
                <w:szCs w:val="20"/>
                <w:lang w:val="en-MY"/>
              </w:rPr>
            </w:pPr>
            <w:r w:rsidRPr="00BB5E98">
              <w:rPr>
                <w:rFonts w:ascii="Arial" w:hAnsi="Arial" w:cs="Arial"/>
                <w:b/>
                <w:sz w:val="20"/>
                <w:szCs w:val="20"/>
                <w:lang w:val="en-MY"/>
              </w:rPr>
              <w:t>Proper attribution of prior work – References are provided for methods, earlier pyrolysis studies, and analytical techniques. No evidence of plagiarism is apparent; the text is original, albeit with language that would benefit from editing.</w:t>
            </w:r>
          </w:p>
          <w:p w14:paraId="54F0B5A8" w14:textId="5E340E80" w:rsidR="00F017FD" w:rsidRPr="00BB5E98" w:rsidRDefault="00F017FD" w:rsidP="00AF3F59">
            <w:pPr>
              <w:contextualSpacing/>
              <w:rPr>
                <w:rFonts w:ascii="Arial" w:hAnsi="Arial" w:cs="Arial"/>
                <w:bCs/>
                <w:sz w:val="20"/>
                <w:szCs w:val="20"/>
                <w:lang w:val="en-MY"/>
              </w:rPr>
            </w:pPr>
          </w:p>
        </w:tc>
        <w:tc>
          <w:tcPr>
            <w:tcW w:w="1225" w:type="pct"/>
          </w:tcPr>
          <w:p w14:paraId="3175E146" w14:textId="77777777" w:rsidR="00204042" w:rsidRPr="00BB5E98" w:rsidRDefault="00204042" w:rsidP="00EA6E35">
            <w:pPr>
              <w:keepNext/>
              <w:outlineLvl w:val="1"/>
              <w:rPr>
                <w:rFonts w:ascii="Arial" w:eastAsia="MS Mincho" w:hAnsi="Arial" w:cs="Arial"/>
                <w:bCs/>
                <w:sz w:val="20"/>
                <w:szCs w:val="20"/>
                <w:lang w:val="en-GB"/>
              </w:rPr>
            </w:pPr>
          </w:p>
        </w:tc>
      </w:tr>
    </w:tbl>
    <w:p w14:paraId="550FCB76" w14:textId="286EDBE3" w:rsidR="00204042" w:rsidRPr="00BB5E98" w:rsidRDefault="00204042" w:rsidP="00C45702">
      <w:pPr>
        <w:keepNext/>
        <w:outlineLvl w:val="1"/>
        <w:rPr>
          <w:rFonts w:ascii="Arial" w:hAnsi="Arial" w:cs="Arial"/>
          <w:i/>
          <w:sz w:val="20"/>
          <w:szCs w:val="20"/>
          <w:u w:val="single"/>
          <w:lang w:val="en-GB"/>
        </w:rPr>
      </w:pPr>
    </w:p>
    <w:p w14:paraId="3FF65C38" w14:textId="693CB87E" w:rsidR="00BB5E98" w:rsidRPr="00BB5E98" w:rsidRDefault="00BB5E98" w:rsidP="00C45702">
      <w:pPr>
        <w:keepNext/>
        <w:outlineLvl w:val="1"/>
        <w:rPr>
          <w:rFonts w:ascii="Arial" w:hAnsi="Arial" w:cs="Arial"/>
          <w:i/>
          <w:sz w:val="20"/>
          <w:szCs w:val="20"/>
          <w:u w:val="single"/>
          <w:lang w:val="en-GB"/>
        </w:rPr>
      </w:pPr>
    </w:p>
    <w:p w14:paraId="16C105D5" w14:textId="77777777" w:rsidR="00BB5E98" w:rsidRPr="00BB5E98" w:rsidRDefault="00BB5E98" w:rsidP="00BB5E98">
      <w:pPr>
        <w:pStyle w:val="Affiliation"/>
        <w:spacing w:after="0" w:line="240" w:lineRule="auto"/>
        <w:jc w:val="left"/>
        <w:rPr>
          <w:rFonts w:ascii="Arial" w:hAnsi="Arial" w:cs="Arial"/>
          <w:b/>
          <w:u w:val="single"/>
        </w:rPr>
      </w:pPr>
      <w:r w:rsidRPr="00BB5E98">
        <w:rPr>
          <w:rFonts w:ascii="Arial" w:hAnsi="Arial" w:cs="Arial"/>
          <w:b/>
          <w:u w:val="single"/>
        </w:rPr>
        <w:t>Reviewer details:</w:t>
      </w:r>
    </w:p>
    <w:p w14:paraId="597EA60B" w14:textId="06098703" w:rsidR="00BB5E98" w:rsidRPr="00BB5E98" w:rsidRDefault="00BB5E98" w:rsidP="00C45702">
      <w:pPr>
        <w:keepNext/>
        <w:outlineLvl w:val="1"/>
        <w:rPr>
          <w:rFonts w:ascii="Arial" w:hAnsi="Arial" w:cs="Arial"/>
          <w:i/>
          <w:sz w:val="20"/>
          <w:szCs w:val="20"/>
          <w:lang w:val="en-GB"/>
        </w:rPr>
      </w:pPr>
    </w:p>
    <w:p w14:paraId="368D2E45" w14:textId="00BA6ED5" w:rsidR="00BB5E98" w:rsidRPr="00BB5E98" w:rsidRDefault="00BB5E98" w:rsidP="00BB5E98">
      <w:pPr>
        <w:keepNext/>
        <w:outlineLvl w:val="1"/>
        <w:rPr>
          <w:rFonts w:ascii="Arial" w:hAnsi="Arial" w:cs="Arial"/>
          <w:i/>
          <w:sz w:val="20"/>
          <w:szCs w:val="20"/>
          <w:lang w:val="en-GB"/>
        </w:rPr>
      </w:pPr>
      <w:r w:rsidRPr="00BB5E98">
        <w:rPr>
          <w:rFonts w:ascii="Arial" w:hAnsi="Arial" w:cs="Arial"/>
          <w:i/>
          <w:sz w:val="20"/>
          <w:szCs w:val="20"/>
          <w:lang w:val="en-GB"/>
        </w:rPr>
        <w:t>Mohammad Fikrey Bin Roslan, Universiti Tun Hussein Onn, Malaysia</w:t>
      </w:r>
    </w:p>
    <w:sectPr w:rsidR="00BB5E98" w:rsidRPr="00BB5E9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8887" w14:textId="77777777" w:rsidR="00771377" w:rsidRDefault="00771377">
      <w:r>
        <w:separator/>
      </w:r>
    </w:p>
  </w:endnote>
  <w:endnote w:type="continuationSeparator" w:id="0">
    <w:p w14:paraId="1BBF0A77" w14:textId="77777777" w:rsidR="00771377" w:rsidRDefault="0077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01AA" w14:textId="77777777" w:rsidR="00771377" w:rsidRDefault="00771377">
      <w:r>
        <w:separator/>
      </w:r>
    </w:p>
  </w:footnote>
  <w:footnote w:type="continuationSeparator" w:id="0">
    <w:p w14:paraId="544110CA" w14:textId="77777777" w:rsidR="00771377" w:rsidRDefault="0077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940ED3"/>
    <w:multiLevelType w:val="multilevel"/>
    <w:tmpl w:val="EA0A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326303">
    <w:abstractNumId w:val="4"/>
  </w:num>
  <w:num w:numId="2" w16cid:durableId="36635667">
    <w:abstractNumId w:val="8"/>
  </w:num>
  <w:num w:numId="3" w16cid:durableId="1833795358">
    <w:abstractNumId w:val="7"/>
  </w:num>
  <w:num w:numId="4" w16cid:durableId="1024938472">
    <w:abstractNumId w:val="9"/>
  </w:num>
  <w:num w:numId="5" w16cid:durableId="1802570450">
    <w:abstractNumId w:val="6"/>
  </w:num>
  <w:num w:numId="6" w16cid:durableId="1543981254">
    <w:abstractNumId w:val="0"/>
  </w:num>
  <w:num w:numId="7" w16cid:durableId="317418224">
    <w:abstractNumId w:val="3"/>
  </w:num>
  <w:num w:numId="8" w16cid:durableId="1659109492">
    <w:abstractNumId w:val="11"/>
  </w:num>
  <w:num w:numId="9" w16cid:durableId="1812475175">
    <w:abstractNumId w:val="10"/>
  </w:num>
  <w:num w:numId="10" w16cid:durableId="2012752651">
    <w:abstractNumId w:val="2"/>
  </w:num>
  <w:num w:numId="11" w16cid:durableId="1653176249">
    <w:abstractNumId w:val="1"/>
  </w:num>
  <w:num w:numId="12" w16cid:durableId="211161643">
    <w:abstractNumId w:val="5"/>
  </w:num>
  <w:num w:numId="13" w16cid:durableId="750590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MY" w:vendorID="64" w:dllVersion="4096" w:nlCheck="1" w:checkStyle="0"/>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204042"/>
    <w:rsid w:val="00206283"/>
    <w:rsid w:val="00261933"/>
    <w:rsid w:val="002C66D6"/>
    <w:rsid w:val="002F1B98"/>
    <w:rsid w:val="00375663"/>
    <w:rsid w:val="003D0F3F"/>
    <w:rsid w:val="00474EA1"/>
    <w:rsid w:val="004D6FD2"/>
    <w:rsid w:val="004F591C"/>
    <w:rsid w:val="005C677A"/>
    <w:rsid w:val="006534F5"/>
    <w:rsid w:val="0067702A"/>
    <w:rsid w:val="006E0C31"/>
    <w:rsid w:val="00713644"/>
    <w:rsid w:val="00771377"/>
    <w:rsid w:val="007A699C"/>
    <w:rsid w:val="008D2987"/>
    <w:rsid w:val="00995F9E"/>
    <w:rsid w:val="009A3A95"/>
    <w:rsid w:val="00A7113E"/>
    <w:rsid w:val="00AA476E"/>
    <w:rsid w:val="00AF3F59"/>
    <w:rsid w:val="00AF604A"/>
    <w:rsid w:val="00BB5E98"/>
    <w:rsid w:val="00C13AA9"/>
    <w:rsid w:val="00C255C0"/>
    <w:rsid w:val="00C45702"/>
    <w:rsid w:val="00D51B4B"/>
    <w:rsid w:val="00D54548"/>
    <w:rsid w:val="00DF4831"/>
    <w:rsid w:val="00E13F66"/>
    <w:rsid w:val="00E24527"/>
    <w:rsid w:val="00E46CBC"/>
    <w:rsid w:val="00E54C50"/>
    <w:rsid w:val="00E84B72"/>
    <w:rsid w:val="00EA1BCF"/>
    <w:rsid w:val="00EA6E35"/>
    <w:rsid w:val="00EE3E18"/>
    <w:rsid w:val="00F017FD"/>
    <w:rsid w:val="00F20F77"/>
    <w:rsid w:val="00F427F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B5E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82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5791821">
      <w:bodyDiv w:val="1"/>
      <w:marLeft w:val="0"/>
      <w:marRight w:val="0"/>
      <w:marTop w:val="0"/>
      <w:marBottom w:val="0"/>
      <w:divBdr>
        <w:top w:val="none" w:sz="0" w:space="0" w:color="auto"/>
        <w:left w:val="none" w:sz="0" w:space="0" w:color="auto"/>
        <w:bottom w:val="none" w:sz="0" w:space="0" w:color="auto"/>
        <w:right w:val="none" w:sz="0" w:space="0" w:color="auto"/>
      </w:divBdr>
    </w:div>
    <w:div w:id="30293358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56343627">
      <w:bodyDiv w:val="1"/>
      <w:marLeft w:val="0"/>
      <w:marRight w:val="0"/>
      <w:marTop w:val="0"/>
      <w:marBottom w:val="0"/>
      <w:divBdr>
        <w:top w:val="none" w:sz="0" w:space="0" w:color="auto"/>
        <w:left w:val="none" w:sz="0" w:space="0" w:color="auto"/>
        <w:bottom w:val="none" w:sz="0" w:space="0" w:color="auto"/>
        <w:right w:val="none" w:sz="0" w:space="0" w:color="auto"/>
      </w:divBdr>
    </w:div>
    <w:div w:id="783354001">
      <w:bodyDiv w:val="1"/>
      <w:marLeft w:val="0"/>
      <w:marRight w:val="0"/>
      <w:marTop w:val="0"/>
      <w:marBottom w:val="0"/>
      <w:divBdr>
        <w:top w:val="none" w:sz="0" w:space="0" w:color="auto"/>
        <w:left w:val="none" w:sz="0" w:space="0" w:color="auto"/>
        <w:bottom w:val="none" w:sz="0" w:space="0" w:color="auto"/>
        <w:right w:val="none" w:sz="0" w:space="0" w:color="auto"/>
      </w:divBdr>
      <w:divsChild>
        <w:div w:id="2090806333">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9658636">
      <w:bodyDiv w:val="1"/>
      <w:marLeft w:val="0"/>
      <w:marRight w:val="0"/>
      <w:marTop w:val="0"/>
      <w:marBottom w:val="0"/>
      <w:divBdr>
        <w:top w:val="none" w:sz="0" w:space="0" w:color="auto"/>
        <w:left w:val="none" w:sz="0" w:space="0" w:color="auto"/>
        <w:bottom w:val="none" w:sz="0" w:space="0" w:color="auto"/>
        <w:right w:val="none" w:sz="0" w:space="0" w:color="auto"/>
      </w:divBdr>
    </w:div>
    <w:div w:id="173114987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4763859">
      <w:bodyDiv w:val="1"/>
      <w:marLeft w:val="0"/>
      <w:marRight w:val="0"/>
      <w:marTop w:val="0"/>
      <w:marBottom w:val="0"/>
      <w:divBdr>
        <w:top w:val="none" w:sz="0" w:space="0" w:color="auto"/>
        <w:left w:val="none" w:sz="0" w:space="0" w:color="auto"/>
        <w:bottom w:val="none" w:sz="0" w:space="0" w:color="auto"/>
        <w:right w:val="none" w:sz="0" w:space="0" w:color="auto"/>
      </w:divBdr>
    </w:div>
    <w:div w:id="213844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1263</Words>
  <Characters>7205</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41</cp:revision>
  <dcterms:created xsi:type="dcterms:W3CDTF">2026-03-24T06:15:00Z</dcterms:created>
  <dcterms:modified xsi:type="dcterms:W3CDTF">2026-05-26T10:26:00Z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