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225E" w14:textId="77777777" w:rsidR="00D17D4B" w:rsidRDefault="00D17D4B" w:rsidP="00D17D4B">
      <w:pPr>
        <w:spacing w:line="360" w:lineRule="auto"/>
        <w:jc w:val="center"/>
        <w:rPr>
          <w:b/>
        </w:rPr>
      </w:pPr>
      <w:r>
        <w:rPr>
          <w:b/>
        </w:rPr>
        <w:t>Assessment of</w:t>
      </w:r>
      <w:r w:rsidRPr="007F43B9">
        <w:rPr>
          <w:b/>
        </w:rPr>
        <w:t xml:space="preserve"> heavy metals in some commercially important fish species of the Bay of</w:t>
      </w:r>
    </w:p>
    <w:p w14:paraId="3FA1147D" w14:textId="77777777" w:rsidR="00D17D4B" w:rsidRDefault="00D17D4B" w:rsidP="00D17D4B">
      <w:pPr>
        <w:spacing w:line="360" w:lineRule="auto"/>
        <w:jc w:val="center"/>
        <w:rPr>
          <w:b/>
        </w:rPr>
      </w:pPr>
      <w:r w:rsidRPr="007F43B9">
        <w:rPr>
          <w:b/>
        </w:rPr>
        <w:t>Bengal</w:t>
      </w:r>
    </w:p>
    <w:p w14:paraId="78BDA63C" w14:textId="77777777" w:rsidR="00196883" w:rsidRDefault="00196883" w:rsidP="00D17D4B">
      <w:pPr>
        <w:spacing w:line="360" w:lineRule="auto"/>
        <w:jc w:val="both"/>
        <w:rPr>
          <w:rFonts w:eastAsia="Calibri"/>
        </w:rPr>
      </w:pPr>
    </w:p>
    <w:p w14:paraId="60F40528" w14:textId="77777777" w:rsidR="00196883" w:rsidRDefault="00196883" w:rsidP="00D17D4B">
      <w:pPr>
        <w:spacing w:line="360" w:lineRule="auto"/>
        <w:jc w:val="both"/>
        <w:rPr>
          <w:b/>
          <w:szCs w:val="20"/>
        </w:rPr>
      </w:pPr>
    </w:p>
    <w:p w14:paraId="51C864C5" w14:textId="455C97AD" w:rsidR="00D17D4B" w:rsidRDefault="00D17D4B" w:rsidP="00D17D4B">
      <w:pPr>
        <w:spacing w:line="360" w:lineRule="auto"/>
        <w:jc w:val="both"/>
      </w:pPr>
      <w:r w:rsidRPr="00D17D4B">
        <w:rPr>
          <w:b/>
          <w:szCs w:val="20"/>
        </w:rPr>
        <w:t>Abstract:</w:t>
      </w:r>
      <w:r>
        <w:rPr>
          <w:rFonts w:ascii="STIX-Regular" w:hAnsi="STIX-Regular" w:cs="STIX-Regular"/>
          <w:szCs w:val="20"/>
        </w:rPr>
        <w:t xml:space="preserve"> </w:t>
      </w:r>
      <w:r w:rsidRPr="00D17D4B">
        <w:rPr>
          <w:rFonts w:ascii="STIX-Regular" w:hAnsi="STIX-Regular" w:cs="STIX-Regular"/>
          <w:szCs w:val="20"/>
        </w:rPr>
        <w:t xml:space="preserve">Heavy metal contamination of fish is a serious public health concern worldwide, including in Bangladesh. </w:t>
      </w:r>
      <w:r>
        <w:t>This study investigates the concentrations of heavy metals (Cd, Mn, Ni, Pb, and Cr) in five commercially important fish species (</w:t>
      </w:r>
      <w:r>
        <w:rPr>
          <w:rStyle w:val="Accentuation"/>
        </w:rPr>
        <w:t>Thunnus thynnus</w:t>
      </w:r>
      <w:r>
        <w:t xml:space="preserve">, </w:t>
      </w:r>
      <w:r>
        <w:rPr>
          <w:rStyle w:val="Accentuation"/>
        </w:rPr>
        <w:t>Pampus chinensis</w:t>
      </w:r>
      <w:r>
        <w:t xml:space="preserve">, </w:t>
      </w:r>
      <w:r>
        <w:rPr>
          <w:rStyle w:val="Accentuation"/>
        </w:rPr>
        <w:t>Chelon parsia</w:t>
      </w:r>
      <w:r>
        <w:t xml:space="preserve">, </w:t>
      </w:r>
      <w:r>
        <w:rPr>
          <w:rStyle w:val="Accentuation"/>
        </w:rPr>
        <w:t>Tenualosa ilisha</w:t>
      </w:r>
      <w:r>
        <w:t xml:space="preserve">, and </w:t>
      </w:r>
      <w:r>
        <w:rPr>
          <w:rStyle w:val="Accentuation"/>
        </w:rPr>
        <w:t>Lates calcarifer</w:t>
      </w:r>
      <w:r>
        <w:t xml:space="preserve">) from the Bay of Bengal. </w:t>
      </w:r>
      <w:commentRangeStart w:id="0"/>
      <w:r w:rsidR="007B4E4A">
        <w:t>Xxx</w:t>
      </w:r>
      <w:commentRangeEnd w:id="0"/>
      <w:r w:rsidR="00B62722">
        <w:rPr>
          <w:rStyle w:val="Marquedecommentaire"/>
          <w:sz w:val="24"/>
          <w:szCs w:val="24"/>
        </w:rPr>
        <w:commentReference w:id="0"/>
      </w:r>
      <w:r w:rsidR="007B4E4A">
        <w:t xml:space="preserve"> </w:t>
      </w:r>
      <w:r>
        <w:t xml:space="preserve">The heavy metal concentrations varied across species, with </w:t>
      </w:r>
      <w:r>
        <w:rPr>
          <w:rStyle w:val="Accentuation"/>
        </w:rPr>
        <w:t>Tenualosa ilisha</w:t>
      </w:r>
      <w:r>
        <w:t xml:space="preserve"> showing the highest levels of cadmium (0.099 mg/kg) and lead (0.766 mg/kg), which are close to the maximum allowable concentrations for these metals. Manganese and nickel concentrations were generally low and well within safety limits. The Estimated Daily Intake (EDI) for all metals, calculated based on a typical adult fish consumption rate, was found to be below the Maximum Tolerable Daily Intake (MTDI) levels, indicating that the consumption of these species does not present immediate health risks. However, the study emphasizes that chronic exposure to elevated levels of cadmium and lead, particularly through the consumption of </w:t>
      </w:r>
      <w:r>
        <w:rPr>
          <w:rStyle w:val="Accentuation"/>
        </w:rPr>
        <w:t>Tenualosa ilisha</w:t>
      </w:r>
      <w:r>
        <w:t>, may present long-term health risks. This study underscores the need for continuous monitoring of heavy metal contamination in fish from the Bay of Bengal to protect public health and ensure the safety of seafood consumption.</w:t>
      </w:r>
    </w:p>
    <w:p w14:paraId="0FCEB79B" w14:textId="77777777" w:rsidR="00D17D4B" w:rsidRDefault="00D17D4B" w:rsidP="00D17D4B">
      <w:pPr>
        <w:spacing w:line="360" w:lineRule="auto"/>
        <w:jc w:val="both"/>
      </w:pPr>
      <w:r w:rsidRPr="00D17D4B">
        <w:rPr>
          <w:rFonts w:eastAsia="Calibri"/>
          <w:b/>
        </w:rPr>
        <w:t>Keywords:</w:t>
      </w:r>
      <w:r>
        <w:rPr>
          <w:rFonts w:eastAsia="Calibri"/>
        </w:rPr>
        <w:t xml:space="preserve"> Heavy metal, </w:t>
      </w:r>
      <w:commentRangeStart w:id="1"/>
      <w:r>
        <w:rPr>
          <w:rFonts w:eastAsia="Calibri"/>
        </w:rPr>
        <w:t>Bioaccumulation</w:t>
      </w:r>
      <w:commentRangeEnd w:id="1"/>
      <w:r w:rsidR="008025F2">
        <w:rPr>
          <w:rStyle w:val="Marquedecommentaire"/>
          <w:rFonts w:eastAsia="Calibri"/>
          <w:sz w:val="24"/>
          <w:szCs w:val="24"/>
        </w:rPr>
        <w:commentReference w:id="1"/>
      </w:r>
      <w:r>
        <w:rPr>
          <w:rFonts w:eastAsia="Calibri"/>
        </w:rPr>
        <w:t xml:space="preserve">, </w:t>
      </w:r>
      <w:r w:rsidRPr="00D17D4B">
        <w:rPr>
          <w:rFonts w:ascii="STIX-Regular" w:hAnsi="STIX-Regular" w:cs="STIX-Regular"/>
          <w:szCs w:val="20"/>
        </w:rPr>
        <w:t>Fish species</w:t>
      </w:r>
      <w:r w:rsidRPr="00D17D4B">
        <w:rPr>
          <w:rFonts w:eastAsia="Calibri"/>
          <w:sz w:val="32"/>
        </w:rPr>
        <w:t xml:space="preserve">, </w:t>
      </w:r>
      <w:r>
        <w:rPr>
          <w:rFonts w:eastAsia="Calibri"/>
        </w:rPr>
        <w:t>Bay of Bengal</w:t>
      </w:r>
    </w:p>
    <w:p w14:paraId="08666737" w14:textId="77777777" w:rsidR="00D17D4B" w:rsidRDefault="00D17D4B" w:rsidP="000576B6">
      <w:pPr>
        <w:rPr>
          <w:b/>
        </w:rPr>
      </w:pPr>
    </w:p>
    <w:p w14:paraId="5B925B68" w14:textId="77777777" w:rsidR="00D17D4B" w:rsidRDefault="00D17D4B" w:rsidP="000576B6">
      <w:pPr>
        <w:rPr>
          <w:b/>
        </w:rPr>
      </w:pPr>
    </w:p>
    <w:p w14:paraId="18C987FD" w14:textId="77777777" w:rsidR="00D17D4B" w:rsidRDefault="00D17D4B" w:rsidP="000576B6">
      <w:pPr>
        <w:rPr>
          <w:b/>
        </w:rPr>
      </w:pPr>
    </w:p>
    <w:p w14:paraId="0672BB46" w14:textId="77777777" w:rsidR="00D17D4B" w:rsidRDefault="00D17D4B" w:rsidP="000576B6">
      <w:pPr>
        <w:rPr>
          <w:b/>
        </w:rPr>
      </w:pPr>
    </w:p>
    <w:p w14:paraId="7A870F0B" w14:textId="77777777" w:rsidR="00D17D4B" w:rsidRDefault="00D17D4B" w:rsidP="000576B6">
      <w:pPr>
        <w:rPr>
          <w:b/>
        </w:rPr>
      </w:pPr>
    </w:p>
    <w:p w14:paraId="2A59160E" w14:textId="77777777" w:rsidR="000576B6" w:rsidRDefault="000576B6" w:rsidP="000576B6">
      <w:pPr>
        <w:rPr>
          <w:b/>
        </w:rPr>
      </w:pPr>
      <w:r>
        <w:rPr>
          <w:b/>
        </w:rPr>
        <w:t>Introduction</w:t>
      </w:r>
    </w:p>
    <w:p w14:paraId="36AFD0B5" w14:textId="77777777" w:rsidR="000576B6" w:rsidRDefault="001A0371" w:rsidP="001A0371">
      <w:pPr>
        <w:spacing w:line="360" w:lineRule="auto"/>
        <w:jc w:val="both"/>
      </w:pPr>
      <w:r>
        <w:t xml:space="preserve">Heavy metal pollution has become a significant global issue due to its toxic properties, persistence in the environment, non-biodegradability, and tendency to accumulate over time (Islam et al., 2018). Unlike other toxic substances, these metals are not created or destroyed by human activity. </w:t>
      </w:r>
      <w:r>
        <w:lastRenderedPageBreak/>
        <w:t xml:space="preserve">Aquatic ecosystems are particularly vulnerable to contamination by heavy metals, affecting water, sediments, and aquatic organisms (Hajeb </w:t>
      </w:r>
      <w:r w:rsidRPr="00B72E7B">
        <w:rPr>
          <w:i/>
        </w:rPr>
        <w:t>et al.,</w:t>
      </w:r>
      <w:r>
        <w:t xml:space="preserve"> 2009; Bhuyan </w:t>
      </w:r>
      <w:r w:rsidRPr="00B72E7B">
        <w:rPr>
          <w:i/>
        </w:rPr>
        <w:t>et al.</w:t>
      </w:r>
      <w:r>
        <w:t xml:space="preserve">, 2017). </w:t>
      </w:r>
      <w:r w:rsidR="0007709F" w:rsidRPr="00E10DEB">
        <w:rPr>
          <w:rFonts w:eastAsia="Times New Roman"/>
        </w:rPr>
        <w:t xml:space="preserve">Heavy metals can enter aquatic environments through both natural and man-made means </w:t>
      </w:r>
      <w:r w:rsidR="0007709F" w:rsidRPr="00B72E7B">
        <w:t xml:space="preserve">(Gholizadeh </w:t>
      </w:r>
      <w:r w:rsidR="0007709F" w:rsidRPr="00B72E7B">
        <w:rPr>
          <w:i/>
        </w:rPr>
        <w:t>et al.</w:t>
      </w:r>
      <w:r w:rsidR="0007709F" w:rsidRPr="00B72E7B">
        <w:t xml:space="preserve">, 2020). </w:t>
      </w:r>
      <w:r>
        <w:t xml:space="preserve">The rapid pace of industrialization, urbanization, population growth, and other human activities has led to severe heavy metal pollution, especially in developing countries (Hossain </w:t>
      </w:r>
      <w:r w:rsidRPr="00AA3F0B">
        <w:rPr>
          <w:i/>
        </w:rPr>
        <w:t>et al.,</w:t>
      </w:r>
      <w:r>
        <w:t xml:space="preserve"> 2018). A large portion of these metals is released into rivers, where they accumulate and biomagnify through the water, sediments, and aquatic food chains, potentially causing sublethal effects or even mortality in local fish populations (Xu and Tao, 2004).</w:t>
      </w:r>
    </w:p>
    <w:p w14:paraId="11E67D62" w14:textId="77777777" w:rsidR="000576B6" w:rsidRDefault="00E73E1C" w:rsidP="00E73E1C">
      <w:pPr>
        <w:spacing w:line="360" w:lineRule="auto"/>
        <w:jc w:val="both"/>
      </w:pPr>
      <w:commentRangeStart w:id="2"/>
      <w:r>
        <w:t xml:space="preserve">Fish is a major and easily accessible source of protein for the people of Bangladesh, accounting for approximately 60% of the total animal protein intake. </w:t>
      </w:r>
      <w:commentRangeEnd w:id="2"/>
      <w:r w:rsidR="00225242">
        <w:rPr>
          <w:rStyle w:val="Marquedecommentaire"/>
          <w:sz w:val="24"/>
          <w:szCs w:val="24"/>
        </w:rPr>
        <w:commentReference w:id="2"/>
      </w:r>
      <w:r>
        <w:t xml:space="preserve">Fish contamination primarily results from the consumption of contaminated water and direct ingestion of food organisms, such as zooplankton and phytoplankton, from the aquatic environment. Consequently, the human body is highly vulnerable to the accumulation of heavy metals in fish (Ali and Khan, 2018).  The concentration of toxic metals in fish serves as an indicator of the levels of these metals in the water, illustrating bioaccumulation (Islam </w:t>
      </w:r>
      <w:r w:rsidRPr="0079566C">
        <w:rPr>
          <w:i/>
        </w:rPr>
        <w:t>et al.,</w:t>
      </w:r>
      <w:r>
        <w:t xml:space="preserve"> 2015). Moreover, the continuous consumption of polluted fish can lead to the accumulation of toxic metals in the human body, potentially impacting human health (Islam </w:t>
      </w:r>
      <w:r w:rsidRPr="0079566C">
        <w:rPr>
          <w:i/>
        </w:rPr>
        <w:t>et al.,</w:t>
      </w:r>
      <w:r>
        <w:t xml:space="preserve"> 2016). When heavy metals and metalloids are present at high concentrations, they pose severe risks to all living organisms, including humans. </w:t>
      </w:r>
      <w:r w:rsidR="0002247D" w:rsidRPr="00E10DEB">
        <w:t xml:space="preserve">Anthropogenically generated metals in marine environments seriously threaten the food chain </w:t>
      </w:r>
      <w:r w:rsidR="00B72E7B">
        <w:rPr>
          <w:rFonts w:eastAsia="Times New Roman"/>
        </w:rPr>
        <w:t>due to their high toxicity, bioaccumulation</w:t>
      </w:r>
      <w:r w:rsidR="0002247D" w:rsidRPr="00E10DEB">
        <w:rPr>
          <w:rFonts w:eastAsia="Times New Roman"/>
        </w:rPr>
        <w:t xml:space="preserve">, long-term stability, and biomagnification </w:t>
      </w:r>
      <w:r w:rsidR="0002247D" w:rsidRPr="00E10DEB">
        <w:t>(</w:t>
      </w:r>
      <w:r w:rsidR="0002247D" w:rsidRPr="00B72E7B">
        <w:t xml:space="preserve">Esmaeilbeigi </w:t>
      </w:r>
      <w:r w:rsidR="0002247D" w:rsidRPr="00B72E7B">
        <w:rPr>
          <w:i/>
        </w:rPr>
        <w:t>et al</w:t>
      </w:r>
      <w:r w:rsidR="0002247D" w:rsidRPr="00B72E7B">
        <w:t>., 2023)</w:t>
      </w:r>
      <w:r w:rsidR="0002247D" w:rsidRPr="00E10DEB">
        <w:t xml:space="preserve">.  </w:t>
      </w:r>
      <w:commentRangeStart w:id="3"/>
      <w:r>
        <w:t xml:space="preserve">For instance, excessive exposure to mercury (Hg), arsenic (As), lead (Pb), and cadmium (Cd) can be harmful to living cells, and prolonged exposure can result in illness or even death (Azaman </w:t>
      </w:r>
      <w:r w:rsidRPr="00B72E7B">
        <w:rPr>
          <w:i/>
        </w:rPr>
        <w:t>et al.</w:t>
      </w:r>
      <w:r>
        <w:t xml:space="preserve">, 2015). Lead, in particular, has been linked to various health problems in humans, including nervous system disorders, mental retardation, skeletal dysfunction, hematopoietic disorders, and even death (Saha </w:t>
      </w:r>
      <w:r w:rsidRPr="006D2317">
        <w:rPr>
          <w:i/>
        </w:rPr>
        <w:t>et al.,</w:t>
      </w:r>
      <w:r>
        <w:t xml:space="preserve"> 2016; Zhong </w:t>
      </w:r>
      <w:r w:rsidRPr="006D2317">
        <w:rPr>
          <w:i/>
        </w:rPr>
        <w:t>et al.</w:t>
      </w:r>
      <w:r>
        <w:t>, 2018</w:t>
      </w:r>
      <w:r w:rsidR="006D2317">
        <w:t xml:space="preserve">; Al-Rmalli </w:t>
      </w:r>
      <w:r w:rsidR="006D2317" w:rsidRPr="006D2317">
        <w:rPr>
          <w:i/>
        </w:rPr>
        <w:t>et al.,</w:t>
      </w:r>
      <w:r w:rsidR="006D2317" w:rsidRPr="006D2317">
        <w:t xml:space="preserve"> </w:t>
      </w:r>
      <w:r w:rsidR="006D2317">
        <w:t>2021</w:t>
      </w:r>
      <w:r>
        <w:t xml:space="preserve">). Chromium (Cr) has also been reported to have carcinogenic effects on human health (Varol </w:t>
      </w:r>
      <w:r w:rsidRPr="006D2317">
        <w:rPr>
          <w:i/>
        </w:rPr>
        <w:t>et al.,</w:t>
      </w:r>
      <w:r>
        <w:t xml:space="preserve"> 2017</w:t>
      </w:r>
      <w:r w:rsidR="006D2317">
        <w:t xml:space="preserve">; Al-Rmalli </w:t>
      </w:r>
      <w:r w:rsidR="006D2317" w:rsidRPr="006D2317">
        <w:rPr>
          <w:i/>
        </w:rPr>
        <w:t>et al.,</w:t>
      </w:r>
      <w:r w:rsidR="006D2317" w:rsidRPr="006D2317">
        <w:t xml:space="preserve"> </w:t>
      </w:r>
      <w:r w:rsidR="006D2317">
        <w:t>2021</w:t>
      </w:r>
      <w:r>
        <w:t>).</w:t>
      </w:r>
      <w:r w:rsidR="006D2317">
        <w:t xml:space="preserve"> </w:t>
      </w:r>
      <w:r w:rsidR="006D2317" w:rsidRPr="006D2317">
        <w:t xml:space="preserve">Chronic exposure to As, Cr, Co, Cu, and </w:t>
      </w:r>
      <w:r w:rsidR="00B72E7B">
        <w:t xml:space="preserve">Ni may impair liver function (Parvin </w:t>
      </w:r>
      <w:r w:rsidR="00B72E7B" w:rsidRPr="00B72E7B">
        <w:rPr>
          <w:i/>
        </w:rPr>
        <w:t>et al.,</w:t>
      </w:r>
      <w:r w:rsidR="00B72E7B">
        <w:t xml:space="preserve"> 2023)</w:t>
      </w:r>
      <w:r w:rsidR="006D2317" w:rsidRPr="006D2317">
        <w:t>. In addition, these metals are considered capable of mutagenic, teratogenic, and ca</w:t>
      </w:r>
      <w:r w:rsidR="00B72E7B">
        <w:t xml:space="preserve">rcinogenic to the human body (Mitra </w:t>
      </w:r>
      <w:r w:rsidR="00B72E7B" w:rsidRPr="00B72E7B">
        <w:rPr>
          <w:i/>
        </w:rPr>
        <w:t>et al.</w:t>
      </w:r>
      <w:r w:rsidR="00B72E7B">
        <w:t>, 2022)</w:t>
      </w:r>
      <w:r w:rsidR="006D2317" w:rsidRPr="006D2317">
        <w:t>.</w:t>
      </w:r>
      <w:commentRangeEnd w:id="3"/>
      <w:r w:rsidR="00F70161">
        <w:rPr>
          <w:rStyle w:val="Marquedecommentaire"/>
          <w:sz w:val="24"/>
          <w:szCs w:val="24"/>
        </w:rPr>
        <w:commentReference w:id="3"/>
      </w:r>
    </w:p>
    <w:p w14:paraId="5264D2F8" w14:textId="77777777" w:rsidR="000576B6" w:rsidRDefault="004A63C8" w:rsidP="00D17D4B">
      <w:pPr>
        <w:spacing w:line="360" w:lineRule="auto"/>
        <w:jc w:val="both"/>
      </w:pPr>
      <w:r>
        <w:lastRenderedPageBreak/>
        <w:t>The Bay of Bengal, with its rich and diverse marine ecosystem, plays a pivotal role in the economy a</w:t>
      </w:r>
      <w:r w:rsidR="0072609D">
        <w:t xml:space="preserve">nd food security of Bangladesh. </w:t>
      </w:r>
      <w:r>
        <w:t xml:space="preserve"> </w:t>
      </w:r>
      <w:commentRangeStart w:id="4"/>
      <w:r>
        <w:t xml:space="preserve">The Bay of Bengal </w:t>
      </w:r>
      <w:commentRangeEnd w:id="4"/>
      <w:r w:rsidR="00010DEF">
        <w:rPr>
          <w:rStyle w:val="Marquedecommentaire"/>
          <w:sz w:val="24"/>
          <w:szCs w:val="24"/>
        </w:rPr>
        <w:commentReference w:id="4"/>
      </w:r>
      <w:r>
        <w:t xml:space="preserve">faces significant environmental pressures from industrial activities, shipping, agriculture, and urbanization, leading to heightened risks of water pollution and heavy metal accumulation. Given the importance of fish from the Bay of Bengal in local diets and economies, </w:t>
      </w:r>
      <w:commentRangeStart w:id="5"/>
      <w:r>
        <w:t xml:space="preserve">the current study seeks to assess the concentrations of heavy metals in selected commercially important fish species </w:t>
      </w:r>
      <w:commentRangeEnd w:id="5"/>
      <w:r w:rsidR="00010DEF">
        <w:rPr>
          <w:rStyle w:val="Marquedecommentaire"/>
          <w:sz w:val="24"/>
          <w:szCs w:val="24"/>
        </w:rPr>
        <w:commentReference w:id="5"/>
      </w:r>
      <w:r>
        <w:t xml:space="preserve">from this region. </w:t>
      </w:r>
      <w:commentRangeStart w:id="6"/>
      <w:commentRangeStart w:id="7"/>
      <w:r>
        <w:t>This research will provide valuable insights into the bioaccumulation of toxic metals in the Bay of Bengal’s aquatic food chain and help inform strategies to safeguard public health and preserve the integrity of the region’s marine ecosystem.</w:t>
      </w:r>
      <w:commentRangeEnd w:id="7"/>
      <w:r w:rsidR="00904917">
        <w:rPr>
          <w:rStyle w:val="Marquedecommentaire"/>
          <w:sz w:val="24"/>
          <w:szCs w:val="24"/>
        </w:rPr>
        <w:commentReference w:id="7"/>
      </w:r>
      <w:commentRangeEnd w:id="6"/>
      <w:r w:rsidR="00904917">
        <w:rPr>
          <w:rStyle w:val="Marquedecommentaire"/>
          <w:sz w:val="24"/>
          <w:szCs w:val="24"/>
        </w:rPr>
        <w:commentReference w:id="6"/>
      </w:r>
    </w:p>
    <w:p w14:paraId="00FE610B" w14:textId="7E3B9542" w:rsidR="0072609D" w:rsidRDefault="00B72E7B" w:rsidP="000576B6">
      <w:pPr>
        <w:rPr>
          <w:b/>
        </w:rPr>
      </w:pPr>
      <w:r w:rsidRPr="00B72E7B">
        <w:rPr>
          <w:b/>
        </w:rPr>
        <w:t>Materials and Method</w:t>
      </w:r>
    </w:p>
    <w:p w14:paraId="4ED9FB4A" w14:textId="5BD1A1C9" w:rsidR="00CA0C21" w:rsidRDefault="00CA0C21" w:rsidP="000576B6">
      <w:pPr>
        <w:rPr>
          <w:b/>
        </w:rPr>
      </w:pPr>
      <w:r>
        <w:rPr>
          <w:b/>
        </w:rPr>
        <w:t>Study area</w:t>
      </w:r>
    </w:p>
    <w:p w14:paraId="14387C3B" w14:textId="0DAAD8BA" w:rsidR="00CA0C21" w:rsidRDefault="00CA0C21" w:rsidP="000576B6">
      <w:pPr>
        <w:rPr>
          <w:b/>
        </w:rPr>
      </w:pPr>
      <w:commentRangeStart w:id="8"/>
      <w:r>
        <w:rPr>
          <w:b/>
        </w:rPr>
        <w:t>xxxxx</w:t>
      </w:r>
      <w:commentRangeEnd w:id="8"/>
      <w:r>
        <w:rPr>
          <w:rStyle w:val="Marquedecommentaire"/>
          <w:b/>
          <w:sz w:val="24"/>
          <w:szCs w:val="24"/>
        </w:rPr>
        <w:commentReference w:id="8"/>
      </w:r>
    </w:p>
    <w:p w14:paraId="39DD9A85" w14:textId="77777777" w:rsidR="00B72E7B" w:rsidRPr="00E10DEB" w:rsidRDefault="00B72E7B" w:rsidP="00B72E7B">
      <w:pPr>
        <w:jc w:val="both"/>
        <w:rPr>
          <w:rStyle w:val="lev"/>
          <w:b w:val="0"/>
          <w:iCs/>
        </w:rPr>
      </w:pPr>
      <w:r w:rsidRPr="00A86AEE">
        <w:rPr>
          <w:rStyle w:val="lev"/>
        </w:rPr>
        <w:t>Sample Collection</w:t>
      </w:r>
    </w:p>
    <w:p w14:paraId="057DAAA6" w14:textId="1AF688B1" w:rsidR="00B72E7B" w:rsidRPr="00E10DEB" w:rsidRDefault="00B72E7B" w:rsidP="00B72E7B">
      <w:pPr>
        <w:spacing w:before="160" w:line="360" w:lineRule="auto"/>
        <w:jc w:val="both"/>
        <w:rPr>
          <w:rStyle w:val="lev"/>
          <w:i/>
        </w:rPr>
      </w:pPr>
      <w:r w:rsidRPr="00E10DEB">
        <w:t>The study was conducted in the Bay of Bengal. Five fish varieties named</w:t>
      </w:r>
      <w:r w:rsidR="00A86AEE">
        <w:t xml:space="preserve"> Tuna</w:t>
      </w:r>
      <w:r w:rsidRPr="00E10DEB">
        <w:t xml:space="preserve"> </w:t>
      </w:r>
      <w:r w:rsidR="00A86AEE" w:rsidRPr="00A86AEE">
        <w:t>(</w:t>
      </w:r>
      <w:r w:rsidR="00A86AEE" w:rsidRPr="00A86AEE">
        <w:rPr>
          <w:rStyle w:val="Accentuation"/>
          <w:bCs/>
          <w:shd w:val="clear" w:color="auto" w:fill="FFFFFF"/>
        </w:rPr>
        <w:t>Thunnus thynnus</w:t>
      </w:r>
      <w:r w:rsidR="00A86AEE" w:rsidRPr="00A86AEE">
        <w:rPr>
          <w:shd w:val="clear" w:color="auto" w:fill="FFFFFF"/>
        </w:rPr>
        <w:t>),</w:t>
      </w:r>
      <w:r w:rsidR="00A86AEE" w:rsidRPr="00E10DEB">
        <w:t xml:space="preserve"> Rupchanda</w:t>
      </w:r>
      <w:r w:rsidR="00A86AEE">
        <w:t xml:space="preserve"> (</w:t>
      </w:r>
      <w:r w:rsidR="00A86AEE" w:rsidRPr="00A86AEE">
        <w:rPr>
          <w:i/>
        </w:rPr>
        <w:t>Pampus chinensis</w:t>
      </w:r>
      <w:r w:rsidR="00A86AEE">
        <w:t xml:space="preserve">), </w:t>
      </w:r>
      <w:r w:rsidR="00A86AEE" w:rsidRPr="00E10DEB">
        <w:t>Parse</w:t>
      </w:r>
      <w:r w:rsidR="00A86AEE">
        <w:t xml:space="preserve"> (</w:t>
      </w:r>
      <w:r w:rsidR="00A86AEE" w:rsidRPr="00A86AEE">
        <w:rPr>
          <w:i/>
        </w:rPr>
        <w:t>Chelon parsia</w:t>
      </w:r>
      <w:r w:rsidR="00A86AEE">
        <w:t>)</w:t>
      </w:r>
      <w:r w:rsidR="00A86AEE" w:rsidRPr="00E10DEB">
        <w:t>, Hilsha</w:t>
      </w:r>
      <w:r w:rsidR="00A86AEE">
        <w:t xml:space="preserve"> (</w:t>
      </w:r>
      <w:r w:rsidR="00A86AEE" w:rsidRPr="00A86AEE">
        <w:rPr>
          <w:i/>
        </w:rPr>
        <w:t>Tenualosa ilisha</w:t>
      </w:r>
      <w:r w:rsidR="00A86AEE">
        <w:t>)</w:t>
      </w:r>
      <w:r w:rsidR="00EE74F5">
        <w:t>, and</w:t>
      </w:r>
      <w:r w:rsidR="00A86AEE" w:rsidRPr="00E10DEB">
        <w:t xml:space="preserve"> Koral (</w:t>
      </w:r>
      <w:r w:rsidR="00A86AEE" w:rsidRPr="00A86AEE">
        <w:rPr>
          <w:i/>
          <w:iCs/>
        </w:rPr>
        <w:t>Lates calcarifer</w:t>
      </w:r>
      <w:r w:rsidR="00A86AEE" w:rsidRPr="00E10DEB">
        <w:t>)</w:t>
      </w:r>
      <w:r w:rsidR="00A86AEE">
        <w:t xml:space="preserve"> </w:t>
      </w:r>
      <w:r w:rsidRPr="00E10DEB">
        <w:t xml:space="preserve">were collected from the </w:t>
      </w:r>
      <w:r w:rsidR="00A86AEE">
        <w:t xml:space="preserve">local fish landing station in </w:t>
      </w:r>
      <w:r w:rsidRPr="00E10DEB">
        <w:t>Khulna</w:t>
      </w:r>
      <w:r w:rsidR="00A86AEE">
        <w:t xml:space="preserve"> near to the Bay of Bengal</w:t>
      </w:r>
      <w:r w:rsidR="00CA0C21">
        <w:t xml:space="preserve"> </w:t>
      </w:r>
      <w:commentRangeStart w:id="9"/>
      <w:r w:rsidR="00CA0C21">
        <w:t>xxx</w:t>
      </w:r>
      <w:commentRangeEnd w:id="9"/>
      <w:r w:rsidR="00CA0C21">
        <w:rPr>
          <w:rStyle w:val="Marquedecommentaire"/>
          <w:sz w:val="24"/>
          <w:szCs w:val="24"/>
        </w:rPr>
        <w:commentReference w:id="9"/>
      </w:r>
      <w:r w:rsidR="00CA0C21">
        <w:t xml:space="preserve"> </w:t>
      </w:r>
      <w:r w:rsidRPr="00E10DEB">
        <w:t>. Then the fish were transferred to a cooler packed with ice blocks in order to maintain their freshness and later brought to the laboratory.</w:t>
      </w:r>
    </w:p>
    <w:p w14:paraId="41086870" w14:textId="77777777" w:rsidR="00B72E7B" w:rsidRPr="00A86AEE" w:rsidRDefault="00B72E7B" w:rsidP="00B72E7B">
      <w:pPr>
        <w:jc w:val="both"/>
        <w:rPr>
          <w:rStyle w:val="lev"/>
          <w:iCs/>
        </w:rPr>
      </w:pPr>
      <w:r w:rsidRPr="00A86AEE">
        <w:rPr>
          <w:rStyle w:val="lev"/>
        </w:rPr>
        <w:t xml:space="preserve">Sample Preparation </w:t>
      </w:r>
    </w:p>
    <w:p w14:paraId="7A9B6B1F" w14:textId="77777777" w:rsidR="00B72E7B" w:rsidRPr="00E10DEB" w:rsidRDefault="00B72E7B" w:rsidP="00B72E7B">
      <w:pPr>
        <w:spacing w:before="160" w:line="360" w:lineRule="auto"/>
        <w:jc w:val="both"/>
      </w:pPr>
      <w:r w:rsidRPr="00E10DEB">
        <w:t xml:space="preserve">To prepare composite samples for each fish variety, the collected fish samples were thoroughly washed under tap water to eliminate dust, dirt, and possible parasites, and then washed again with deionized water. </w:t>
      </w:r>
      <w:r w:rsidR="00A86AEE">
        <w:t>Non-edible parts (tail, viscera, scales, and fins) were removed, and the edible portions (muscle tissue) were cut into small pieces</w:t>
      </w:r>
      <w:r w:rsidRPr="00E10DEB">
        <w:t xml:space="preserve">. Then, for each of the samples, the desired weights were taken with the help of an </w:t>
      </w:r>
      <w:r w:rsidR="00A86AEE">
        <w:t>electronic</w:t>
      </w:r>
      <w:r w:rsidRPr="00E10DEB">
        <w:t xml:space="preserve"> weight machine. Following that, each sample was sunk into a 100% Nitric acid solution in a separate beaker and covered with foil paper to preserve it for further use. </w:t>
      </w:r>
    </w:p>
    <w:p w14:paraId="37698DAE" w14:textId="77777777" w:rsidR="00B72E7B" w:rsidRPr="00E10DEB" w:rsidRDefault="00B72E7B" w:rsidP="00B72E7B">
      <w:pPr>
        <w:spacing w:before="160" w:line="360" w:lineRule="auto"/>
        <w:jc w:val="both"/>
        <w:rPr>
          <w:rStyle w:val="lev"/>
          <w:b w:val="0"/>
          <w:iCs/>
        </w:rPr>
      </w:pPr>
      <w:r w:rsidRPr="00A86AEE">
        <w:rPr>
          <w:rStyle w:val="lev"/>
        </w:rPr>
        <w:t>Heavy Metal Analysis</w:t>
      </w:r>
    </w:p>
    <w:p w14:paraId="676D2B25" w14:textId="77777777" w:rsidR="00B72E7B" w:rsidRPr="00E10DEB" w:rsidRDefault="00B72E7B" w:rsidP="00B72E7B">
      <w:pPr>
        <w:spacing w:before="160" w:line="360" w:lineRule="auto"/>
        <w:jc w:val="both"/>
        <w:rPr>
          <w:rStyle w:val="lev"/>
          <w:b w:val="0"/>
          <w:bCs w:val="0"/>
        </w:rPr>
      </w:pPr>
      <w:r w:rsidRPr="00E10DEB">
        <w:t xml:space="preserve">For metal analysis, Nitric acid was used at different concentrations according to the demand of the different weighted parts of the experimental fish. Every sample was kept assiduously for 2 to 3 </w:t>
      </w:r>
      <w:r w:rsidRPr="00E10DEB">
        <w:lastRenderedPageBreak/>
        <w:t xml:space="preserve">hours. The mixture of the samples was slowly heated using a magnetic hot plate for 15 to 20 minutes at 100ºC in Nitric acid solution. By using a pipette, 20 ml of solution was taken from </w:t>
      </w:r>
      <w:r w:rsidR="00A86AEE">
        <w:t>each</w:t>
      </w:r>
      <w:r w:rsidRPr="00E10DEB">
        <w:t xml:space="preserve"> solution and kept in the different vials with proper labeling, owing to the assessment of heavy metals by the AAS Flame machine </w:t>
      </w:r>
      <w:r w:rsidRPr="00A86AEE">
        <w:t>(Rahman, 2004).</w:t>
      </w:r>
      <w:r w:rsidRPr="00E10DEB">
        <w:t xml:space="preserve"> Sample analysis was done to determine the concentration of heavy metals (Cd, Mn, Ni, Pb, Cr</w:t>
      </w:r>
      <w:r w:rsidR="00A86AEE">
        <w:t>) in different fish</w:t>
      </w:r>
      <w:r w:rsidRPr="00E10DEB">
        <w:t>. Analysis was done in the Central Science Laboratory, Rajshahi University, with the help of atomic absorption spectroscopy (AA-6800), Flame, Japan, for analysis of the heavy metals.</w:t>
      </w:r>
    </w:p>
    <w:p w14:paraId="621D0999" w14:textId="77777777" w:rsidR="003445A8" w:rsidRPr="00E10DEB" w:rsidRDefault="003445A8" w:rsidP="003445A8">
      <w:pPr>
        <w:jc w:val="both"/>
        <w:rPr>
          <w:rStyle w:val="lev"/>
          <w:b w:val="0"/>
          <w:iCs/>
        </w:rPr>
      </w:pPr>
      <w:r w:rsidRPr="003445A8">
        <w:rPr>
          <w:rStyle w:val="lev"/>
        </w:rPr>
        <w:t>Health Risk Assessment</w:t>
      </w:r>
      <w:r w:rsidRPr="00E10DEB">
        <w:rPr>
          <w:rStyle w:val="lev"/>
        </w:rPr>
        <w:t xml:space="preserve"> </w:t>
      </w:r>
    </w:p>
    <w:p w14:paraId="0F0626A6" w14:textId="77777777" w:rsidR="003445A8" w:rsidRPr="003445A8" w:rsidRDefault="003445A8" w:rsidP="003445A8">
      <w:pPr>
        <w:spacing w:before="160" w:line="360" w:lineRule="auto"/>
        <w:jc w:val="both"/>
        <w:rPr>
          <w:rStyle w:val="lev"/>
          <w:b w:val="0"/>
        </w:rPr>
      </w:pPr>
      <w:r w:rsidRPr="003445A8">
        <w:rPr>
          <w:rStyle w:val="lev"/>
          <w:b w:val="0"/>
        </w:rPr>
        <w:t>The human health hazards for adults due to the estimated heavy metals through fish consumption were determined using a few indices, such as estimated daily intake (EDI</w:t>
      </w:r>
      <w:r>
        <w:rPr>
          <w:rStyle w:val="lev"/>
          <w:b w:val="0"/>
        </w:rPr>
        <w:t xml:space="preserve">), target hazard quotient (THQ), </w:t>
      </w:r>
      <w:r w:rsidRPr="003445A8">
        <w:rPr>
          <w:rStyle w:val="lev"/>
          <w:b w:val="0"/>
        </w:rPr>
        <w:t xml:space="preserve">the descriptions of which are mentioned below. </w:t>
      </w:r>
    </w:p>
    <w:p w14:paraId="7A056FA4" w14:textId="77777777" w:rsidR="003445A8" w:rsidRPr="00E10DEB" w:rsidRDefault="003445A8" w:rsidP="003445A8">
      <w:pPr>
        <w:spacing w:before="160" w:line="360" w:lineRule="auto"/>
        <w:jc w:val="both"/>
      </w:pPr>
      <w:r w:rsidRPr="00E10DEB">
        <w:t xml:space="preserve">Estimated daily intake (EDI) = </w:t>
      </w:r>
      <m:oMath>
        <m:r>
          <w:rPr>
            <w:rFonts w:ascii="Cambria Math" w:hAnsi="Cambria Math"/>
          </w:rPr>
          <m:t>(</m:t>
        </m:r>
        <m:f>
          <m:fPr>
            <m:ctrlPr>
              <w:rPr>
                <w:rFonts w:ascii="Cambria Math" w:hAnsi="Cambria Math"/>
              </w:rPr>
            </m:ctrlPr>
          </m:fPr>
          <m:num>
            <m:r>
              <m:rPr>
                <m:sty m:val="p"/>
              </m:rPr>
              <w:rPr>
                <w:rFonts w:ascii="Cambria Math" w:hAnsi="Cambria Math"/>
              </w:rPr>
              <m:t>Ef × ED × FIR × CM</m:t>
            </m:r>
          </m:num>
          <m:den>
            <m:r>
              <m:rPr>
                <m:sty m:val="p"/>
              </m:rPr>
              <w:rPr>
                <w:rFonts w:ascii="Cambria Math" w:hAnsi="Cambria Math"/>
              </w:rPr>
              <m:t>(BW × TA)</m:t>
            </m:r>
          </m:den>
        </m:f>
        <m:r>
          <m:rPr>
            <m:sty m:val="p"/>
          </m:rPr>
          <w:rPr>
            <w:rFonts w:ascii="Cambria Math" w:hAnsi="Cambria Math"/>
          </w:rPr>
          <m:t xml:space="preserve">)* </m:t>
        </m:r>
      </m:oMath>
      <w:r w:rsidRPr="00E10DEB">
        <w:t>10</w:t>
      </w:r>
      <w:r w:rsidRPr="00E10DEB">
        <w:rPr>
          <w:vertAlign w:val="superscript"/>
        </w:rPr>
        <w:t>−3</w:t>
      </w:r>
    </w:p>
    <w:p w14:paraId="3D98CF67" w14:textId="77777777" w:rsidR="003445A8" w:rsidRPr="00E10DEB" w:rsidRDefault="003445A8" w:rsidP="003445A8">
      <w:pPr>
        <w:spacing w:before="160" w:line="360" w:lineRule="auto"/>
        <w:jc w:val="both"/>
      </w:pPr>
      <w:r w:rsidRPr="00E10DEB">
        <w:t>Whereas,</w:t>
      </w:r>
    </w:p>
    <w:p w14:paraId="2A5980C1" w14:textId="77777777" w:rsidR="003445A8" w:rsidRPr="00E10DEB" w:rsidRDefault="003445A8" w:rsidP="003445A8">
      <w:pPr>
        <w:spacing w:before="160" w:line="360" w:lineRule="auto"/>
        <w:jc w:val="both"/>
      </w:pPr>
      <w:r w:rsidRPr="00E10DEB">
        <w:t xml:space="preserve">Ef is exposure frequency (365 days/year), </w:t>
      </w:r>
    </w:p>
    <w:p w14:paraId="46AD39E4" w14:textId="77777777" w:rsidR="003445A8" w:rsidRPr="00E10DEB" w:rsidRDefault="003445A8" w:rsidP="003445A8">
      <w:pPr>
        <w:spacing w:before="160" w:line="360" w:lineRule="auto"/>
        <w:jc w:val="both"/>
      </w:pPr>
      <w:r w:rsidRPr="00E10DEB">
        <w:t>ED is the exposure duration (72.3 years, the average life span for Bangladeshi (</w:t>
      </w:r>
      <w:r w:rsidRPr="00D17D4B">
        <w:t>BBS, 2022</w:t>
      </w:r>
      <w:r w:rsidRPr="00E10DEB">
        <w:t>),</w:t>
      </w:r>
    </w:p>
    <w:p w14:paraId="7E92A821" w14:textId="77777777" w:rsidR="003445A8" w:rsidRPr="00E10DEB" w:rsidRDefault="003445A8" w:rsidP="003445A8">
      <w:pPr>
        <w:spacing w:before="160" w:line="360" w:lineRule="auto"/>
        <w:jc w:val="both"/>
      </w:pPr>
      <w:r w:rsidRPr="00E10DEB">
        <w:t>FIR is the average fish consumption (67.8 g/person/day (</w:t>
      </w:r>
      <w:r w:rsidRPr="00D17D4B">
        <w:t>HIES, 2022</w:t>
      </w:r>
      <w:r w:rsidRPr="00E10DEB">
        <w:t>).</w:t>
      </w:r>
    </w:p>
    <w:p w14:paraId="5B49050E" w14:textId="77777777" w:rsidR="003445A8" w:rsidRPr="00E10DEB" w:rsidRDefault="003445A8" w:rsidP="003445A8">
      <w:pPr>
        <w:spacing w:before="160" w:line="360" w:lineRule="auto"/>
        <w:jc w:val="both"/>
      </w:pPr>
      <w:r w:rsidRPr="00E10DEB">
        <w:t xml:space="preserve">CM is the metal concentration (mg/kg fresh weight), </w:t>
      </w:r>
    </w:p>
    <w:p w14:paraId="1B53C8B9" w14:textId="77777777" w:rsidR="003445A8" w:rsidRPr="00E10DEB" w:rsidRDefault="003445A8" w:rsidP="003445A8">
      <w:pPr>
        <w:spacing w:before="160" w:line="360" w:lineRule="auto"/>
        <w:jc w:val="both"/>
      </w:pPr>
      <w:r w:rsidRPr="00E10DEB">
        <w:t>BW is the average body weight for an adult (</w:t>
      </w:r>
      <w:commentRangeStart w:id="10"/>
      <w:r w:rsidRPr="00E10DEB">
        <w:t>60</w:t>
      </w:r>
      <w:commentRangeEnd w:id="10"/>
      <w:r w:rsidR="00B106A2" w:rsidRPr="00E10DEB">
        <w:rPr>
          <w:rStyle w:val="Marquedecommentaire"/>
          <w:sz w:val="24"/>
          <w:szCs w:val="24"/>
        </w:rPr>
        <w:commentReference w:id="10"/>
      </w:r>
      <w:r w:rsidRPr="00E10DEB">
        <w:t xml:space="preserve"> kg), </w:t>
      </w:r>
    </w:p>
    <w:p w14:paraId="7848247D" w14:textId="77777777" w:rsidR="003445A8" w:rsidRPr="00E10DEB" w:rsidRDefault="003445A8" w:rsidP="003445A8">
      <w:pPr>
        <w:spacing w:before="160" w:line="360" w:lineRule="auto"/>
        <w:jc w:val="both"/>
      </w:pPr>
      <w:r w:rsidRPr="00E10DEB">
        <w:t>TA is the average exposure time (365 days × number of exposure years, i.e., 72.3 years in this case</w:t>
      </w:r>
    </w:p>
    <w:p w14:paraId="02ACD3F6" w14:textId="77777777" w:rsidR="003445A8" w:rsidRPr="00E10DEB" w:rsidRDefault="003445A8" w:rsidP="003445A8">
      <w:pPr>
        <w:spacing w:before="160" w:line="360" w:lineRule="auto"/>
        <w:jc w:val="both"/>
      </w:pPr>
      <w:r w:rsidRPr="00E10DEB">
        <w:t xml:space="preserve">Target hazard quotient (THQ) = </w:t>
      </w:r>
      <m:oMath>
        <m:f>
          <m:fPr>
            <m:ctrlPr>
              <w:rPr>
                <w:rFonts w:ascii="Cambria Math" w:hAnsi="Cambria Math"/>
                <w:i/>
              </w:rPr>
            </m:ctrlPr>
          </m:fPr>
          <m:num>
            <m:r>
              <m:rPr>
                <m:sty m:val="p"/>
              </m:rPr>
              <w:rPr>
                <w:rFonts w:ascii="Cambria Math" w:hAnsi="Cambria Math"/>
              </w:rPr>
              <m:t>EDI</m:t>
            </m:r>
          </m:num>
          <m:den>
            <m:r>
              <m:rPr>
                <m:sty m:val="p"/>
              </m:rPr>
              <w:rPr>
                <w:rFonts w:ascii="Cambria Math" w:hAnsi="Cambria Math"/>
              </w:rPr>
              <m:t>RfD</m:t>
            </m:r>
          </m:den>
        </m:f>
      </m:oMath>
    </w:p>
    <w:p w14:paraId="3B4C4448" w14:textId="6CEB4004" w:rsidR="003445A8" w:rsidRDefault="003445A8" w:rsidP="003445A8">
      <w:pPr>
        <w:spacing w:before="160" w:line="360" w:lineRule="auto"/>
        <w:jc w:val="both"/>
      </w:pPr>
      <w:r w:rsidRPr="00E10DEB">
        <w:t>RfD is the oral reference dose (mg/kg/day). RfDs were found to be 0.001, 0.0035, 0.3, 0.04, 1.5, 0.14, and 0.02 mg/kg body weight/day for Cd, Pb, Zn, Cu, Cr, Mn, and Ni, respectively (to determine the appropriate RfD for THQ (</w:t>
      </w:r>
      <w:r w:rsidRPr="00D17D4B">
        <w:t>USEPA, 2023</w:t>
      </w:r>
      <w:r w:rsidRPr="00E10DEB">
        <w:t>)</w:t>
      </w:r>
    </w:p>
    <w:p w14:paraId="1803DADB" w14:textId="66EFD1B5" w:rsidR="00223BF5" w:rsidRDefault="00223BF5" w:rsidP="003445A8">
      <w:pPr>
        <w:spacing w:before="160" w:line="360" w:lineRule="auto"/>
        <w:jc w:val="both"/>
      </w:pPr>
    </w:p>
    <w:p w14:paraId="194CF7E7" w14:textId="77777777" w:rsidR="00223BF5" w:rsidRPr="00E10DEB" w:rsidRDefault="00223BF5" w:rsidP="003445A8">
      <w:pPr>
        <w:spacing w:before="160" w:line="360" w:lineRule="auto"/>
        <w:jc w:val="both"/>
      </w:pPr>
    </w:p>
    <w:p w14:paraId="77E455AC" w14:textId="77777777" w:rsidR="00D17D4B" w:rsidRDefault="00D17D4B" w:rsidP="003445A8">
      <w:pPr>
        <w:jc w:val="both"/>
        <w:rPr>
          <w:b/>
          <w:iCs/>
        </w:rPr>
      </w:pPr>
    </w:p>
    <w:p w14:paraId="0DB79E53" w14:textId="77777777" w:rsidR="00D17D4B" w:rsidRDefault="00D17D4B" w:rsidP="003445A8">
      <w:pPr>
        <w:jc w:val="both"/>
        <w:rPr>
          <w:b/>
          <w:iCs/>
        </w:rPr>
      </w:pPr>
    </w:p>
    <w:p w14:paraId="58418CEC" w14:textId="77777777" w:rsidR="003445A8" w:rsidRPr="003445A8" w:rsidRDefault="003445A8" w:rsidP="003445A8">
      <w:pPr>
        <w:jc w:val="both"/>
        <w:rPr>
          <w:b/>
          <w:iCs/>
        </w:rPr>
      </w:pPr>
      <w:r w:rsidRPr="003445A8">
        <w:rPr>
          <w:b/>
          <w:iCs/>
        </w:rPr>
        <w:t>Statistical Analysis</w:t>
      </w:r>
    </w:p>
    <w:p w14:paraId="65C83178" w14:textId="77777777" w:rsidR="003445A8" w:rsidRPr="00E10DEB" w:rsidRDefault="003445A8" w:rsidP="003445A8">
      <w:pPr>
        <w:spacing w:before="160" w:line="360" w:lineRule="auto"/>
        <w:jc w:val="both"/>
        <w:rPr>
          <w:rStyle w:val="lev"/>
          <w:b w:val="0"/>
          <w:i/>
        </w:rPr>
      </w:pPr>
      <w:r w:rsidRPr="00E10DEB">
        <w:t>Data analysis was conducted using MS Excel 2021 (Microsoft Inc., Redmond, USA) and SPSS (v26.0) for Windows (SPSS Inc., Chicago, IL, USA). The analyzed metal concentrations are the mean and standard deviation (SD).</w:t>
      </w:r>
    </w:p>
    <w:p w14:paraId="5707DB1A" w14:textId="77777777" w:rsidR="00576CAF" w:rsidRDefault="00576CAF" w:rsidP="003445A8">
      <w:pPr>
        <w:rPr>
          <w:b/>
        </w:rPr>
      </w:pPr>
      <w:r>
        <w:rPr>
          <w:b/>
        </w:rPr>
        <w:t>Results</w:t>
      </w:r>
    </w:p>
    <w:p w14:paraId="74CE27C4" w14:textId="567B6F28" w:rsidR="00576CAF" w:rsidRDefault="00576CAF" w:rsidP="00E75F9A">
      <w:pPr>
        <w:spacing w:line="360" w:lineRule="auto"/>
        <w:jc w:val="both"/>
        <w:rPr>
          <w:b/>
        </w:rPr>
      </w:pPr>
      <w:r w:rsidRPr="00576CAF">
        <w:rPr>
          <w:b/>
        </w:rPr>
        <w:t>Heavy metal concentrations in fish</w:t>
      </w:r>
    </w:p>
    <w:p w14:paraId="58643BB4" w14:textId="5061446A" w:rsidR="00576CAF" w:rsidRDefault="00576CAF" w:rsidP="00E75F9A">
      <w:pPr>
        <w:spacing w:line="360" w:lineRule="auto"/>
        <w:jc w:val="both"/>
        <w:rPr>
          <w:b/>
        </w:rPr>
      </w:pPr>
      <w:commentRangeStart w:id="11"/>
      <w:r>
        <w:rPr>
          <w:b/>
        </w:rPr>
        <w:t>xxxxxxx</w:t>
      </w:r>
      <w:commentRangeEnd w:id="11"/>
      <w:r>
        <w:rPr>
          <w:rStyle w:val="Marquedecommentaire"/>
          <w:b/>
          <w:sz w:val="24"/>
          <w:szCs w:val="24"/>
        </w:rPr>
        <w:commentReference w:id="11"/>
      </w:r>
    </w:p>
    <w:p w14:paraId="27349150" w14:textId="77777777" w:rsidR="00576CAF" w:rsidRPr="00E10DEB" w:rsidRDefault="00576CAF" w:rsidP="00576CAF">
      <w:pPr>
        <w:jc w:val="both"/>
        <w:rPr>
          <w:rStyle w:val="lev"/>
          <w:b w:val="0"/>
          <w:iCs/>
        </w:rPr>
      </w:pPr>
      <w:r w:rsidRPr="003445A8">
        <w:rPr>
          <w:rStyle w:val="lev"/>
        </w:rPr>
        <w:t>Health Risk Assessment</w:t>
      </w:r>
      <w:r w:rsidRPr="00E10DEB">
        <w:rPr>
          <w:rStyle w:val="lev"/>
        </w:rPr>
        <w:t xml:space="preserve"> </w:t>
      </w:r>
    </w:p>
    <w:p w14:paraId="2712C6E1" w14:textId="4CDA2EA9" w:rsidR="00576CAF" w:rsidRDefault="00576CAF" w:rsidP="00E75F9A">
      <w:pPr>
        <w:spacing w:line="360" w:lineRule="auto"/>
        <w:jc w:val="both"/>
        <w:rPr>
          <w:b/>
        </w:rPr>
      </w:pPr>
      <w:commentRangeStart w:id="12"/>
      <w:r>
        <w:rPr>
          <w:b/>
        </w:rPr>
        <w:t>xxxxxx</w:t>
      </w:r>
      <w:commentRangeEnd w:id="12"/>
      <w:r>
        <w:rPr>
          <w:rStyle w:val="Marquedecommentaire"/>
          <w:b/>
          <w:sz w:val="24"/>
          <w:szCs w:val="24"/>
        </w:rPr>
        <w:commentReference w:id="12"/>
      </w:r>
    </w:p>
    <w:p w14:paraId="693CEBA0" w14:textId="473B2ED5" w:rsidR="00E72A07" w:rsidRDefault="00E72A07" w:rsidP="00E75F9A">
      <w:pPr>
        <w:spacing w:line="360" w:lineRule="auto"/>
        <w:jc w:val="both"/>
        <w:rPr>
          <w:b/>
        </w:rPr>
      </w:pPr>
      <w:r>
        <w:rPr>
          <w:b/>
        </w:rPr>
        <w:t>Discussion</w:t>
      </w:r>
    </w:p>
    <w:p w14:paraId="44808DBA" w14:textId="307E0872" w:rsidR="00E72A07" w:rsidRDefault="00E72A07" w:rsidP="00E75F9A">
      <w:pPr>
        <w:spacing w:line="360" w:lineRule="auto"/>
        <w:jc w:val="both"/>
        <w:rPr>
          <w:b/>
        </w:rPr>
      </w:pPr>
      <w:commentRangeStart w:id="13"/>
      <w:commentRangeStart w:id="14"/>
      <w:r>
        <w:rPr>
          <w:b/>
        </w:rPr>
        <w:t>xxxxxxxxx</w:t>
      </w:r>
      <w:commentRangeEnd w:id="14"/>
      <w:r>
        <w:rPr>
          <w:rStyle w:val="Marquedecommentaire"/>
          <w:b/>
          <w:sz w:val="24"/>
          <w:szCs w:val="24"/>
        </w:rPr>
        <w:commentReference w:id="14"/>
      </w:r>
      <w:commentRangeEnd w:id="13"/>
      <w:r>
        <w:rPr>
          <w:rStyle w:val="Marquedecommentaire"/>
          <w:b/>
          <w:sz w:val="24"/>
          <w:szCs w:val="24"/>
        </w:rPr>
        <w:commentReference w:id="13"/>
      </w:r>
    </w:p>
    <w:p w14:paraId="4FCB7CAA" w14:textId="636D57CC" w:rsidR="003445A8" w:rsidRDefault="00617C36" w:rsidP="00E75F9A">
      <w:pPr>
        <w:spacing w:line="360" w:lineRule="auto"/>
        <w:jc w:val="both"/>
      </w:pPr>
      <w:commentRangeStart w:id="15"/>
      <w:r>
        <w:t xml:space="preserve">Fish muscle is considered the primary edible part of the human diet worldwide. However, through this part of the fish, various pollutants, including metals, can be transferred from the fish to consumers. Heavy metals are toxic pollutants absorbed by fish through bioaccumulation, making them more vulnerable to contamination due to their tendency to retain these metals in their tissues </w:t>
      </w:r>
      <w:r w:rsidR="0079566C">
        <w:t xml:space="preserve">(Ahmed and Bat, 2015; </w:t>
      </w:r>
      <w:r w:rsidR="0079566C">
        <w:rPr>
          <w:color w:val="222222"/>
          <w:shd w:val="clear" w:color="auto" w:fill="FFFFFF"/>
        </w:rPr>
        <w:t xml:space="preserve">Nargis </w:t>
      </w:r>
      <w:r w:rsidR="0079566C" w:rsidRPr="0079566C">
        <w:rPr>
          <w:i/>
          <w:color w:val="222222"/>
          <w:shd w:val="clear" w:color="auto" w:fill="FFFFFF"/>
        </w:rPr>
        <w:t>et al</w:t>
      </w:r>
      <w:r w:rsidR="0079566C">
        <w:rPr>
          <w:color w:val="222222"/>
          <w:shd w:val="clear" w:color="auto" w:fill="FFFFFF"/>
        </w:rPr>
        <w:t>., 2021)</w:t>
      </w:r>
      <w:r w:rsidRPr="00D17D4B">
        <w:t>.</w:t>
      </w:r>
      <w:r>
        <w:t xml:space="preserve">  In this study, the concentrations of heavy metals (Cd, Mn, Ni, Pb, and Cr) in the fish species </w:t>
      </w:r>
      <w:r>
        <w:rPr>
          <w:rStyle w:val="Accentuation"/>
        </w:rPr>
        <w:t>Thunnus thynnus</w:t>
      </w:r>
      <w:r>
        <w:t xml:space="preserve">, </w:t>
      </w:r>
      <w:r>
        <w:rPr>
          <w:rStyle w:val="Accentuation"/>
        </w:rPr>
        <w:t>Pampus chinensis</w:t>
      </w:r>
      <w:r>
        <w:t xml:space="preserve">, </w:t>
      </w:r>
      <w:r>
        <w:rPr>
          <w:rStyle w:val="Accentuation"/>
        </w:rPr>
        <w:t>Chelon parsia</w:t>
      </w:r>
      <w:r>
        <w:t xml:space="preserve">, </w:t>
      </w:r>
      <w:r>
        <w:rPr>
          <w:rStyle w:val="Accentuation"/>
        </w:rPr>
        <w:t>Tenualosa ilisha</w:t>
      </w:r>
      <w:r>
        <w:t xml:space="preserve">, and </w:t>
      </w:r>
      <w:r>
        <w:rPr>
          <w:rStyle w:val="Accentuation"/>
        </w:rPr>
        <w:t>Lates calcarifer</w:t>
      </w:r>
      <w:r>
        <w:t xml:space="preserve"> were evaluated to assess the risk of metal contamination in seafood (Table 1). </w:t>
      </w:r>
    </w:p>
    <w:tbl>
      <w:tblPr>
        <w:tblStyle w:val="Tableausimple2"/>
        <w:tblpPr w:leftFromText="180" w:rightFromText="180" w:vertAnchor="page" w:horzAnchor="margin" w:tblpY="7671"/>
        <w:tblW w:w="5528" w:type="pct"/>
        <w:tblBorders>
          <w:top w:val="none" w:sz="0" w:space="0" w:color="auto"/>
          <w:bottom w:val="none" w:sz="0" w:space="0" w:color="auto"/>
        </w:tblBorders>
        <w:tblLook w:val="04A0" w:firstRow="1" w:lastRow="0" w:firstColumn="1" w:lastColumn="0" w:noHBand="0" w:noVBand="1"/>
      </w:tblPr>
      <w:tblGrid>
        <w:gridCol w:w="1961"/>
        <w:gridCol w:w="1726"/>
        <w:gridCol w:w="1705"/>
        <w:gridCol w:w="1560"/>
        <w:gridCol w:w="1697"/>
        <w:gridCol w:w="1699"/>
      </w:tblGrid>
      <w:tr w:rsidR="00E75F9A" w:rsidRPr="005E2A05" w14:paraId="50FADF3B" w14:textId="77777777" w:rsidTr="00395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pct"/>
            <w:vMerge w:val="restart"/>
            <w:tcBorders>
              <w:top w:val="single" w:sz="18" w:space="0" w:color="auto"/>
              <w:bottom w:val="none" w:sz="0" w:space="0" w:color="auto"/>
            </w:tcBorders>
            <w:vAlign w:val="center"/>
          </w:tcPr>
          <w:p w14:paraId="4C7A7660" w14:textId="77777777" w:rsidR="00E75F9A" w:rsidRPr="005E2A05" w:rsidRDefault="00E75F9A" w:rsidP="005E2A05">
            <w:pPr>
              <w:spacing w:line="360" w:lineRule="auto"/>
              <w:jc w:val="center"/>
              <w:rPr>
                <w:sz w:val="22"/>
                <w:szCs w:val="22"/>
              </w:rPr>
            </w:pPr>
            <w:commentRangeStart w:id="16"/>
            <w:r w:rsidRPr="005E2A05">
              <w:rPr>
                <w:sz w:val="22"/>
                <w:szCs w:val="22"/>
              </w:rPr>
              <w:lastRenderedPageBreak/>
              <w:t>Fish</w:t>
            </w:r>
          </w:p>
          <w:p w14:paraId="111C1AF1" w14:textId="77777777" w:rsidR="00E75F9A" w:rsidRPr="005E2A05" w:rsidRDefault="00E75F9A" w:rsidP="005E2A05">
            <w:pPr>
              <w:spacing w:line="360" w:lineRule="auto"/>
              <w:jc w:val="center"/>
              <w:rPr>
                <w:sz w:val="22"/>
                <w:szCs w:val="22"/>
              </w:rPr>
            </w:pPr>
          </w:p>
        </w:tc>
        <w:tc>
          <w:tcPr>
            <w:tcW w:w="4053" w:type="pct"/>
            <w:gridSpan w:val="5"/>
            <w:tcBorders>
              <w:top w:val="single" w:sz="18" w:space="0" w:color="auto"/>
              <w:bottom w:val="none" w:sz="0" w:space="0" w:color="auto"/>
            </w:tcBorders>
            <w:vAlign w:val="center"/>
          </w:tcPr>
          <w:p w14:paraId="7E424FC3" w14:textId="77777777" w:rsidR="00E75F9A" w:rsidRPr="005E2A05" w:rsidRDefault="00E75F9A" w:rsidP="005E2A05">
            <w:pPr>
              <w:spacing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5E2A05">
              <w:rPr>
                <w:sz w:val="22"/>
                <w:szCs w:val="22"/>
              </w:rPr>
              <w:t>Amount of heavy metal (mg/Kg)</w:t>
            </w:r>
          </w:p>
        </w:tc>
      </w:tr>
      <w:tr w:rsidR="005E2A05" w:rsidRPr="005E2A05" w14:paraId="1C70B8B5" w14:textId="77777777" w:rsidTr="00395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pct"/>
            <w:vMerge/>
            <w:tcBorders>
              <w:top w:val="none" w:sz="0" w:space="0" w:color="auto"/>
              <w:bottom w:val="none" w:sz="0" w:space="0" w:color="auto"/>
            </w:tcBorders>
            <w:vAlign w:val="center"/>
          </w:tcPr>
          <w:p w14:paraId="53979494" w14:textId="77777777" w:rsidR="00E75F9A" w:rsidRPr="005E2A05" w:rsidRDefault="00E75F9A" w:rsidP="005E2A05">
            <w:pPr>
              <w:spacing w:line="360" w:lineRule="auto"/>
              <w:jc w:val="center"/>
              <w:rPr>
                <w:sz w:val="22"/>
                <w:szCs w:val="22"/>
              </w:rPr>
            </w:pPr>
          </w:p>
        </w:tc>
        <w:tc>
          <w:tcPr>
            <w:tcW w:w="834" w:type="pct"/>
            <w:tcBorders>
              <w:top w:val="single" w:sz="18" w:space="0" w:color="auto"/>
              <w:bottom w:val="none" w:sz="0" w:space="0" w:color="auto"/>
            </w:tcBorders>
            <w:vAlign w:val="center"/>
          </w:tcPr>
          <w:p w14:paraId="792BDE2F"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2A05">
              <w:rPr>
                <w:b/>
                <w:sz w:val="22"/>
                <w:szCs w:val="22"/>
              </w:rPr>
              <w:t>Cd</w:t>
            </w:r>
          </w:p>
        </w:tc>
        <w:tc>
          <w:tcPr>
            <w:tcW w:w="824" w:type="pct"/>
            <w:tcBorders>
              <w:top w:val="single" w:sz="18" w:space="0" w:color="auto"/>
              <w:bottom w:val="none" w:sz="0" w:space="0" w:color="auto"/>
            </w:tcBorders>
            <w:vAlign w:val="center"/>
          </w:tcPr>
          <w:p w14:paraId="22F7AAE9"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2A05">
              <w:rPr>
                <w:b/>
                <w:sz w:val="22"/>
                <w:szCs w:val="22"/>
              </w:rPr>
              <w:t>Mn</w:t>
            </w:r>
          </w:p>
        </w:tc>
        <w:tc>
          <w:tcPr>
            <w:tcW w:w="754" w:type="pct"/>
            <w:tcBorders>
              <w:top w:val="single" w:sz="18" w:space="0" w:color="auto"/>
              <w:bottom w:val="none" w:sz="0" w:space="0" w:color="auto"/>
            </w:tcBorders>
            <w:vAlign w:val="center"/>
          </w:tcPr>
          <w:p w14:paraId="12646D9C"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2A05">
              <w:rPr>
                <w:b/>
                <w:sz w:val="22"/>
                <w:szCs w:val="22"/>
              </w:rPr>
              <w:t>Ni</w:t>
            </w:r>
          </w:p>
        </w:tc>
        <w:tc>
          <w:tcPr>
            <w:tcW w:w="820" w:type="pct"/>
            <w:tcBorders>
              <w:top w:val="single" w:sz="18" w:space="0" w:color="auto"/>
              <w:bottom w:val="none" w:sz="0" w:space="0" w:color="auto"/>
            </w:tcBorders>
            <w:vAlign w:val="center"/>
          </w:tcPr>
          <w:p w14:paraId="31CDBFA8"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2A05">
              <w:rPr>
                <w:b/>
                <w:sz w:val="22"/>
                <w:szCs w:val="22"/>
              </w:rPr>
              <w:t>Pb</w:t>
            </w:r>
          </w:p>
        </w:tc>
        <w:tc>
          <w:tcPr>
            <w:tcW w:w="821" w:type="pct"/>
            <w:tcBorders>
              <w:top w:val="single" w:sz="18" w:space="0" w:color="auto"/>
              <w:bottom w:val="none" w:sz="0" w:space="0" w:color="auto"/>
            </w:tcBorders>
            <w:vAlign w:val="center"/>
          </w:tcPr>
          <w:p w14:paraId="3D3E5C89"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2A05">
              <w:rPr>
                <w:b/>
                <w:sz w:val="22"/>
                <w:szCs w:val="22"/>
              </w:rPr>
              <w:t>Cr</w:t>
            </w:r>
          </w:p>
        </w:tc>
      </w:tr>
      <w:tr w:rsidR="005E2A05" w:rsidRPr="005E2A05" w14:paraId="7A8EB9CE" w14:textId="77777777" w:rsidTr="0039519D">
        <w:trPr>
          <w:trHeight w:val="425"/>
        </w:trPr>
        <w:tc>
          <w:tcPr>
            <w:cnfStyle w:val="001000000000" w:firstRow="0" w:lastRow="0" w:firstColumn="1" w:lastColumn="0" w:oddVBand="0" w:evenVBand="0" w:oddHBand="0" w:evenHBand="0" w:firstRowFirstColumn="0" w:firstRowLastColumn="0" w:lastRowFirstColumn="0" w:lastRowLastColumn="0"/>
            <w:tcW w:w="947" w:type="pct"/>
            <w:tcBorders>
              <w:top w:val="single" w:sz="18" w:space="0" w:color="auto"/>
            </w:tcBorders>
            <w:vAlign w:val="center"/>
          </w:tcPr>
          <w:p w14:paraId="2B6AAF6D" w14:textId="77777777" w:rsidR="00E75F9A" w:rsidRPr="005E2A05" w:rsidRDefault="00E75F9A" w:rsidP="005E2A05">
            <w:pPr>
              <w:spacing w:line="360" w:lineRule="auto"/>
              <w:jc w:val="center"/>
              <w:rPr>
                <w:sz w:val="22"/>
                <w:szCs w:val="22"/>
              </w:rPr>
            </w:pPr>
            <w:r w:rsidRPr="005E2A05">
              <w:rPr>
                <w:rStyle w:val="Accentuation"/>
                <w:sz w:val="22"/>
                <w:szCs w:val="22"/>
                <w:shd w:val="clear" w:color="auto" w:fill="FFFFFF"/>
              </w:rPr>
              <w:t>Thunnus thynnus</w:t>
            </w:r>
          </w:p>
        </w:tc>
        <w:tc>
          <w:tcPr>
            <w:tcW w:w="834" w:type="pct"/>
            <w:tcBorders>
              <w:top w:val="single" w:sz="18" w:space="0" w:color="auto"/>
            </w:tcBorders>
            <w:vAlign w:val="center"/>
          </w:tcPr>
          <w:p w14:paraId="36D8C0DD"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bookmarkStart w:id="17" w:name="OLE_LINK56"/>
            <w:bookmarkStart w:id="18" w:name="OLE_LINK55"/>
            <w:r w:rsidRPr="005E2A05">
              <w:rPr>
                <w:sz w:val="22"/>
                <w:szCs w:val="22"/>
              </w:rPr>
              <w:t>0.028</w:t>
            </w:r>
            <w:bookmarkEnd w:id="17"/>
            <w:r w:rsidRPr="005E2A05">
              <w:rPr>
                <w:sz w:val="22"/>
                <w:szCs w:val="22"/>
              </w:rPr>
              <w:t>± 3.61E</w:t>
            </w:r>
            <w:r w:rsidRPr="005E2A05">
              <w:rPr>
                <w:sz w:val="22"/>
                <w:szCs w:val="22"/>
                <w:vertAlign w:val="superscript"/>
              </w:rPr>
              <w:t>-5</w:t>
            </w:r>
            <w:bookmarkEnd w:id="18"/>
          </w:p>
        </w:tc>
        <w:tc>
          <w:tcPr>
            <w:tcW w:w="824" w:type="pct"/>
            <w:tcBorders>
              <w:top w:val="single" w:sz="18" w:space="0" w:color="auto"/>
            </w:tcBorders>
            <w:vAlign w:val="center"/>
          </w:tcPr>
          <w:p w14:paraId="346BB714"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0.308± 3.06E</w:t>
            </w:r>
            <w:r w:rsidRPr="005E2A05">
              <w:rPr>
                <w:sz w:val="22"/>
                <w:szCs w:val="22"/>
                <w:vertAlign w:val="superscript"/>
              </w:rPr>
              <w:t>-4</w:t>
            </w:r>
          </w:p>
        </w:tc>
        <w:tc>
          <w:tcPr>
            <w:tcW w:w="754" w:type="pct"/>
            <w:tcBorders>
              <w:top w:val="single" w:sz="18" w:space="0" w:color="auto"/>
            </w:tcBorders>
            <w:vAlign w:val="center"/>
          </w:tcPr>
          <w:p w14:paraId="235B371C"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0.119 ± 4E</w:t>
            </w:r>
            <w:r w:rsidRPr="005E2A05">
              <w:rPr>
                <w:sz w:val="22"/>
                <w:szCs w:val="22"/>
                <w:vertAlign w:val="superscript"/>
              </w:rPr>
              <w:t>-5</w:t>
            </w:r>
          </w:p>
        </w:tc>
        <w:tc>
          <w:tcPr>
            <w:tcW w:w="820" w:type="pct"/>
            <w:tcBorders>
              <w:top w:val="single" w:sz="18" w:space="0" w:color="auto"/>
            </w:tcBorders>
            <w:vAlign w:val="center"/>
          </w:tcPr>
          <w:p w14:paraId="7D5DF387"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5E2A05">
              <w:rPr>
                <w:color w:val="000000" w:themeColor="text1"/>
                <w:sz w:val="22"/>
                <w:szCs w:val="22"/>
              </w:rPr>
              <w:t>0.493 ± 4.51E</w:t>
            </w:r>
            <w:r w:rsidRPr="005E2A05">
              <w:rPr>
                <w:color w:val="000000" w:themeColor="text1"/>
                <w:sz w:val="22"/>
                <w:szCs w:val="22"/>
                <w:vertAlign w:val="superscript"/>
              </w:rPr>
              <w:t>-5</w:t>
            </w:r>
          </w:p>
        </w:tc>
        <w:tc>
          <w:tcPr>
            <w:tcW w:w="821" w:type="pct"/>
            <w:tcBorders>
              <w:top w:val="single" w:sz="18" w:space="0" w:color="auto"/>
            </w:tcBorders>
            <w:vAlign w:val="center"/>
          </w:tcPr>
          <w:p w14:paraId="18547164"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0.068 ± 3.61E</w:t>
            </w:r>
            <w:r w:rsidRPr="005E2A05">
              <w:rPr>
                <w:sz w:val="22"/>
                <w:szCs w:val="22"/>
                <w:vertAlign w:val="superscript"/>
              </w:rPr>
              <w:t>-5</w:t>
            </w:r>
          </w:p>
        </w:tc>
      </w:tr>
      <w:tr w:rsidR="00DF6223" w:rsidRPr="005E2A05" w14:paraId="316AA470" w14:textId="77777777" w:rsidTr="0039519D">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47" w:type="pct"/>
            <w:tcBorders>
              <w:top w:val="none" w:sz="0" w:space="0" w:color="auto"/>
              <w:bottom w:val="none" w:sz="0" w:space="0" w:color="auto"/>
            </w:tcBorders>
            <w:vAlign w:val="center"/>
          </w:tcPr>
          <w:p w14:paraId="507B01AE" w14:textId="77777777" w:rsidR="00E75F9A" w:rsidRPr="005E2A05" w:rsidRDefault="00E75F9A" w:rsidP="005E2A05">
            <w:pPr>
              <w:spacing w:line="360" w:lineRule="auto"/>
              <w:jc w:val="center"/>
              <w:rPr>
                <w:sz w:val="22"/>
                <w:szCs w:val="22"/>
              </w:rPr>
            </w:pPr>
            <w:r w:rsidRPr="005E2A05">
              <w:rPr>
                <w:i/>
                <w:sz w:val="22"/>
                <w:szCs w:val="22"/>
              </w:rPr>
              <w:t>Pampus chinensis</w:t>
            </w:r>
          </w:p>
        </w:tc>
        <w:tc>
          <w:tcPr>
            <w:tcW w:w="834" w:type="pct"/>
            <w:tcBorders>
              <w:top w:val="none" w:sz="0" w:space="0" w:color="auto"/>
              <w:bottom w:val="none" w:sz="0" w:space="0" w:color="auto"/>
            </w:tcBorders>
            <w:vAlign w:val="center"/>
          </w:tcPr>
          <w:p w14:paraId="19FC5524"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E2A05">
              <w:rPr>
                <w:sz w:val="22"/>
                <w:szCs w:val="22"/>
              </w:rPr>
              <w:t>0.032± 4.04E</w:t>
            </w:r>
            <w:r w:rsidRPr="005E2A05">
              <w:rPr>
                <w:sz w:val="22"/>
                <w:szCs w:val="22"/>
                <w:vertAlign w:val="superscript"/>
              </w:rPr>
              <w:t>-5</w:t>
            </w:r>
          </w:p>
        </w:tc>
        <w:tc>
          <w:tcPr>
            <w:tcW w:w="824" w:type="pct"/>
            <w:tcBorders>
              <w:top w:val="none" w:sz="0" w:space="0" w:color="auto"/>
              <w:bottom w:val="none" w:sz="0" w:space="0" w:color="auto"/>
            </w:tcBorders>
            <w:vAlign w:val="center"/>
          </w:tcPr>
          <w:p w14:paraId="005B1342"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E2A05">
              <w:rPr>
                <w:sz w:val="22"/>
                <w:szCs w:val="22"/>
              </w:rPr>
              <w:t>0.310± 2.08E</w:t>
            </w:r>
            <w:r w:rsidRPr="005E2A05">
              <w:rPr>
                <w:sz w:val="22"/>
                <w:szCs w:val="22"/>
                <w:vertAlign w:val="superscript"/>
              </w:rPr>
              <w:t>-5</w:t>
            </w:r>
          </w:p>
        </w:tc>
        <w:tc>
          <w:tcPr>
            <w:tcW w:w="754" w:type="pct"/>
            <w:tcBorders>
              <w:top w:val="none" w:sz="0" w:space="0" w:color="auto"/>
              <w:bottom w:val="none" w:sz="0" w:space="0" w:color="auto"/>
            </w:tcBorders>
            <w:vAlign w:val="center"/>
          </w:tcPr>
          <w:p w14:paraId="40FE81E6"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E2A05">
              <w:rPr>
                <w:sz w:val="22"/>
                <w:szCs w:val="22"/>
              </w:rPr>
              <w:t>0.145± 3E</w:t>
            </w:r>
            <w:r w:rsidRPr="005E2A05">
              <w:rPr>
                <w:sz w:val="22"/>
                <w:szCs w:val="22"/>
                <w:vertAlign w:val="superscript"/>
              </w:rPr>
              <w:t>-5</w:t>
            </w:r>
          </w:p>
        </w:tc>
        <w:tc>
          <w:tcPr>
            <w:tcW w:w="820" w:type="pct"/>
            <w:tcBorders>
              <w:top w:val="none" w:sz="0" w:space="0" w:color="auto"/>
              <w:bottom w:val="none" w:sz="0" w:space="0" w:color="auto"/>
            </w:tcBorders>
            <w:vAlign w:val="center"/>
          </w:tcPr>
          <w:p w14:paraId="7ECA33DD"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E2A05">
              <w:rPr>
                <w:color w:val="000000" w:themeColor="text1"/>
                <w:sz w:val="22"/>
                <w:szCs w:val="22"/>
              </w:rPr>
              <w:t>0.607 ± 5E</w:t>
            </w:r>
            <w:r w:rsidRPr="005E2A05">
              <w:rPr>
                <w:color w:val="000000" w:themeColor="text1"/>
                <w:sz w:val="22"/>
                <w:szCs w:val="22"/>
                <w:vertAlign w:val="superscript"/>
              </w:rPr>
              <w:t>-5</w:t>
            </w:r>
          </w:p>
        </w:tc>
        <w:tc>
          <w:tcPr>
            <w:tcW w:w="821" w:type="pct"/>
            <w:tcBorders>
              <w:top w:val="none" w:sz="0" w:space="0" w:color="auto"/>
              <w:bottom w:val="none" w:sz="0" w:space="0" w:color="auto"/>
            </w:tcBorders>
            <w:vAlign w:val="center"/>
          </w:tcPr>
          <w:p w14:paraId="2E348F4F"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E2A05">
              <w:rPr>
                <w:sz w:val="22"/>
                <w:szCs w:val="22"/>
              </w:rPr>
              <w:t>0.085± 2E</w:t>
            </w:r>
            <w:r w:rsidRPr="005E2A05">
              <w:rPr>
                <w:sz w:val="22"/>
                <w:szCs w:val="22"/>
                <w:vertAlign w:val="superscript"/>
              </w:rPr>
              <w:t>-5</w:t>
            </w:r>
          </w:p>
        </w:tc>
      </w:tr>
      <w:tr w:rsidR="00DF6223" w:rsidRPr="005E2A05" w14:paraId="33E348CE" w14:textId="77777777" w:rsidTr="0039519D">
        <w:tc>
          <w:tcPr>
            <w:cnfStyle w:val="001000000000" w:firstRow="0" w:lastRow="0" w:firstColumn="1" w:lastColumn="0" w:oddVBand="0" w:evenVBand="0" w:oddHBand="0" w:evenHBand="0" w:firstRowFirstColumn="0" w:firstRowLastColumn="0" w:lastRowFirstColumn="0" w:lastRowLastColumn="0"/>
            <w:tcW w:w="947" w:type="pct"/>
            <w:vAlign w:val="center"/>
          </w:tcPr>
          <w:p w14:paraId="63333540" w14:textId="77777777" w:rsidR="00E75F9A" w:rsidRPr="005E2A05" w:rsidRDefault="00E75F9A" w:rsidP="005E2A05">
            <w:pPr>
              <w:spacing w:line="360" w:lineRule="auto"/>
              <w:jc w:val="center"/>
              <w:rPr>
                <w:sz w:val="22"/>
                <w:szCs w:val="22"/>
              </w:rPr>
            </w:pPr>
            <w:r w:rsidRPr="005E2A05">
              <w:rPr>
                <w:i/>
                <w:sz w:val="22"/>
                <w:szCs w:val="22"/>
              </w:rPr>
              <w:t>Chelon parsia</w:t>
            </w:r>
          </w:p>
        </w:tc>
        <w:tc>
          <w:tcPr>
            <w:tcW w:w="834" w:type="pct"/>
            <w:vAlign w:val="center"/>
          </w:tcPr>
          <w:p w14:paraId="3E8ECCEA"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0.017±1.3E</w:t>
            </w:r>
            <w:r w:rsidRPr="005E2A05">
              <w:rPr>
                <w:sz w:val="22"/>
                <w:szCs w:val="22"/>
                <w:vertAlign w:val="superscript"/>
              </w:rPr>
              <w:t>-4</w:t>
            </w:r>
          </w:p>
        </w:tc>
        <w:tc>
          <w:tcPr>
            <w:tcW w:w="824" w:type="pct"/>
            <w:vAlign w:val="center"/>
          </w:tcPr>
          <w:p w14:paraId="0757FFBC"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0.321± 1.24E</w:t>
            </w:r>
            <w:r w:rsidRPr="005E2A05">
              <w:rPr>
                <w:sz w:val="22"/>
                <w:szCs w:val="22"/>
                <w:vertAlign w:val="superscript"/>
              </w:rPr>
              <w:t>-3</w:t>
            </w:r>
          </w:p>
        </w:tc>
        <w:tc>
          <w:tcPr>
            <w:tcW w:w="754" w:type="pct"/>
            <w:vAlign w:val="center"/>
          </w:tcPr>
          <w:p w14:paraId="55FA70CA"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0.149±6.5E</w:t>
            </w:r>
            <w:r w:rsidRPr="005E2A05">
              <w:rPr>
                <w:sz w:val="22"/>
                <w:szCs w:val="22"/>
                <w:vertAlign w:val="superscript"/>
              </w:rPr>
              <w:t>-4</w:t>
            </w:r>
          </w:p>
        </w:tc>
        <w:tc>
          <w:tcPr>
            <w:tcW w:w="820" w:type="pct"/>
            <w:vAlign w:val="center"/>
          </w:tcPr>
          <w:p w14:paraId="03C5D6A5"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5E2A05">
              <w:rPr>
                <w:color w:val="000000" w:themeColor="text1"/>
                <w:sz w:val="22"/>
                <w:szCs w:val="22"/>
              </w:rPr>
              <w:t>0.579±8.1E</w:t>
            </w:r>
            <w:r w:rsidRPr="005E2A05">
              <w:rPr>
                <w:color w:val="000000" w:themeColor="text1"/>
                <w:sz w:val="22"/>
                <w:szCs w:val="22"/>
                <w:vertAlign w:val="superscript"/>
              </w:rPr>
              <w:t>-4</w:t>
            </w:r>
          </w:p>
        </w:tc>
        <w:tc>
          <w:tcPr>
            <w:tcW w:w="821" w:type="pct"/>
            <w:vAlign w:val="center"/>
          </w:tcPr>
          <w:p w14:paraId="57C82293"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0.092± 2.4E</w:t>
            </w:r>
            <w:r w:rsidRPr="005E2A05">
              <w:rPr>
                <w:sz w:val="22"/>
                <w:szCs w:val="22"/>
                <w:vertAlign w:val="superscript"/>
              </w:rPr>
              <w:t>-3</w:t>
            </w:r>
          </w:p>
        </w:tc>
      </w:tr>
      <w:tr w:rsidR="00DF6223" w:rsidRPr="005E2A05" w14:paraId="59F44E85" w14:textId="77777777" w:rsidTr="00395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pct"/>
            <w:tcBorders>
              <w:top w:val="none" w:sz="0" w:space="0" w:color="auto"/>
              <w:bottom w:val="none" w:sz="0" w:space="0" w:color="auto"/>
            </w:tcBorders>
            <w:vAlign w:val="center"/>
          </w:tcPr>
          <w:p w14:paraId="316CD3CA" w14:textId="77777777" w:rsidR="00E75F9A" w:rsidRPr="005E2A05" w:rsidRDefault="00E75F9A" w:rsidP="005E2A05">
            <w:pPr>
              <w:spacing w:line="360" w:lineRule="auto"/>
              <w:jc w:val="center"/>
              <w:rPr>
                <w:sz w:val="22"/>
                <w:szCs w:val="22"/>
              </w:rPr>
            </w:pPr>
            <w:r w:rsidRPr="005E2A05">
              <w:rPr>
                <w:i/>
                <w:sz w:val="22"/>
                <w:szCs w:val="22"/>
              </w:rPr>
              <w:t>Tenualosa ilisha</w:t>
            </w:r>
          </w:p>
        </w:tc>
        <w:tc>
          <w:tcPr>
            <w:tcW w:w="834" w:type="pct"/>
            <w:tcBorders>
              <w:top w:val="none" w:sz="0" w:space="0" w:color="auto"/>
              <w:bottom w:val="none" w:sz="0" w:space="0" w:color="auto"/>
            </w:tcBorders>
            <w:vAlign w:val="center"/>
          </w:tcPr>
          <w:p w14:paraId="3705B4C4"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E2A05">
              <w:rPr>
                <w:sz w:val="22"/>
                <w:szCs w:val="22"/>
              </w:rPr>
              <w:t>0.099± 1.5E</w:t>
            </w:r>
            <w:r w:rsidRPr="005E2A05">
              <w:rPr>
                <w:sz w:val="22"/>
                <w:szCs w:val="22"/>
                <w:vertAlign w:val="superscript"/>
              </w:rPr>
              <w:t>-3</w:t>
            </w:r>
          </w:p>
        </w:tc>
        <w:tc>
          <w:tcPr>
            <w:tcW w:w="824" w:type="pct"/>
            <w:tcBorders>
              <w:top w:val="none" w:sz="0" w:space="0" w:color="auto"/>
              <w:bottom w:val="none" w:sz="0" w:space="0" w:color="auto"/>
            </w:tcBorders>
            <w:vAlign w:val="center"/>
          </w:tcPr>
          <w:p w14:paraId="70F48882"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E2A05">
              <w:rPr>
                <w:sz w:val="22"/>
                <w:szCs w:val="22"/>
              </w:rPr>
              <w:t>0.477± 5E</w:t>
            </w:r>
            <w:r w:rsidRPr="005E2A05">
              <w:rPr>
                <w:sz w:val="22"/>
                <w:szCs w:val="22"/>
                <w:vertAlign w:val="superscript"/>
              </w:rPr>
              <w:t>-5</w:t>
            </w:r>
          </w:p>
        </w:tc>
        <w:tc>
          <w:tcPr>
            <w:tcW w:w="754" w:type="pct"/>
            <w:tcBorders>
              <w:top w:val="none" w:sz="0" w:space="0" w:color="auto"/>
              <w:bottom w:val="none" w:sz="0" w:space="0" w:color="auto"/>
            </w:tcBorders>
            <w:vAlign w:val="center"/>
          </w:tcPr>
          <w:p w14:paraId="7025E41A"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E2A05">
              <w:rPr>
                <w:sz w:val="22"/>
                <w:szCs w:val="22"/>
              </w:rPr>
              <w:t>0.159± 1.5E</w:t>
            </w:r>
            <w:r w:rsidRPr="005E2A05">
              <w:rPr>
                <w:sz w:val="22"/>
                <w:szCs w:val="22"/>
                <w:vertAlign w:val="superscript"/>
              </w:rPr>
              <w:t>-5</w:t>
            </w:r>
          </w:p>
        </w:tc>
        <w:tc>
          <w:tcPr>
            <w:tcW w:w="820" w:type="pct"/>
            <w:tcBorders>
              <w:top w:val="none" w:sz="0" w:space="0" w:color="auto"/>
              <w:bottom w:val="none" w:sz="0" w:space="0" w:color="auto"/>
            </w:tcBorders>
            <w:vAlign w:val="center"/>
          </w:tcPr>
          <w:p w14:paraId="78ACA377"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E2A05">
              <w:rPr>
                <w:color w:val="000000" w:themeColor="text1"/>
                <w:sz w:val="22"/>
                <w:szCs w:val="22"/>
              </w:rPr>
              <w:t>0.766± 3.5E</w:t>
            </w:r>
            <w:r w:rsidRPr="005E2A05">
              <w:rPr>
                <w:color w:val="000000" w:themeColor="text1"/>
                <w:sz w:val="22"/>
                <w:szCs w:val="22"/>
                <w:vertAlign w:val="superscript"/>
              </w:rPr>
              <w:t>-5</w:t>
            </w:r>
          </w:p>
        </w:tc>
        <w:tc>
          <w:tcPr>
            <w:tcW w:w="821" w:type="pct"/>
            <w:tcBorders>
              <w:top w:val="none" w:sz="0" w:space="0" w:color="auto"/>
              <w:bottom w:val="none" w:sz="0" w:space="0" w:color="auto"/>
            </w:tcBorders>
            <w:vAlign w:val="center"/>
          </w:tcPr>
          <w:p w14:paraId="12080D56"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5E2A05">
              <w:rPr>
                <w:sz w:val="22"/>
                <w:szCs w:val="22"/>
              </w:rPr>
              <w:t>0.101± 4E</w:t>
            </w:r>
            <w:r w:rsidRPr="005E2A05">
              <w:rPr>
                <w:sz w:val="22"/>
                <w:szCs w:val="22"/>
                <w:vertAlign w:val="superscript"/>
              </w:rPr>
              <w:t>-4</w:t>
            </w:r>
          </w:p>
        </w:tc>
      </w:tr>
      <w:tr w:rsidR="005E2A05" w:rsidRPr="005E2A05" w14:paraId="4299B0CE" w14:textId="77777777" w:rsidTr="0039519D">
        <w:tc>
          <w:tcPr>
            <w:cnfStyle w:val="001000000000" w:firstRow="0" w:lastRow="0" w:firstColumn="1" w:lastColumn="0" w:oddVBand="0" w:evenVBand="0" w:oddHBand="0" w:evenHBand="0" w:firstRowFirstColumn="0" w:firstRowLastColumn="0" w:lastRowFirstColumn="0" w:lastRowLastColumn="0"/>
            <w:tcW w:w="947" w:type="pct"/>
            <w:tcBorders>
              <w:bottom w:val="single" w:sz="18" w:space="0" w:color="auto"/>
            </w:tcBorders>
            <w:vAlign w:val="center"/>
          </w:tcPr>
          <w:p w14:paraId="0C751997" w14:textId="77777777" w:rsidR="00E75F9A" w:rsidRPr="005E2A05" w:rsidRDefault="00E75F9A" w:rsidP="005E2A05">
            <w:pPr>
              <w:spacing w:line="360" w:lineRule="auto"/>
              <w:jc w:val="center"/>
              <w:rPr>
                <w:sz w:val="22"/>
                <w:szCs w:val="22"/>
              </w:rPr>
            </w:pPr>
            <w:r w:rsidRPr="005E2A05">
              <w:rPr>
                <w:i/>
                <w:iCs/>
                <w:sz w:val="22"/>
                <w:szCs w:val="22"/>
              </w:rPr>
              <w:t>Lates calcarifer</w:t>
            </w:r>
          </w:p>
        </w:tc>
        <w:tc>
          <w:tcPr>
            <w:tcW w:w="834" w:type="pct"/>
            <w:tcBorders>
              <w:bottom w:val="single" w:sz="18" w:space="0" w:color="auto"/>
            </w:tcBorders>
            <w:vAlign w:val="center"/>
          </w:tcPr>
          <w:p w14:paraId="03635E19"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0.0073 ± 3E</w:t>
            </w:r>
            <w:r w:rsidRPr="005E2A05">
              <w:rPr>
                <w:sz w:val="22"/>
                <w:szCs w:val="22"/>
                <w:vertAlign w:val="superscript"/>
              </w:rPr>
              <w:t>-5</w:t>
            </w:r>
          </w:p>
        </w:tc>
        <w:tc>
          <w:tcPr>
            <w:tcW w:w="824" w:type="pct"/>
            <w:tcBorders>
              <w:bottom w:val="single" w:sz="18" w:space="0" w:color="auto"/>
            </w:tcBorders>
            <w:vAlign w:val="center"/>
          </w:tcPr>
          <w:p w14:paraId="161D86F4"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0.075± 2.1E</w:t>
            </w:r>
            <w:r w:rsidRPr="005E2A05">
              <w:rPr>
                <w:sz w:val="22"/>
                <w:szCs w:val="22"/>
                <w:vertAlign w:val="superscript"/>
              </w:rPr>
              <w:t>-5</w:t>
            </w:r>
          </w:p>
        </w:tc>
        <w:tc>
          <w:tcPr>
            <w:tcW w:w="754" w:type="pct"/>
            <w:tcBorders>
              <w:bottom w:val="single" w:sz="18" w:space="0" w:color="auto"/>
            </w:tcBorders>
            <w:vAlign w:val="center"/>
          </w:tcPr>
          <w:p w14:paraId="05CEF604"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w:t>
            </w:r>
          </w:p>
        </w:tc>
        <w:tc>
          <w:tcPr>
            <w:tcW w:w="820" w:type="pct"/>
            <w:tcBorders>
              <w:bottom w:val="single" w:sz="18" w:space="0" w:color="auto"/>
            </w:tcBorders>
            <w:vAlign w:val="center"/>
          </w:tcPr>
          <w:p w14:paraId="6FC0B3D8"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0.039± 1E</w:t>
            </w:r>
            <w:r w:rsidRPr="005E2A05">
              <w:rPr>
                <w:sz w:val="22"/>
                <w:szCs w:val="22"/>
                <w:vertAlign w:val="superscript"/>
              </w:rPr>
              <w:t>-5</w:t>
            </w:r>
          </w:p>
        </w:tc>
        <w:tc>
          <w:tcPr>
            <w:tcW w:w="821" w:type="pct"/>
            <w:tcBorders>
              <w:bottom w:val="single" w:sz="18" w:space="0" w:color="auto"/>
            </w:tcBorders>
            <w:vAlign w:val="center"/>
          </w:tcPr>
          <w:p w14:paraId="4EC04EBE" w14:textId="77777777" w:rsidR="00E75F9A" w:rsidRPr="005E2A05" w:rsidRDefault="00E75F9A" w:rsidP="005E2A05">
            <w:pPr>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5E2A05">
              <w:rPr>
                <w:sz w:val="22"/>
                <w:szCs w:val="22"/>
              </w:rPr>
              <w:t>0.013± 6.6E</w:t>
            </w:r>
            <w:r w:rsidRPr="005E2A05">
              <w:rPr>
                <w:sz w:val="22"/>
                <w:szCs w:val="22"/>
                <w:vertAlign w:val="superscript"/>
              </w:rPr>
              <w:t>-5</w:t>
            </w:r>
          </w:p>
        </w:tc>
      </w:tr>
      <w:tr w:rsidR="005E2A05" w:rsidRPr="005E2A05" w14:paraId="23A4D463" w14:textId="77777777" w:rsidTr="00395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pct"/>
            <w:tcBorders>
              <w:top w:val="single" w:sz="18" w:space="0" w:color="auto"/>
              <w:bottom w:val="single" w:sz="18" w:space="0" w:color="auto"/>
            </w:tcBorders>
            <w:vAlign w:val="center"/>
          </w:tcPr>
          <w:p w14:paraId="1D20AA40" w14:textId="77777777" w:rsidR="00E75F9A" w:rsidRPr="005E2A05" w:rsidRDefault="00E75F9A" w:rsidP="005E2A05">
            <w:pPr>
              <w:spacing w:line="360" w:lineRule="auto"/>
              <w:jc w:val="center"/>
              <w:rPr>
                <w:b w:val="0"/>
                <w:sz w:val="22"/>
                <w:szCs w:val="22"/>
              </w:rPr>
            </w:pPr>
            <w:r w:rsidRPr="005E2A05">
              <w:rPr>
                <w:sz w:val="22"/>
                <w:szCs w:val="22"/>
              </w:rPr>
              <w:t>MAC</w:t>
            </w:r>
          </w:p>
        </w:tc>
        <w:tc>
          <w:tcPr>
            <w:tcW w:w="834" w:type="pct"/>
            <w:tcBorders>
              <w:top w:val="single" w:sz="18" w:space="0" w:color="auto"/>
              <w:bottom w:val="single" w:sz="18" w:space="0" w:color="auto"/>
            </w:tcBorders>
            <w:vAlign w:val="center"/>
          </w:tcPr>
          <w:p w14:paraId="093023CF"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2A05">
              <w:rPr>
                <w:b/>
                <w:sz w:val="22"/>
                <w:szCs w:val="22"/>
              </w:rPr>
              <w:t>0.1 FAO/WHO (2002)</w:t>
            </w:r>
          </w:p>
        </w:tc>
        <w:tc>
          <w:tcPr>
            <w:tcW w:w="824" w:type="pct"/>
            <w:tcBorders>
              <w:top w:val="single" w:sz="18" w:space="0" w:color="auto"/>
              <w:bottom w:val="single" w:sz="18" w:space="0" w:color="auto"/>
            </w:tcBorders>
            <w:vAlign w:val="center"/>
          </w:tcPr>
          <w:p w14:paraId="16DA656A"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2A05">
              <w:rPr>
                <w:b/>
                <w:sz w:val="22"/>
                <w:szCs w:val="22"/>
              </w:rPr>
              <w:t>1.0 FAO/WHO (2002)</w:t>
            </w:r>
          </w:p>
        </w:tc>
        <w:tc>
          <w:tcPr>
            <w:tcW w:w="754" w:type="pct"/>
            <w:tcBorders>
              <w:top w:val="single" w:sz="18" w:space="0" w:color="auto"/>
              <w:bottom w:val="single" w:sz="18" w:space="0" w:color="auto"/>
            </w:tcBorders>
            <w:vAlign w:val="center"/>
          </w:tcPr>
          <w:p w14:paraId="5371433C"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2A05">
              <w:rPr>
                <w:b/>
                <w:sz w:val="22"/>
                <w:szCs w:val="22"/>
              </w:rPr>
              <w:t>0.8 FAO/ WHO (2002)</w:t>
            </w:r>
          </w:p>
        </w:tc>
        <w:tc>
          <w:tcPr>
            <w:tcW w:w="820" w:type="pct"/>
            <w:tcBorders>
              <w:top w:val="single" w:sz="18" w:space="0" w:color="auto"/>
              <w:bottom w:val="single" w:sz="18" w:space="0" w:color="auto"/>
            </w:tcBorders>
            <w:vAlign w:val="center"/>
          </w:tcPr>
          <w:p w14:paraId="3B2D49B0"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2A05">
              <w:rPr>
                <w:b/>
                <w:sz w:val="22"/>
                <w:szCs w:val="22"/>
              </w:rPr>
              <w:t>0.3 FAO/ WHO (2002)</w:t>
            </w:r>
          </w:p>
        </w:tc>
        <w:tc>
          <w:tcPr>
            <w:tcW w:w="821" w:type="pct"/>
            <w:tcBorders>
              <w:top w:val="single" w:sz="18" w:space="0" w:color="auto"/>
              <w:bottom w:val="single" w:sz="18" w:space="0" w:color="auto"/>
            </w:tcBorders>
            <w:vAlign w:val="center"/>
          </w:tcPr>
          <w:p w14:paraId="5370A633" w14:textId="77777777" w:rsidR="00E75F9A" w:rsidRPr="005E2A05" w:rsidRDefault="00E75F9A" w:rsidP="005E2A05">
            <w:pPr>
              <w:spacing w:line="360"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5E2A05">
              <w:rPr>
                <w:b/>
                <w:sz w:val="22"/>
                <w:szCs w:val="22"/>
              </w:rPr>
              <w:t>1.0 FAO/ WHO (2002)</w:t>
            </w:r>
            <w:commentRangeEnd w:id="16"/>
            <w:r w:rsidR="0039519D" w:rsidRPr="005E2A05">
              <w:rPr>
                <w:rStyle w:val="Marquedecommentaire"/>
                <w:b/>
                <w:sz w:val="22"/>
                <w:szCs w:val="22"/>
              </w:rPr>
              <w:commentReference w:id="16"/>
            </w:r>
          </w:p>
        </w:tc>
      </w:tr>
    </w:tbl>
    <w:p w14:paraId="057495FC" w14:textId="77777777" w:rsidR="00E75F9A" w:rsidRPr="00E75F9A" w:rsidRDefault="00E75F9A" w:rsidP="00E75F9A">
      <w:pPr>
        <w:spacing w:line="360" w:lineRule="auto"/>
        <w:jc w:val="both"/>
        <w:rPr>
          <w:b/>
        </w:rPr>
      </w:pPr>
      <w:r w:rsidRPr="00E10DEB">
        <w:rPr>
          <w:b/>
        </w:rPr>
        <w:t>Table 1:</w:t>
      </w:r>
      <w:r w:rsidRPr="00E10DEB">
        <w:t xml:space="preserve"> Concentration (mg/kg fresh weight) of heavy metals in the </w:t>
      </w:r>
      <w:r>
        <w:t xml:space="preserve">studied </w:t>
      </w:r>
      <w:r w:rsidRPr="00E10DEB">
        <w:t>fish species</w:t>
      </w:r>
    </w:p>
    <w:p w14:paraId="64AAAAFA" w14:textId="77777777" w:rsidR="003445A8" w:rsidRDefault="003445A8" w:rsidP="00617C36">
      <w:pPr>
        <w:tabs>
          <w:tab w:val="left" w:pos="1920"/>
        </w:tabs>
        <w:rPr>
          <w:b/>
        </w:rPr>
      </w:pPr>
    </w:p>
    <w:p w14:paraId="026E2F23" w14:textId="77777777" w:rsidR="003445A8" w:rsidRPr="003445A8" w:rsidRDefault="003445A8" w:rsidP="003445A8">
      <w:pPr>
        <w:jc w:val="both"/>
        <w:rPr>
          <w:rStyle w:val="lev"/>
          <w:b w:val="0"/>
          <w:color w:val="404040"/>
          <w:sz w:val="22"/>
          <w:szCs w:val="20"/>
        </w:rPr>
      </w:pPr>
      <w:r w:rsidRPr="003445A8">
        <w:rPr>
          <w:b/>
          <w:sz w:val="22"/>
          <w:szCs w:val="20"/>
        </w:rPr>
        <w:t>*MAC: maximum allowable concentration</w:t>
      </w:r>
    </w:p>
    <w:p w14:paraId="5812FDEC" w14:textId="77777777" w:rsidR="00617C36" w:rsidRDefault="00617C36" w:rsidP="00617C36">
      <w:pPr>
        <w:spacing w:line="360" w:lineRule="auto"/>
        <w:jc w:val="both"/>
      </w:pPr>
      <w:r>
        <w:t xml:space="preserve">Among the metals analyzed, cadmium (Cd) and lead (Pb) concentrations were of particular concern. </w:t>
      </w:r>
      <w:r>
        <w:rPr>
          <w:rStyle w:val="Accentuation"/>
        </w:rPr>
        <w:t>Tenualosa ilisha</w:t>
      </w:r>
      <w:r>
        <w:t xml:space="preserve"> exhibited the highest levels of cadmium (0.099 mg/kg) and lead (0.766 mg/kg)</w:t>
      </w:r>
      <w:r w:rsidR="00516BB4">
        <w:t xml:space="preserve"> (Figure 1)</w:t>
      </w:r>
      <w:r>
        <w:t xml:space="preserve">, nearing the maximum allowable concentrations (MAC) of 0.1 mg/kg for Cd and 0.3 mg/kg for Pb, suggesting a significant accumulation of these toxic metals in this species. The highest recorded mean lead (Pb) concentration in </w:t>
      </w:r>
      <w:r>
        <w:rPr>
          <w:rStyle w:val="Accentuation"/>
        </w:rPr>
        <w:t>Bagarius bagarius</w:t>
      </w:r>
      <w:r>
        <w:t xml:space="preserve"> was 1.87 mg/kg at the Dhaleshwari River, Bangladesh</w:t>
      </w:r>
      <w:r w:rsidR="0079566C">
        <w:t xml:space="preserve"> </w:t>
      </w:r>
      <w:r w:rsidR="0079566C">
        <w:rPr>
          <w:rFonts w:ascii="MS Gothic" w:hAnsi="MS Gothic" w:cs="MS Gothic"/>
        </w:rPr>
        <w:t>(</w:t>
      </w:r>
      <w:r w:rsidR="0079566C">
        <w:rPr>
          <w:color w:val="222222"/>
          <w:shd w:val="clear" w:color="auto" w:fill="FFFFFF"/>
        </w:rPr>
        <w:t xml:space="preserve">Sobihah </w:t>
      </w:r>
      <w:r w:rsidR="0079566C" w:rsidRPr="0079566C">
        <w:rPr>
          <w:i/>
          <w:color w:val="222222"/>
          <w:shd w:val="clear" w:color="auto" w:fill="FFFFFF"/>
        </w:rPr>
        <w:t>et al.,</w:t>
      </w:r>
      <w:r w:rsidR="0079566C">
        <w:rPr>
          <w:color w:val="222222"/>
          <w:shd w:val="clear" w:color="auto" w:fill="FFFFFF"/>
        </w:rPr>
        <w:t xml:space="preserve"> 2018)</w:t>
      </w:r>
      <w:r>
        <w:t xml:space="preserve">. Similarly, significant Pb levels were found in </w:t>
      </w:r>
      <w:r>
        <w:rPr>
          <w:rStyle w:val="Accentuation"/>
        </w:rPr>
        <w:t>Parse</w:t>
      </w:r>
      <w:r>
        <w:t xml:space="preserve">, </w:t>
      </w:r>
      <w:r>
        <w:rPr>
          <w:rStyle w:val="Accentuation"/>
        </w:rPr>
        <w:t>Ilish</w:t>
      </w:r>
      <w:r>
        <w:t xml:space="preserve">, </w:t>
      </w:r>
      <w:r>
        <w:rPr>
          <w:rStyle w:val="Accentuation"/>
        </w:rPr>
        <w:t>Rupchanda</w:t>
      </w:r>
      <w:r>
        <w:t xml:space="preserve">, and </w:t>
      </w:r>
      <w:r>
        <w:rPr>
          <w:rStyle w:val="Accentuation"/>
        </w:rPr>
        <w:t>Tuna</w:t>
      </w:r>
      <w:r>
        <w:t xml:space="preserve"> from Jashore and Khulna districts, supporting our findings</w:t>
      </w:r>
      <w:r w:rsidR="0079566C">
        <w:rPr>
          <w:rFonts w:ascii="MS Gothic" w:hAnsi="MS Gothic" w:cs="MS Gothic"/>
        </w:rPr>
        <w:t xml:space="preserve"> </w:t>
      </w:r>
      <w:r w:rsidR="0079566C" w:rsidRPr="0079566C">
        <w:t xml:space="preserve">(Ahmed </w:t>
      </w:r>
      <w:r w:rsidR="0079566C" w:rsidRPr="0079566C">
        <w:rPr>
          <w:i/>
        </w:rPr>
        <w:t>et al.,</w:t>
      </w:r>
      <w:r w:rsidR="0079566C" w:rsidRPr="0079566C">
        <w:t xml:space="preserve"> 2019</w:t>
      </w:r>
      <w:r w:rsidR="0079566C">
        <w:rPr>
          <w:rFonts w:ascii="MS Gothic" w:hAnsi="MS Gothic" w:cs="MS Gothic"/>
        </w:rPr>
        <w:t>)</w:t>
      </w:r>
      <w:r w:rsidR="001D60B3">
        <w:t xml:space="preserve">. Shorna </w:t>
      </w:r>
      <w:r w:rsidR="001D60B3" w:rsidRPr="00450D5A">
        <w:rPr>
          <w:i/>
        </w:rPr>
        <w:t>et al.</w:t>
      </w:r>
      <w:r w:rsidR="001D60B3">
        <w:t xml:space="preserve"> (2021) found cadmium (Cd) levels of &lt; 2.0E−03 to 5.0E−03 mg/kg in fish from the Brahmaputra River, while Ali </w:t>
      </w:r>
      <w:r w:rsidR="001D60B3" w:rsidRPr="0079566C">
        <w:rPr>
          <w:i/>
        </w:rPr>
        <w:t>et al.</w:t>
      </w:r>
      <w:r w:rsidR="001D60B3">
        <w:t xml:space="preserve"> (2020) reported 0.41–0.52 mg/kg in fish from the Karnaphuli River, Bangladesh.</w:t>
      </w:r>
    </w:p>
    <w:p w14:paraId="6BA42704" w14:textId="77777777" w:rsidR="00FE5AB1" w:rsidRDefault="00617C36" w:rsidP="00FE5AB1">
      <w:pPr>
        <w:spacing w:line="360" w:lineRule="auto"/>
        <w:jc w:val="both"/>
      </w:pPr>
      <w:r>
        <w:t xml:space="preserve">Chromium (Cr) levels in </w:t>
      </w:r>
      <w:r>
        <w:rPr>
          <w:rStyle w:val="Accentuation"/>
        </w:rPr>
        <w:t>Tenualosa ilisha</w:t>
      </w:r>
      <w:r>
        <w:t xml:space="preserve"> also reached 0.101 mg/kg, approaching the MAC of 1.0 mg/kg. </w:t>
      </w:r>
      <w:r w:rsidR="00434D84">
        <w:t xml:space="preserve">The muscle of </w:t>
      </w:r>
      <w:r w:rsidR="00434D84">
        <w:rPr>
          <w:rStyle w:val="Accentuation"/>
        </w:rPr>
        <w:t>Chelon subviridis</w:t>
      </w:r>
      <w:r w:rsidR="00434D84">
        <w:t xml:space="preserve"> was found to have the lowest concentration of chromium (Cr), with a value of 0.032 ± 0.003 mg/kg (wet weight) (Lipy </w:t>
      </w:r>
      <w:r w:rsidR="00434D84" w:rsidRPr="00434D84">
        <w:rPr>
          <w:i/>
        </w:rPr>
        <w:t>et al</w:t>
      </w:r>
      <w:r w:rsidR="00434D84">
        <w:t xml:space="preserve">., 2025). </w:t>
      </w:r>
      <w:r>
        <w:t xml:space="preserve">According to </w:t>
      </w:r>
      <w:r w:rsidR="0079566C">
        <w:rPr>
          <w:b/>
        </w:rPr>
        <w:t>(</w:t>
      </w:r>
      <w:r w:rsidR="0079566C" w:rsidRPr="006911D2">
        <w:rPr>
          <w:color w:val="222222"/>
          <w:shd w:val="clear" w:color="auto" w:fill="FFFFFF"/>
        </w:rPr>
        <w:t>Biswas</w:t>
      </w:r>
      <w:r w:rsidR="0079566C">
        <w:rPr>
          <w:color w:val="222222"/>
          <w:shd w:val="clear" w:color="auto" w:fill="FFFFFF"/>
        </w:rPr>
        <w:t xml:space="preserve"> </w:t>
      </w:r>
      <w:r w:rsidR="0079566C" w:rsidRPr="0079566C">
        <w:rPr>
          <w:i/>
          <w:color w:val="222222"/>
          <w:shd w:val="clear" w:color="auto" w:fill="FFFFFF"/>
        </w:rPr>
        <w:t>et al.,</w:t>
      </w:r>
      <w:r w:rsidR="0079566C">
        <w:rPr>
          <w:color w:val="222222"/>
          <w:shd w:val="clear" w:color="auto" w:fill="FFFFFF"/>
        </w:rPr>
        <w:t xml:space="preserve"> 2023)</w:t>
      </w:r>
      <w:r w:rsidRPr="00617C36">
        <w:rPr>
          <w:b/>
        </w:rPr>
        <w:t>,</w:t>
      </w:r>
      <w:r>
        <w:t xml:space="preserve"> Tuna fish in the Jashore and Khulna districts, Bangladesh, contain slightly higher amounts of As, Cr, and Pb. </w:t>
      </w:r>
      <w:r w:rsidR="00FE5AB1">
        <w:t xml:space="preserve">Manganese is a naturally occurring trace element that can enter water through runoff from agricultural and anthropogenic effluents (Rakib </w:t>
      </w:r>
      <w:r w:rsidR="00FE5AB1" w:rsidRPr="00DC25CC">
        <w:rPr>
          <w:i/>
        </w:rPr>
        <w:t>et al.,</w:t>
      </w:r>
      <w:r w:rsidR="00FE5AB1">
        <w:t xml:space="preserve"> 2021). In this study </w:t>
      </w:r>
      <w:r>
        <w:t>Manganese (Mn) and nickel (Ni) concentrations were generally lower, with all species</w:t>
      </w:r>
      <w:r w:rsidR="00E75F9A">
        <w:t xml:space="preserve"> </w:t>
      </w:r>
      <w:r w:rsidR="00434D84">
        <w:t>(</w:t>
      </w:r>
      <w:r w:rsidR="00434D84" w:rsidRPr="00E75F9A">
        <w:rPr>
          <w:b/>
        </w:rPr>
        <w:t>Figure 1</w:t>
      </w:r>
      <w:r w:rsidR="00434D84">
        <w:t>)</w:t>
      </w:r>
      <w:r>
        <w:t xml:space="preserve"> falling well within the MAC limits of 1.0 mg</w:t>
      </w:r>
      <w:r w:rsidR="00434D84">
        <w:t xml:space="preserve">/kg for Mn and 0.8 mg/kg for Ni. </w:t>
      </w:r>
      <w:r w:rsidR="00FE5AB1">
        <w:t xml:space="preserve"> Tahity </w:t>
      </w:r>
      <w:r w:rsidR="00FE5AB1" w:rsidRPr="00DC25CC">
        <w:rPr>
          <w:i/>
        </w:rPr>
        <w:t>et al.</w:t>
      </w:r>
      <w:r w:rsidR="00FE5AB1">
        <w:t xml:space="preserve"> (2022) </w:t>
      </w:r>
      <w:r w:rsidR="00FE5AB1">
        <w:lastRenderedPageBreak/>
        <w:t>observed lower manganese (Mn) content, ranging from 0.12 to 0.72 mg/kg, in Barramundi fish collected from the Meghna River.</w:t>
      </w:r>
      <w:r w:rsidR="00DC25CC">
        <w:t xml:space="preserve"> Nickel (Ni) concentration was observed to vary between 0.07 and 12.18 mg/kg in fish samples (</w:t>
      </w:r>
      <w:r w:rsidR="00DC25CC">
        <w:rPr>
          <w:rStyle w:val="Accentuation"/>
        </w:rPr>
        <w:t>Channa punctatus</w:t>
      </w:r>
      <w:r w:rsidR="00DC25CC">
        <w:t xml:space="preserve">, </w:t>
      </w:r>
      <w:r w:rsidR="00DC25CC">
        <w:rPr>
          <w:rStyle w:val="Accentuation"/>
        </w:rPr>
        <w:t>Heteropneustes fossilis</w:t>
      </w:r>
      <w:r w:rsidR="00DC25CC">
        <w:t xml:space="preserve">, and </w:t>
      </w:r>
      <w:r w:rsidR="00DC25CC">
        <w:rPr>
          <w:rStyle w:val="Accentuation"/>
        </w:rPr>
        <w:t>Channa striata</w:t>
      </w:r>
      <w:r w:rsidR="00DC25CC">
        <w:t>) collected from the Buriganga and Turag Rivers, Bangladesh (</w:t>
      </w:r>
      <w:r w:rsidR="00DC25CC" w:rsidRPr="00DC25CC">
        <w:t>Hossain</w:t>
      </w:r>
      <w:r w:rsidR="00DC25CC">
        <w:t xml:space="preserve"> </w:t>
      </w:r>
      <w:r w:rsidR="00DC25CC" w:rsidRPr="00DC25CC">
        <w:rPr>
          <w:i/>
        </w:rPr>
        <w:t>et al.,</w:t>
      </w:r>
      <w:r w:rsidR="00DC25CC">
        <w:t xml:space="preserve"> 2021).</w:t>
      </w:r>
    </w:p>
    <w:p w14:paraId="21ACB067" w14:textId="77777777" w:rsidR="00EE6487" w:rsidRDefault="00FE5AB1" w:rsidP="00E75F9A">
      <w:pPr>
        <w:spacing w:line="360" w:lineRule="auto"/>
        <w:jc w:val="both"/>
      </w:pPr>
      <w:r>
        <w:t xml:space="preserve">   </w:t>
      </w:r>
    </w:p>
    <w:p w14:paraId="611BFFCD" w14:textId="77777777" w:rsidR="00EE6487" w:rsidRDefault="00EE6487" w:rsidP="00E75F9A">
      <w:pPr>
        <w:spacing w:line="360" w:lineRule="auto"/>
        <w:jc w:val="both"/>
      </w:pPr>
    </w:p>
    <w:p w14:paraId="1DA6066D" w14:textId="77777777" w:rsidR="00EE6487" w:rsidRDefault="00EE6487" w:rsidP="00E75F9A">
      <w:pPr>
        <w:spacing w:line="360" w:lineRule="auto"/>
        <w:jc w:val="both"/>
      </w:pPr>
    </w:p>
    <w:p w14:paraId="1379C4F5" w14:textId="5933E154" w:rsidR="00E75F9A" w:rsidRDefault="00EE6487" w:rsidP="00E75F9A">
      <w:pPr>
        <w:spacing w:line="360" w:lineRule="auto"/>
        <w:jc w:val="both"/>
      </w:pPr>
      <w:commentRangeStart w:id="19"/>
      <w:r>
        <w:t>xxxx</w:t>
      </w:r>
      <w:r w:rsidR="00FE5AB1">
        <w:t xml:space="preserve">     </w:t>
      </w:r>
      <w:commentRangeEnd w:id="19"/>
      <w:r>
        <w:rPr>
          <w:rStyle w:val="Marquedecommentaire"/>
          <w:sz w:val="24"/>
          <w:szCs w:val="24"/>
        </w:rPr>
        <w:commentReference w:id="19"/>
      </w:r>
      <w:r w:rsidR="00FE5AB1">
        <w:t xml:space="preserve">             </w:t>
      </w:r>
      <w:r w:rsidR="00E75F9A">
        <w:object w:dxaOrig="6951" w:dyaOrig="4949" w14:anchorId="537C2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183pt" o:ole="">
            <v:imagedata r:id="rId10" o:title=""/>
          </v:shape>
          <o:OLEObject Type="Embed" ProgID="Prism8.Document" ShapeID="_x0000_i1025" DrawAspect="Content" ObjectID="_1839908739" r:id="rId11"/>
        </w:object>
      </w:r>
    </w:p>
    <w:p w14:paraId="4185B243" w14:textId="77777777" w:rsidR="00EE74F5" w:rsidRDefault="00FE5AB1" w:rsidP="00E75F9A">
      <w:pPr>
        <w:spacing w:line="360" w:lineRule="auto"/>
        <w:jc w:val="center"/>
      </w:pPr>
      <w:r>
        <w:t>Figure 1: Heavy metal concentraion</w:t>
      </w:r>
      <w:r w:rsidR="007A5650">
        <w:t xml:space="preserve"> </w:t>
      </w:r>
      <w:r>
        <w:t>in different fish species</w:t>
      </w:r>
    </w:p>
    <w:tbl>
      <w:tblPr>
        <w:tblStyle w:val="Tableausimple2"/>
        <w:tblpPr w:leftFromText="180" w:rightFromText="180" w:vertAnchor="page" w:horzAnchor="margin" w:tblpY="5501"/>
        <w:tblW w:w="5000" w:type="pct"/>
        <w:tblBorders>
          <w:top w:val="none" w:sz="0" w:space="0" w:color="auto"/>
          <w:bottom w:val="none" w:sz="0" w:space="0" w:color="auto"/>
        </w:tblBorders>
        <w:tblLook w:val="04A0" w:firstRow="1" w:lastRow="0" w:firstColumn="1" w:lastColumn="0" w:noHBand="0" w:noVBand="1"/>
      </w:tblPr>
      <w:tblGrid>
        <w:gridCol w:w="1775"/>
        <w:gridCol w:w="1735"/>
        <w:gridCol w:w="1258"/>
        <w:gridCol w:w="1497"/>
        <w:gridCol w:w="1732"/>
        <w:gridCol w:w="1363"/>
      </w:tblGrid>
      <w:tr w:rsidR="002F6985" w:rsidRPr="00105FA7" w14:paraId="4BAD2188" w14:textId="77777777" w:rsidTr="000E23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vMerge w:val="restart"/>
            <w:tcBorders>
              <w:top w:val="single" w:sz="18" w:space="0" w:color="auto"/>
              <w:bottom w:val="none" w:sz="0" w:space="0" w:color="auto"/>
            </w:tcBorders>
          </w:tcPr>
          <w:p w14:paraId="41148437" w14:textId="77777777" w:rsidR="002F6985" w:rsidRPr="00105FA7" w:rsidRDefault="002F6985" w:rsidP="000E238B">
            <w:pPr>
              <w:spacing w:line="360" w:lineRule="auto"/>
              <w:jc w:val="center"/>
            </w:pPr>
            <w:commentRangeStart w:id="20"/>
            <w:r w:rsidRPr="00105FA7">
              <w:t>Fish</w:t>
            </w:r>
          </w:p>
        </w:tc>
        <w:tc>
          <w:tcPr>
            <w:tcW w:w="4043" w:type="pct"/>
            <w:gridSpan w:val="5"/>
            <w:tcBorders>
              <w:top w:val="single" w:sz="18" w:space="0" w:color="auto"/>
              <w:bottom w:val="single" w:sz="18" w:space="0" w:color="auto"/>
            </w:tcBorders>
          </w:tcPr>
          <w:p w14:paraId="4B20FD95" w14:textId="77777777" w:rsidR="002F6985" w:rsidRPr="00105FA7" w:rsidRDefault="002F6985" w:rsidP="000E238B">
            <w:pPr>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105FA7">
              <w:t>Estimated daily intake (EDI) (mg/day)</w:t>
            </w:r>
          </w:p>
        </w:tc>
      </w:tr>
      <w:tr w:rsidR="002F6985" w:rsidRPr="00105FA7" w14:paraId="04DBD610" w14:textId="77777777" w:rsidTr="000E2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vMerge/>
            <w:tcBorders>
              <w:top w:val="none" w:sz="0" w:space="0" w:color="auto"/>
              <w:bottom w:val="none" w:sz="0" w:space="0" w:color="auto"/>
            </w:tcBorders>
          </w:tcPr>
          <w:p w14:paraId="4BEC4788" w14:textId="77777777" w:rsidR="002F6985" w:rsidRPr="00105FA7" w:rsidRDefault="002F6985" w:rsidP="000E238B">
            <w:pPr>
              <w:spacing w:line="360" w:lineRule="auto"/>
              <w:jc w:val="center"/>
            </w:pPr>
          </w:p>
        </w:tc>
        <w:tc>
          <w:tcPr>
            <w:tcW w:w="936" w:type="pct"/>
            <w:tcBorders>
              <w:top w:val="single" w:sz="18" w:space="0" w:color="auto"/>
              <w:bottom w:val="none" w:sz="0" w:space="0" w:color="auto"/>
            </w:tcBorders>
          </w:tcPr>
          <w:p w14:paraId="4281002D"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Cd</w:t>
            </w:r>
          </w:p>
        </w:tc>
        <w:tc>
          <w:tcPr>
            <w:tcW w:w="681" w:type="pct"/>
            <w:tcBorders>
              <w:top w:val="single" w:sz="18" w:space="0" w:color="auto"/>
              <w:bottom w:val="none" w:sz="0" w:space="0" w:color="auto"/>
            </w:tcBorders>
          </w:tcPr>
          <w:p w14:paraId="69F09B08"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Mn</w:t>
            </w:r>
          </w:p>
        </w:tc>
        <w:tc>
          <w:tcPr>
            <w:tcW w:w="808" w:type="pct"/>
            <w:tcBorders>
              <w:top w:val="single" w:sz="18" w:space="0" w:color="auto"/>
              <w:bottom w:val="none" w:sz="0" w:space="0" w:color="auto"/>
            </w:tcBorders>
          </w:tcPr>
          <w:p w14:paraId="4E787632"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Ni</w:t>
            </w:r>
          </w:p>
        </w:tc>
        <w:tc>
          <w:tcPr>
            <w:tcW w:w="934" w:type="pct"/>
            <w:tcBorders>
              <w:top w:val="single" w:sz="18" w:space="0" w:color="auto"/>
              <w:bottom w:val="none" w:sz="0" w:space="0" w:color="auto"/>
            </w:tcBorders>
          </w:tcPr>
          <w:p w14:paraId="7E5B3267"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Pb</w:t>
            </w:r>
          </w:p>
        </w:tc>
        <w:tc>
          <w:tcPr>
            <w:tcW w:w="684" w:type="pct"/>
            <w:tcBorders>
              <w:top w:val="single" w:sz="18" w:space="0" w:color="auto"/>
              <w:bottom w:val="none" w:sz="0" w:space="0" w:color="auto"/>
            </w:tcBorders>
          </w:tcPr>
          <w:p w14:paraId="0BA99C3F"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Cr</w:t>
            </w:r>
          </w:p>
        </w:tc>
      </w:tr>
      <w:tr w:rsidR="002F6985" w:rsidRPr="00105FA7" w14:paraId="6D548D6A" w14:textId="77777777" w:rsidTr="000E238B">
        <w:tc>
          <w:tcPr>
            <w:cnfStyle w:val="001000000000" w:firstRow="0" w:lastRow="0" w:firstColumn="1" w:lastColumn="0" w:oddVBand="0" w:evenVBand="0" w:oddHBand="0" w:evenHBand="0" w:firstRowFirstColumn="0" w:firstRowLastColumn="0" w:lastRowFirstColumn="0" w:lastRowLastColumn="0"/>
            <w:tcW w:w="957" w:type="pct"/>
            <w:tcBorders>
              <w:top w:val="single" w:sz="18" w:space="0" w:color="auto"/>
            </w:tcBorders>
          </w:tcPr>
          <w:p w14:paraId="00AFC7A2" w14:textId="77777777" w:rsidR="002F6985" w:rsidRPr="00105FA7" w:rsidRDefault="002F6985" w:rsidP="000E238B">
            <w:pPr>
              <w:spacing w:line="360" w:lineRule="auto"/>
              <w:jc w:val="center"/>
            </w:pPr>
            <w:r w:rsidRPr="00105FA7">
              <w:rPr>
                <w:rStyle w:val="Accentuation"/>
                <w:shd w:val="clear" w:color="auto" w:fill="FFFFFF"/>
              </w:rPr>
              <w:t>T. thynnus</w:t>
            </w:r>
          </w:p>
        </w:tc>
        <w:tc>
          <w:tcPr>
            <w:tcW w:w="936" w:type="pct"/>
            <w:tcBorders>
              <w:top w:val="single" w:sz="18" w:space="0" w:color="auto"/>
            </w:tcBorders>
          </w:tcPr>
          <w:p w14:paraId="728A3E95"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3.164E</w:t>
            </w:r>
            <w:r w:rsidRPr="00105FA7">
              <w:rPr>
                <w:vertAlign w:val="superscript"/>
              </w:rPr>
              <w:t>-5</w:t>
            </w:r>
          </w:p>
        </w:tc>
        <w:tc>
          <w:tcPr>
            <w:tcW w:w="681" w:type="pct"/>
            <w:tcBorders>
              <w:top w:val="single" w:sz="18" w:space="0" w:color="auto"/>
            </w:tcBorders>
          </w:tcPr>
          <w:p w14:paraId="3C8FC4D4"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3.480E</w:t>
            </w:r>
            <w:r w:rsidRPr="00105FA7">
              <w:rPr>
                <w:vertAlign w:val="superscript"/>
              </w:rPr>
              <w:t>-4</w:t>
            </w:r>
          </w:p>
        </w:tc>
        <w:tc>
          <w:tcPr>
            <w:tcW w:w="808" w:type="pct"/>
            <w:tcBorders>
              <w:top w:val="single" w:sz="18" w:space="0" w:color="auto"/>
            </w:tcBorders>
          </w:tcPr>
          <w:p w14:paraId="727ED134"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1.345E</w:t>
            </w:r>
            <w:r w:rsidRPr="00105FA7">
              <w:rPr>
                <w:vertAlign w:val="superscript"/>
              </w:rPr>
              <w:t>-4</w:t>
            </w:r>
          </w:p>
        </w:tc>
        <w:tc>
          <w:tcPr>
            <w:tcW w:w="934" w:type="pct"/>
            <w:tcBorders>
              <w:top w:val="single" w:sz="18" w:space="0" w:color="auto"/>
            </w:tcBorders>
          </w:tcPr>
          <w:p w14:paraId="062CB014"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5.571E</w:t>
            </w:r>
            <w:r w:rsidRPr="00105FA7">
              <w:rPr>
                <w:vertAlign w:val="superscript"/>
              </w:rPr>
              <w:t>-4</w:t>
            </w:r>
          </w:p>
        </w:tc>
        <w:tc>
          <w:tcPr>
            <w:tcW w:w="684" w:type="pct"/>
            <w:tcBorders>
              <w:top w:val="single" w:sz="18" w:space="0" w:color="auto"/>
            </w:tcBorders>
          </w:tcPr>
          <w:p w14:paraId="7B6BB03A"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7.684E</w:t>
            </w:r>
            <w:r w:rsidRPr="00105FA7">
              <w:rPr>
                <w:vertAlign w:val="superscript"/>
              </w:rPr>
              <w:t>-5</w:t>
            </w:r>
          </w:p>
        </w:tc>
      </w:tr>
      <w:tr w:rsidR="002F6985" w:rsidRPr="00105FA7" w14:paraId="53FBC4BD" w14:textId="77777777" w:rsidTr="000E2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Borders>
              <w:top w:val="none" w:sz="0" w:space="0" w:color="auto"/>
              <w:bottom w:val="none" w:sz="0" w:space="0" w:color="auto"/>
            </w:tcBorders>
          </w:tcPr>
          <w:p w14:paraId="5FC20E85" w14:textId="77777777" w:rsidR="002F6985" w:rsidRPr="00105FA7" w:rsidRDefault="002F6985" w:rsidP="000E238B">
            <w:pPr>
              <w:spacing w:line="360" w:lineRule="auto"/>
              <w:jc w:val="center"/>
            </w:pPr>
            <w:r w:rsidRPr="00105FA7">
              <w:rPr>
                <w:i/>
                <w:iCs/>
              </w:rPr>
              <w:t>P. chinensis</w:t>
            </w:r>
          </w:p>
        </w:tc>
        <w:tc>
          <w:tcPr>
            <w:tcW w:w="936" w:type="pct"/>
            <w:tcBorders>
              <w:top w:val="none" w:sz="0" w:space="0" w:color="auto"/>
              <w:bottom w:val="none" w:sz="0" w:space="0" w:color="auto"/>
            </w:tcBorders>
          </w:tcPr>
          <w:p w14:paraId="32B3FDA0"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3.616E</w:t>
            </w:r>
            <w:r w:rsidRPr="00105FA7">
              <w:rPr>
                <w:vertAlign w:val="superscript"/>
              </w:rPr>
              <w:t>-5</w:t>
            </w:r>
          </w:p>
        </w:tc>
        <w:tc>
          <w:tcPr>
            <w:tcW w:w="681" w:type="pct"/>
            <w:tcBorders>
              <w:top w:val="none" w:sz="0" w:space="0" w:color="auto"/>
              <w:bottom w:val="none" w:sz="0" w:space="0" w:color="auto"/>
            </w:tcBorders>
          </w:tcPr>
          <w:p w14:paraId="3E15BFE3"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3.503E</w:t>
            </w:r>
            <w:r w:rsidRPr="00105FA7">
              <w:rPr>
                <w:vertAlign w:val="superscript"/>
              </w:rPr>
              <w:t>-4</w:t>
            </w:r>
          </w:p>
        </w:tc>
        <w:tc>
          <w:tcPr>
            <w:tcW w:w="808" w:type="pct"/>
            <w:tcBorders>
              <w:top w:val="none" w:sz="0" w:space="0" w:color="auto"/>
              <w:bottom w:val="none" w:sz="0" w:space="0" w:color="auto"/>
            </w:tcBorders>
          </w:tcPr>
          <w:p w14:paraId="636F3C5B"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1.639E</w:t>
            </w:r>
            <w:r w:rsidRPr="00105FA7">
              <w:rPr>
                <w:vertAlign w:val="superscript"/>
              </w:rPr>
              <w:t>-4</w:t>
            </w:r>
          </w:p>
        </w:tc>
        <w:tc>
          <w:tcPr>
            <w:tcW w:w="934" w:type="pct"/>
            <w:tcBorders>
              <w:top w:val="none" w:sz="0" w:space="0" w:color="auto"/>
              <w:bottom w:val="none" w:sz="0" w:space="0" w:color="auto"/>
            </w:tcBorders>
          </w:tcPr>
          <w:p w14:paraId="3D6B678B"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6.859E</w:t>
            </w:r>
            <w:r w:rsidRPr="00105FA7">
              <w:rPr>
                <w:vertAlign w:val="superscript"/>
              </w:rPr>
              <w:t>-4</w:t>
            </w:r>
          </w:p>
        </w:tc>
        <w:tc>
          <w:tcPr>
            <w:tcW w:w="684" w:type="pct"/>
            <w:tcBorders>
              <w:top w:val="none" w:sz="0" w:space="0" w:color="auto"/>
              <w:bottom w:val="none" w:sz="0" w:space="0" w:color="auto"/>
            </w:tcBorders>
          </w:tcPr>
          <w:p w14:paraId="5C701C55"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9.605E</w:t>
            </w:r>
            <w:r w:rsidRPr="00105FA7">
              <w:rPr>
                <w:vertAlign w:val="superscript"/>
              </w:rPr>
              <w:t>-5</w:t>
            </w:r>
          </w:p>
        </w:tc>
      </w:tr>
      <w:tr w:rsidR="002F6985" w:rsidRPr="00105FA7" w14:paraId="2D552B6D" w14:textId="77777777" w:rsidTr="000E238B">
        <w:tc>
          <w:tcPr>
            <w:cnfStyle w:val="001000000000" w:firstRow="0" w:lastRow="0" w:firstColumn="1" w:lastColumn="0" w:oddVBand="0" w:evenVBand="0" w:oddHBand="0" w:evenHBand="0" w:firstRowFirstColumn="0" w:firstRowLastColumn="0" w:lastRowFirstColumn="0" w:lastRowLastColumn="0"/>
            <w:tcW w:w="957" w:type="pct"/>
          </w:tcPr>
          <w:p w14:paraId="7CB77B05" w14:textId="77777777" w:rsidR="002F6985" w:rsidRPr="00105FA7" w:rsidRDefault="002F6985" w:rsidP="000E238B">
            <w:pPr>
              <w:spacing w:line="360" w:lineRule="auto"/>
              <w:jc w:val="center"/>
            </w:pPr>
            <w:r w:rsidRPr="00105FA7">
              <w:rPr>
                <w:i/>
                <w:iCs/>
              </w:rPr>
              <w:t>C. parsia</w:t>
            </w:r>
          </w:p>
        </w:tc>
        <w:tc>
          <w:tcPr>
            <w:tcW w:w="936" w:type="pct"/>
          </w:tcPr>
          <w:p w14:paraId="25F77264"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1.921E</w:t>
            </w:r>
            <w:r w:rsidRPr="00105FA7">
              <w:rPr>
                <w:vertAlign w:val="superscript"/>
              </w:rPr>
              <w:t>-5</w:t>
            </w:r>
          </w:p>
        </w:tc>
        <w:tc>
          <w:tcPr>
            <w:tcW w:w="681" w:type="pct"/>
          </w:tcPr>
          <w:p w14:paraId="20EC3EAC"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3.627E</w:t>
            </w:r>
            <w:r w:rsidRPr="00105FA7">
              <w:rPr>
                <w:vertAlign w:val="superscript"/>
              </w:rPr>
              <w:t>-4</w:t>
            </w:r>
          </w:p>
        </w:tc>
        <w:tc>
          <w:tcPr>
            <w:tcW w:w="808" w:type="pct"/>
          </w:tcPr>
          <w:p w14:paraId="222D05E2"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1.683E</w:t>
            </w:r>
            <w:r w:rsidRPr="00105FA7">
              <w:rPr>
                <w:vertAlign w:val="superscript"/>
              </w:rPr>
              <w:t>-4</w:t>
            </w:r>
          </w:p>
        </w:tc>
        <w:tc>
          <w:tcPr>
            <w:tcW w:w="934" w:type="pct"/>
          </w:tcPr>
          <w:p w14:paraId="344767D3"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6.543E</w:t>
            </w:r>
            <w:r w:rsidRPr="00105FA7">
              <w:rPr>
                <w:vertAlign w:val="superscript"/>
              </w:rPr>
              <w:t>-4</w:t>
            </w:r>
          </w:p>
        </w:tc>
        <w:tc>
          <w:tcPr>
            <w:tcW w:w="684" w:type="pct"/>
          </w:tcPr>
          <w:p w14:paraId="3266D063"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1.039E</w:t>
            </w:r>
            <w:r w:rsidRPr="00105FA7">
              <w:rPr>
                <w:vertAlign w:val="superscript"/>
              </w:rPr>
              <w:t>-4</w:t>
            </w:r>
          </w:p>
        </w:tc>
      </w:tr>
      <w:tr w:rsidR="002F6985" w:rsidRPr="00105FA7" w14:paraId="04F74039" w14:textId="77777777" w:rsidTr="000E2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Borders>
              <w:top w:val="none" w:sz="0" w:space="0" w:color="auto"/>
              <w:bottom w:val="none" w:sz="0" w:space="0" w:color="auto"/>
            </w:tcBorders>
          </w:tcPr>
          <w:p w14:paraId="376FB6AF" w14:textId="77777777" w:rsidR="002F6985" w:rsidRPr="00105FA7" w:rsidRDefault="002F6985" w:rsidP="000E238B">
            <w:pPr>
              <w:spacing w:line="360" w:lineRule="auto"/>
              <w:jc w:val="center"/>
            </w:pPr>
            <w:r w:rsidRPr="00105FA7">
              <w:rPr>
                <w:i/>
                <w:iCs/>
              </w:rPr>
              <w:t>T. ilisha</w:t>
            </w:r>
          </w:p>
        </w:tc>
        <w:tc>
          <w:tcPr>
            <w:tcW w:w="936" w:type="pct"/>
            <w:tcBorders>
              <w:top w:val="none" w:sz="0" w:space="0" w:color="auto"/>
              <w:bottom w:val="none" w:sz="0" w:space="0" w:color="auto"/>
            </w:tcBorders>
          </w:tcPr>
          <w:p w14:paraId="53C0395B"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1.12E</w:t>
            </w:r>
            <w:r w:rsidRPr="00105FA7">
              <w:rPr>
                <w:vertAlign w:val="superscript"/>
              </w:rPr>
              <w:t>-4</w:t>
            </w:r>
          </w:p>
        </w:tc>
        <w:tc>
          <w:tcPr>
            <w:tcW w:w="681" w:type="pct"/>
            <w:tcBorders>
              <w:top w:val="none" w:sz="0" w:space="0" w:color="auto"/>
              <w:bottom w:val="none" w:sz="0" w:space="0" w:color="auto"/>
            </w:tcBorders>
          </w:tcPr>
          <w:p w14:paraId="10653379"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5.39E</w:t>
            </w:r>
            <w:r w:rsidRPr="00105FA7">
              <w:rPr>
                <w:vertAlign w:val="superscript"/>
              </w:rPr>
              <w:t>-4</w:t>
            </w:r>
          </w:p>
        </w:tc>
        <w:tc>
          <w:tcPr>
            <w:tcW w:w="808" w:type="pct"/>
            <w:tcBorders>
              <w:top w:val="none" w:sz="0" w:space="0" w:color="auto"/>
              <w:bottom w:val="none" w:sz="0" w:space="0" w:color="auto"/>
            </w:tcBorders>
          </w:tcPr>
          <w:p w14:paraId="15747383"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1.8E</w:t>
            </w:r>
            <w:r w:rsidRPr="00105FA7">
              <w:rPr>
                <w:vertAlign w:val="superscript"/>
              </w:rPr>
              <w:t>-4</w:t>
            </w:r>
          </w:p>
        </w:tc>
        <w:tc>
          <w:tcPr>
            <w:tcW w:w="934" w:type="pct"/>
            <w:tcBorders>
              <w:top w:val="none" w:sz="0" w:space="0" w:color="auto"/>
              <w:bottom w:val="none" w:sz="0" w:space="0" w:color="auto"/>
            </w:tcBorders>
          </w:tcPr>
          <w:p w14:paraId="2F80382A"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8.656E</w:t>
            </w:r>
            <w:r w:rsidRPr="00105FA7">
              <w:rPr>
                <w:vertAlign w:val="superscript"/>
              </w:rPr>
              <w:t>-4</w:t>
            </w:r>
          </w:p>
        </w:tc>
        <w:tc>
          <w:tcPr>
            <w:tcW w:w="684" w:type="pct"/>
            <w:tcBorders>
              <w:top w:val="none" w:sz="0" w:space="0" w:color="auto"/>
              <w:bottom w:val="none" w:sz="0" w:space="0" w:color="auto"/>
            </w:tcBorders>
          </w:tcPr>
          <w:p w14:paraId="64F77959"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pPr>
            <w:r w:rsidRPr="00105FA7">
              <w:t>1.141E</w:t>
            </w:r>
            <w:r w:rsidRPr="00105FA7">
              <w:rPr>
                <w:vertAlign w:val="superscript"/>
              </w:rPr>
              <w:t>-4</w:t>
            </w:r>
          </w:p>
        </w:tc>
      </w:tr>
      <w:tr w:rsidR="002F6985" w:rsidRPr="00105FA7" w14:paraId="01C9A769" w14:textId="77777777" w:rsidTr="000E238B">
        <w:tc>
          <w:tcPr>
            <w:cnfStyle w:val="001000000000" w:firstRow="0" w:lastRow="0" w:firstColumn="1" w:lastColumn="0" w:oddVBand="0" w:evenVBand="0" w:oddHBand="0" w:evenHBand="0" w:firstRowFirstColumn="0" w:firstRowLastColumn="0" w:lastRowFirstColumn="0" w:lastRowLastColumn="0"/>
            <w:tcW w:w="957" w:type="pct"/>
            <w:tcBorders>
              <w:bottom w:val="single" w:sz="18" w:space="0" w:color="auto"/>
            </w:tcBorders>
          </w:tcPr>
          <w:p w14:paraId="1C678BF9" w14:textId="77777777" w:rsidR="002F6985" w:rsidRPr="00105FA7" w:rsidRDefault="002F6985" w:rsidP="000E238B">
            <w:pPr>
              <w:spacing w:line="360" w:lineRule="auto"/>
              <w:jc w:val="center"/>
            </w:pPr>
            <w:r w:rsidRPr="00105FA7">
              <w:rPr>
                <w:i/>
                <w:iCs/>
              </w:rPr>
              <w:t>L. calcarifer</w:t>
            </w:r>
          </w:p>
        </w:tc>
        <w:tc>
          <w:tcPr>
            <w:tcW w:w="936" w:type="pct"/>
            <w:tcBorders>
              <w:bottom w:val="single" w:sz="18" w:space="0" w:color="auto"/>
            </w:tcBorders>
          </w:tcPr>
          <w:p w14:paraId="4B718AF3"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8.249E</w:t>
            </w:r>
            <w:r w:rsidRPr="00105FA7">
              <w:rPr>
                <w:vertAlign w:val="superscript"/>
              </w:rPr>
              <w:t>-6</w:t>
            </w:r>
          </w:p>
        </w:tc>
        <w:tc>
          <w:tcPr>
            <w:tcW w:w="681" w:type="pct"/>
            <w:tcBorders>
              <w:bottom w:val="single" w:sz="18" w:space="0" w:color="auto"/>
            </w:tcBorders>
          </w:tcPr>
          <w:p w14:paraId="5DEC6EA8"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8.475E</w:t>
            </w:r>
            <w:r w:rsidRPr="00105FA7">
              <w:rPr>
                <w:vertAlign w:val="superscript"/>
              </w:rPr>
              <w:t>-4</w:t>
            </w:r>
          </w:p>
        </w:tc>
        <w:tc>
          <w:tcPr>
            <w:tcW w:w="808" w:type="pct"/>
            <w:tcBorders>
              <w:bottom w:val="single" w:sz="18" w:space="0" w:color="auto"/>
            </w:tcBorders>
          </w:tcPr>
          <w:p w14:paraId="525E0FD4"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0</w:t>
            </w:r>
          </w:p>
        </w:tc>
        <w:tc>
          <w:tcPr>
            <w:tcW w:w="934" w:type="pct"/>
            <w:tcBorders>
              <w:bottom w:val="single" w:sz="18" w:space="0" w:color="auto"/>
            </w:tcBorders>
          </w:tcPr>
          <w:p w14:paraId="7D9207F6"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4.407E</w:t>
            </w:r>
            <w:r w:rsidRPr="00105FA7">
              <w:rPr>
                <w:vertAlign w:val="superscript"/>
              </w:rPr>
              <w:t>-5</w:t>
            </w:r>
          </w:p>
        </w:tc>
        <w:tc>
          <w:tcPr>
            <w:tcW w:w="684" w:type="pct"/>
            <w:tcBorders>
              <w:bottom w:val="single" w:sz="18" w:space="0" w:color="auto"/>
            </w:tcBorders>
          </w:tcPr>
          <w:p w14:paraId="6648614D" w14:textId="77777777" w:rsidR="002F6985" w:rsidRPr="00105FA7" w:rsidRDefault="002F6985" w:rsidP="000E238B">
            <w:pPr>
              <w:spacing w:line="360" w:lineRule="auto"/>
              <w:jc w:val="center"/>
              <w:cnfStyle w:val="000000000000" w:firstRow="0" w:lastRow="0" w:firstColumn="0" w:lastColumn="0" w:oddVBand="0" w:evenVBand="0" w:oddHBand="0" w:evenHBand="0" w:firstRowFirstColumn="0" w:firstRowLastColumn="0" w:lastRowFirstColumn="0" w:lastRowLastColumn="0"/>
            </w:pPr>
            <w:r w:rsidRPr="00105FA7">
              <w:t>1.469E</w:t>
            </w:r>
            <w:r w:rsidRPr="00105FA7">
              <w:rPr>
                <w:vertAlign w:val="superscript"/>
              </w:rPr>
              <w:t>-5</w:t>
            </w:r>
          </w:p>
        </w:tc>
      </w:tr>
      <w:tr w:rsidR="002F6985" w:rsidRPr="00105FA7" w14:paraId="30605CFD" w14:textId="77777777" w:rsidTr="000E2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Borders>
              <w:top w:val="single" w:sz="18" w:space="0" w:color="auto"/>
              <w:bottom w:val="single" w:sz="18" w:space="0" w:color="auto"/>
            </w:tcBorders>
          </w:tcPr>
          <w:p w14:paraId="302811DB" w14:textId="77777777" w:rsidR="002F6985" w:rsidRPr="00105FA7" w:rsidRDefault="002F6985" w:rsidP="000E238B">
            <w:pPr>
              <w:spacing w:line="360" w:lineRule="auto"/>
              <w:jc w:val="center"/>
              <w:rPr>
                <w:b w:val="0"/>
              </w:rPr>
            </w:pPr>
            <w:r w:rsidRPr="00105FA7">
              <w:t>MTDI</w:t>
            </w:r>
          </w:p>
        </w:tc>
        <w:tc>
          <w:tcPr>
            <w:tcW w:w="936" w:type="pct"/>
            <w:tcBorders>
              <w:top w:val="single" w:sz="18" w:space="0" w:color="auto"/>
              <w:bottom w:val="single" w:sz="18" w:space="0" w:color="auto"/>
            </w:tcBorders>
          </w:tcPr>
          <w:p w14:paraId="0C41C692"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105FA7">
              <w:rPr>
                <w:b/>
              </w:rPr>
              <w:t>0.046 (JECFA, 2011)</w:t>
            </w:r>
          </w:p>
        </w:tc>
        <w:tc>
          <w:tcPr>
            <w:tcW w:w="681" w:type="pct"/>
            <w:tcBorders>
              <w:top w:val="single" w:sz="18" w:space="0" w:color="auto"/>
              <w:bottom w:val="single" w:sz="18" w:space="0" w:color="auto"/>
            </w:tcBorders>
          </w:tcPr>
          <w:p w14:paraId="526B8882"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105FA7">
              <w:rPr>
                <w:b/>
              </w:rPr>
              <w:t>2-5 (RDA, 1989)</w:t>
            </w:r>
          </w:p>
        </w:tc>
        <w:tc>
          <w:tcPr>
            <w:tcW w:w="808" w:type="pct"/>
            <w:tcBorders>
              <w:top w:val="single" w:sz="18" w:space="0" w:color="auto"/>
              <w:bottom w:val="single" w:sz="18" w:space="0" w:color="auto"/>
            </w:tcBorders>
          </w:tcPr>
          <w:p w14:paraId="0260C948"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105FA7">
              <w:rPr>
                <w:b/>
              </w:rPr>
              <w:t>0.3 (WHO, 1996)</w:t>
            </w:r>
          </w:p>
        </w:tc>
        <w:tc>
          <w:tcPr>
            <w:tcW w:w="934" w:type="pct"/>
            <w:tcBorders>
              <w:top w:val="single" w:sz="18" w:space="0" w:color="auto"/>
              <w:bottom w:val="single" w:sz="18" w:space="0" w:color="auto"/>
            </w:tcBorders>
          </w:tcPr>
          <w:p w14:paraId="561691C4"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105FA7">
              <w:rPr>
                <w:b/>
              </w:rPr>
              <w:t>0.21 (JECFA, 2000)</w:t>
            </w:r>
          </w:p>
        </w:tc>
        <w:tc>
          <w:tcPr>
            <w:tcW w:w="684" w:type="pct"/>
            <w:tcBorders>
              <w:top w:val="single" w:sz="18" w:space="0" w:color="auto"/>
              <w:bottom w:val="single" w:sz="18" w:space="0" w:color="auto"/>
            </w:tcBorders>
          </w:tcPr>
          <w:p w14:paraId="3AE2F867" w14:textId="77777777" w:rsidR="002F6985" w:rsidRPr="00105FA7" w:rsidRDefault="002F6985" w:rsidP="000E238B">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105FA7">
              <w:rPr>
                <w:b/>
              </w:rPr>
              <w:t>0.2 (RDA, 1989)</w:t>
            </w:r>
            <w:commentRangeEnd w:id="20"/>
            <w:r w:rsidR="00EE6487" w:rsidRPr="00105FA7">
              <w:rPr>
                <w:rStyle w:val="Marquedecommentaire"/>
                <w:b/>
                <w:sz w:val="24"/>
                <w:szCs w:val="24"/>
              </w:rPr>
              <w:commentReference w:id="20"/>
            </w:r>
          </w:p>
        </w:tc>
      </w:tr>
    </w:tbl>
    <w:p w14:paraId="7BDC1A04" w14:textId="77777777" w:rsidR="00E75F9A" w:rsidRDefault="00B01643" w:rsidP="00E75F9A">
      <w:pPr>
        <w:pStyle w:val="NormalWeb"/>
        <w:spacing w:line="360" w:lineRule="auto"/>
        <w:jc w:val="both"/>
      </w:pPr>
      <w:r>
        <w:lastRenderedPageBreak/>
        <w:t>This study evaluates the dietary exposure to heavy metals through the consumption of commercially significant fish species by adults. The Estimated Daily Intake (EDI) for each metal was calculated based on the average concentration of metals in the fish species, assuming an intake of 67.8 g of fish per day by an adult weighing 60 kg (HIES, 2022). The results indicate that the EDI for all analyzed heavy metals was below the corresponding Maximum Tolerable Daily Intake (MTDI) levels for adults</w:t>
      </w:r>
      <w:r w:rsidR="00E75F9A">
        <w:t xml:space="preserve"> (Table 2)</w:t>
      </w:r>
      <w:r>
        <w:t xml:space="preserve">. These findings align with an earlier study by Shaheen </w:t>
      </w:r>
      <w:r w:rsidRPr="0079566C">
        <w:rPr>
          <w:i/>
        </w:rPr>
        <w:t>et al.</w:t>
      </w:r>
      <w:r w:rsidR="00E75F9A">
        <w:t xml:space="preserve"> (2025), who</w:t>
      </w:r>
      <w:r>
        <w:t xml:space="preserve"> </w:t>
      </w:r>
      <w:r w:rsidR="00E75F9A">
        <w:t xml:space="preserve">found no health risks from the consumption of six fish species (Hilsha, </w:t>
      </w:r>
    </w:p>
    <w:p w14:paraId="45DF0FED" w14:textId="77777777" w:rsidR="00E75F9A" w:rsidRDefault="00B01643" w:rsidP="00B01643">
      <w:pPr>
        <w:pStyle w:val="NormalWeb"/>
        <w:spacing w:line="360" w:lineRule="auto"/>
        <w:jc w:val="both"/>
      </w:pPr>
      <w:r>
        <w:t>Table 2: Estimated Daily Intake (EDI) of Heavy Metals and Maximum Tolerable Daily Intake (MTDI) in the studied fish</w:t>
      </w:r>
    </w:p>
    <w:p w14:paraId="1972D656" w14:textId="77777777" w:rsidR="00E75F9A" w:rsidRDefault="00E75F9A" w:rsidP="00B01643">
      <w:pPr>
        <w:pStyle w:val="NormalWeb"/>
        <w:spacing w:line="360" w:lineRule="auto"/>
        <w:jc w:val="both"/>
      </w:pPr>
    </w:p>
    <w:p w14:paraId="65954F8C" w14:textId="77777777" w:rsidR="00B01643" w:rsidRDefault="00B01643" w:rsidP="00B01643">
      <w:pPr>
        <w:pStyle w:val="NormalWeb"/>
        <w:spacing w:line="360" w:lineRule="auto"/>
        <w:jc w:val="both"/>
      </w:pPr>
      <w:r>
        <w:t xml:space="preserve">Kachki, Punti, Taki, Meni, and Tengra) sourced from different markets in Dhaka city. Furthermore, Biswas et al. (2023) observed lower EDI values in coastal and marine fish compared to freshwater fish, with cadmium (Cd) showing higher EDI values across all fish types. In contrast, arsenic (As) exhibited lower EDI values in freshwater fish, while copper (Cu) was lower in coastal and marine fish species in his study. An earlier study by Shorna </w:t>
      </w:r>
      <w:r w:rsidRPr="00B01643">
        <w:rPr>
          <w:i/>
        </w:rPr>
        <w:t>et al.</w:t>
      </w:r>
      <w:r>
        <w:t xml:space="preserve"> (2021) found no significant health risks from the consumption of six indigenous fish species (</w:t>
      </w:r>
      <w:r>
        <w:rPr>
          <w:rStyle w:val="Accentuation"/>
        </w:rPr>
        <w:t>Salmostoma acinaces</w:t>
      </w:r>
      <w:r>
        <w:t xml:space="preserve">, </w:t>
      </w:r>
      <w:r>
        <w:rPr>
          <w:rStyle w:val="Accentuation"/>
        </w:rPr>
        <w:t>Gudusia chapra</w:t>
      </w:r>
      <w:r>
        <w:t xml:space="preserve">, </w:t>
      </w:r>
      <w:r>
        <w:rPr>
          <w:rStyle w:val="Accentuation"/>
        </w:rPr>
        <w:t>Barilius barila</w:t>
      </w:r>
      <w:r>
        <w:t xml:space="preserve">, </w:t>
      </w:r>
      <w:r>
        <w:rPr>
          <w:rStyle w:val="Accentuation"/>
        </w:rPr>
        <w:t>Labeo bata</w:t>
      </w:r>
      <w:r>
        <w:t xml:space="preserve">, </w:t>
      </w:r>
      <w:r>
        <w:rPr>
          <w:rStyle w:val="Accentuation"/>
        </w:rPr>
        <w:t>Sperata aor</w:t>
      </w:r>
      <w:r>
        <w:t xml:space="preserve">, and </w:t>
      </w:r>
      <w:r>
        <w:rPr>
          <w:rStyle w:val="Accentuation"/>
        </w:rPr>
        <w:t>Corica soborna</w:t>
      </w:r>
      <w:r>
        <w:t xml:space="preserve">) collected from the old Brahmaputra River, as the Estimated Daily Intake (EDI) of heavy metals (As, Cd, Cr, Hg, Ni, Pb) was lower than the respective Maximum Tolerable Daily Intake (MTDI) levels. However, the study cautioned that chronic and high consumption of these metals through the intake of these fish species could potentially lead to adverse health risks for the population of Bangladesh (Rakib </w:t>
      </w:r>
      <w:r w:rsidRPr="00B01643">
        <w:rPr>
          <w:i/>
        </w:rPr>
        <w:t>et al.,</w:t>
      </w:r>
      <w:r>
        <w:t xml:space="preserve"> 2021).</w:t>
      </w:r>
      <w:r w:rsidR="00450D5A">
        <w:t xml:space="preserve"> While short-term exposure appears safe, continued monitoring of heavy metal levels in fish is essential, as prolonged and high intake could lead to adverse health effects such as kidney damage, neurological disorders, and other toxicological impacts. It is important to be cautious about excessive consumption, particularly for fish species that accumulate higher levels of metals, to mitigate any potential long-term health risks.</w:t>
      </w:r>
      <w:commentRangeEnd w:id="15"/>
      <w:r w:rsidR="00E72A07">
        <w:rPr>
          <w:rStyle w:val="Marquedecommentaire"/>
          <w:sz w:val="24"/>
          <w:szCs w:val="24"/>
        </w:rPr>
        <w:commentReference w:id="15"/>
      </w:r>
    </w:p>
    <w:p w14:paraId="2C199171" w14:textId="77777777" w:rsidR="00EE74F5" w:rsidRPr="00973F8B" w:rsidRDefault="00973F8B" w:rsidP="000576B6">
      <w:pPr>
        <w:rPr>
          <w:b/>
        </w:rPr>
      </w:pPr>
      <w:r w:rsidRPr="00973F8B">
        <w:rPr>
          <w:b/>
        </w:rPr>
        <w:t xml:space="preserve">Conclusion </w:t>
      </w:r>
    </w:p>
    <w:p w14:paraId="6BED5EE2" w14:textId="77777777" w:rsidR="0072609D" w:rsidRDefault="00973F8B" w:rsidP="00973F8B">
      <w:pPr>
        <w:spacing w:line="360" w:lineRule="auto"/>
        <w:jc w:val="both"/>
      </w:pPr>
      <w:r>
        <w:lastRenderedPageBreak/>
        <w:t xml:space="preserve">This study indicates that the concentrations of heavy metals (Cd, Mn, Ni, Pb, and Cr) in commercially significant fish species from the Bay of Bengal are generally below the Maximum Tolerable Daily Intake (MTDI) levels, suggesting minimal immediate health risks for consumers. However, </w:t>
      </w:r>
      <w:r>
        <w:rPr>
          <w:rStyle w:val="Accentuation"/>
        </w:rPr>
        <w:t>Tenualosa ilisha</w:t>
      </w:r>
      <w:r>
        <w:t xml:space="preserve"> exhibited higher concentrations of cadmium and lead, which approached or exceeded safe limits, highlighting potential risks for bioaccumulation. Manganese and nickel levels were found to be within acceptable thresholds. Although short-term exposure does not pose significant health threats, prolonged or high consumption of contaminated fish could result in long-term health impacts, including kidney damage and neurological disorders. These findings emphasize the need for continuous monitoring and regulatory control of heavy metal contamination in fish to protect public health and ensure the safety of seafood consumption in the region.</w:t>
      </w:r>
    </w:p>
    <w:p w14:paraId="6955D2FA" w14:textId="77777777" w:rsidR="00E75F9A" w:rsidRDefault="00E75F9A" w:rsidP="00973F8B">
      <w:pPr>
        <w:jc w:val="both"/>
        <w:rPr>
          <w:b/>
        </w:rPr>
      </w:pPr>
    </w:p>
    <w:p w14:paraId="1C8BB290" w14:textId="77777777" w:rsidR="00973F8B" w:rsidRPr="00973F8B" w:rsidRDefault="00973F8B" w:rsidP="00973F8B">
      <w:pPr>
        <w:jc w:val="both"/>
        <w:rPr>
          <w:b/>
        </w:rPr>
      </w:pPr>
      <w:r>
        <w:rPr>
          <w:b/>
        </w:rPr>
        <w:t>References</w:t>
      </w:r>
    </w:p>
    <w:p w14:paraId="364E0DD0" w14:textId="77777777" w:rsidR="00973F8B" w:rsidRDefault="00973F8B" w:rsidP="00973F8B">
      <w:pPr>
        <w:tabs>
          <w:tab w:val="left" w:pos="312"/>
        </w:tabs>
        <w:spacing w:line="360" w:lineRule="auto"/>
        <w:ind w:left="720" w:hanging="720"/>
        <w:jc w:val="both"/>
        <w:rPr>
          <w:rFonts w:eastAsia="SimSun"/>
          <w:color w:val="222222"/>
          <w:shd w:val="clear" w:color="auto" w:fill="FFFFFF"/>
        </w:rPr>
      </w:pPr>
      <w:r>
        <w:rPr>
          <w:rFonts w:eastAsia="SimSun"/>
          <w:color w:val="222222"/>
          <w:shd w:val="clear" w:color="auto" w:fill="FFFFFF"/>
        </w:rPr>
        <w:t xml:space="preserve">Ahmed, A. S., Rahman, M., Sultana, S., Babu, S. O. F., &amp; Sarker, M. S. I. (2019). Bioaccumulation and heavy metal concentration in tissues of some commercial fishes from the Meghna River Estuary in Bangladesh and human health implications. </w:t>
      </w:r>
      <w:r>
        <w:rPr>
          <w:rFonts w:eastAsia="SimSun"/>
          <w:i/>
          <w:iCs/>
          <w:color w:val="222222"/>
          <w:shd w:val="clear" w:color="auto" w:fill="FFFFFF"/>
        </w:rPr>
        <w:t>Marine pollution bulletin</w:t>
      </w:r>
      <w:r>
        <w:rPr>
          <w:rFonts w:eastAsia="SimSun"/>
          <w:color w:val="222222"/>
          <w:shd w:val="clear" w:color="auto" w:fill="FFFFFF"/>
        </w:rPr>
        <w:t xml:space="preserve">, </w:t>
      </w:r>
      <w:r>
        <w:rPr>
          <w:rFonts w:eastAsia="SimSun"/>
          <w:i/>
          <w:iCs/>
          <w:color w:val="222222"/>
          <w:shd w:val="clear" w:color="auto" w:fill="FFFFFF"/>
        </w:rPr>
        <w:t>145</w:t>
      </w:r>
      <w:r>
        <w:rPr>
          <w:rFonts w:eastAsia="SimSun"/>
          <w:color w:val="222222"/>
          <w:shd w:val="clear" w:color="auto" w:fill="FFFFFF"/>
        </w:rPr>
        <w:t>, 436-447.</w:t>
      </w:r>
    </w:p>
    <w:p w14:paraId="6B74B3AF" w14:textId="77777777" w:rsidR="00973F8B" w:rsidRDefault="00973F8B" w:rsidP="00973F8B">
      <w:pPr>
        <w:spacing w:line="360" w:lineRule="auto"/>
        <w:ind w:left="720" w:hanging="720"/>
        <w:jc w:val="both"/>
        <w:rPr>
          <w:rFonts w:eastAsia="Calibri"/>
        </w:rPr>
      </w:pPr>
      <w:r>
        <w:rPr>
          <w:color w:val="222222"/>
          <w:shd w:val="clear" w:color="auto" w:fill="FFFFFF"/>
        </w:rPr>
        <w:t xml:space="preserve">Ahmed, Q., &amp; Bat, L. (2015). Potential risk of some heavy metals in Pampus chinensis (Euphrasen) Chinese silver pomfret Stromateidae collected from Karachi Fish Harbour, Pakistan. </w:t>
      </w:r>
      <w:r>
        <w:rPr>
          <w:i/>
          <w:iCs/>
        </w:rPr>
        <w:t>International Journal of Marine Science</w:t>
      </w:r>
      <w:r>
        <w:t xml:space="preserve">, </w:t>
      </w:r>
      <w:r>
        <w:rPr>
          <w:i/>
          <w:iCs/>
        </w:rPr>
        <w:t>5</w:t>
      </w:r>
      <w:r>
        <w:t>.</w:t>
      </w:r>
    </w:p>
    <w:p w14:paraId="771E3995" w14:textId="77777777" w:rsidR="00973F8B" w:rsidRDefault="00973F8B" w:rsidP="00973F8B">
      <w:pPr>
        <w:pStyle w:val="NormalWeb"/>
        <w:spacing w:line="360" w:lineRule="auto"/>
        <w:ind w:left="720" w:hanging="720"/>
        <w:jc w:val="both"/>
      </w:pPr>
      <w:r>
        <w:t xml:space="preserve">Ali, H., &amp; Khan, E. (2018). Bioaccumulation of non-essential hazardous heavy metals and metalloids in freshwater fish: Risk to human health. </w:t>
      </w:r>
      <w:r>
        <w:rPr>
          <w:rStyle w:val="Accentuation"/>
        </w:rPr>
        <w:t>Environmental Chemistry Letters, 16</w:t>
      </w:r>
      <w:r>
        <w:t xml:space="preserve">, 903–917. </w:t>
      </w:r>
    </w:p>
    <w:p w14:paraId="5D93F074" w14:textId="77777777" w:rsidR="00973F8B" w:rsidRDefault="00973F8B" w:rsidP="00973F8B">
      <w:pPr>
        <w:pStyle w:val="NormalWeb"/>
        <w:spacing w:line="360" w:lineRule="auto"/>
        <w:ind w:left="720" w:hanging="720"/>
        <w:jc w:val="both"/>
      </w:pPr>
      <w:r>
        <w:t xml:space="preserve">Ali, M. M., Ali, M. L., Proshad, R., Islam, S., Rahman, Z., Tusher, T. R., Kormoker, T., &amp; Al, M. A. (2020). Heavy metal concentrations in commercially valuable fishes with health hazard inference from Karnaphuli river, Bangladesh. </w:t>
      </w:r>
      <w:r>
        <w:rPr>
          <w:rStyle w:val="Accentuation"/>
        </w:rPr>
        <w:t>Human Ecology Risk Assessment: An International Journal, 26</w:t>
      </w:r>
      <w:r>
        <w:t xml:space="preserve">(10), 2646–2662. </w:t>
      </w:r>
    </w:p>
    <w:p w14:paraId="0F7C7E91" w14:textId="77777777" w:rsidR="00973F8B" w:rsidRDefault="00973F8B" w:rsidP="00973F8B">
      <w:pPr>
        <w:pStyle w:val="NormalWeb"/>
        <w:spacing w:line="360" w:lineRule="auto"/>
        <w:ind w:left="720" w:hanging="720"/>
        <w:jc w:val="both"/>
      </w:pPr>
      <w:r>
        <w:lastRenderedPageBreak/>
        <w:t xml:space="preserve">Al-Rmalli, S. W., Jenkins, R. O., Watts, M. J., &amp; Haris, P. I. (2021). Determination of arsenic, cadmium, selenium, zinc and other trace elements in Bangladeshi fish and arsenic speciation study of Hilsa fish flesh and eggs: Implications for dietary intake. </w:t>
      </w:r>
      <w:r>
        <w:rPr>
          <w:rStyle w:val="Accentuation"/>
        </w:rPr>
        <w:t>Biomolecular Spectroscopy and Imaging, 10</w:t>
      </w:r>
      <w:r>
        <w:t xml:space="preserve">(1-2), 9–26. </w:t>
      </w:r>
    </w:p>
    <w:p w14:paraId="36102DC9" w14:textId="77777777" w:rsidR="00973F8B" w:rsidRDefault="00973F8B" w:rsidP="00973F8B">
      <w:pPr>
        <w:spacing w:line="360" w:lineRule="auto"/>
        <w:ind w:left="720" w:hanging="720"/>
        <w:jc w:val="both"/>
      </w:pPr>
      <w:r>
        <w:t>Azaman F, Juahir H, Yunus K, Azid A, Kamarudin MKA, Toriman ME, et al. Heavy metal in fish: Analysis and human health-a review. Jurnal Teknologi. 2015; 77:61–69.</w:t>
      </w:r>
    </w:p>
    <w:p w14:paraId="25B938D6" w14:textId="77777777" w:rsidR="00973F8B" w:rsidRDefault="00973F8B" w:rsidP="00973F8B">
      <w:pPr>
        <w:pStyle w:val="NormalWeb"/>
        <w:spacing w:line="360" w:lineRule="auto"/>
        <w:ind w:left="720" w:hanging="720"/>
        <w:jc w:val="both"/>
      </w:pPr>
      <w:r>
        <w:t xml:space="preserve">BBS. (2022). </w:t>
      </w:r>
      <w:r>
        <w:rPr>
          <w:rStyle w:val="Accentuation"/>
        </w:rPr>
        <w:t>Population and Housing Census 2022 Preliminary Report</w:t>
      </w:r>
      <w:r>
        <w:t>. Bangladesh Bureau of Statistics, Statistics and Informatics Division, Ministry of Planning, Dhaka.</w:t>
      </w:r>
    </w:p>
    <w:p w14:paraId="4DC621CA" w14:textId="77777777" w:rsidR="00973F8B" w:rsidRDefault="00973F8B" w:rsidP="00973F8B">
      <w:pPr>
        <w:pStyle w:val="NormalWeb"/>
        <w:spacing w:line="360" w:lineRule="auto"/>
        <w:ind w:left="720" w:hanging="720"/>
        <w:jc w:val="both"/>
      </w:pPr>
      <w:r>
        <w:t xml:space="preserve">Bhuyan, M. S., Bakar, M. A., Akhtar, A., Hossain, M. B., Ali, M. M., &amp; Islam, M. S. (2017). Heavy metal contamination in surface water and sediment of the Meghna River, Bangladesh. </w:t>
      </w:r>
      <w:r>
        <w:rPr>
          <w:rStyle w:val="Accentuation"/>
        </w:rPr>
        <w:t>Environmental Nanotechnology, Monitoring &amp; Management, 8</w:t>
      </w:r>
      <w:r>
        <w:t>, 273–279. https://doi.org/10.1016/j.enmm.2017.04.003</w:t>
      </w:r>
    </w:p>
    <w:p w14:paraId="450B1720" w14:textId="77777777" w:rsidR="00973F8B" w:rsidRDefault="00973F8B" w:rsidP="00973F8B">
      <w:pPr>
        <w:tabs>
          <w:tab w:val="left" w:pos="312"/>
        </w:tabs>
        <w:spacing w:line="360" w:lineRule="auto"/>
        <w:ind w:left="720" w:hanging="720"/>
        <w:jc w:val="both"/>
        <w:rPr>
          <w:rFonts w:eastAsia="Calibri"/>
        </w:rPr>
      </w:pPr>
      <w:r w:rsidRPr="006911D2">
        <w:rPr>
          <w:color w:val="222222"/>
          <w:shd w:val="clear" w:color="auto" w:fill="FFFFFF"/>
        </w:rPr>
        <w:t>Biswas</w:t>
      </w:r>
      <w:r>
        <w:rPr>
          <w:color w:val="222222"/>
          <w:shd w:val="clear" w:color="auto" w:fill="FFFFFF"/>
        </w:rPr>
        <w:t xml:space="preserve">, A., Kanon, K. F., Rahman, M. A., Alam, M. S., Ghosh, S., &amp; Farid, M. A. (2023). Assessment of human health hazard associated with heavy metal accumulation in popular freshwater, coastal, and marine fishes from the south-west region, Bangladesh. </w:t>
      </w:r>
      <w:r>
        <w:rPr>
          <w:i/>
          <w:iCs/>
        </w:rPr>
        <w:t>Heliyon</w:t>
      </w:r>
      <w:r>
        <w:t xml:space="preserve">, </w:t>
      </w:r>
      <w:r>
        <w:rPr>
          <w:i/>
          <w:iCs/>
        </w:rPr>
        <w:t>9</w:t>
      </w:r>
      <w:r>
        <w:t>(10).</w:t>
      </w:r>
    </w:p>
    <w:p w14:paraId="5583112C" w14:textId="77777777" w:rsidR="00973F8B" w:rsidRDefault="00973F8B" w:rsidP="00973F8B">
      <w:pPr>
        <w:spacing w:line="360" w:lineRule="auto"/>
        <w:ind w:left="720" w:hanging="720"/>
        <w:jc w:val="both"/>
      </w:pPr>
      <w:r w:rsidRPr="00AB1C00">
        <w:t>Esmaeilbeigi, M., Kazemi, A., Gholizadeh, M., &amp; Rezaeiyeh, R. D. 2023. Microplastics and heavy metals contamination in Atropus atropos and associated health risk assessment in the northwest of the Persian Gulf, Iran. Regional Studies in Marine Science, 57, 102750.</w:t>
      </w:r>
    </w:p>
    <w:p w14:paraId="2036AA11" w14:textId="77777777" w:rsidR="00973F8B" w:rsidRPr="00AB1C00" w:rsidRDefault="00973F8B" w:rsidP="00973F8B">
      <w:pPr>
        <w:spacing w:line="360" w:lineRule="auto"/>
        <w:ind w:left="720" w:hanging="720"/>
        <w:jc w:val="both"/>
      </w:pPr>
      <w:r w:rsidRPr="00AB1C00">
        <w:t>FAO/WHO (2002) Joint FAO/WHO Food Standards Programme Codex Committee on contaminants in foods. Thirty-fourth Session. CX/FAC 02/16. Codex Alimentarius Commission, Rotterdam</w:t>
      </w:r>
    </w:p>
    <w:p w14:paraId="6C2702EC" w14:textId="77777777" w:rsidR="00973F8B" w:rsidRDefault="00973F8B" w:rsidP="00973F8B">
      <w:pPr>
        <w:spacing w:line="360" w:lineRule="auto"/>
        <w:ind w:left="720" w:hanging="720"/>
        <w:jc w:val="both"/>
      </w:pPr>
      <w:r w:rsidRPr="00AB1C00">
        <w:t>Gholizadeh, M., and Patimar, R. 2018. Ecological risk assessment of heavy metals in surface sediments from the Gorgan Bay, Caspian Sea. Marine pollution bulletin; 1: 137: 662-7.</w:t>
      </w:r>
    </w:p>
    <w:p w14:paraId="2FA81325" w14:textId="77777777" w:rsidR="00973F8B" w:rsidRDefault="00973F8B" w:rsidP="00973F8B">
      <w:pPr>
        <w:pStyle w:val="NormalWeb"/>
        <w:spacing w:line="360" w:lineRule="auto"/>
        <w:ind w:left="720" w:hanging="720"/>
        <w:jc w:val="both"/>
      </w:pPr>
      <w:r>
        <w:t xml:space="preserve">Hajeb, P., Jinap, S., Ismail, A., Fatimah, A. B., Jamilah, B., &amp; Abdul Rahim, M. (2009). Assessment of mercury level in commonly consumed marine fishes in Malaysia. </w:t>
      </w:r>
      <w:r>
        <w:rPr>
          <w:rStyle w:val="Accentuation"/>
        </w:rPr>
        <w:t>Food Control, 20</w:t>
      </w:r>
      <w:r>
        <w:t xml:space="preserve">(1), 79–84. </w:t>
      </w:r>
    </w:p>
    <w:p w14:paraId="5DF32C36" w14:textId="77777777" w:rsidR="00973F8B" w:rsidRPr="00AB1C00" w:rsidRDefault="00973F8B" w:rsidP="00973F8B">
      <w:pPr>
        <w:spacing w:line="360" w:lineRule="auto"/>
        <w:ind w:left="720" w:hanging="720"/>
        <w:jc w:val="both"/>
      </w:pPr>
      <w:r w:rsidRPr="00AB1C00">
        <w:lastRenderedPageBreak/>
        <w:t>HIES (2022) Preliminary report on household income and expenditure survey 2022. Bangladesh Bureau of Statistics, Statistics and Informatics Division, Ministry of Planning, Dhaka</w:t>
      </w:r>
    </w:p>
    <w:p w14:paraId="54F3EF2E" w14:textId="77777777" w:rsidR="00973F8B" w:rsidRDefault="00973F8B" w:rsidP="00973F8B">
      <w:pPr>
        <w:pStyle w:val="NormalWeb"/>
        <w:spacing w:line="360" w:lineRule="auto"/>
        <w:ind w:left="720" w:hanging="720"/>
        <w:jc w:val="both"/>
      </w:pPr>
      <w:r>
        <w:t xml:space="preserve">Hossain, M. B., Ahmed, A. S. S., &amp; Sarker, M. S. I. (2018). Human health risks of Hg, As, Mn, and Cr through consumption of fish, </w:t>
      </w:r>
      <w:r>
        <w:rPr>
          <w:rStyle w:val="Accentuation"/>
        </w:rPr>
        <w:t>Ticto barb</w:t>
      </w:r>
      <w:r>
        <w:t xml:space="preserve"> (</w:t>
      </w:r>
      <w:r>
        <w:rPr>
          <w:rStyle w:val="Accentuation"/>
        </w:rPr>
        <w:t>Puntius ticto</w:t>
      </w:r>
      <w:r>
        <w:t xml:space="preserve">) from a tropical river, Bangladesh. </w:t>
      </w:r>
      <w:r>
        <w:rPr>
          <w:rStyle w:val="Accentuation"/>
        </w:rPr>
        <w:t>Environmental Science and Pollution Research, 25</w:t>
      </w:r>
      <w:r>
        <w:t>, 31727–31736. https://doi.org/10.1007/s11356-018-2167-9</w:t>
      </w:r>
    </w:p>
    <w:p w14:paraId="2D2B9034" w14:textId="77777777" w:rsidR="00973F8B" w:rsidRDefault="00973F8B" w:rsidP="00973F8B">
      <w:pPr>
        <w:pStyle w:val="NormalWeb"/>
        <w:spacing w:line="360" w:lineRule="auto"/>
        <w:ind w:left="720" w:hanging="720"/>
        <w:jc w:val="both"/>
      </w:pPr>
      <w:r>
        <w:t xml:space="preserve">Hossain, M. N., Rahaman, A., Hasan, M. J., Uddin, M. M., Khatun, N., &amp; Shamsuddin, S. M. (2021). Comparative seasonal assessment of pollution and health risks associated with heavy metals in water, sediment, and fish of Buriganga and Turag river in Dhaka city, Bangladesh. </w:t>
      </w:r>
      <w:r>
        <w:rPr>
          <w:rStyle w:val="Accentuation"/>
        </w:rPr>
        <w:t>SN Applied Sciences, 3</w:t>
      </w:r>
      <w:r>
        <w:t xml:space="preserve">(4), 509. </w:t>
      </w:r>
    </w:p>
    <w:p w14:paraId="7B47E238" w14:textId="77777777" w:rsidR="00973F8B" w:rsidRDefault="00973F8B" w:rsidP="00973F8B">
      <w:pPr>
        <w:pStyle w:val="NormalWeb"/>
        <w:spacing w:line="360" w:lineRule="auto"/>
        <w:ind w:left="720" w:hanging="720"/>
        <w:jc w:val="both"/>
      </w:pPr>
      <w:r>
        <w:t xml:space="preserve">Islam, M. S., Ahmed, M. K., Habibullah-Al-Mamun, M., Raknuzzaman, M., Ali, M. M., &amp; Eaton, D. W. (2016). Health risk assessment due to heavy metal exposure from commonly consumed fish and vegetables. </w:t>
      </w:r>
      <w:r>
        <w:rPr>
          <w:rStyle w:val="Accentuation"/>
        </w:rPr>
        <w:t>Environmental Systems and Decisions, 36</w:t>
      </w:r>
      <w:r>
        <w:t xml:space="preserve">(3), 253–265. </w:t>
      </w:r>
    </w:p>
    <w:p w14:paraId="0FBE7B8D" w14:textId="77777777" w:rsidR="00973F8B" w:rsidRDefault="00973F8B" w:rsidP="00973F8B">
      <w:pPr>
        <w:pStyle w:val="NormalWeb"/>
        <w:spacing w:line="360" w:lineRule="auto"/>
        <w:ind w:left="720" w:hanging="720"/>
        <w:jc w:val="both"/>
      </w:pPr>
      <w:r>
        <w:t xml:space="preserve">Islam, M. S., Ahmed, M. K., Raknuzzaman, M., Habibullah-Al-Mamun, M., &amp; Masunaga, S. (2015). Metal speciation in sediment and their bioaccumulation in fish species of three urban rivers in Bangladesh. </w:t>
      </w:r>
      <w:r>
        <w:rPr>
          <w:rStyle w:val="Accentuation"/>
        </w:rPr>
        <w:t>Archives of Environmental Contamination and Toxicology, 68</w:t>
      </w:r>
      <w:r>
        <w:t xml:space="preserve">(1), 92–106. </w:t>
      </w:r>
    </w:p>
    <w:p w14:paraId="199697C8" w14:textId="77777777" w:rsidR="00973F8B" w:rsidRDefault="00973F8B" w:rsidP="00973F8B">
      <w:pPr>
        <w:pStyle w:val="NormalWeb"/>
        <w:spacing w:line="360" w:lineRule="auto"/>
        <w:ind w:left="720" w:hanging="720"/>
        <w:jc w:val="both"/>
      </w:pPr>
      <w:r>
        <w:t xml:space="preserve">Islam, M. S., Hossain, M. B., Matin, A., &amp; Sarker, M. S. I. (2018). Assessment of heavy metal pollution, distribution, and source apportionment in the sediment from Feni River estuary, Bangladesh. </w:t>
      </w:r>
      <w:r>
        <w:rPr>
          <w:rStyle w:val="Accentuation"/>
        </w:rPr>
        <w:t>Chemosphere, 202</w:t>
      </w:r>
      <w:r>
        <w:t xml:space="preserve">, 25–32. </w:t>
      </w:r>
    </w:p>
    <w:p w14:paraId="4149990A" w14:textId="77777777" w:rsidR="00973F8B" w:rsidRDefault="00973F8B" w:rsidP="00973F8B">
      <w:pPr>
        <w:pStyle w:val="NormalWeb"/>
        <w:spacing w:line="360" w:lineRule="auto"/>
        <w:ind w:left="720" w:hanging="720"/>
        <w:jc w:val="both"/>
      </w:pPr>
      <w:r>
        <w:t xml:space="preserve">Mitra, S., Chakraborty, A. J., Tareq, A. M., Emran, T. B., Nainu, F., Khusro, A., Idris, A. M., Khandaker, M. U., Osman, H., Alhumaydhi, F. A., &amp; Simal-Gandara, J. (2022). Impact of heavy metals on the environment and human health: Novel therapeutic insights to counter the toxicity. </w:t>
      </w:r>
      <w:r>
        <w:rPr>
          <w:rStyle w:val="Accentuation"/>
        </w:rPr>
        <w:t>Journal of King Saud University - Science, 34</w:t>
      </w:r>
      <w:r>
        <w:t xml:space="preserve">(3), 101865. </w:t>
      </w:r>
    </w:p>
    <w:p w14:paraId="3F80F61D" w14:textId="77777777" w:rsidR="00973F8B" w:rsidRDefault="00973F8B" w:rsidP="00973F8B">
      <w:pPr>
        <w:spacing w:line="360" w:lineRule="auto"/>
        <w:ind w:left="720" w:hanging="720"/>
        <w:jc w:val="both"/>
        <w:rPr>
          <w:rFonts w:eastAsia="Calibri"/>
        </w:rPr>
      </w:pPr>
      <w:r>
        <w:rPr>
          <w:color w:val="222222"/>
          <w:shd w:val="clear" w:color="auto" w:fill="FFFFFF"/>
        </w:rPr>
        <w:lastRenderedPageBreak/>
        <w:t xml:space="preserve">Nargis, A., Jhumur, A. K., Haque, M. E., Islam, M. N., Habib, A., &amp; Cai, M. (2020). Human health risk assessment of toxic elements in fish species collected from the river Buriganga, Bangladesh. </w:t>
      </w:r>
      <w:r>
        <w:rPr>
          <w:i/>
          <w:iCs/>
        </w:rPr>
        <w:t>Human and Ecological Risk Assessment: An International Journal</w:t>
      </w:r>
      <w:r>
        <w:t xml:space="preserve">. </w:t>
      </w:r>
    </w:p>
    <w:p w14:paraId="516E9C70" w14:textId="77777777" w:rsidR="00973F8B" w:rsidRDefault="00973F8B" w:rsidP="00973F8B">
      <w:pPr>
        <w:pStyle w:val="NormalWeb"/>
        <w:spacing w:line="360" w:lineRule="auto"/>
        <w:ind w:left="720" w:hanging="720"/>
        <w:jc w:val="both"/>
      </w:pPr>
      <w:r>
        <w:t xml:space="preserve">Parvin, A., Hossain, M. K., Shahjadee, U. F., Lisa, S. A., Uddin, M. N., Shaikh, M. A. A., Parvin, A., Moniruzzaman, M., Saha, B., &amp; Suchi, P. D. (2023). Trace metal exposure and human health consequences through consumption of market-available </w:t>
      </w:r>
      <w:r>
        <w:rPr>
          <w:rStyle w:val="Accentuation"/>
        </w:rPr>
        <w:t>Oreochromis niloticus</w:t>
      </w:r>
      <w:r>
        <w:t xml:space="preserve"> (L.) in Bangladesh. </w:t>
      </w:r>
      <w:r>
        <w:rPr>
          <w:rStyle w:val="Accentuation"/>
        </w:rPr>
        <w:t>Environmental Science and Pollution Research, 30</w:t>
      </w:r>
      <w:r>
        <w:t>(15), 45398–45413. https://doi.org/10.1007/s11356-023-22010-x</w:t>
      </w:r>
    </w:p>
    <w:p w14:paraId="1B744FBA" w14:textId="77777777" w:rsidR="00973F8B" w:rsidRPr="00AB1C00" w:rsidRDefault="00973F8B" w:rsidP="00973F8B">
      <w:pPr>
        <w:spacing w:line="360" w:lineRule="auto"/>
        <w:ind w:left="720" w:hanging="720"/>
        <w:jc w:val="both"/>
      </w:pPr>
      <w:r w:rsidRPr="00AB1C00">
        <w:t>Rahman MS (2004) Investigation on the Status of Pollution Around the Export Processing Zone (EPZ), Area with Special Reference to Its Impact on Fisheries in Bangshi River, Bangladesh, M.Phil Dissertation, Rajshahi University, Bangladesh.</w:t>
      </w:r>
    </w:p>
    <w:p w14:paraId="582360A5" w14:textId="77777777" w:rsidR="00973F8B" w:rsidRDefault="00973F8B" w:rsidP="00973F8B">
      <w:pPr>
        <w:pStyle w:val="NormalWeb"/>
        <w:spacing w:line="360" w:lineRule="auto"/>
        <w:ind w:left="720" w:hanging="720"/>
        <w:jc w:val="both"/>
      </w:pPr>
      <w:r>
        <w:t xml:space="preserve">Rakib, M. R. J., Jolly, Y. N., Enyoh, C. E., Khandaker, M. U., Hossain, M. B., Akther, S., Alsubaie, A., Almalki, A. S. A., &amp; Bradley, D. A. (2021). Levels and health risk assessment of heavy metals in dried fish consumed in Bangladesh. </w:t>
      </w:r>
      <w:r>
        <w:rPr>
          <w:rStyle w:val="Accentuation"/>
        </w:rPr>
        <w:t>Scientific Reports, 11</w:t>
      </w:r>
      <w:r>
        <w:t>(1), 14642. https://doi.org/10.1038/s41598-021-94073-1</w:t>
      </w:r>
    </w:p>
    <w:p w14:paraId="603F7E1E" w14:textId="77777777" w:rsidR="00973F8B" w:rsidRDefault="00973F8B" w:rsidP="00973F8B">
      <w:pPr>
        <w:spacing w:line="360" w:lineRule="auto"/>
        <w:ind w:left="720" w:hanging="720"/>
        <w:jc w:val="both"/>
      </w:pPr>
      <w:r>
        <w:t>Saha N, Mollah M, Alam M, Rahman MS. Seasonal investigation of heavy metals in marine fishes captured from the Bay of Bengal and the implications for human health risk assessment. Food Control. 2016a; 70:110–118</w:t>
      </w:r>
    </w:p>
    <w:p w14:paraId="7ED63F7A" w14:textId="77777777" w:rsidR="00973F8B" w:rsidRDefault="00973F8B" w:rsidP="00973F8B">
      <w:pPr>
        <w:pStyle w:val="NormalWeb"/>
        <w:spacing w:line="360" w:lineRule="auto"/>
        <w:ind w:left="720" w:hanging="720"/>
        <w:jc w:val="both"/>
      </w:pPr>
      <w:r>
        <w:t xml:space="preserve">Shorna, S., Shawkat, S., Hossain, A., Quraishi, S. B., Ullah, A. K. M. A., Hosen, M. M., Hossain, M. K., Saha, B., Paul, B., &amp; Habibullah-Al-Mamun, M. (2021). Accumulation of trace metals in indigenous fish species from the old Brahmaputra River in Bangladesh and human health risk implications. </w:t>
      </w:r>
      <w:r>
        <w:rPr>
          <w:rStyle w:val="Accentuation"/>
        </w:rPr>
        <w:t>Biological Trace Element Research, 199</w:t>
      </w:r>
      <w:r>
        <w:t xml:space="preserve">(9), 3478–3488. </w:t>
      </w:r>
    </w:p>
    <w:p w14:paraId="7C4E31D0" w14:textId="77777777" w:rsidR="00973F8B" w:rsidRDefault="00973F8B" w:rsidP="00973F8B">
      <w:pPr>
        <w:spacing w:line="360" w:lineRule="auto"/>
        <w:ind w:left="720" w:hanging="720"/>
        <w:jc w:val="both"/>
        <w:rPr>
          <w:rFonts w:eastAsia="Calibri"/>
        </w:rPr>
      </w:pPr>
      <w:r>
        <w:rPr>
          <w:color w:val="222222"/>
          <w:shd w:val="clear" w:color="auto" w:fill="FFFFFF"/>
        </w:rPr>
        <w:t xml:space="preserve"> Sobihah, N. N., Zaharin, A. A., Nizam, M. K., Juen, L. L., &amp; Kyoung-Woong, K. (2018). Bioaccumulation of heavy metals in maricultured fish, Lates calcarifer (Barramudi), Lutjanus campechanus (red snapper) and Lutjanus griseus (grey snapper). </w:t>
      </w:r>
      <w:r>
        <w:rPr>
          <w:i/>
          <w:iCs/>
        </w:rPr>
        <w:t>Chemosphere</w:t>
      </w:r>
      <w:r>
        <w:t xml:space="preserve">, </w:t>
      </w:r>
      <w:r>
        <w:rPr>
          <w:i/>
          <w:iCs/>
        </w:rPr>
        <w:t>197</w:t>
      </w:r>
      <w:r>
        <w:t>, 318-324.</w:t>
      </w:r>
    </w:p>
    <w:p w14:paraId="5ED9FA90" w14:textId="77777777" w:rsidR="00973F8B" w:rsidRDefault="00973F8B" w:rsidP="00973F8B">
      <w:pPr>
        <w:pStyle w:val="NormalWeb"/>
        <w:spacing w:line="360" w:lineRule="auto"/>
        <w:ind w:left="720" w:hanging="720"/>
        <w:jc w:val="both"/>
      </w:pPr>
      <w:r>
        <w:lastRenderedPageBreak/>
        <w:t xml:space="preserve">Tahity, T., Islam, M. R. U., Bhuiyan, N. Z., Choudhury, T. R., Yu, J., Noman, M. A., Hosen, M. M., Quraishi, S. B., Paray, B. A., Arai, T., &amp; Hossain, M. B. (2022). Heavy metals accumulation in tissues of wild and farmed Barramundi from the Northern Bay of Bengal Coast, and its estimated human health risks. </w:t>
      </w:r>
      <w:r>
        <w:rPr>
          <w:rStyle w:val="Accentuation"/>
        </w:rPr>
        <w:t>Toxics, 10</w:t>
      </w:r>
      <w:r>
        <w:t xml:space="preserve">(8), 410. </w:t>
      </w:r>
    </w:p>
    <w:p w14:paraId="6B6E45D8" w14:textId="77777777" w:rsidR="00973F8B" w:rsidRPr="00AB1C00" w:rsidRDefault="00973F8B" w:rsidP="00973F8B">
      <w:pPr>
        <w:spacing w:line="360" w:lineRule="auto"/>
        <w:ind w:left="720" w:hanging="720"/>
        <w:jc w:val="both"/>
      </w:pPr>
      <w:r w:rsidRPr="00AB1C00">
        <w:t>USEPA (2023) Regional screening levels (RSLs) generic tables. In: Summary table 404057. US Environmental Protection Agency, Washington, DC</w:t>
      </w:r>
    </w:p>
    <w:p w14:paraId="007A6004" w14:textId="77777777" w:rsidR="00973F8B" w:rsidRDefault="00973F8B" w:rsidP="00973F8B">
      <w:pPr>
        <w:pStyle w:val="NormalWeb"/>
        <w:spacing w:line="360" w:lineRule="auto"/>
        <w:ind w:left="720" w:hanging="720"/>
        <w:jc w:val="both"/>
      </w:pPr>
      <w:r>
        <w:t>Varol, M., Kaya, G. K., &amp; Alp, A. (2017). Heavy metal and arsenic concentrations in rainbow trout (</w:t>
      </w:r>
      <w:r>
        <w:rPr>
          <w:rStyle w:val="Accentuation"/>
        </w:rPr>
        <w:t>Oncorhynchus mykiss</w:t>
      </w:r>
      <w:r>
        <w:t xml:space="preserve">) farmed in a dam reservoir on the Firat (Euphrates) River: Risk-based consumption advisories. </w:t>
      </w:r>
      <w:r>
        <w:rPr>
          <w:rStyle w:val="Accentuation"/>
        </w:rPr>
        <w:t>Science of the Total Environment, 599</w:t>
      </w:r>
      <w:r>
        <w:t>, 1288–1296. https://doi.org/10.1016/j.scitotenv.2017.05.271</w:t>
      </w:r>
    </w:p>
    <w:p w14:paraId="71C22655" w14:textId="77777777" w:rsidR="00973F8B" w:rsidRDefault="00973F8B" w:rsidP="00973F8B">
      <w:pPr>
        <w:pStyle w:val="NormalWeb"/>
        <w:spacing w:line="360" w:lineRule="auto"/>
        <w:ind w:left="720" w:hanging="720"/>
        <w:jc w:val="both"/>
      </w:pPr>
      <w:r>
        <w:t xml:space="preserve">Xu, S., &amp; Tao, S. (2004). Coregionalization analysis of heavy metals in the surface soil of Inner Mongolia. </w:t>
      </w:r>
      <w:r>
        <w:rPr>
          <w:rStyle w:val="Accentuation"/>
        </w:rPr>
        <w:t>Science of the Total Environment, 320</w:t>
      </w:r>
      <w:r>
        <w:t>, 73–87. https://doi.org/10.1016/j.scitotenv.2003.08.014</w:t>
      </w:r>
    </w:p>
    <w:p w14:paraId="40458384" w14:textId="77777777" w:rsidR="00973F8B" w:rsidRDefault="00973F8B" w:rsidP="00973F8B">
      <w:pPr>
        <w:pStyle w:val="NormalWeb"/>
        <w:spacing w:line="360" w:lineRule="auto"/>
        <w:ind w:left="720" w:hanging="720"/>
        <w:jc w:val="both"/>
      </w:pPr>
      <w:r w:rsidRPr="007B4E4A">
        <w:rPr>
          <w:lang w:val="fr-FR"/>
        </w:rPr>
        <w:t xml:space="preserve">Zhong, W., Zhang, Y., Wu, Z., Yang, R., Chen, X., Yang, J., et al. </w:t>
      </w:r>
      <w:r>
        <w:t xml:space="preserve">(2018). Health risk assessment of heavy metals in freshwater fish in the central and eastern North China. </w:t>
      </w:r>
      <w:r>
        <w:rPr>
          <w:rStyle w:val="Accentuation"/>
        </w:rPr>
        <w:t>Ecotoxicology and Environmental Safety, 157</w:t>
      </w:r>
      <w:r>
        <w:t>, 343–349. https://doi.org/10.1016/j.ecoenv.2018.03.053</w:t>
      </w:r>
    </w:p>
    <w:p w14:paraId="45D32EE7" w14:textId="77777777" w:rsidR="000576B6" w:rsidRDefault="000576B6" w:rsidP="000576B6">
      <w:pPr>
        <w:ind w:firstLine="720"/>
      </w:pPr>
    </w:p>
    <w:p w14:paraId="51BB267D" w14:textId="77777777" w:rsidR="000576B6" w:rsidRDefault="000576B6" w:rsidP="000576B6">
      <w:pPr>
        <w:ind w:firstLine="720"/>
      </w:pPr>
    </w:p>
    <w:p w14:paraId="13C069B2" w14:textId="77777777" w:rsidR="000576B6" w:rsidRDefault="000576B6" w:rsidP="000576B6">
      <w:pPr>
        <w:ind w:firstLine="720"/>
      </w:pPr>
    </w:p>
    <w:p w14:paraId="57A394CC" w14:textId="77777777" w:rsidR="000576B6" w:rsidRDefault="000576B6" w:rsidP="000576B6">
      <w:pPr>
        <w:ind w:firstLine="720"/>
      </w:pPr>
    </w:p>
    <w:p w14:paraId="39904CB9" w14:textId="77777777" w:rsidR="000576B6" w:rsidRDefault="000576B6" w:rsidP="000576B6">
      <w:pPr>
        <w:ind w:firstLine="720"/>
      </w:pPr>
    </w:p>
    <w:p w14:paraId="6FDC1D49" w14:textId="77777777" w:rsidR="000576B6" w:rsidRDefault="000576B6" w:rsidP="000576B6">
      <w:pPr>
        <w:ind w:firstLine="720"/>
      </w:pPr>
    </w:p>
    <w:p w14:paraId="6A5C6FAE" w14:textId="77777777" w:rsidR="000576B6" w:rsidRDefault="000576B6" w:rsidP="000576B6">
      <w:pPr>
        <w:ind w:firstLine="720"/>
      </w:pPr>
    </w:p>
    <w:p w14:paraId="77355148" w14:textId="77777777" w:rsidR="000576B6" w:rsidRDefault="000576B6" w:rsidP="000576B6">
      <w:pPr>
        <w:ind w:firstLine="720"/>
      </w:pPr>
    </w:p>
    <w:sectPr w:rsidR="000576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5-09T23:01:00Z" w:initials="H">
    <w:p w14:paraId="0E4776D9" w14:textId="3226D0D9" w:rsidR="00B62722" w:rsidRDefault="00B62722">
      <w:pPr>
        <w:pStyle w:val="Commentaire"/>
      </w:pPr>
      <w:r>
        <w:rPr>
          <w:rStyle w:val="Marquedecommentaire"/>
        </w:rPr>
        <w:annotationRef/>
      </w:r>
      <w:r w:rsidRPr="00B62722">
        <w:t>The abstract lacks a description of the methodology. You must specify the method used.</w:t>
      </w:r>
    </w:p>
  </w:comment>
  <w:comment w:id="1" w:author="Olivier N'Guessan" w:date="2026-05-10T08:35:00Z" w:initials="ON">
    <w:p w14:paraId="15D22F0D" w14:textId="77777777" w:rsidR="008025F2" w:rsidRDefault="008025F2" w:rsidP="008025F2">
      <w:pPr>
        <w:pStyle w:val="Commentaire"/>
      </w:pPr>
      <w:r>
        <w:rPr>
          <w:rStyle w:val="Marquedecommentaire"/>
        </w:rPr>
        <w:annotationRef/>
      </w:r>
      <w:r>
        <w:t>It doesn't appear in the title; please replace it with “</w:t>
      </w:r>
      <w:r>
        <w:rPr>
          <w:b/>
          <w:bCs/>
        </w:rPr>
        <w:t xml:space="preserve">Assessment </w:t>
      </w:r>
      <w:r>
        <w:t>”</w:t>
      </w:r>
    </w:p>
  </w:comment>
  <w:comment w:id="2" w:author="HP" w:date="2026-05-09T23:13:00Z" w:initials="H">
    <w:p w14:paraId="711381F0" w14:textId="75AAB7AE" w:rsidR="00225242" w:rsidRDefault="00225242">
      <w:pPr>
        <w:pStyle w:val="Commentaire"/>
      </w:pPr>
      <w:r>
        <w:rPr>
          <w:rStyle w:val="Marquedecommentaire"/>
        </w:rPr>
        <w:annotationRef/>
      </w:r>
      <w:r>
        <w:t>References please</w:t>
      </w:r>
    </w:p>
  </w:comment>
  <w:comment w:id="3" w:author="HP" w:date="2026-05-09T23:19:00Z" w:initials="H">
    <w:p w14:paraId="2C4F63C9" w14:textId="74C20DA2" w:rsidR="00F70161" w:rsidRDefault="00F70161">
      <w:pPr>
        <w:pStyle w:val="Commentaire"/>
      </w:pPr>
      <w:r>
        <w:rPr>
          <w:rStyle w:val="Marquedecommentaire"/>
        </w:rPr>
        <w:annotationRef/>
      </w:r>
      <w:r w:rsidRPr="00F70161">
        <w:t>Include this section in the discussion. Explain that although the concentrations are low, prolonged exposure can...</w:t>
      </w:r>
      <w:r>
        <w:t>...</w:t>
      </w:r>
    </w:p>
  </w:comment>
  <w:comment w:id="4" w:author="HP" w:date="2026-05-09T21:24:00Z" w:initials="H">
    <w:p w14:paraId="2B0DEE19" w14:textId="32486598" w:rsidR="00010DEF" w:rsidRPr="00B62722" w:rsidRDefault="00010DEF">
      <w:pPr>
        <w:pStyle w:val="Commentaire"/>
      </w:pPr>
      <w:r>
        <w:rPr>
          <w:rStyle w:val="Marquedecommentaire"/>
        </w:rPr>
        <w:annotationRef/>
      </w:r>
      <w:r w:rsidR="00B62722" w:rsidRPr="00B62722">
        <w:t>To avoid repetition, please use a personal pronoun</w:t>
      </w:r>
    </w:p>
  </w:comment>
  <w:comment w:id="5" w:author="HP" w:date="2026-05-09T21:27:00Z" w:initials="H">
    <w:p w14:paraId="2C922E8D" w14:textId="678168EE" w:rsidR="00010DEF" w:rsidRPr="00010DEF" w:rsidRDefault="00010DEF">
      <w:pPr>
        <w:pStyle w:val="Commentaire"/>
        <w:rPr>
          <w:lang w:val="fr-FR"/>
        </w:rPr>
      </w:pPr>
      <w:r>
        <w:rPr>
          <w:rStyle w:val="Marquedecommentaire"/>
        </w:rPr>
        <w:annotationRef/>
      </w:r>
      <w:r w:rsidR="00B62722" w:rsidRPr="00B62722">
        <w:t xml:space="preserve">That’s the same sentence as the article’s title, which isn’t right. The sentence in the general objective should be different from the title. </w:t>
      </w:r>
      <w:r w:rsidR="00B62722" w:rsidRPr="00B62722">
        <w:rPr>
          <w:lang w:val="fr-FR"/>
        </w:rPr>
        <w:t>Please revise one or the other.</w:t>
      </w:r>
    </w:p>
  </w:comment>
  <w:comment w:id="7" w:author="HP" w:date="2026-05-09T23:06:00Z" w:initials="H">
    <w:p w14:paraId="3A41C21C" w14:textId="07C06D10" w:rsidR="00904917" w:rsidRDefault="00904917">
      <w:pPr>
        <w:pStyle w:val="Commentaire"/>
      </w:pPr>
      <w:r>
        <w:rPr>
          <w:rStyle w:val="Marquedecommentaire"/>
        </w:rPr>
        <w:annotationRef/>
      </w:r>
    </w:p>
  </w:comment>
  <w:comment w:id="6" w:author="HP" w:date="2026-05-09T23:09:00Z" w:initials="H">
    <w:p w14:paraId="3F322942" w14:textId="2AEAC26B" w:rsidR="00904917" w:rsidRDefault="00904917">
      <w:pPr>
        <w:pStyle w:val="Commentaire"/>
      </w:pPr>
      <w:r>
        <w:rPr>
          <w:rStyle w:val="Marquedecommentaire"/>
        </w:rPr>
        <w:annotationRef/>
      </w:r>
      <w:r w:rsidRPr="00904917">
        <w:t>This may seem like a specific objective, but the results actually focus more on pollutant levels in fish and health risk assessments.</w:t>
      </w:r>
      <w:r>
        <w:t xml:space="preserve"> </w:t>
      </w:r>
      <w:r w:rsidRPr="00904917">
        <w:t>Please review the two specific objectives</w:t>
      </w:r>
    </w:p>
  </w:comment>
  <w:comment w:id="8" w:author="HP" w:date="2026-05-09T21:32:00Z" w:initials="H">
    <w:p w14:paraId="1DAA4354" w14:textId="197F24B0" w:rsidR="00CA0C21" w:rsidRPr="00BB1740" w:rsidRDefault="00CA0C21" w:rsidP="00BB1740">
      <w:pPr>
        <w:pStyle w:val="Commentaire"/>
      </w:pPr>
      <w:r>
        <w:rPr>
          <w:rStyle w:val="Marquedecommentaire"/>
        </w:rPr>
        <w:annotationRef/>
      </w:r>
      <w:r w:rsidR="00BB1740" w:rsidRPr="00BB1740">
        <w:t>In which region of the country, city, or town (population) was the study conducted, and finally, in which bay (geographic coordinates) in Bengal? What activities are carried out around or near the bay that could influence the results?</w:t>
      </w:r>
    </w:p>
  </w:comment>
  <w:comment w:id="9" w:author="HP" w:date="2026-05-09T21:37:00Z" w:initials="H">
    <w:p w14:paraId="7EE69C87" w14:textId="39A0B6B9" w:rsidR="00CA0C21" w:rsidRPr="00BB1740" w:rsidRDefault="00CA0C21">
      <w:pPr>
        <w:pStyle w:val="Commentaire"/>
      </w:pPr>
      <w:r>
        <w:rPr>
          <w:rStyle w:val="Marquedecommentaire"/>
        </w:rPr>
        <w:annotationRef/>
      </w:r>
      <w:r w:rsidR="00BB1740" w:rsidRPr="00BB1740">
        <w:t>Who collected the specimens, and during which time of year (dry season or rainy season: please specify)?</w:t>
      </w:r>
    </w:p>
  </w:comment>
  <w:comment w:id="10" w:author="HP" w:date="2026-05-09T21:43:00Z" w:initials="H">
    <w:p w14:paraId="397978A8" w14:textId="6115159B" w:rsidR="00B106A2" w:rsidRDefault="00B106A2">
      <w:pPr>
        <w:pStyle w:val="Commentaire"/>
      </w:pPr>
      <w:r>
        <w:rPr>
          <w:rStyle w:val="Marquedecommentaire"/>
        </w:rPr>
        <w:annotationRef/>
      </w:r>
      <w:r>
        <w:t>References please</w:t>
      </w:r>
    </w:p>
  </w:comment>
  <w:comment w:id="11" w:author="HP" w:date="2026-05-09T22:22:00Z" w:initials="H">
    <w:p w14:paraId="3C7A6F6E" w14:textId="69827548" w:rsidR="00E72A07" w:rsidRDefault="00576CAF">
      <w:pPr>
        <w:pStyle w:val="Commentaire"/>
      </w:pPr>
      <w:r>
        <w:rPr>
          <w:rStyle w:val="Marquedecommentaire"/>
        </w:rPr>
        <w:annotationRef/>
      </w:r>
      <w:r w:rsidR="00E72A07" w:rsidRPr="00E72A07">
        <w:t>Please follow this workflow. This is the standard process for writing an article in any scientific journal. It is a well-established scientific methodology that has been followed by our predecessors.</w:t>
      </w:r>
    </w:p>
    <w:p w14:paraId="7D49B763" w14:textId="77777777" w:rsidR="00E72A07" w:rsidRDefault="00E72A07">
      <w:pPr>
        <w:pStyle w:val="Commentaire"/>
      </w:pPr>
    </w:p>
    <w:p w14:paraId="5DC4FA19" w14:textId="40119339" w:rsidR="00576CAF" w:rsidRDefault="00576CAF">
      <w:pPr>
        <w:pStyle w:val="Commentaire"/>
      </w:pPr>
      <w:r w:rsidRPr="00576CAF">
        <w:t>Analyze only heavy metals in each species of fish</w:t>
      </w:r>
    </w:p>
  </w:comment>
  <w:comment w:id="12" w:author="HP" w:date="2026-05-09T22:25:00Z" w:initials="H">
    <w:p w14:paraId="11E30FCC" w14:textId="1C250576" w:rsidR="00576CAF" w:rsidRDefault="00576CAF">
      <w:pPr>
        <w:pStyle w:val="Commentaire"/>
      </w:pPr>
      <w:r>
        <w:rPr>
          <w:rStyle w:val="Marquedecommentaire"/>
        </w:rPr>
        <w:annotationRef/>
      </w:r>
      <w:r w:rsidRPr="00576CAF">
        <w:t>Analyze the results of the health risk assessments for each heavy metal</w:t>
      </w:r>
    </w:p>
  </w:comment>
  <w:comment w:id="14" w:author="HP" w:date="2026-05-09T22:33:00Z" w:initials="H">
    <w:p w14:paraId="6E16DD52" w14:textId="7E357FCE" w:rsidR="00E72A07" w:rsidRDefault="00E72A07">
      <w:pPr>
        <w:pStyle w:val="Commentaire"/>
      </w:pPr>
      <w:r>
        <w:rPr>
          <w:rStyle w:val="Marquedecommentaire"/>
        </w:rPr>
        <w:annotationRef/>
      </w:r>
    </w:p>
  </w:comment>
  <w:comment w:id="13" w:author="HP" w:date="2026-05-09T22:39:00Z" w:initials="H">
    <w:p w14:paraId="5CD35FB7" w14:textId="46A998C2" w:rsidR="00E72A07" w:rsidRDefault="00E72A07" w:rsidP="00E72A07">
      <w:pPr>
        <w:pStyle w:val="Commentaire"/>
      </w:pPr>
      <w:r>
        <w:rPr>
          <w:rStyle w:val="Marquedecommentaire"/>
        </w:rPr>
        <w:annotationRef/>
      </w:r>
      <w:r w:rsidRPr="00E72A07">
        <w:t>This space is reserved for discussion.</w:t>
      </w:r>
    </w:p>
  </w:comment>
  <w:comment w:id="16" w:author="HP" w:date="2026-05-09T22:50:00Z" w:initials="H">
    <w:p w14:paraId="1F97C3B2" w14:textId="12B98AEB" w:rsidR="0039519D" w:rsidRDefault="0039519D">
      <w:pPr>
        <w:pStyle w:val="Commentaire"/>
      </w:pPr>
      <w:r>
        <w:rPr>
          <w:rStyle w:val="Marquedecommentaire"/>
        </w:rPr>
        <w:annotationRef/>
      </w:r>
      <w:r w:rsidRPr="0039519D">
        <w:t>Are the values listed in the tables in ppm or mg/kg?</w:t>
      </w:r>
    </w:p>
  </w:comment>
  <w:comment w:id="19" w:author="HP" w:date="2026-05-09T22:14:00Z" w:initials="H">
    <w:p w14:paraId="36584854" w14:textId="2BA2AFB4" w:rsidR="00EE6487" w:rsidRDefault="00EE6487">
      <w:pPr>
        <w:pStyle w:val="Commentaire"/>
      </w:pPr>
      <w:r>
        <w:rPr>
          <w:rStyle w:val="Marquedecommentaire"/>
        </w:rPr>
        <w:annotationRef/>
      </w:r>
      <w:r w:rsidRPr="00EE6487">
        <w:t>The figure caption should be placed directly below the figure</w:t>
      </w:r>
    </w:p>
  </w:comment>
  <w:comment w:id="20" w:author="HP" w:date="2026-05-09T22:15:00Z" w:initials="H">
    <w:p w14:paraId="1B3B4676" w14:textId="346FCD6A" w:rsidR="00EE6487" w:rsidRDefault="00EE6487">
      <w:pPr>
        <w:pStyle w:val="Commentaire"/>
      </w:pPr>
      <w:r>
        <w:rPr>
          <w:rStyle w:val="Marquedecommentaire"/>
        </w:rPr>
        <w:annotationRef/>
      </w:r>
      <w:r w:rsidRPr="00EE6487">
        <w:t>The caption for the painting should be placed directly above it</w:t>
      </w:r>
    </w:p>
  </w:comment>
  <w:comment w:id="15" w:author="HP" w:date="2026-05-09T22:39:00Z" w:initials="H">
    <w:p w14:paraId="65750D20" w14:textId="429803B7" w:rsidR="00E72A07" w:rsidRDefault="00E72A07">
      <w:pPr>
        <w:pStyle w:val="Commentaire"/>
      </w:pPr>
      <w:r>
        <w:rPr>
          <w:rStyle w:val="Marquedecommentaire"/>
        </w:rPr>
        <w:annotationRef/>
      </w:r>
      <w:r w:rsidRPr="00E72A07">
        <w:t xml:space="preserve"> After reading your post, I see that you’ve simply conducted a comparative analysis between your results and those of the other authors cited. No. That’s not it. You’re a researcher; after presenting your own interpretation of the results—for example, the cadmium and/or lead values obtained—you should explain how they could be explained by... Remember, I asked you to mention the activities in the vicinity of the bay in the study area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4776D9" w15:done="0"/>
  <w15:commentEx w15:paraId="15D22F0D" w15:done="0"/>
  <w15:commentEx w15:paraId="711381F0" w15:done="0"/>
  <w15:commentEx w15:paraId="2C4F63C9" w15:done="0"/>
  <w15:commentEx w15:paraId="2B0DEE19" w15:done="0"/>
  <w15:commentEx w15:paraId="2C922E8D" w15:done="0"/>
  <w15:commentEx w15:paraId="3A41C21C" w15:done="0"/>
  <w15:commentEx w15:paraId="3F322942" w15:done="0"/>
  <w15:commentEx w15:paraId="1DAA4354" w15:done="0"/>
  <w15:commentEx w15:paraId="7EE69C87" w15:done="0"/>
  <w15:commentEx w15:paraId="397978A8" w15:done="0"/>
  <w15:commentEx w15:paraId="5DC4FA19" w15:done="0"/>
  <w15:commentEx w15:paraId="11E30FCC" w15:done="0"/>
  <w15:commentEx w15:paraId="6E16DD52" w15:done="0"/>
  <w15:commentEx w15:paraId="5CD35FB7" w15:done="0"/>
  <w15:commentEx w15:paraId="1F97C3B2" w15:done="0"/>
  <w15:commentEx w15:paraId="36584854" w15:done="0"/>
  <w15:commentEx w15:paraId="1B3B4676" w15:done="0"/>
  <w15:commentEx w15:paraId="65750D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380EF1" w16cex:dateUtc="2026-05-10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4776D9" w16cid:durableId="0E4776D9"/>
  <w16cid:commentId w16cid:paraId="15D22F0D" w16cid:durableId="25380EF1"/>
  <w16cid:commentId w16cid:paraId="711381F0" w16cid:durableId="711381F0"/>
  <w16cid:commentId w16cid:paraId="2C4F63C9" w16cid:durableId="2C4F63C9"/>
  <w16cid:commentId w16cid:paraId="2B0DEE19" w16cid:durableId="2B0DEE19"/>
  <w16cid:commentId w16cid:paraId="2C922E8D" w16cid:durableId="2C922E8D"/>
  <w16cid:commentId w16cid:paraId="3A41C21C" w16cid:durableId="3A41C21C"/>
  <w16cid:commentId w16cid:paraId="3F322942" w16cid:durableId="3F322942"/>
  <w16cid:commentId w16cid:paraId="1DAA4354" w16cid:durableId="1DAA4354"/>
  <w16cid:commentId w16cid:paraId="7EE69C87" w16cid:durableId="7EE69C87"/>
  <w16cid:commentId w16cid:paraId="397978A8" w16cid:durableId="397978A8"/>
  <w16cid:commentId w16cid:paraId="5DC4FA19" w16cid:durableId="5DC4FA19"/>
  <w16cid:commentId w16cid:paraId="11E30FCC" w16cid:durableId="11E30FCC"/>
  <w16cid:commentId w16cid:paraId="6E16DD52" w16cid:durableId="6E16DD52"/>
  <w16cid:commentId w16cid:paraId="5CD35FB7" w16cid:durableId="5CD35FB7"/>
  <w16cid:commentId w16cid:paraId="1F97C3B2" w16cid:durableId="1F97C3B2"/>
  <w16cid:commentId w16cid:paraId="36584854" w16cid:durableId="36584854"/>
  <w16cid:commentId w16cid:paraId="1B3B4676" w16cid:durableId="1B3B4676"/>
  <w16cid:commentId w16cid:paraId="65750D20" w16cid:durableId="65750D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8BA1" w14:textId="77777777" w:rsidR="00812053" w:rsidRDefault="00812053" w:rsidP="00617C36">
      <w:pPr>
        <w:spacing w:after="0" w:line="240" w:lineRule="auto"/>
      </w:pPr>
      <w:r>
        <w:separator/>
      </w:r>
    </w:p>
  </w:endnote>
  <w:endnote w:type="continuationSeparator" w:id="0">
    <w:p w14:paraId="4833A4B0" w14:textId="77777777" w:rsidR="00812053" w:rsidRDefault="00812053" w:rsidP="0061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Regular">
    <w:altName w:val="Times New Roman"/>
    <w:panose1 w:val="00000000000000000000"/>
    <w:charset w:val="A1"/>
    <w:family w:val="roman"/>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BA9F" w14:textId="77777777" w:rsidR="00850E9A" w:rsidRDefault="00850E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5EEA" w14:textId="77777777" w:rsidR="00850E9A" w:rsidRDefault="00850E9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888F" w14:textId="77777777" w:rsidR="00850E9A" w:rsidRDefault="00850E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4A32" w14:textId="77777777" w:rsidR="00812053" w:rsidRDefault="00812053" w:rsidP="00617C36">
      <w:pPr>
        <w:spacing w:after="0" w:line="240" w:lineRule="auto"/>
      </w:pPr>
      <w:r>
        <w:separator/>
      </w:r>
    </w:p>
  </w:footnote>
  <w:footnote w:type="continuationSeparator" w:id="0">
    <w:p w14:paraId="2C01EF06" w14:textId="77777777" w:rsidR="00812053" w:rsidRDefault="00812053" w:rsidP="00617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E285" w14:textId="6836F479" w:rsidR="00850E9A" w:rsidRDefault="00000000">
    <w:pPr>
      <w:pStyle w:val="En-tte"/>
    </w:pPr>
    <w:r>
      <w:rPr>
        <w:noProof/>
      </w:rPr>
      <w:pict w14:anchorId="7645A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DA92" w14:textId="25810942" w:rsidR="00850E9A" w:rsidRDefault="00000000">
    <w:pPr>
      <w:pStyle w:val="En-tte"/>
    </w:pPr>
    <w:r>
      <w:rPr>
        <w:noProof/>
      </w:rPr>
      <w:pict w14:anchorId="3BE6E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48D0" w14:textId="799CADAC" w:rsidR="00850E9A" w:rsidRDefault="00000000">
    <w:pPr>
      <w:pStyle w:val="En-tte"/>
    </w:pPr>
    <w:r>
      <w:rPr>
        <w:noProof/>
      </w:rPr>
      <w:pict w14:anchorId="475A9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rson w15:author="Olivier N'Guessan">
    <w15:presenceInfo w15:providerId="AD" w15:userId="S::oliver.nguessan@tietto.onmicrosoft.com::e061081d-bbc5-4634-a91f-f88d3c9753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B9"/>
    <w:rsid w:val="00010DEF"/>
    <w:rsid w:val="0002247D"/>
    <w:rsid w:val="00037A90"/>
    <w:rsid w:val="000576B6"/>
    <w:rsid w:val="000675DF"/>
    <w:rsid w:val="0007709F"/>
    <w:rsid w:val="000C33A8"/>
    <w:rsid w:val="000E238B"/>
    <w:rsid w:val="0010611F"/>
    <w:rsid w:val="00196883"/>
    <w:rsid w:val="001A0371"/>
    <w:rsid w:val="001D60B3"/>
    <w:rsid w:val="00223BF5"/>
    <w:rsid w:val="00225242"/>
    <w:rsid w:val="002F6985"/>
    <w:rsid w:val="003445A8"/>
    <w:rsid w:val="0039519D"/>
    <w:rsid w:val="00396F6F"/>
    <w:rsid w:val="00434D84"/>
    <w:rsid w:val="00450D5A"/>
    <w:rsid w:val="004A63C8"/>
    <w:rsid w:val="0051044B"/>
    <w:rsid w:val="00516BB4"/>
    <w:rsid w:val="00576CAF"/>
    <w:rsid w:val="005E2A05"/>
    <w:rsid w:val="00617C36"/>
    <w:rsid w:val="006D2317"/>
    <w:rsid w:val="0072609D"/>
    <w:rsid w:val="0078518B"/>
    <w:rsid w:val="0079566C"/>
    <w:rsid w:val="007A5650"/>
    <w:rsid w:val="007B4E4A"/>
    <w:rsid w:val="007E0BB6"/>
    <w:rsid w:val="007F43B9"/>
    <w:rsid w:val="008025F2"/>
    <w:rsid w:val="00812053"/>
    <w:rsid w:val="00850E9A"/>
    <w:rsid w:val="00904917"/>
    <w:rsid w:val="00973F8B"/>
    <w:rsid w:val="00A86AEE"/>
    <w:rsid w:val="00AA3F0B"/>
    <w:rsid w:val="00AF670D"/>
    <w:rsid w:val="00B01643"/>
    <w:rsid w:val="00B106A2"/>
    <w:rsid w:val="00B62722"/>
    <w:rsid w:val="00B72E7B"/>
    <w:rsid w:val="00BB1740"/>
    <w:rsid w:val="00C347C3"/>
    <w:rsid w:val="00C53536"/>
    <w:rsid w:val="00CA0C21"/>
    <w:rsid w:val="00D156B9"/>
    <w:rsid w:val="00D17D4B"/>
    <w:rsid w:val="00D22815"/>
    <w:rsid w:val="00D25994"/>
    <w:rsid w:val="00DC25CC"/>
    <w:rsid w:val="00DF6223"/>
    <w:rsid w:val="00E615B1"/>
    <w:rsid w:val="00E72A07"/>
    <w:rsid w:val="00E73E1C"/>
    <w:rsid w:val="00E75F9A"/>
    <w:rsid w:val="00E94EF6"/>
    <w:rsid w:val="00EE6487"/>
    <w:rsid w:val="00EE74F5"/>
    <w:rsid w:val="00F70161"/>
    <w:rsid w:val="00FA1B30"/>
    <w:rsid w:val="00FC782B"/>
    <w:rsid w:val="00FE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AD63"/>
  <w15:chartTrackingRefBased/>
  <w15:docId w15:val="{A6FBB71D-BC77-43B7-B7F3-36CBF94C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72E7B"/>
    <w:rPr>
      <w:b/>
      <w:bCs/>
    </w:rPr>
  </w:style>
  <w:style w:type="character" w:styleId="Accentuation">
    <w:name w:val="Emphasis"/>
    <w:basedOn w:val="Policepardfaut"/>
    <w:uiPriority w:val="20"/>
    <w:qFormat/>
    <w:rsid w:val="00B72E7B"/>
    <w:rPr>
      <w:i/>
      <w:iCs/>
    </w:rPr>
  </w:style>
  <w:style w:type="table" w:styleId="Grilledutableau">
    <w:name w:val="Table Grid"/>
    <w:basedOn w:val="TableauNormal"/>
    <w:uiPriority w:val="39"/>
    <w:rsid w:val="00EE74F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17C36"/>
    <w:pPr>
      <w:tabs>
        <w:tab w:val="center" w:pos="4680"/>
        <w:tab w:val="right" w:pos="9360"/>
      </w:tabs>
      <w:spacing w:after="0" w:line="240" w:lineRule="auto"/>
    </w:pPr>
  </w:style>
  <w:style w:type="character" w:customStyle="1" w:styleId="En-tteCar">
    <w:name w:val="En-tête Car"/>
    <w:basedOn w:val="Policepardfaut"/>
    <w:link w:val="En-tte"/>
    <w:uiPriority w:val="99"/>
    <w:rsid w:val="00617C36"/>
  </w:style>
  <w:style w:type="paragraph" w:styleId="Pieddepage">
    <w:name w:val="footer"/>
    <w:basedOn w:val="Normal"/>
    <w:link w:val="PieddepageCar"/>
    <w:uiPriority w:val="99"/>
    <w:unhideWhenUsed/>
    <w:rsid w:val="00617C3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17C36"/>
  </w:style>
  <w:style w:type="paragraph" w:styleId="NormalWeb">
    <w:name w:val="Normal (Web)"/>
    <w:basedOn w:val="Normal"/>
    <w:uiPriority w:val="99"/>
    <w:unhideWhenUsed/>
    <w:rsid w:val="00FE5AB1"/>
    <w:pPr>
      <w:spacing w:before="100" w:beforeAutospacing="1" w:after="100" w:afterAutospacing="1" w:line="240" w:lineRule="auto"/>
    </w:pPr>
    <w:rPr>
      <w:rFonts w:eastAsia="Times New Roman"/>
    </w:rPr>
  </w:style>
  <w:style w:type="character" w:styleId="Lienhypertexte">
    <w:name w:val="Hyperlink"/>
    <w:basedOn w:val="Policepardfaut"/>
    <w:uiPriority w:val="99"/>
    <w:unhideWhenUsed/>
    <w:rsid w:val="00D17D4B"/>
    <w:rPr>
      <w:color w:val="0563C1" w:themeColor="hyperlink"/>
      <w:u w:val="single"/>
    </w:rPr>
  </w:style>
  <w:style w:type="character" w:customStyle="1" w:styleId="17">
    <w:name w:val="17"/>
    <w:basedOn w:val="Policepardfaut"/>
    <w:rsid w:val="00D17D4B"/>
    <w:rPr>
      <w:rFonts w:ascii="Times New Roman" w:hAnsi="Times New Roman" w:cs="Times New Roman" w:hint="default"/>
      <w:color w:val="0563C1"/>
      <w:u w:val="single"/>
    </w:rPr>
  </w:style>
  <w:style w:type="character" w:customStyle="1" w:styleId="Mentionnonrsolue1">
    <w:name w:val="Mention non résolue1"/>
    <w:basedOn w:val="Policepardfaut"/>
    <w:uiPriority w:val="99"/>
    <w:semiHidden/>
    <w:unhideWhenUsed/>
    <w:rsid w:val="00E94EF6"/>
    <w:rPr>
      <w:color w:val="605E5C"/>
      <w:shd w:val="clear" w:color="auto" w:fill="E1DFDD"/>
    </w:rPr>
  </w:style>
  <w:style w:type="character" w:styleId="Marquedecommentaire">
    <w:name w:val="annotation reference"/>
    <w:basedOn w:val="Policepardfaut"/>
    <w:uiPriority w:val="99"/>
    <w:semiHidden/>
    <w:unhideWhenUsed/>
    <w:rsid w:val="007B4E4A"/>
    <w:rPr>
      <w:sz w:val="16"/>
      <w:szCs w:val="16"/>
    </w:rPr>
  </w:style>
  <w:style w:type="paragraph" w:styleId="Commentaire">
    <w:name w:val="annotation text"/>
    <w:basedOn w:val="Normal"/>
    <w:link w:val="CommentaireCar"/>
    <w:uiPriority w:val="99"/>
    <w:unhideWhenUsed/>
    <w:rsid w:val="007B4E4A"/>
    <w:pPr>
      <w:spacing w:line="240" w:lineRule="auto"/>
    </w:pPr>
    <w:rPr>
      <w:sz w:val="20"/>
      <w:szCs w:val="20"/>
    </w:rPr>
  </w:style>
  <w:style w:type="character" w:customStyle="1" w:styleId="CommentaireCar">
    <w:name w:val="Commentaire Car"/>
    <w:basedOn w:val="Policepardfaut"/>
    <w:link w:val="Commentaire"/>
    <w:uiPriority w:val="99"/>
    <w:rsid w:val="007B4E4A"/>
    <w:rPr>
      <w:sz w:val="20"/>
      <w:szCs w:val="20"/>
    </w:rPr>
  </w:style>
  <w:style w:type="paragraph" w:styleId="Objetducommentaire">
    <w:name w:val="annotation subject"/>
    <w:basedOn w:val="Commentaire"/>
    <w:next w:val="Commentaire"/>
    <w:link w:val="ObjetducommentaireCar"/>
    <w:uiPriority w:val="99"/>
    <w:semiHidden/>
    <w:unhideWhenUsed/>
    <w:rsid w:val="007B4E4A"/>
    <w:rPr>
      <w:b/>
      <w:bCs/>
    </w:rPr>
  </w:style>
  <w:style w:type="character" w:customStyle="1" w:styleId="ObjetducommentaireCar">
    <w:name w:val="Objet du commentaire Car"/>
    <w:basedOn w:val="CommentaireCar"/>
    <w:link w:val="Objetducommentaire"/>
    <w:uiPriority w:val="99"/>
    <w:semiHidden/>
    <w:rsid w:val="007B4E4A"/>
    <w:rPr>
      <w:b/>
      <w:bCs/>
      <w:sz w:val="20"/>
      <w:szCs w:val="20"/>
    </w:rPr>
  </w:style>
  <w:style w:type="paragraph" w:styleId="Textedebulles">
    <w:name w:val="Balloon Text"/>
    <w:basedOn w:val="Normal"/>
    <w:link w:val="TextedebullesCar"/>
    <w:uiPriority w:val="99"/>
    <w:semiHidden/>
    <w:unhideWhenUsed/>
    <w:rsid w:val="007B4E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4E4A"/>
    <w:rPr>
      <w:rFonts w:ascii="Segoe UI" w:hAnsi="Segoe UI" w:cs="Segoe UI"/>
      <w:sz w:val="18"/>
      <w:szCs w:val="18"/>
    </w:rPr>
  </w:style>
  <w:style w:type="table" w:styleId="Tableausimple2">
    <w:name w:val="Plain Table 2"/>
    <w:basedOn w:val="TableauNormal"/>
    <w:uiPriority w:val="42"/>
    <w:rsid w:val="00B106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5088">
      <w:bodyDiv w:val="1"/>
      <w:marLeft w:val="0"/>
      <w:marRight w:val="0"/>
      <w:marTop w:val="0"/>
      <w:marBottom w:val="0"/>
      <w:divBdr>
        <w:top w:val="none" w:sz="0" w:space="0" w:color="auto"/>
        <w:left w:val="none" w:sz="0" w:space="0" w:color="auto"/>
        <w:bottom w:val="none" w:sz="0" w:space="0" w:color="auto"/>
        <w:right w:val="none" w:sz="0" w:space="0" w:color="auto"/>
      </w:divBdr>
      <w:divsChild>
        <w:div w:id="314384209">
          <w:marLeft w:val="0"/>
          <w:marRight w:val="0"/>
          <w:marTop w:val="0"/>
          <w:marBottom w:val="0"/>
          <w:divBdr>
            <w:top w:val="none" w:sz="0" w:space="0" w:color="auto"/>
            <w:left w:val="none" w:sz="0" w:space="0" w:color="auto"/>
            <w:bottom w:val="none" w:sz="0" w:space="0" w:color="auto"/>
            <w:right w:val="none" w:sz="0" w:space="0" w:color="auto"/>
          </w:divBdr>
          <w:divsChild>
            <w:div w:id="10228244">
              <w:marLeft w:val="0"/>
              <w:marRight w:val="0"/>
              <w:marTop w:val="0"/>
              <w:marBottom w:val="0"/>
              <w:divBdr>
                <w:top w:val="none" w:sz="0" w:space="0" w:color="auto"/>
                <w:left w:val="none" w:sz="0" w:space="0" w:color="auto"/>
                <w:bottom w:val="none" w:sz="0" w:space="0" w:color="auto"/>
                <w:right w:val="none" w:sz="0" w:space="0" w:color="auto"/>
              </w:divBdr>
              <w:divsChild>
                <w:div w:id="103816998">
                  <w:marLeft w:val="0"/>
                  <w:marRight w:val="0"/>
                  <w:marTop w:val="0"/>
                  <w:marBottom w:val="0"/>
                  <w:divBdr>
                    <w:top w:val="none" w:sz="0" w:space="0" w:color="auto"/>
                    <w:left w:val="none" w:sz="0" w:space="0" w:color="auto"/>
                    <w:bottom w:val="none" w:sz="0" w:space="0" w:color="auto"/>
                    <w:right w:val="none" w:sz="0" w:space="0" w:color="auto"/>
                  </w:divBdr>
                  <w:divsChild>
                    <w:div w:id="993217595">
                      <w:marLeft w:val="0"/>
                      <w:marRight w:val="0"/>
                      <w:marTop w:val="0"/>
                      <w:marBottom w:val="0"/>
                      <w:divBdr>
                        <w:top w:val="none" w:sz="0" w:space="0" w:color="auto"/>
                        <w:left w:val="none" w:sz="0" w:space="0" w:color="auto"/>
                        <w:bottom w:val="none" w:sz="0" w:space="0" w:color="auto"/>
                        <w:right w:val="none" w:sz="0" w:space="0" w:color="auto"/>
                      </w:divBdr>
                      <w:divsChild>
                        <w:div w:id="75591612">
                          <w:marLeft w:val="0"/>
                          <w:marRight w:val="0"/>
                          <w:marTop w:val="0"/>
                          <w:marBottom w:val="0"/>
                          <w:divBdr>
                            <w:top w:val="none" w:sz="0" w:space="0" w:color="auto"/>
                            <w:left w:val="none" w:sz="0" w:space="0" w:color="auto"/>
                            <w:bottom w:val="none" w:sz="0" w:space="0" w:color="auto"/>
                            <w:right w:val="none" w:sz="0" w:space="0" w:color="auto"/>
                          </w:divBdr>
                          <w:divsChild>
                            <w:div w:id="16526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14505">
      <w:bodyDiv w:val="1"/>
      <w:marLeft w:val="0"/>
      <w:marRight w:val="0"/>
      <w:marTop w:val="0"/>
      <w:marBottom w:val="0"/>
      <w:divBdr>
        <w:top w:val="none" w:sz="0" w:space="0" w:color="auto"/>
        <w:left w:val="none" w:sz="0" w:space="0" w:color="auto"/>
        <w:bottom w:val="none" w:sz="0" w:space="0" w:color="auto"/>
        <w:right w:val="none" w:sz="0" w:space="0" w:color="auto"/>
      </w:divBdr>
    </w:div>
    <w:div w:id="660081906">
      <w:bodyDiv w:val="1"/>
      <w:marLeft w:val="0"/>
      <w:marRight w:val="0"/>
      <w:marTop w:val="0"/>
      <w:marBottom w:val="0"/>
      <w:divBdr>
        <w:top w:val="none" w:sz="0" w:space="0" w:color="auto"/>
        <w:left w:val="none" w:sz="0" w:space="0" w:color="auto"/>
        <w:bottom w:val="none" w:sz="0" w:space="0" w:color="auto"/>
        <w:right w:val="none" w:sz="0" w:space="0" w:color="auto"/>
      </w:divBdr>
      <w:divsChild>
        <w:div w:id="2077968734">
          <w:marLeft w:val="0"/>
          <w:marRight w:val="0"/>
          <w:marTop w:val="0"/>
          <w:marBottom w:val="0"/>
          <w:divBdr>
            <w:top w:val="none" w:sz="0" w:space="0" w:color="auto"/>
            <w:left w:val="none" w:sz="0" w:space="0" w:color="auto"/>
            <w:bottom w:val="none" w:sz="0" w:space="0" w:color="auto"/>
            <w:right w:val="none" w:sz="0" w:space="0" w:color="auto"/>
          </w:divBdr>
          <w:divsChild>
            <w:div w:id="2112629649">
              <w:marLeft w:val="0"/>
              <w:marRight w:val="0"/>
              <w:marTop w:val="0"/>
              <w:marBottom w:val="0"/>
              <w:divBdr>
                <w:top w:val="none" w:sz="0" w:space="0" w:color="auto"/>
                <w:left w:val="none" w:sz="0" w:space="0" w:color="auto"/>
                <w:bottom w:val="none" w:sz="0" w:space="0" w:color="auto"/>
                <w:right w:val="none" w:sz="0" w:space="0" w:color="auto"/>
              </w:divBdr>
              <w:divsChild>
                <w:div w:id="462385393">
                  <w:marLeft w:val="0"/>
                  <w:marRight w:val="0"/>
                  <w:marTop w:val="0"/>
                  <w:marBottom w:val="0"/>
                  <w:divBdr>
                    <w:top w:val="none" w:sz="0" w:space="0" w:color="auto"/>
                    <w:left w:val="none" w:sz="0" w:space="0" w:color="auto"/>
                    <w:bottom w:val="none" w:sz="0" w:space="0" w:color="auto"/>
                    <w:right w:val="none" w:sz="0" w:space="0" w:color="auto"/>
                  </w:divBdr>
                  <w:divsChild>
                    <w:div w:id="1625232683">
                      <w:marLeft w:val="0"/>
                      <w:marRight w:val="0"/>
                      <w:marTop w:val="0"/>
                      <w:marBottom w:val="0"/>
                      <w:divBdr>
                        <w:top w:val="none" w:sz="0" w:space="0" w:color="auto"/>
                        <w:left w:val="none" w:sz="0" w:space="0" w:color="auto"/>
                        <w:bottom w:val="none" w:sz="0" w:space="0" w:color="auto"/>
                        <w:right w:val="none" w:sz="0" w:space="0" w:color="auto"/>
                      </w:divBdr>
                      <w:divsChild>
                        <w:div w:id="593323468">
                          <w:marLeft w:val="0"/>
                          <w:marRight w:val="0"/>
                          <w:marTop w:val="0"/>
                          <w:marBottom w:val="0"/>
                          <w:divBdr>
                            <w:top w:val="none" w:sz="0" w:space="0" w:color="auto"/>
                            <w:left w:val="none" w:sz="0" w:space="0" w:color="auto"/>
                            <w:bottom w:val="none" w:sz="0" w:space="0" w:color="auto"/>
                            <w:right w:val="none" w:sz="0" w:space="0" w:color="auto"/>
                          </w:divBdr>
                          <w:divsChild>
                            <w:div w:id="2217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70968">
      <w:bodyDiv w:val="1"/>
      <w:marLeft w:val="0"/>
      <w:marRight w:val="0"/>
      <w:marTop w:val="0"/>
      <w:marBottom w:val="0"/>
      <w:divBdr>
        <w:top w:val="none" w:sz="0" w:space="0" w:color="auto"/>
        <w:left w:val="none" w:sz="0" w:space="0" w:color="auto"/>
        <w:bottom w:val="none" w:sz="0" w:space="0" w:color="auto"/>
        <w:right w:val="none" w:sz="0" w:space="0" w:color="auto"/>
      </w:divBdr>
    </w:div>
    <w:div w:id="1581602795">
      <w:bodyDiv w:val="1"/>
      <w:marLeft w:val="0"/>
      <w:marRight w:val="0"/>
      <w:marTop w:val="0"/>
      <w:marBottom w:val="0"/>
      <w:divBdr>
        <w:top w:val="none" w:sz="0" w:space="0" w:color="auto"/>
        <w:left w:val="none" w:sz="0" w:space="0" w:color="auto"/>
        <w:bottom w:val="none" w:sz="0" w:space="0" w:color="auto"/>
        <w:right w:val="none" w:sz="0" w:space="0" w:color="auto"/>
      </w:divBdr>
    </w:div>
    <w:div w:id="202350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13</Pages>
  <Words>3699</Words>
  <Characters>20348</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Olivier N'Guessan</cp:lastModifiedBy>
  <cp:revision>23</cp:revision>
  <dcterms:created xsi:type="dcterms:W3CDTF">2026-05-09T19:51:00Z</dcterms:created>
  <dcterms:modified xsi:type="dcterms:W3CDTF">2026-05-10T08:59:00Z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4af1556a-1b78-4297-bac3-fbd939c7f2b6</vt:lpwstr>
  </property>
</Properties>
</file>