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C85DAE1" w:rsidR="00204042" w:rsidRPr="00EA6E35" w:rsidRDefault="00E776BC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171ED" w:rsidRPr="001171ED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Probability and Statistics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1EC4C859" w:rsidR="00204042" w:rsidRPr="00EA6E35" w:rsidRDefault="00E41B4F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E41B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Ms_AJPAS_157824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97BF02A" w:rsidR="00204042" w:rsidRPr="00EA6E35" w:rsidRDefault="00E41B4F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41B4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On the Logistic and </w:t>
            </w:r>
            <w:proofErr w:type="spellStart"/>
            <w:r w:rsidRPr="00E41B4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Probit</w:t>
            </w:r>
            <w:proofErr w:type="spellEnd"/>
            <w:r w:rsidRPr="00E41B4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Regression Modelling of Infant Survival at Birth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1B46B403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D904DDB" w:rsidR="00204042" w:rsidRPr="00EA6E35" w:rsidRDefault="00320E01" w:rsidP="00320E01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present article represents an important tool to explore the causes of high mortality rates of neonatal in Nigeria. The paper implemented </w:t>
            </w:r>
            <w:r w:rsidRPr="00320E01">
              <w:rPr>
                <w:b/>
                <w:bCs/>
                <w:sz w:val="20"/>
                <w:szCs w:val="20"/>
                <w:lang w:val="en-GB"/>
              </w:rPr>
              <w:t xml:space="preserve">Logistic and </w:t>
            </w:r>
            <w:proofErr w:type="spellStart"/>
            <w:r w:rsidRPr="00320E01">
              <w:rPr>
                <w:b/>
                <w:bCs/>
                <w:sz w:val="20"/>
                <w:szCs w:val="20"/>
                <w:lang w:val="en-GB"/>
              </w:rPr>
              <w:t>Probit</w:t>
            </w:r>
            <w:proofErr w:type="spellEnd"/>
            <w:r w:rsidRPr="00320E01">
              <w:rPr>
                <w:b/>
                <w:bCs/>
                <w:sz w:val="20"/>
                <w:szCs w:val="20"/>
                <w:lang w:val="en-GB"/>
              </w:rPr>
              <w:t xml:space="preserve"> regression models </w:t>
            </w:r>
            <w:r>
              <w:rPr>
                <w:b/>
                <w:bCs/>
                <w:sz w:val="20"/>
                <w:szCs w:val="20"/>
                <w:lang w:val="en-GB"/>
              </w:rPr>
              <w:t>which are suitable to the study case. Also, the manuscript showed significant results.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8D6A77A" w:rsidR="00204042" w:rsidRPr="00EA6E35" w:rsidRDefault="00320E0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B8E5F36" w:rsidR="00204042" w:rsidRPr="00EA6E35" w:rsidRDefault="00320E0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B201DFB" w:rsidR="00204042" w:rsidRPr="00EA6E35" w:rsidRDefault="00320E0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B12B103" w:rsidR="00204042" w:rsidRPr="00EA6E35" w:rsidRDefault="00320E0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16DFAF7" w:rsidR="00204042" w:rsidRPr="00EA6E35" w:rsidRDefault="00320E0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654EAC9" w:rsidR="00204042" w:rsidRPr="00EA6E35" w:rsidRDefault="00320E0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50D7381" w:rsidR="00204042" w:rsidRPr="00EA6E35" w:rsidRDefault="00320E0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82E380D" w:rsidR="00204042" w:rsidRPr="00EA6E35" w:rsidRDefault="00320E0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F93DD76" w:rsidR="00204042" w:rsidRPr="00EA6E35" w:rsidRDefault="00320E0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6CE8187" w:rsidR="00204042" w:rsidRPr="00EA6E35" w:rsidRDefault="00320E0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694D9B1" w:rsidR="00204042" w:rsidRPr="00EA6E35" w:rsidRDefault="00320E0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40A0436" w:rsidR="00204042" w:rsidRPr="00EA6E35" w:rsidRDefault="00320E0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A80470D" w:rsidR="00204042" w:rsidRPr="00EA6E35" w:rsidRDefault="00320E0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3D7B0AF" w:rsidR="00204042" w:rsidRPr="00EA6E35" w:rsidRDefault="00320E0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1D61411" w:rsidR="00204042" w:rsidRPr="00EA6E35" w:rsidRDefault="00320E0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D79BE92" w:rsidR="00204042" w:rsidRPr="00EA6E35" w:rsidRDefault="00320E0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BF9B59B" w:rsidR="00204042" w:rsidRPr="00EA6E35" w:rsidRDefault="00320E01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Needs to be revised linguistically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1E95444" w:rsidR="00204042" w:rsidRPr="00EA6E35" w:rsidRDefault="00320E0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E98AC2D" w:rsidR="00204042" w:rsidRPr="00EA6E35" w:rsidRDefault="00320E0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43DFCF9" w:rsidR="00204042" w:rsidRPr="00EA6E35" w:rsidRDefault="00320E01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1F848464" w:rsidR="00204042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24E58735" w14:textId="77777777" w:rsidR="002C2459" w:rsidRDefault="002C2459" w:rsidP="002C2459"/>
    <w:p w14:paraId="1480BDBF" w14:textId="77777777" w:rsidR="002C2459" w:rsidRDefault="002C2459" w:rsidP="002C2459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29FBF26C" w14:textId="77777777" w:rsidR="002C2459" w:rsidRDefault="002C2459" w:rsidP="002C2459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2C2459" w14:paraId="5875555E" w14:textId="77777777" w:rsidTr="00873786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FEF41" w14:textId="77777777" w:rsidR="002C2459" w:rsidRDefault="002C2459" w:rsidP="00873786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9DA582B" w14:textId="77777777" w:rsidR="002C2459" w:rsidRDefault="002C2459" w:rsidP="00873786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C2459" w14:paraId="63AC9D5D" w14:textId="77777777" w:rsidTr="00873786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8D8A2" w14:textId="77777777" w:rsidR="002C2459" w:rsidRDefault="002C2459" w:rsidP="00873786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B7E63" w14:textId="77777777" w:rsidR="002C2459" w:rsidRDefault="002C2459" w:rsidP="00873786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Author’s Feedback</w:t>
            </w:r>
          </w:p>
        </w:tc>
      </w:tr>
      <w:tr w:rsidR="002C2459" w14:paraId="0D3329BB" w14:textId="77777777" w:rsidTr="00873786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9A0E0" w14:textId="77777777" w:rsidR="001F36C7" w:rsidRDefault="001F36C7" w:rsidP="001F36C7">
            <w:pPr>
              <w:keepNext/>
              <w:numPr>
                <w:ilvl w:val="0"/>
                <w:numId w:val="13"/>
              </w:num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The language of the “Abstract” is a bit miss-leading. Abstract should be revised from point of view of language and punctuation. </w:t>
            </w:r>
          </w:p>
          <w:p w14:paraId="7F0D885D" w14:textId="77777777" w:rsidR="001F36C7" w:rsidRDefault="001F36C7" w:rsidP="001F36C7">
            <w:pPr>
              <w:keepNext/>
              <w:numPr>
                <w:ilvl w:val="0"/>
                <w:numId w:val="13"/>
              </w:num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Remove the word “see” from reference citation inside the body text of the article.</w:t>
            </w:r>
          </w:p>
          <w:p w14:paraId="45355391" w14:textId="77777777" w:rsidR="001F36C7" w:rsidRDefault="001F36C7" w:rsidP="001F36C7">
            <w:pPr>
              <w:keepNext/>
              <w:numPr>
                <w:ilvl w:val="0"/>
                <w:numId w:val="13"/>
              </w:num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The “Introduction” illustrated a very good literature survey. However, it is expected to add a paragraph at the end of introduction to describe the presents work.</w:t>
            </w:r>
          </w:p>
          <w:p w14:paraId="29D3BE37" w14:textId="77777777" w:rsidR="001F36C7" w:rsidRDefault="001F36C7" w:rsidP="001F36C7">
            <w:pPr>
              <w:keepNext/>
              <w:numPr>
                <w:ilvl w:val="0"/>
                <w:numId w:val="13"/>
              </w:num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After equations 1,</w:t>
            </w:r>
            <w:proofErr w:type="gramStart"/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2,&amp;</w:t>
            </w:r>
            <w:proofErr w:type="gramEnd"/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 3, add definition of the variable β: coefficients </w:t>
            </w:r>
            <w:r w:rsidRPr="00265DC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represent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ing</w:t>
            </w:r>
            <w:r w:rsidRPr="00265DC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 the effect of one predictor while controlling for others, reducing potential confounding</w:t>
            </w:r>
          </w:p>
          <w:p w14:paraId="701DED4C" w14:textId="77777777" w:rsidR="002C2459" w:rsidRDefault="002C2459" w:rsidP="00873786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2567C2" w14:textId="77777777" w:rsidR="002C2459" w:rsidRDefault="002C2459" w:rsidP="00873786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10A4DBB" w14:textId="77777777" w:rsidR="002C2459" w:rsidRDefault="002C2459" w:rsidP="00873786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354A0A8" w14:textId="77777777" w:rsidR="002C2459" w:rsidRDefault="002C2459" w:rsidP="00873786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3F677" w14:textId="77777777" w:rsidR="002C2459" w:rsidRDefault="002C2459" w:rsidP="00873786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ED4A4C6" w14:textId="77777777" w:rsidR="002C2459" w:rsidRDefault="002C2459" w:rsidP="002C2459"/>
    <w:p w14:paraId="32ED0429" w14:textId="77777777" w:rsidR="00E776BC" w:rsidRDefault="00E776BC" w:rsidP="00E776B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49C55B18" w14:textId="77777777" w:rsidR="00E776BC" w:rsidRPr="005F4EDD" w:rsidRDefault="00E776BC" w:rsidP="00E776B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34480C6" w14:textId="77777777" w:rsidR="00E776BC" w:rsidRDefault="00E776BC" w:rsidP="00E776B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60CEE04" w14:textId="77777777" w:rsidR="00E776BC" w:rsidRDefault="00E776BC" w:rsidP="00E776BC">
      <w:r>
        <w:rPr>
          <w:rFonts w:ascii="Calibri" w:hAnsi="Calibri" w:cs="Calibri"/>
          <w:color w:val="000000"/>
        </w:rPr>
        <w:t>Hossam Kamal, University of Lancashire – EUE campus, Egypt</w:t>
      </w:r>
      <w:r>
        <w:rPr>
          <w:rFonts w:ascii="Calibri" w:hAnsi="Calibri" w:cs="Calibri"/>
          <w:color w:val="000000"/>
        </w:rPr>
        <w:br/>
      </w:r>
    </w:p>
    <w:p w14:paraId="39D7BFCA" w14:textId="77777777" w:rsidR="002C2459" w:rsidRPr="00AF3F59" w:rsidRDefault="002C2459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2C2459" w:rsidRPr="00AF3F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D3BA6" w14:textId="77777777" w:rsidR="002F13F3" w:rsidRDefault="002F13F3">
      <w:r>
        <w:separator/>
      </w:r>
    </w:p>
  </w:endnote>
  <w:endnote w:type="continuationSeparator" w:id="0">
    <w:p w14:paraId="1A5EEB0A" w14:textId="77777777" w:rsidR="002F13F3" w:rsidRDefault="002F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5AFD2CAA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20E01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20E01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1FDE9" w14:textId="77777777" w:rsidR="002F13F3" w:rsidRDefault="002F13F3">
      <w:r>
        <w:separator/>
      </w:r>
    </w:p>
  </w:footnote>
  <w:footnote w:type="continuationSeparator" w:id="0">
    <w:p w14:paraId="2E46A94E" w14:textId="77777777" w:rsidR="002F13F3" w:rsidRDefault="002F1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8E14C8"/>
    <w:multiLevelType w:val="hybridMultilevel"/>
    <w:tmpl w:val="D7686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6482E"/>
    <w:rsid w:val="001061B4"/>
    <w:rsid w:val="001108C4"/>
    <w:rsid w:val="001171ED"/>
    <w:rsid w:val="001F36C7"/>
    <w:rsid w:val="00204042"/>
    <w:rsid w:val="00206283"/>
    <w:rsid w:val="00261933"/>
    <w:rsid w:val="00265DC5"/>
    <w:rsid w:val="002C2459"/>
    <w:rsid w:val="002C66D6"/>
    <w:rsid w:val="002E794A"/>
    <w:rsid w:val="002F13F3"/>
    <w:rsid w:val="00320E01"/>
    <w:rsid w:val="00425ED1"/>
    <w:rsid w:val="004F60AE"/>
    <w:rsid w:val="005C0AE6"/>
    <w:rsid w:val="005C677A"/>
    <w:rsid w:val="006534F5"/>
    <w:rsid w:val="00672848"/>
    <w:rsid w:val="00674863"/>
    <w:rsid w:val="007A699C"/>
    <w:rsid w:val="008D2987"/>
    <w:rsid w:val="009A3A95"/>
    <w:rsid w:val="00A7113E"/>
    <w:rsid w:val="00AA476E"/>
    <w:rsid w:val="00AF3F59"/>
    <w:rsid w:val="00C255C0"/>
    <w:rsid w:val="00D51B4B"/>
    <w:rsid w:val="00DF4831"/>
    <w:rsid w:val="00E13F66"/>
    <w:rsid w:val="00E24527"/>
    <w:rsid w:val="00E41B4F"/>
    <w:rsid w:val="00E46CBC"/>
    <w:rsid w:val="00E776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776B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pa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18</cp:revision>
  <dcterms:created xsi:type="dcterms:W3CDTF">2026-04-29T09:10:00Z</dcterms:created>
  <dcterms:modified xsi:type="dcterms:W3CDTF">2026-05-05T10:07:00Z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