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D777" w14:textId="77777777" w:rsidR="00F34BDC" w:rsidRPr="00DA30FD" w:rsidRDefault="008D7AD3" w:rsidP="00DA30FD">
      <w:pPr>
        <w:spacing w:before="240" w:after="240" w:line="240" w:lineRule="auto"/>
        <w:jc w:val="center"/>
        <w:rPr>
          <w:rFonts w:ascii="Times New Roman" w:hAnsi="Times New Roman" w:cs="Times New Roman"/>
          <w:b/>
          <w:sz w:val="36"/>
          <w:szCs w:val="24"/>
          <w:lang w:val="en-US"/>
        </w:rPr>
      </w:pPr>
      <w:r w:rsidRPr="00DA30FD">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3C051E27"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4287D1C9" w14:textId="6E513257"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ABSTRACT</w:t>
      </w:r>
    </w:p>
    <w:p w14:paraId="6F87DBD1"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sz w:val="24"/>
          <w:szCs w:val="24"/>
          <w:lang w:val="it-IT" w:bidi="en-US"/>
        </w:rPr>
        <w:t>The goal of this study is to determine the significant factors influencing students' behavioral intention to adopt mobile payment systems by applying the Unified Theory of Acceptance and Use of Technology (UTAUT) framework. A quantitative research design was employed, utilizing an adapted survey questionnaire to collect data from a sample of students through stratified sampling. Descriptive analysis, Pearson product-moment correlation, and multiple linear regression were used to analyze the relationships between performance expectancy, effort expectancy, social influence, and facilitating conditions. Among them, facilitating conditions were identified as the most influential factors of adoption. Research revealed students have high behavioral intentions to accept and use mobile payment systems. These findings support student adoption based on the presence of adequate technical infrastructure of mobile payment systems. This research adds to the existing body of knowledge on financial technology locally and suggests that payment providers and academic institutions should focus on enhancing their merchant networks and technical support to build a secure and efficient digital ecosystem</w:t>
      </w:r>
      <w:r w:rsidR="009C43F2" w:rsidRPr="00DA30FD">
        <w:rPr>
          <w:rFonts w:ascii="Times New Roman" w:hAnsi="Times New Roman" w:cs="Times New Roman"/>
          <w:sz w:val="24"/>
          <w:szCs w:val="24"/>
          <w:lang w:val="it-IT" w:bidi="en-US"/>
        </w:rPr>
        <w:t>.</w:t>
      </w:r>
    </w:p>
    <w:p w14:paraId="4A08CBEC"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b/>
          <w:sz w:val="24"/>
          <w:szCs w:val="24"/>
          <w:lang w:val="it-IT" w:bidi="en-US"/>
        </w:rPr>
        <w:t xml:space="preserve">Keywords: </w:t>
      </w:r>
      <w:r w:rsidRPr="00DA30FD">
        <w:rPr>
          <w:rFonts w:ascii="Times New Roman" w:hAnsi="Times New Roman" w:cs="Times New Roman"/>
          <w:sz w:val="24"/>
          <w:szCs w:val="24"/>
          <w:lang w:val="it-IT" w:bidi="en-US"/>
        </w:rPr>
        <w:t>Adopt;</w:t>
      </w:r>
      <w:r w:rsidRPr="00DA30FD">
        <w:rPr>
          <w:rFonts w:ascii="Times New Roman" w:hAnsi="Times New Roman" w:cs="Times New Roman"/>
          <w:b/>
          <w:sz w:val="24"/>
          <w:szCs w:val="24"/>
          <w:lang w:val="it-IT" w:bidi="en-US"/>
        </w:rPr>
        <w:t xml:space="preserve"> </w:t>
      </w:r>
      <w:r w:rsidRPr="00DA30FD">
        <w:rPr>
          <w:rFonts w:ascii="Times New Roman" w:hAnsi="Times New Roman" w:cs="Times New Roman"/>
          <w:sz w:val="24"/>
          <w:szCs w:val="24"/>
          <w:lang w:val="it-IT" w:bidi="en-US"/>
        </w:rPr>
        <w:t>Behavioral Intention; Mobile Payment System; Private Universities, UTAUT, Philippines</w:t>
      </w:r>
    </w:p>
    <w:p w14:paraId="4E840542" w14:textId="77777777" w:rsidR="00EA416F" w:rsidRPr="00DA30FD" w:rsidRDefault="00DA30FD" w:rsidP="00DA30FD">
      <w:pPr>
        <w:spacing w:before="240" w:after="240" w:line="240" w:lineRule="auto"/>
        <w:jc w:val="center"/>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INTRODUCTION</w:t>
      </w:r>
    </w:p>
    <w:p w14:paraId="39CA9DBA" w14:textId="77777777" w:rsidR="00584D61" w:rsidRPr="00DA30FD" w:rsidRDefault="00584D61" w:rsidP="00E8005A">
      <w:pPr>
        <w:spacing w:before="240" w:after="240" w:line="240" w:lineRule="auto"/>
        <w:ind w:firstLine="720"/>
        <w:jc w:val="both"/>
        <w:rPr>
          <w:rFonts w:ascii="Times New Roman" w:eastAsia="Times New Roman" w:hAnsi="Times New Roman" w:cs="Times New Roman"/>
          <w:sz w:val="24"/>
          <w:szCs w:val="24"/>
          <w:lang w:val="en-US"/>
        </w:rPr>
      </w:pPr>
      <w:commentRangeStart w:id="0"/>
      <w:r w:rsidRPr="00EB1CAC">
        <w:rPr>
          <w:rFonts w:ascii="Times New Roman" w:eastAsia="Times New Roman" w:hAnsi="Times New Roman" w:cs="Times New Roman"/>
          <w:color w:val="000000" w:themeColor="text1"/>
          <w:sz w:val="24"/>
          <w:szCs w:val="24"/>
          <w:highlight w:val="magenta"/>
          <w:lang w:val="en-US"/>
        </w:rPr>
        <w:t>Nowadays</w:t>
      </w:r>
      <w:commentRangeEnd w:id="0"/>
      <w:r w:rsidR="00894B01">
        <w:rPr>
          <w:rStyle w:val="CommentReference"/>
        </w:rPr>
        <w:commentReference w:id="0"/>
      </w:r>
      <w:r w:rsidRPr="00DA30FD">
        <w:rPr>
          <w:rFonts w:ascii="Times New Roman" w:eastAsia="Times New Roman" w:hAnsi="Times New Roman" w:cs="Times New Roman"/>
          <w:sz w:val="24"/>
          <w:szCs w:val="24"/>
          <w:lang w:val="en-US"/>
        </w:rPr>
        <w:t>, digital transfer platforms and electronic</w:t>
      </w:r>
      <w:r w:rsidR="00DA30FD">
        <w:rPr>
          <w:rFonts w:ascii="Times New Roman" w:eastAsia="Times New Roman" w:hAnsi="Times New Roman" w:cs="Times New Roman"/>
          <w:sz w:val="24"/>
          <w:szCs w:val="24"/>
          <w:lang w:val="en-US"/>
        </w:rPr>
        <w:t xml:space="preserve"> wallets are altering how </w:t>
      </w:r>
      <w:r w:rsidRPr="00DA30FD">
        <w:rPr>
          <w:rFonts w:ascii="Times New Roman" w:eastAsia="Times New Roman" w:hAnsi="Times New Roman" w:cs="Times New Roman"/>
          <w:sz w:val="24"/>
          <w:szCs w:val="24"/>
          <w:lang w:val="en-US"/>
        </w:rPr>
        <w:t>individuals and companies use money. These systems make it easier to trade across   borders, and add more weight to the movement towa</w:t>
      </w:r>
      <w:r w:rsidR="00DA30FD">
        <w:rPr>
          <w:rFonts w:ascii="Times New Roman" w:eastAsia="Times New Roman" w:hAnsi="Times New Roman" w:cs="Times New Roman"/>
          <w:sz w:val="24"/>
          <w:szCs w:val="24"/>
          <w:lang w:val="en-US"/>
        </w:rPr>
        <w:t xml:space="preserve">rd a cashless economy. As </w:t>
      </w:r>
      <w:r w:rsidRPr="00DA30FD">
        <w:rPr>
          <w:rFonts w:ascii="Times New Roman" w:eastAsia="Times New Roman" w:hAnsi="Times New Roman" w:cs="Times New Roman"/>
          <w:sz w:val="24"/>
          <w:szCs w:val="24"/>
          <w:lang w:val="en-US"/>
        </w:rPr>
        <w:t>digitalization reshapes commerce, mobile payment technology has become an important new development, presenting a seamless, quick alternative to cash and banks (Bahaj, 2024). Digital money is being made possible for everyone from individuals’ citizens to national governments, in a world increasingly focused on speed, convenience and getting access to funds (Ishak et al, 2024). This change has affected businesses operations and changed how consumers spend and manage their money, including schools and universities.</w:t>
      </w:r>
    </w:p>
    <w:p w14:paraId="2D11BFDD"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However, users are becoming more concerned with how mobile payment systems may put their money or identity at risk. Many users are becoming worried about their money and identity as cybercrime continues to grow particularly about the issues of incorrect or incomplete transactions as well as being the victim of a scam. Moreover, some have reported that they lack the digital literacy skills necessary to complete an e-payment transaction, do not have a reliable internet connection when making an e-payment, and are afraid of making errors during their e-payment (Verma &amp; Singh, 2025). Additionally, many digital wallets are connected to a bank account, which raises much risk than using cash. Thus, fear of not having access to their money will be a big factor for users using mobile payment systems </w:t>
      </w:r>
      <w:r w:rsidRPr="00DA30FD">
        <w:rPr>
          <w:rFonts w:ascii="Times New Roman" w:eastAsia="Times New Roman" w:hAnsi="Times New Roman" w:cs="Times New Roman"/>
          <w:bCs/>
          <w:sz w:val="24"/>
          <w:szCs w:val="24"/>
          <w:lang w:val="en-US"/>
        </w:rPr>
        <w:t>(</w:t>
      </w:r>
      <w:proofErr w:type="spellStart"/>
      <w:r w:rsidRPr="00DA30FD">
        <w:rPr>
          <w:rFonts w:ascii="Times New Roman" w:eastAsia="Times New Roman" w:hAnsi="Times New Roman" w:cs="Times New Roman"/>
          <w:bCs/>
          <w:sz w:val="24"/>
          <w:szCs w:val="24"/>
          <w:lang w:val="en-US"/>
        </w:rPr>
        <w:t>Irianto</w:t>
      </w:r>
      <w:proofErr w:type="spellEnd"/>
      <w:r w:rsidRPr="00DA30FD">
        <w:rPr>
          <w:rFonts w:ascii="Times New Roman" w:eastAsia="Times New Roman" w:hAnsi="Times New Roman" w:cs="Times New Roman"/>
          <w:bCs/>
          <w:sz w:val="24"/>
          <w:szCs w:val="24"/>
          <w:lang w:val="en-US"/>
        </w:rPr>
        <w:t xml:space="preserve"> &amp; </w:t>
      </w:r>
      <w:proofErr w:type="spellStart"/>
      <w:r w:rsidRPr="00DA30FD">
        <w:rPr>
          <w:rFonts w:ascii="Times New Roman" w:eastAsia="Times New Roman" w:hAnsi="Times New Roman" w:cs="Times New Roman"/>
          <w:bCs/>
          <w:sz w:val="24"/>
          <w:szCs w:val="24"/>
          <w:lang w:val="en-US"/>
        </w:rPr>
        <w:t>Chanvarasuth</w:t>
      </w:r>
      <w:proofErr w:type="spellEnd"/>
      <w:r w:rsidRPr="00DA30FD">
        <w:rPr>
          <w:rFonts w:ascii="Times New Roman" w:eastAsia="Times New Roman" w:hAnsi="Times New Roman" w:cs="Times New Roman"/>
          <w:bCs/>
          <w:sz w:val="24"/>
          <w:szCs w:val="24"/>
          <w:lang w:val="en-US"/>
        </w:rPr>
        <w:t>, 2025; Tang, et al</w:t>
      </w:r>
      <w:r w:rsidR="008D1EC0" w:rsidRPr="00DA30FD">
        <w:rPr>
          <w:rFonts w:ascii="Times New Roman" w:eastAsia="Times New Roman" w:hAnsi="Times New Roman" w:cs="Times New Roman"/>
          <w:bCs/>
          <w:sz w:val="24"/>
          <w:szCs w:val="24"/>
          <w:lang w:val="en-US"/>
        </w:rPr>
        <w:t>.</w:t>
      </w:r>
      <w:r w:rsidRPr="00DA30FD">
        <w:rPr>
          <w:rFonts w:ascii="Times New Roman" w:eastAsia="Times New Roman" w:hAnsi="Times New Roman" w:cs="Times New Roman"/>
          <w:bCs/>
          <w:sz w:val="24"/>
          <w:szCs w:val="24"/>
          <w:lang w:val="en-US"/>
        </w:rPr>
        <w:t>, 2021).</w:t>
      </w:r>
    </w:p>
    <w:p w14:paraId="1CFA4C37"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Researchers have developed various ways to provi</w:t>
      </w:r>
      <w:r w:rsidR="00DA30FD">
        <w:rPr>
          <w:rFonts w:ascii="Times New Roman" w:eastAsia="Times New Roman" w:hAnsi="Times New Roman" w:cs="Times New Roman"/>
          <w:sz w:val="24"/>
          <w:szCs w:val="24"/>
          <w:lang w:val="en-US"/>
        </w:rPr>
        <w:t xml:space="preserve">de explanation as to why </w:t>
      </w:r>
      <w:r w:rsidRPr="00DA30FD">
        <w:rPr>
          <w:rFonts w:ascii="Times New Roman" w:eastAsia="Times New Roman" w:hAnsi="Times New Roman" w:cs="Times New Roman"/>
          <w:sz w:val="24"/>
          <w:szCs w:val="24"/>
          <w:lang w:val="en-US"/>
        </w:rPr>
        <w:t>individuals choose to utilize mobile payment applications. The primary model utilized for this research is referred to as the Unified Theory of Acceptance and Use of Technology (UTAUT). The UTAUT is one of the most widely used confirmed models to explain the behavior of individuals as they adopt new technologies. The UTAUT was integrated by eight theoretical models into one complete model (Venkatesh et al., 2003). Using the UTAUT Model enables researchers to understand user decision-making processes regarding new systems or technologies. The UTAUT Model simply notifies researchers of how to encourage additional use of mobile payment by addressing where and how policymakers and solutions providers should be motivating new users of mobile payment.</w:t>
      </w:r>
    </w:p>
    <w:p w14:paraId="494AA608"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bCs/>
          <w:sz w:val="24"/>
          <w:szCs w:val="24"/>
          <w:lang w:val="en-US"/>
        </w:rPr>
      </w:pPr>
      <w:commentRangeStart w:id="1"/>
      <w:r w:rsidRPr="005C61ED">
        <w:rPr>
          <w:rFonts w:ascii="Times New Roman" w:eastAsia="Times New Roman" w:hAnsi="Times New Roman" w:cs="Times New Roman"/>
          <w:sz w:val="24"/>
          <w:szCs w:val="24"/>
          <w:highlight w:val="magenta"/>
          <w:lang w:val="en-US"/>
        </w:rPr>
        <w:t>Moreover</w:t>
      </w:r>
      <w:commentRangeEnd w:id="1"/>
      <w:r w:rsidR="007F7C8A">
        <w:rPr>
          <w:rStyle w:val="CommentReference"/>
        </w:rPr>
        <w:commentReference w:id="1"/>
      </w:r>
      <w:r w:rsidRPr="00DA30FD">
        <w:rPr>
          <w:rFonts w:ascii="Times New Roman" w:eastAsia="Times New Roman" w:hAnsi="Times New Roman" w:cs="Times New Roman"/>
          <w:sz w:val="24"/>
          <w:szCs w:val="24"/>
          <w:lang w:val="en-US"/>
        </w:rPr>
        <w:t xml:space="preserve">, The UTAUT, which is an extension of the Theory of Reasoned Action (TRA), forms an important model to help understand the predictors of how people behave when considering whether or not to adopt or reject technology. Intention to use a wallet also provides an indication of how often the consumer expects to buy. To describe someone's intention to use, there are many characteristics that are used. Some examples include perceived usefulness, perceived ease of use, perceived risk, social influences, price and trust, etc. These types of characteristics were used to measure behavioral intention to adopt new technologies </w:t>
      </w:r>
      <w:r w:rsidRPr="00DA30FD">
        <w:rPr>
          <w:rFonts w:ascii="Times New Roman" w:eastAsia="Times New Roman" w:hAnsi="Times New Roman" w:cs="Times New Roman"/>
          <w:bCs/>
          <w:sz w:val="24"/>
          <w:szCs w:val="24"/>
          <w:lang w:val="en-US"/>
        </w:rPr>
        <w:t>(Yang et al., 2021).</w:t>
      </w:r>
    </w:p>
    <w:p w14:paraId="4FD068C2" w14:textId="77777777" w:rsidR="00584D61" w:rsidRPr="00DA30FD" w:rsidRDefault="00584D61" w:rsidP="00DA30FD">
      <w:pPr>
        <w:spacing w:before="240" w:after="240" w:line="240" w:lineRule="auto"/>
        <w:ind w:firstLine="720"/>
        <w:jc w:val="both"/>
        <w:rPr>
          <w:rFonts w:ascii="Times New Roman" w:eastAsia="Times New Roman" w:hAnsi="Times New Roman" w:cs="Times New Roman"/>
          <w:sz w:val="28"/>
          <w:szCs w:val="24"/>
          <w:lang w:val="en-US"/>
        </w:rPr>
      </w:pPr>
      <w:r w:rsidRPr="00DA30FD">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City, are intending to adopt mobile payments. Most research conducted in the Philippines has been limited to the larger financial centers or were aimed at Small and Medium Enterprises (SMEs), with little to no attention given to the student population at private Higher Educational Institutions (HEIs). Also, there is limited empirical evidence regarding how students at private HEIs will respond to the transition of private schools to digital campuses and how this will impact their level of adoption of financial technology. This research intends to fill that gap by using the UTAUT framework in order to study and quantify what really motivates private students of Higher Education Institutions in General Santos City to adopt mobile payment. By investigating performance expectancy, effort expectancy, social influence, and facilitating conditions, the researcher aims to find out what drives the students to adopt a mobile payment.</w:t>
      </w:r>
    </w:p>
    <w:p w14:paraId="094FAAE1" w14:textId="77777777" w:rsidR="008D1EC0" w:rsidRPr="00DA30FD" w:rsidRDefault="00DA30FD" w:rsidP="00DA30FD">
      <w:pPr>
        <w:spacing w:before="240" w:after="240" w:line="240" w:lineRule="auto"/>
        <w:ind w:firstLine="720"/>
        <w:jc w:val="center"/>
        <w:rPr>
          <w:rFonts w:ascii="Times New Roman" w:eastAsia="Times New Roman" w:hAnsi="Times New Roman" w:cs="Times New Roman"/>
          <w:b/>
          <w:sz w:val="28"/>
          <w:szCs w:val="24"/>
          <w:lang w:val="en-US"/>
        </w:rPr>
      </w:pPr>
      <w:r w:rsidRPr="00DA30FD">
        <w:rPr>
          <w:rFonts w:ascii="Times New Roman" w:eastAsia="Times New Roman" w:hAnsi="Times New Roman" w:cs="Times New Roman"/>
          <w:b/>
          <w:sz w:val="28"/>
          <w:szCs w:val="24"/>
          <w:lang w:val="en-US"/>
        </w:rPr>
        <w:t>2. MATERIALS AND METHODS</w:t>
      </w:r>
    </w:p>
    <w:p w14:paraId="505B2964" w14:textId="77777777" w:rsidR="008D1EC0"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The quantitative descriptive-correlation research design was used in this study. Quantitative research was performed by the researcher to identify what factors were the most important in determining student’s willingness to use mobile payment systems at private higher education institutions in General Santos City. This goal was achieved through an examination of whether performance expectations, physical ease of use, social influence, and support from the university will all have an effect on how willing a student will be to use mobile payment systems. This methodology creates and develops information to answer questions and solve problems; this requires systematic observations of the event itself, as well as a detailed description of its characteristics and events, in order to find any relationship between an independent variable and a dependent variable within a study population (</w:t>
      </w:r>
      <w:proofErr w:type="spellStart"/>
      <w:r w:rsidRPr="00DA30FD">
        <w:rPr>
          <w:rFonts w:ascii="Times New Roman" w:eastAsia="Times New Roman" w:hAnsi="Times New Roman" w:cs="Times New Roman"/>
          <w:sz w:val="24"/>
          <w:szCs w:val="24"/>
          <w:lang w:val="en-US"/>
        </w:rPr>
        <w:t>Mohajan</w:t>
      </w:r>
      <w:proofErr w:type="spellEnd"/>
      <w:r w:rsidRPr="00DA30FD">
        <w:rPr>
          <w:rFonts w:ascii="Times New Roman" w:eastAsia="Times New Roman" w:hAnsi="Times New Roman" w:cs="Times New Roman"/>
          <w:sz w:val="24"/>
          <w:szCs w:val="24"/>
          <w:lang w:val="en-US"/>
        </w:rPr>
        <w:t>, 2020).</w:t>
      </w:r>
    </w:p>
    <w:p w14:paraId="544FCF3F" w14:textId="77777777" w:rsidR="0033465A" w:rsidRPr="00DA30FD" w:rsidRDefault="0033465A" w:rsidP="00E8005A">
      <w:pPr>
        <w:spacing w:before="240" w:after="240" w:line="240" w:lineRule="auto"/>
        <w:ind w:firstLine="720"/>
        <w:jc w:val="both"/>
        <w:rPr>
          <w:rFonts w:ascii="Times New Roman" w:eastAsia="Times New Roman" w:hAnsi="Times New Roman" w:cs="Times New Roman"/>
          <w:sz w:val="24"/>
          <w:szCs w:val="24"/>
          <w:lang w:val="en-US"/>
        </w:rPr>
      </w:pPr>
    </w:p>
    <w:p w14:paraId="14CE8FA3" w14:textId="77777777" w:rsidR="008D1EC0" w:rsidRPr="00DA30FD" w:rsidRDefault="00E8005A" w:rsidP="00DA30FD">
      <w:pPr>
        <w:spacing w:before="240" w:after="240" w:line="240" w:lineRule="auto"/>
        <w:jc w:val="both"/>
        <w:rPr>
          <w:rFonts w:ascii="Times New Roman" w:eastAsia="Times New Roman" w:hAnsi="Times New Roman" w:cs="Times New Roman"/>
          <w:b/>
          <w:sz w:val="24"/>
          <w:szCs w:val="24"/>
          <w:lang w:val="en-US"/>
        </w:rPr>
      </w:pPr>
      <w:r w:rsidRPr="00DA30FD">
        <w:rPr>
          <w:rFonts w:ascii="Times New Roman" w:eastAsia="Times New Roman" w:hAnsi="Times New Roman" w:cs="Times New Roman"/>
          <w:b/>
          <w:sz w:val="24"/>
          <w:szCs w:val="24"/>
          <w:lang w:val="en-US"/>
        </w:rPr>
        <w:t xml:space="preserve">2.2 </w:t>
      </w:r>
      <w:r w:rsidR="008D1EC0" w:rsidRPr="009B3C1F">
        <w:rPr>
          <w:rFonts w:ascii="Times New Roman" w:eastAsia="Times New Roman" w:hAnsi="Times New Roman" w:cs="Times New Roman"/>
          <w:b/>
          <w:sz w:val="24"/>
          <w:szCs w:val="24"/>
          <w:highlight w:val="magenta"/>
          <w:lang w:val="en-US"/>
        </w:rPr>
        <w:t xml:space="preserve">Participants </w:t>
      </w:r>
      <w:commentRangeStart w:id="2"/>
      <w:r w:rsidR="002B6BF1" w:rsidRPr="009B3C1F">
        <w:rPr>
          <w:rFonts w:ascii="Times New Roman" w:eastAsia="Times New Roman" w:hAnsi="Times New Roman" w:cs="Times New Roman"/>
          <w:b/>
          <w:sz w:val="24"/>
          <w:szCs w:val="24"/>
          <w:highlight w:val="magenta"/>
          <w:lang w:val="en-US"/>
        </w:rPr>
        <w:t>a</w:t>
      </w:r>
      <w:r w:rsidRPr="009B3C1F">
        <w:rPr>
          <w:rFonts w:ascii="Times New Roman" w:eastAsia="Times New Roman" w:hAnsi="Times New Roman" w:cs="Times New Roman"/>
          <w:b/>
          <w:sz w:val="24"/>
          <w:szCs w:val="24"/>
          <w:highlight w:val="magenta"/>
          <w:lang w:val="en-US"/>
        </w:rPr>
        <w:t>nd</w:t>
      </w:r>
      <w:commentRangeEnd w:id="2"/>
      <w:r w:rsidR="006A6BC4">
        <w:rPr>
          <w:rStyle w:val="CommentReference"/>
        </w:rPr>
        <w:commentReference w:id="2"/>
      </w:r>
      <w:r w:rsidRPr="00DA30FD">
        <w:rPr>
          <w:rFonts w:ascii="Times New Roman" w:eastAsia="Times New Roman" w:hAnsi="Times New Roman" w:cs="Times New Roman"/>
          <w:b/>
          <w:sz w:val="24"/>
          <w:szCs w:val="24"/>
          <w:lang w:val="en-US"/>
        </w:rPr>
        <w:t xml:space="preserve"> Sampling Technique</w:t>
      </w:r>
    </w:p>
    <w:p w14:paraId="53691B55" w14:textId="77777777" w:rsidR="008D1EC0" w:rsidRPr="00DA30FD"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This study's sample consisted of 397 students attending Private HEIs located in General Santos City and were currently enrolled for academic year 2025 to 2026. The researcher was able to calculate the appropriate number of respondents needed for the study by using the Slovin’s formula. The selection process used stratified sampling to ensure a more precise and accurate representation of strata. In order to approximate the population distribution, a proportional allocation method was employed, which involved computing the number of respondents from each institution by multiplying the institution's population proportion by the population total by the derived sample size.</w:t>
      </w:r>
    </w:p>
    <w:p w14:paraId="024A71C9" w14:textId="77777777" w:rsidR="008D1EC0" w:rsidRPr="00DA30FD" w:rsidRDefault="008D1EC0" w:rsidP="00DA30FD">
      <w:pPr>
        <w:spacing w:before="240" w:after="240" w:line="240" w:lineRule="auto"/>
        <w:jc w:val="both"/>
        <w:rPr>
          <w:rFonts w:ascii="Times New Roman" w:eastAsia="Times New Roman" w:hAnsi="Times New Roman" w:cs="Times New Roman"/>
          <w:b/>
          <w:bCs/>
          <w:sz w:val="24"/>
          <w:szCs w:val="24"/>
          <w:lang w:val="it-IT"/>
        </w:rPr>
      </w:pPr>
      <w:r w:rsidRPr="00DA30FD">
        <w:rPr>
          <w:rFonts w:ascii="Times New Roman" w:eastAsia="Times New Roman" w:hAnsi="Times New Roman" w:cs="Times New Roman"/>
          <w:b/>
          <w:bCs/>
          <w:sz w:val="24"/>
          <w:szCs w:val="24"/>
          <w:lang w:val="it-IT"/>
        </w:rPr>
        <w:t>2</w:t>
      </w:r>
      <w:r w:rsidR="00E8005A" w:rsidRPr="00DA30FD">
        <w:rPr>
          <w:rFonts w:ascii="Times New Roman" w:eastAsia="Times New Roman" w:hAnsi="Times New Roman" w:cs="Times New Roman"/>
          <w:b/>
          <w:bCs/>
          <w:sz w:val="24"/>
          <w:szCs w:val="24"/>
          <w:lang w:val="it-IT"/>
        </w:rPr>
        <w:t xml:space="preserve">.3 </w:t>
      </w:r>
      <w:r w:rsidR="00F1610B" w:rsidRPr="00DA30FD">
        <w:rPr>
          <w:rFonts w:ascii="Times New Roman" w:eastAsia="Times New Roman" w:hAnsi="Times New Roman" w:cs="Times New Roman"/>
          <w:b/>
          <w:bCs/>
          <w:sz w:val="24"/>
          <w:szCs w:val="24"/>
          <w:lang w:val="it-IT"/>
        </w:rPr>
        <w:t xml:space="preserve">Research </w:t>
      </w:r>
      <w:r w:rsidR="00E8005A" w:rsidRPr="00DA30FD">
        <w:rPr>
          <w:rFonts w:ascii="Times New Roman" w:eastAsia="Times New Roman" w:hAnsi="Times New Roman" w:cs="Times New Roman"/>
          <w:b/>
          <w:bCs/>
          <w:sz w:val="24"/>
          <w:szCs w:val="24"/>
          <w:lang w:val="it-IT"/>
        </w:rPr>
        <w:t xml:space="preserve">Instrument </w:t>
      </w:r>
    </w:p>
    <w:p w14:paraId="7CFBE0B1"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The main instrument used for collecting data was a Likert-type questionnaire with a five-point scale (5 – strongly agree, 4 – agree, 3 – moderately agree, 2 – disagree, and 1 – strongly disagree) grouped into five indicators: performance expectancy, effort expectancy, social influence, facilitating condition and behavioral intention. The questionnaire was adapted from Sou, et al. (2022) and consisted of 30 items. The research tool was formally tested for validity and reliability. Reliability of the research instrument was determined with the use of Cronbach's Alpha. The entire instrument (30 items) is an excellent measure based on a .953 Cronbach’s alpha score of the instrument. All of the items are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F1610B" w:rsidRPr="00DA30FD" w14:paraId="0ABF7FEC" w14:textId="77777777" w:rsidTr="00F1610B">
        <w:trPr>
          <w:jc w:val="center"/>
        </w:trPr>
        <w:tc>
          <w:tcPr>
            <w:tcW w:w="5000" w:type="pct"/>
            <w:gridSpan w:val="2"/>
            <w:tcBorders>
              <w:top w:val="single" w:sz="4" w:space="0" w:color="FFFFFF" w:themeColor="background1"/>
              <w:bottom w:val="single" w:sz="4" w:space="0" w:color="auto"/>
            </w:tcBorders>
            <w:vAlign w:val="center"/>
          </w:tcPr>
          <w:p w14:paraId="65E7DABD" w14:textId="77777777" w:rsidR="00F1610B" w:rsidRPr="00DA30FD" w:rsidRDefault="00F1610B" w:rsidP="00DA30FD">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 xml:space="preserve">Table 1. </w:t>
            </w:r>
            <w:r w:rsidRPr="00DA30FD">
              <w:rPr>
                <w:rFonts w:ascii="Times New Roman" w:eastAsia="Times New Roman" w:hAnsi="Times New Roman" w:cs="Times New Roman"/>
                <w:bCs/>
                <w:color w:val="000000"/>
                <w:sz w:val="24"/>
                <w:szCs w:val="24"/>
                <w:lang w:val="en-US" w:eastAsia="de-DE" w:bidi="en-US"/>
              </w:rPr>
              <w:t>Results of Cronbach’s Alpha for Pilot Study.</w:t>
            </w:r>
          </w:p>
        </w:tc>
      </w:tr>
      <w:tr w:rsidR="00F1610B" w:rsidRPr="00DA30FD" w14:paraId="3031CE9C" w14:textId="77777777" w:rsidTr="00F1610B">
        <w:trPr>
          <w:jc w:val="center"/>
        </w:trPr>
        <w:tc>
          <w:tcPr>
            <w:tcW w:w="2500" w:type="pct"/>
            <w:tcBorders>
              <w:bottom w:val="single" w:sz="4" w:space="0" w:color="auto"/>
            </w:tcBorders>
            <w:vAlign w:val="center"/>
          </w:tcPr>
          <w:p w14:paraId="6F9B2C7D" w14:textId="77777777" w:rsidR="00F1610B" w:rsidRPr="00DA30FD" w:rsidRDefault="00F1610B" w:rsidP="00F1610B">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No. of Items</w:t>
            </w:r>
          </w:p>
        </w:tc>
      </w:tr>
      <w:tr w:rsidR="00F1610B" w:rsidRPr="00DA30FD" w14:paraId="3F3E57D7" w14:textId="77777777" w:rsidTr="00F1610B">
        <w:trPr>
          <w:trHeight w:val="244"/>
          <w:jc w:val="center"/>
        </w:trPr>
        <w:tc>
          <w:tcPr>
            <w:tcW w:w="2500" w:type="pct"/>
            <w:tcBorders>
              <w:bottom w:val="single" w:sz="4" w:space="0" w:color="auto"/>
            </w:tcBorders>
            <w:vAlign w:val="center"/>
          </w:tcPr>
          <w:p w14:paraId="01D00BA5"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b/>
                <w:bCs/>
                <w:snapToGrid w:val="0"/>
                <w:color w:val="000000"/>
                <w:sz w:val="24"/>
                <w:szCs w:val="24"/>
                <w:lang w:val="en-US" w:eastAsia="de-DE" w:bidi="en-US"/>
              </w:rPr>
              <w:t>30</w:t>
            </w:r>
          </w:p>
        </w:tc>
      </w:tr>
      <w:tr w:rsidR="00F1610B" w:rsidRPr="00DA30FD" w14:paraId="405247F6" w14:textId="77777777" w:rsidTr="00F1610B">
        <w:trPr>
          <w:jc w:val="center"/>
        </w:trPr>
        <w:tc>
          <w:tcPr>
            <w:tcW w:w="5000" w:type="pct"/>
            <w:gridSpan w:val="2"/>
            <w:tcBorders>
              <w:bottom w:val="nil"/>
            </w:tcBorders>
            <w:vAlign w:val="center"/>
          </w:tcPr>
          <w:p w14:paraId="55BC9FFB" w14:textId="77777777" w:rsidR="00F1610B" w:rsidRPr="00DA30FD" w:rsidRDefault="00F1610B" w:rsidP="00DA30FD">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i/>
                <w:snapToGrid w:val="0"/>
                <w:color w:val="000000"/>
                <w:sz w:val="24"/>
                <w:szCs w:val="24"/>
                <w:lang w:val="en-US" w:eastAsia="de-DE" w:bidi="en-US"/>
              </w:rPr>
              <w:t>Note</w:t>
            </w:r>
            <w:r w:rsidRPr="00DA30FD">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51A3ECA7" w:rsidR="00F1610B" w:rsidRPr="00DA30FD" w:rsidRDefault="00E8005A" w:rsidP="00DA30FD">
      <w:pPr>
        <w:spacing w:before="240" w:after="240" w:line="240" w:lineRule="auto"/>
        <w:jc w:val="both"/>
        <w:rPr>
          <w:rFonts w:ascii="Times New Roman" w:eastAsia="Times New Roman" w:hAnsi="Times New Roman" w:cs="Times New Roman"/>
          <w:b/>
          <w:sz w:val="24"/>
          <w:szCs w:val="24"/>
          <w:lang w:val="it-IT"/>
        </w:rPr>
      </w:pPr>
      <w:r w:rsidRPr="00DA30FD">
        <w:rPr>
          <w:rFonts w:ascii="Times New Roman" w:eastAsia="Times New Roman" w:hAnsi="Times New Roman" w:cs="Times New Roman"/>
          <w:b/>
          <w:sz w:val="24"/>
          <w:szCs w:val="24"/>
          <w:lang w:val="it-IT"/>
        </w:rPr>
        <w:t xml:space="preserve">2.4 </w:t>
      </w:r>
      <w:r w:rsidR="00F1610B" w:rsidRPr="00D731A5">
        <w:rPr>
          <w:rFonts w:ascii="Times New Roman" w:eastAsia="Times New Roman" w:hAnsi="Times New Roman" w:cs="Times New Roman"/>
          <w:b/>
          <w:sz w:val="24"/>
          <w:szCs w:val="24"/>
          <w:highlight w:val="magenta"/>
          <w:lang w:val="it-IT"/>
        </w:rPr>
        <w:t xml:space="preserve">Data </w:t>
      </w:r>
      <w:r w:rsidRPr="00D731A5">
        <w:rPr>
          <w:rFonts w:ascii="Times New Roman" w:eastAsia="Times New Roman" w:hAnsi="Times New Roman" w:cs="Times New Roman"/>
          <w:b/>
          <w:sz w:val="24"/>
          <w:szCs w:val="24"/>
          <w:highlight w:val="magenta"/>
          <w:lang w:val="it-IT"/>
        </w:rPr>
        <w:t xml:space="preserve">Gathering </w:t>
      </w:r>
      <w:commentRangeStart w:id="3"/>
      <w:r w:rsidRPr="00D731A5">
        <w:rPr>
          <w:rFonts w:ascii="Times New Roman" w:eastAsia="Times New Roman" w:hAnsi="Times New Roman" w:cs="Times New Roman"/>
          <w:b/>
          <w:sz w:val="24"/>
          <w:szCs w:val="24"/>
          <w:highlight w:val="magenta"/>
          <w:lang w:val="it-IT"/>
        </w:rPr>
        <w:t>Procedur</w:t>
      </w:r>
      <w:r w:rsidR="00F0461A">
        <w:rPr>
          <w:rFonts w:ascii="Times New Roman" w:eastAsia="Times New Roman" w:hAnsi="Times New Roman" w:cs="Times New Roman"/>
          <w:b/>
          <w:sz w:val="24"/>
          <w:szCs w:val="24"/>
          <w:highlight w:val="magenta"/>
          <w:lang w:val="it-IT"/>
        </w:rPr>
        <w:t>e</w:t>
      </w:r>
      <w:commentRangeEnd w:id="3"/>
      <w:r w:rsidR="00A73ED7">
        <w:rPr>
          <w:rStyle w:val="CommentReference"/>
        </w:rPr>
        <w:commentReference w:id="3"/>
      </w:r>
    </w:p>
    <w:p w14:paraId="12DD7940" w14:textId="77777777" w:rsidR="00D43E30"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In collecting the data for this study, the researcher was continually guided by the procedures involved and a strong sense of ethics. Ethical considerations were significant at all stages of the research procedure. The study was completed using conventional and traditional data collection methods with an in-person survey that included physically distributing and collecting copies of the survey questionnaire. The researcher visited respondents personally in order to maximize engagement and provide immediate clarification regarding the questionnaire. This traditional style was designed to help facilitate direct communication between the respondent and researcher, enabling the researcher to accommodate respondents' involvement and ensure data collection was well-organized, namely through face-to-face interact</w:t>
      </w:r>
      <w:r w:rsidR="00DA30FD" w:rsidRPr="00DA30FD">
        <w:rPr>
          <w:rFonts w:ascii="Times New Roman" w:eastAsia="Times New Roman" w:hAnsi="Times New Roman" w:cs="Times New Roman"/>
          <w:sz w:val="24"/>
          <w:szCs w:val="24"/>
          <w:lang w:val="it-IT"/>
        </w:rPr>
        <w:t>ions in the campus environment.</w:t>
      </w:r>
    </w:p>
    <w:p w14:paraId="5581536E" w14:textId="77777777" w:rsidR="00F1610B" w:rsidRPr="00DA30FD" w:rsidRDefault="00E8005A" w:rsidP="00DA30FD">
      <w:pPr>
        <w:spacing w:before="240" w:after="240" w:line="240" w:lineRule="auto"/>
        <w:jc w:val="both"/>
        <w:rPr>
          <w:rFonts w:ascii="Times New Roman" w:eastAsia="Times New Roman" w:hAnsi="Times New Roman" w:cs="Times New Roman"/>
          <w:b/>
          <w:bCs/>
          <w:sz w:val="24"/>
          <w:szCs w:val="24"/>
          <w:lang w:val="it-IT"/>
        </w:rPr>
      </w:pPr>
      <w:r w:rsidRPr="00DA30FD">
        <w:rPr>
          <w:rFonts w:ascii="Times New Roman" w:eastAsia="Times New Roman" w:hAnsi="Times New Roman" w:cs="Times New Roman"/>
          <w:b/>
          <w:bCs/>
          <w:sz w:val="24"/>
          <w:szCs w:val="24"/>
          <w:lang w:val="it-IT"/>
        </w:rPr>
        <w:t xml:space="preserve">2.5 </w:t>
      </w:r>
      <w:r w:rsidR="00F1610B" w:rsidRPr="00DA30FD">
        <w:rPr>
          <w:rFonts w:ascii="Times New Roman" w:eastAsia="Times New Roman" w:hAnsi="Times New Roman" w:cs="Times New Roman"/>
          <w:b/>
          <w:bCs/>
          <w:sz w:val="24"/>
          <w:szCs w:val="24"/>
          <w:lang w:val="it-IT"/>
        </w:rPr>
        <w:t xml:space="preserve">Data </w:t>
      </w:r>
      <w:r w:rsidRPr="00DA30FD">
        <w:rPr>
          <w:rFonts w:ascii="Times New Roman" w:eastAsia="Times New Roman" w:hAnsi="Times New Roman" w:cs="Times New Roman"/>
          <w:b/>
          <w:bCs/>
          <w:sz w:val="24"/>
          <w:szCs w:val="24"/>
          <w:lang w:val="it-IT"/>
        </w:rPr>
        <w:t>Analysis Procedure</w:t>
      </w:r>
    </w:p>
    <w:p w14:paraId="5D6A923A"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influencing the behavioral intention of students to use mobile payment systems. For the descriptive analysis, the researcher offered a summary and basic characteristic of all the factors that relate to the acceptance of mobile payment systems by privately enrolled students attending higher educational institutions within General Santos City. Additionally, Pearson's moment-correlation to determine the relationship of each of the factors to one another, and multiple linear regressed to determine which factors are significantly related to the adoption of mobile payment systems.</w:t>
      </w:r>
    </w:p>
    <w:p w14:paraId="5C78B128" w14:textId="77777777" w:rsidR="00DA30FD" w:rsidRPr="00DA30FD" w:rsidRDefault="00F1610B" w:rsidP="0033465A">
      <w:pPr>
        <w:spacing w:before="240" w:after="240" w:line="240" w:lineRule="auto"/>
        <w:ind w:firstLine="720"/>
        <w:jc w:val="both"/>
        <w:rPr>
          <w:rFonts w:ascii="Times New Roman" w:eastAsia="Times New Roman" w:hAnsi="Times New Roman" w:cs="Times New Roman"/>
          <w:sz w:val="24"/>
          <w:szCs w:val="24"/>
          <w:lang w:val="it-IT" w:bidi="en-US"/>
        </w:rPr>
      </w:pPr>
      <w:r w:rsidRPr="00DA30FD">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 the tests performed were done at the .05 Alpha Level (α = .05) where p less than .05 indicated statistical significance. For correlation analysis, both correlation coefficient and p value were recorded for reference, whereas for regression analysis, several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F1610B" w:rsidRPr="00DA30FD" w14:paraId="02FA6D99" w14:textId="77777777" w:rsidTr="00E6134E">
        <w:trPr>
          <w:trHeight w:val="329"/>
          <w:jc w:val="right"/>
        </w:trPr>
        <w:tc>
          <w:tcPr>
            <w:tcW w:w="5000" w:type="pct"/>
            <w:gridSpan w:val="4"/>
          </w:tcPr>
          <w:p w14:paraId="1D312F90" w14:textId="77777777" w:rsidR="00F1610B" w:rsidRPr="00DA30FD" w:rsidRDefault="00F1610B" w:rsidP="00DA30FD">
            <w:pPr>
              <w:spacing w:after="24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Table 2. </w:t>
            </w:r>
            <w:r w:rsidRPr="00DA30FD">
              <w:rPr>
                <w:rFonts w:ascii="Times New Roman" w:eastAsia="Times New Roman" w:hAnsi="Times New Roman" w:cs="Times New Roman"/>
                <w:bCs/>
                <w:iCs/>
                <w:sz w:val="24"/>
                <w:szCs w:val="24"/>
                <w:lang w:val="en-US" w:eastAsia="it-IT"/>
              </w:rPr>
              <w:t>Scoring range of the likert scale for the factors influencing the adoption of the mobile payment systems</w:t>
            </w:r>
            <w:r w:rsidRPr="00DA30FD">
              <w:rPr>
                <w:rFonts w:ascii="Times New Roman" w:eastAsia="Times New Roman" w:hAnsi="Times New Roman" w:cs="Times New Roman"/>
                <w:bCs/>
                <w:i/>
                <w:sz w:val="24"/>
                <w:szCs w:val="24"/>
                <w:lang w:val="en-US" w:eastAsia="it-IT"/>
              </w:rPr>
              <w:t>.</w:t>
            </w:r>
          </w:p>
        </w:tc>
      </w:tr>
      <w:tr w:rsidR="00F1610B" w:rsidRPr="00DA30FD" w14:paraId="33CEEFF7" w14:textId="77777777" w:rsidTr="00E6134E">
        <w:trPr>
          <w:jc w:val="right"/>
        </w:trPr>
        <w:tc>
          <w:tcPr>
            <w:tcW w:w="451" w:type="pct"/>
            <w:tcBorders>
              <w:top w:val="single" w:sz="4" w:space="0" w:color="auto"/>
              <w:bottom w:val="single" w:sz="4" w:space="0" w:color="auto"/>
            </w:tcBorders>
          </w:tcPr>
          <w:p w14:paraId="5C4B4898" w14:textId="77777777" w:rsidR="00F1610B" w:rsidRPr="00DA30FD" w:rsidRDefault="00F1610B" w:rsidP="00F1610B">
            <w:pPr>
              <w:spacing w:after="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F1610B" w:rsidRPr="00DA30FD" w14:paraId="7A94E99E" w14:textId="77777777" w:rsidTr="00E6134E">
        <w:trPr>
          <w:jc w:val="right"/>
        </w:trPr>
        <w:tc>
          <w:tcPr>
            <w:tcW w:w="451" w:type="pct"/>
            <w:tcBorders>
              <w:top w:val="single" w:sz="4" w:space="0" w:color="auto"/>
            </w:tcBorders>
          </w:tcPr>
          <w:p w14:paraId="24D89AF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adoption of mobile payments.</w:t>
            </w:r>
          </w:p>
        </w:tc>
      </w:tr>
      <w:tr w:rsidR="00F1610B" w:rsidRPr="00DA30FD" w14:paraId="7B13B192" w14:textId="77777777" w:rsidTr="00E6134E">
        <w:trPr>
          <w:jc w:val="right"/>
        </w:trPr>
        <w:tc>
          <w:tcPr>
            <w:tcW w:w="451" w:type="pct"/>
          </w:tcPr>
          <w:p w14:paraId="3DD35F1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96" w:type="pct"/>
          </w:tcPr>
          <w:p w14:paraId="70F4D11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7B0685B1"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4443E0CB"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a positive view of the adoption of mobile payments.</w:t>
            </w:r>
          </w:p>
        </w:tc>
      </w:tr>
      <w:tr w:rsidR="00F1610B" w:rsidRPr="00DA30FD" w14:paraId="249CDA4F" w14:textId="77777777" w:rsidTr="00E6134E">
        <w:trPr>
          <w:jc w:val="right"/>
        </w:trPr>
        <w:tc>
          <w:tcPr>
            <w:tcW w:w="451" w:type="pct"/>
          </w:tcPr>
          <w:p w14:paraId="3D90287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96" w:type="pct"/>
          </w:tcPr>
          <w:p w14:paraId="5E6D7C4D"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294687B7"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11D146F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somewhat agrees with the adoption of mobile payments.</w:t>
            </w:r>
          </w:p>
        </w:tc>
      </w:tr>
      <w:tr w:rsidR="00F1610B" w:rsidRPr="00DA30FD" w14:paraId="39C103F0" w14:textId="77777777" w:rsidTr="00E6134E">
        <w:trPr>
          <w:jc w:val="right"/>
        </w:trPr>
        <w:tc>
          <w:tcPr>
            <w:tcW w:w="451" w:type="pct"/>
          </w:tcPr>
          <w:p w14:paraId="306FDB5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96" w:type="pct"/>
          </w:tcPr>
          <w:p w14:paraId="4E3EA63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547B97B9"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247864D5"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adoption of mobile payments.</w:t>
            </w:r>
          </w:p>
        </w:tc>
      </w:tr>
      <w:tr w:rsidR="00F1610B" w:rsidRPr="00DA30FD" w14:paraId="633ED2D9" w14:textId="77777777" w:rsidTr="00E6134E">
        <w:trPr>
          <w:trHeight w:val="306"/>
          <w:jc w:val="right"/>
        </w:trPr>
        <w:tc>
          <w:tcPr>
            <w:tcW w:w="451" w:type="pct"/>
            <w:tcBorders>
              <w:bottom w:val="single" w:sz="4" w:space="0" w:color="auto"/>
            </w:tcBorders>
          </w:tcPr>
          <w:p w14:paraId="3CC0EFB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20B080A0"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CE6E0A" w:rsidRPr="00DA30FD" w14:paraId="37F20E14" w14:textId="77777777" w:rsidTr="00E6134E">
        <w:trPr>
          <w:jc w:val="right"/>
        </w:trPr>
        <w:tc>
          <w:tcPr>
            <w:tcW w:w="5000" w:type="pct"/>
            <w:gridSpan w:val="4"/>
            <w:tcBorders>
              <w:bottom w:val="single" w:sz="4" w:space="0" w:color="auto"/>
            </w:tcBorders>
          </w:tcPr>
          <w:p w14:paraId="332BF210" w14:textId="77777777" w:rsidR="00CE6E0A" w:rsidRPr="00DA30FD" w:rsidRDefault="00CE6E0A" w:rsidP="00DA30FD">
            <w:pPr>
              <w:spacing w:after="240" w:line="240" w:lineRule="auto"/>
              <w:rPr>
                <w:rFonts w:ascii="Times New Roman" w:eastAsia="Times New Roman" w:hAnsi="Times New Roman" w:cs="Times New Roman"/>
                <w:b/>
                <w:bCs/>
                <w:i/>
                <w:sz w:val="24"/>
                <w:szCs w:val="24"/>
                <w:lang w:val="en-US" w:eastAsia="it-IT"/>
              </w:rPr>
            </w:pPr>
            <w:r w:rsidRPr="00DA30FD">
              <w:rPr>
                <w:rFonts w:ascii="Times New Roman" w:eastAsia="Times New Roman" w:hAnsi="Times New Roman" w:cs="Times New Roman"/>
                <w:b/>
                <w:bCs/>
                <w:sz w:val="24"/>
                <w:szCs w:val="24"/>
                <w:lang w:val="en-US" w:eastAsia="it-IT"/>
              </w:rPr>
              <w:t>Table 3</w:t>
            </w:r>
            <w:r w:rsidRPr="00DA30FD">
              <w:rPr>
                <w:rFonts w:ascii="Times New Roman" w:eastAsia="Times New Roman" w:hAnsi="Times New Roman" w:cs="Times New Roman"/>
                <w:b/>
                <w:bCs/>
                <w:i/>
                <w:sz w:val="24"/>
                <w:szCs w:val="24"/>
                <w:lang w:val="en-US" w:eastAsia="it-IT"/>
              </w:rPr>
              <w:t xml:space="preserve">. </w:t>
            </w:r>
            <w:r w:rsidRPr="00DA30FD">
              <w:rPr>
                <w:rFonts w:ascii="Times New Roman" w:eastAsia="Times New Roman" w:hAnsi="Times New Roman" w:cs="Times New Roman"/>
                <w:bCs/>
                <w:iCs/>
                <w:sz w:val="24"/>
                <w:szCs w:val="24"/>
                <w:lang w:val="en-US" w:eastAsia="it-IT"/>
              </w:rPr>
              <w:t>Scoring range of the likert scale of the students’ behavioral intention towards the adoption of mobile payment systems</w:t>
            </w:r>
          </w:p>
        </w:tc>
      </w:tr>
      <w:tr w:rsidR="00CE6E0A" w:rsidRPr="00DA30FD" w14:paraId="22A4FB0B" w14:textId="77777777" w:rsidTr="00E6134E">
        <w:trPr>
          <w:jc w:val="right"/>
        </w:trPr>
        <w:tc>
          <w:tcPr>
            <w:tcW w:w="483" w:type="pct"/>
            <w:tcBorders>
              <w:top w:val="single" w:sz="4" w:space="0" w:color="auto"/>
              <w:bottom w:val="single" w:sz="4" w:space="0" w:color="auto"/>
            </w:tcBorders>
          </w:tcPr>
          <w:p w14:paraId="5C12ECEE" w14:textId="77777777" w:rsidR="00CE6E0A" w:rsidRPr="00DA30FD" w:rsidRDefault="00CE6E0A" w:rsidP="00CE6E0A">
            <w:pPr>
              <w:spacing w:after="0" w:line="240" w:lineRule="auto"/>
              <w:jc w:val="both"/>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CE6E0A" w:rsidRPr="00DA30FD" w14:paraId="6ED7F312" w14:textId="77777777" w:rsidTr="00E6134E">
        <w:trPr>
          <w:jc w:val="right"/>
        </w:trPr>
        <w:tc>
          <w:tcPr>
            <w:tcW w:w="483" w:type="pct"/>
            <w:tcBorders>
              <w:top w:val="single" w:sz="4" w:space="0" w:color="auto"/>
            </w:tcBorders>
          </w:tcPr>
          <w:p w14:paraId="2E3F90B7"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CE6E0A" w:rsidRPr="00DA30FD" w14:paraId="05C43D85" w14:textId="77777777" w:rsidTr="00E6134E">
        <w:trPr>
          <w:jc w:val="right"/>
        </w:trPr>
        <w:tc>
          <w:tcPr>
            <w:tcW w:w="483" w:type="pct"/>
          </w:tcPr>
          <w:p w14:paraId="6D94E8C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64" w:type="pct"/>
          </w:tcPr>
          <w:p w14:paraId="04B41D00"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0CC94DB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21B7084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positive view with the intention to adopt payment system.</w:t>
            </w:r>
          </w:p>
        </w:tc>
      </w:tr>
      <w:tr w:rsidR="00CE6E0A" w:rsidRPr="00DA30FD" w14:paraId="373125BA" w14:textId="77777777" w:rsidTr="00E6134E">
        <w:trPr>
          <w:jc w:val="right"/>
        </w:trPr>
        <w:tc>
          <w:tcPr>
            <w:tcW w:w="483" w:type="pct"/>
          </w:tcPr>
          <w:p w14:paraId="5478C89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64" w:type="pct"/>
          </w:tcPr>
          <w:p w14:paraId="38B5432B"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1CDEA66F"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24A3B3B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students somewhat agree with the   intention to adopt mobile payment system.</w:t>
            </w:r>
          </w:p>
        </w:tc>
      </w:tr>
      <w:tr w:rsidR="00CE6E0A" w:rsidRPr="00DA30FD" w14:paraId="1794B82A" w14:textId="77777777" w:rsidTr="00E6134E">
        <w:trPr>
          <w:jc w:val="right"/>
        </w:trPr>
        <w:tc>
          <w:tcPr>
            <w:tcW w:w="483" w:type="pct"/>
          </w:tcPr>
          <w:p w14:paraId="738132A6"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64" w:type="pct"/>
          </w:tcPr>
          <w:p w14:paraId="3E81019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7626DE49"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4C2A8DF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intention to adopt mobile payment system.</w:t>
            </w:r>
          </w:p>
        </w:tc>
      </w:tr>
      <w:tr w:rsidR="00CE6E0A" w:rsidRPr="00DA30FD" w14:paraId="6373F9C2" w14:textId="77777777" w:rsidTr="00E6134E">
        <w:trPr>
          <w:trHeight w:val="306"/>
          <w:jc w:val="right"/>
        </w:trPr>
        <w:tc>
          <w:tcPr>
            <w:tcW w:w="483" w:type="pct"/>
            <w:tcBorders>
              <w:bottom w:val="single" w:sz="4" w:space="0" w:color="auto"/>
            </w:tcBorders>
          </w:tcPr>
          <w:p w14:paraId="3F69D3A9"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08BC74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40DFC421"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intention to adopt mobile payment system.</w:t>
            </w:r>
          </w:p>
        </w:tc>
      </w:tr>
    </w:tbl>
    <w:p w14:paraId="73416429" w14:textId="77777777"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it-IT" w:bidi="en-US"/>
        </w:rPr>
      </w:pPr>
      <w:r w:rsidRPr="00DA30FD">
        <w:rPr>
          <w:rFonts w:ascii="Times New Roman" w:eastAsia="Times New Roman" w:hAnsi="Times New Roman" w:cs="Times New Roman"/>
          <w:b/>
          <w:bCs/>
          <w:sz w:val="24"/>
          <w:szCs w:val="24"/>
          <w:lang w:val="it-IT" w:bidi="en-US"/>
        </w:rPr>
        <w:t>2.6 Ethical Considerations</w:t>
      </w:r>
    </w:p>
    <w:p w14:paraId="2EAC6D2F" w14:textId="77777777" w:rsidR="00CE6E0A"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researcher had taken into account ethical issues related on voluntary participation, anonymity, confidentiality as well as the avoidance of harm or discomfort to the respondents.</w:t>
      </w:r>
      <w:r w:rsidRPr="00DA30FD">
        <w:rPr>
          <w:rFonts w:ascii="Times New Roman" w:eastAsia="Times New Roman" w:hAnsi="Times New Roman" w:cs="Times New Roman"/>
          <w:bCs/>
          <w:sz w:val="24"/>
          <w:szCs w:val="24"/>
          <w:lang w:bidi="en-US"/>
        </w:rPr>
        <w:t xml:space="preserve"> </w:t>
      </w:r>
      <w:r w:rsidRPr="00DA30FD">
        <w:rPr>
          <w:rFonts w:ascii="Times New Roman" w:eastAsia="Times New Roman" w:hAnsi="Times New Roman" w:cs="Times New Roman"/>
          <w:bCs/>
          <w:sz w:val="24"/>
          <w:szCs w:val="24"/>
          <w:lang w:val="en-US" w:bidi="en-US"/>
        </w:rPr>
        <w:t>A researcher collected all necessary data in accordance with accepted research practices and/or precautions. All data collected will only be used for research purposes, and the confidentiality of respondents is maintained in order to prevent the violation of an individual's right of privacy. In addition, all respondents were treated with equal respect, and data analysis was done in an objective manner so that no individual or group of individuals could be marginalized or misinterpreted. By maintaining a neutral or unbiased position, the researcher has fulfilled his obligation to give each individual involved in this study equal justice by distributing the benefits and burdens of the research evenly across a representative student population of General Santos City.</w:t>
      </w:r>
    </w:p>
    <w:p w14:paraId="27E57A52" w14:textId="77777777" w:rsidR="00E8005A" w:rsidRDefault="00E8005A" w:rsidP="00DA30FD">
      <w:pPr>
        <w:spacing w:before="240" w:after="240" w:line="240" w:lineRule="auto"/>
        <w:jc w:val="both"/>
        <w:rPr>
          <w:rFonts w:ascii="Times New Roman" w:eastAsia="Times New Roman" w:hAnsi="Times New Roman" w:cs="Times New Roman"/>
          <w:bCs/>
          <w:sz w:val="24"/>
          <w:szCs w:val="24"/>
          <w:lang w:val="en-US" w:bidi="en-US"/>
        </w:rPr>
      </w:pPr>
    </w:p>
    <w:p w14:paraId="299251E4" w14:textId="77777777" w:rsidR="0033465A" w:rsidRPr="00DA30FD" w:rsidRDefault="0033465A" w:rsidP="00DA30FD">
      <w:pPr>
        <w:spacing w:before="240" w:after="240" w:line="240" w:lineRule="auto"/>
        <w:jc w:val="both"/>
        <w:rPr>
          <w:rFonts w:ascii="Times New Roman" w:eastAsia="Times New Roman" w:hAnsi="Times New Roman" w:cs="Times New Roman"/>
          <w:bCs/>
          <w:sz w:val="24"/>
          <w:szCs w:val="24"/>
          <w:lang w:val="en-US" w:bidi="en-US"/>
        </w:rPr>
      </w:pPr>
    </w:p>
    <w:p w14:paraId="6D5C50D9" w14:textId="77777777" w:rsidR="00CE6E0A" w:rsidRPr="00DA30FD" w:rsidRDefault="00DA30FD" w:rsidP="00DA30FD">
      <w:pPr>
        <w:spacing w:before="240" w:after="240" w:line="240" w:lineRule="auto"/>
        <w:jc w:val="center"/>
        <w:rPr>
          <w:rFonts w:ascii="Times New Roman" w:eastAsia="Times New Roman" w:hAnsi="Times New Roman" w:cs="Times New Roman"/>
          <w:b/>
          <w:bCs/>
          <w:sz w:val="28"/>
          <w:szCs w:val="24"/>
          <w:lang w:val="en-US" w:bidi="en-US"/>
        </w:rPr>
      </w:pPr>
      <w:r w:rsidRPr="00DA30FD">
        <w:rPr>
          <w:rFonts w:ascii="Times New Roman" w:eastAsia="Times New Roman" w:hAnsi="Times New Roman" w:cs="Times New Roman"/>
          <w:b/>
          <w:bCs/>
          <w:sz w:val="28"/>
          <w:szCs w:val="24"/>
          <w:lang w:val="en-US" w:bidi="en-US"/>
        </w:rPr>
        <w:t xml:space="preserve">3. RESULTS </w:t>
      </w:r>
    </w:p>
    <w:p w14:paraId="09967771" w14:textId="77777777"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 Extent to W</w:t>
      </w:r>
      <w:r w:rsidR="00CE6E0A" w:rsidRPr="00DA30FD">
        <w:rPr>
          <w:rFonts w:ascii="Times New Roman" w:eastAsia="Times New Roman" w:hAnsi="Times New Roman" w:cs="Times New Roman"/>
          <w:b/>
          <w:bCs/>
          <w:sz w:val="24"/>
          <w:szCs w:val="24"/>
          <w:lang w:val="en-US" w:bidi="en-US"/>
        </w:rPr>
        <w:t>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CE6E0A" w:rsidRPr="00DA30FD" w14:paraId="4128D321" w14:textId="77777777" w:rsidTr="00E6134E">
        <w:trPr>
          <w:trHeight w:val="301"/>
          <w:jc w:val="right"/>
        </w:trPr>
        <w:tc>
          <w:tcPr>
            <w:tcW w:w="5000" w:type="pct"/>
            <w:gridSpan w:val="3"/>
            <w:tcBorders>
              <w:top w:val="nil"/>
              <w:bottom w:val="single" w:sz="4" w:space="0" w:color="auto"/>
            </w:tcBorders>
          </w:tcPr>
          <w:p w14:paraId="6C70DF06" w14:textId="77777777" w:rsidR="00CE6E0A" w:rsidRPr="00DA30FD" w:rsidRDefault="00CE6E0A" w:rsidP="00DA30FD">
            <w:pPr>
              <w:adjustRightInd w:val="0"/>
              <w:snapToGrid w:val="0"/>
              <w:spacing w:after="240" w:line="240" w:lineRule="auto"/>
              <w:outlineLvl w:val="1"/>
              <w:rPr>
                <w:rFonts w:ascii="Times New Roman" w:eastAsia="Times New Roman" w:hAnsi="Times New Roman" w:cs="Times New Roman"/>
                <w:bCs/>
                <w:iCs/>
                <w:noProof/>
                <w:snapToGrid w:val="0"/>
                <w:color w:val="000000"/>
                <w:sz w:val="24"/>
                <w:szCs w:val="24"/>
                <w:lang w:val="en-US" w:eastAsia="de-DE" w:bidi="en-US"/>
              </w:rPr>
            </w:pPr>
            <w:r w:rsidRPr="00DA30FD">
              <w:rPr>
                <w:rFonts w:ascii="Times New Roman" w:eastAsia="Times New Roman" w:hAnsi="Times New Roman" w:cs="Times New Roman"/>
                <w:b/>
                <w:bCs/>
                <w:iCs/>
                <w:noProof/>
                <w:snapToGrid w:val="0"/>
                <w:color w:val="000000"/>
                <w:sz w:val="24"/>
                <w:szCs w:val="24"/>
                <w:lang w:val="en-US" w:eastAsia="de-DE" w:bidi="en-US"/>
              </w:rPr>
              <w:t>Table 4</w:t>
            </w:r>
            <w:r w:rsidRPr="00DA30FD">
              <w:rPr>
                <w:rFonts w:ascii="Times New Roman" w:eastAsia="Times New Roman" w:hAnsi="Times New Roman" w:cs="Times New Roman"/>
                <w:bCs/>
                <w:iCs/>
                <w:noProof/>
                <w:snapToGrid w:val="0"/>
                <w:color w:val="000000"/>
                <w:sz w:val="24"/>
                <w:szCs w:val="24"/>
                <w:lang w:val="en-US" w:eastAsia="de-DE" w:bidi="en-US"/>
              </w:rPr>
              <w:t>. Extent the Following Factors Influencing Students’ Adoption of Mobile Payment Systems.</w:t>
            </w:r>
          </w:p>
        </w:tc>
      </w:tr>
      <w:tr w:rsidR="00CE6E0A" w:rsidRPr="00DA30FD" w14:paraId="2BE00985" w14:textId="77777777" w:rsidTr="00CE6E0A">
        <w:trPr>
          <w:trHeight w:val="170"/>
          <w:jc w:val="right"/>
        </w:trPr>
        <w:tc>
          <w:tcPr>
            <w:tcW w:w="2194" w:type="pct"/>
            <w:tcBorders>
              <w:top w:val="single" w:sz="4" w:space="0" w:color="auto"/>
              <w:bottom w:val="single" w:sz="4" w:space="0" w:color="auto"/>
            </w:tcBorders>
          </w:tcPr>
          <w:p w14:paraId="56386CD5"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Description</w:t>
            </w:r>
          </w:p>
        </w:tc>
      </w:tr>
      <w:tr w:rsidR="00CE6E0A" w:rsidRPr="00DA30FD" w14:paraId="411AFAF3" w14:textId="77777777" w:rsidTr="00CE6E0A">
        <w:trPr>
          <w:trHeight w:val="260"/>
          <w:jc w:val="right"/>
        </w:trPr>
        <w:tc>
          <w:tcPr>
            <w:tcW w:w="2194" w:type="pct"/>
            <w:tcBorders>
              <w:top w:val="single" w:sz="4" w:space="0" w:color="auto"/>
            </w:tcBorders>
          </w:tcPr>
          <w:p w14:paraId="4CDA0C41"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9267E9C" w14:textId="77777777" w:rsidTr="00CE6E0A">
        <w:trPr>
          <w:trHeight w:val="312"/>
          <w:jc w:val="right"/>
        </w:trPr>
        <w:tc>
          <w:tcPr>
            <w:tcW w:w="2194" w:type="pct"/>
          </w:tcPr>
          <w:p w14:paraId="431A0BED"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Effort Expectancy</w:t>
            </w:r>
          </w:p>
        </w:tc>
        <w:tc>
          <w:tcPr>
            <w:tcW w:w="1777" w:type="pct"/>
          </w:tcPr>
          <w:p w14:paraId="5948602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Pr>
          <w:p w14:paraId="489DCF4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4936253" w14:textId="77777777" w:rsidTr="00CE6E0A">
        <w:trPr>
          <w:trHeight w:val="312"/>
          <w:jc w:val="right"/>
        </w:trPr>
        <w:tc>
          <w:tcPr>
            <w:tcW w:w="2194" w:type="pct"/>
          </w:tcPr>
          <w:p w14:paraId="04D40503"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Social Influence</w:t>
            </w:r>
          </w:p>
        </w:tc>
        <w:tc>
          <w:tcPr>
            <w:tcW w:w="1777" w:type="pct"/>
          </w:tcPr>
          <w:p w14:paraId="54D0EB80"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4.15</w:t>
            </w:r>
          </w:p>
        </w:tc>
        <w:tc>
          <w:tcPr>
            <w:tcW w:w="1029" w:type="pct"/>
          </w:tcPr>
          <w:p w14:paraId="6DE77C2B"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7FA92C89" w14:textId="77777777" w:rsidTr="00CE6E0A">
        <w:trPr>
          <w:trHeight w:val="312"/>
          <w:jc w:val="right"/>
        </w:trPr>
        <w:tc>
          <w:tcPr>
            <w:tcW w:w="2194" w:type="pct"/>
          </w:tcPr>
          <w:p w14:paraId="052FE8CA"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Facilitating Conditions</w:t>
            </w:r>
          </w:p>
        </w:tc>
        <w:tc>
          <w:tcPr>
            <w:tcW w:w="1777" w:type="pct"/>
          </w:tcPr>
          <w:p w14:paraId="1A0250A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4.28</w:t>
            </w:r>
          </w:p>
        </w:tc>
        <w:tc>
          <w:tcPr>
            <w:tcW w:w="1029" w:type="pct"/>
          </w:tcPr>
          <w:p w14:paraId="65DD8E4E"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D6AE835" w14:textId="77777777" w:rsidTr="00CE6E0A">
        <w:trPr>
          <w:trHeight w:val="216"/>
          <w:jc w:val="right"/>
        </w:trPr>
        <w:tc>
          <w:tcPr>
            <w:tcW w:w="2194" w:type="pct"/>
            <w:tcBorders>
              <w:bottom w:val="double" w:sz="4" w:space="0" w:color="auto"/>
            </w:tcBorders>
          </w:tcPr>
          <w:p w14:paraId="181E7AAF"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Agree</w:t>
            </w:r>
          </w:p>
        </w:tc>
      </w:tr>
      <w:tr w:rsidR="00CE6E0A" w:rsidRPr="00DA30FD" w14:paraId="7BDD6D7E" w14:textId="77777777" w:rsidTr="00DA30FD">
        <w:trPr>
          <w:trHeight w:val="1126"/>
          <w:jc w:val="right"/>
        </w:trPr>
        <w:tc>
          <w:tcPr>
            <w:tcW w:w="5000" w:type="pct"/>
            <w:gridSpan w:val="3"/>
            <w:tcBorders>
              <w:top w:val="double" w:sz="4" w:space="0" w:color="auto"/>
              <w:bottom w:val="double" w:sz="4" w:space="0" w:color="FFFFFF" w:themeColor="background1"/>
            </w:tcBorders>
          </w:tcPr>
          <w:p w14:paraId="395B3A6E" w14:textId="77777777" w:rsidR="00CE6E0A" w:rsidRPr="00DA30FD" w:rsidRDefault="00CE6E0A" w:rsidP="00DA30FD">
            <w:pPr>
              <w:spacing w:before="240" w:after="0" w:line="240" w:lineRule="auto"/>
              <w:jc w:val="both"/>
              <w:rPr>
                <w:rFonts w:ascii="Times New Roman" w:eastAsia="Calibri" w:hAnsi="Times New Roman" w:cs="Times New Roman"/>
                <w:sz w:val="24"/>
                <w:szCs w:val="24"/>
                <w:lang w:eastAsia="en-PH"/>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xml:space="preserve">. </w:t>
            </w:r>
            <w:r w:rsidRPr="00DA30FD">
              <w:rPr>
                <w:rFonts w:ascii="Times New Roman" w:eastAsia="Calibri" w:hAnsi="Times New Roman" w:cs="Times New Roman"/>
                <w:sz w:val="24"/>
                <w:szCs w:val="24"/>
                <w:lang w:val="en-US" w:eastAsia="en-PH"/>
              </w:rPr>
              <w:t>n = 397.</w:t>
            </w:r>
            <w:r w:rsidRPr="00DA30FD">
              <w:rPr>
                <w:rFonts w:ascii="Times New Roman" w:eastAsia="Calibri" w:hAnsi="Times New Roman" w:cs="Times New Roman"/>
                <w:sz w:val="24"/>
                <w:szCs w:val="24"/>
                <w:vertAlign w:val="subscript"/>
                <w:lang w:val="en-US" w:eastAsia="en-PH"/>
              </w:rPr>
              <w:t xml:space="preserve"> </w:t>
            </w:r>
            <w:r w:rsidRPr="00DA30FD">
              <w:rPr>
                <w:rFonts w:ascii="Times New Roman" w:eastAsia="Calibri" w:hAnsi="Times New Roman" w:cs="Times New Roman"/>
                <w:sz w:val="24"/>
                <w:szCs w:val="24"/>
                <w:lang w:val="en-US" w:eastAsia="en-PH"/>
              </w:rPr>
              <w:t>Weighted mean of the factors influencing students’ adoption of mobile    payment systems. Legend: 4.50-5.00 Strongly Agree, 3.50-4.49 Agree, 2.50-3.49 Moderately Agree, 1.50-2.49 Disagree, 1.00-1.49 Strongly Disagree</w:t>
            </w:r>
          </w:p>
        </w:tc>
      </w:tr>
    </w:tbl>
    <w:p w14:paraId="78BE6B50" w14:textId="77777777" w:rsidR="00CE6E0A" w:rsidRPr="00DA30FD" w:rsidRDefault="00E8005A"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3.1.1. Performance E</w:t>
      </w:r>
      <w:r w:rsidR="00CE6E0A" w:rsidRPr="00DA30FD">
        <w:rPr>
          <w:rFonts w:ascii="Times New Roman" w:eastAsia="Times New Roman" w:hAnsi="Times New Roman" w:cs="Times New Roman"/>
          <w:b/>
          <w:bCs/>
          <w:sz w:val="24"/>
          <w:szCs w:val="24"/>
          <w:lang w:val="en-US" w:bidi="en-US"/>
        </w:rPr>
        <w:t>xpectancy</w:t>
      </w:r>
    </w:p>
    <w:p w14:paraId="3C27D5AC" w14:textId="77777777" w:rsidR="001C38D9" w:rsidRPr="00DA30FD"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computed M = 4.29 is described as agree. This means that private students have high extent of factors that influence their adoption of mobile payment systems. The private students of higher education institution in General Santos City agree that using QR-code payment would make it easier, useful, and would increase their chances of achieving things that are important to them. Based on the above information, it can be inferred that students view technology positively. Students believe QR-code payments are helpful because they assist them with daily transactions. Their results also suggest that people will continue to use QR code payments as long as they find them useful (Islam et al., 2025). Additionally, the primary factors for adopting mobile payments include usability, overall usefulness of the technology and social influences, which lead to increased acceptance in the user base (Yamin &amp; Abdalatif, 2025).</w:t>
      </w:r>
    </w:p>
    <w:p w14:paraId="5F3CF9D4" w14:textId="77777777" w:rsidR="00CE6E0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3.1.2. Effort E</w:t>
      </w:r>
      <w:r w:rsidR="00CE6E0A" w:rsidRPr="00DA30FD">
        <w:rPr>
          <w:rFonts w:ascii="Times New Roman" w:eastAsia="Times New Roman" w:hAnsi="Times New Roman" w:cs="Times New Roman"/>
          <w:b/>
          <w:bCs/>
          <w:sz w:val="24"/>
          <w:szCs w:val="24"/>
          <w:lang w:val="en-US" w:bidi="en-US"/>
        </w:rPr>
        <w:t>xpectancy</w:t>
      </w:r>
    </w:p>
    <w:p w14:paraId="41492BC2" w14:textId="77777777" w:rsidR="00CE6E0A" w:rsidRPr="00DA30FD" w:rsidRDefault="00CE6E0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computed M = 4.29 is described as agree. This implies that the private students of higher education institution in General Santos City have</w:t>
      </w:r>
      <w:r w:rsidR="00426CAE">
        <w:rPr>
          <w:rFonts w:ascii="Times New Roman" w:eastAsia="Times New Roman" w:hAnsi="Times New Roman" w:cs="Times New Roman"/>
          <w:bCs/>
          <w:sz w:val="24"/>
          <w:szCs w:val="24"/>
          <w:lang w:val="en-US" w:bidi="en-US"/>
        </w:rPr>
        <w:t xml:space="preserve"> a high level of effort </w:t>
      </w:r>
      <w:r w:rsidRPr="00DA30FD">
        <w:rPr>
          <w:rFonts w:ascii="Times New Roman" w:eastAsia="Times New Roman" w:hAnsi="Times New Roman" w:cs="Times New Roman"/>
          <w:bCs/>
          <w:sz w:val="24"/>
          <w:szCs w:val="24"/>
          <w:lang w:val="en-US" w:bidi="en-US"/>
        </w:rPr>
        <w:t>expectancy for how easy the technology and believin</w:t>
      </w:r>
      <w:r w:rsidR="00426CAE">
        <w:rPr>
          <w:rFonts w:ascii="Times New Roman" w:eastAsia="Times New Roman" w:hAnsi="Times New Roman" w:cs="Times New Roman"/>
          <w:bCs/>
          <w:sz w:val="24"/>
          <w:szCs w:val="24"/>
          <w:lang w:val="en-US" w:bidi="en-US"/>
        </w:rPr>
        <w:t xml:space="preserve">g that QR codes meet those </w:t>
      </w:r>
      <w:r w:rsidRPr="00DA30FD">
        <w:rPr>
          <w:rFonts w:ascii="Times New Roman" w:eastAsia="Times New Roman" w:hAnsi="Times New Roman" w:cs="Times New Roman"/>
          <w:bCs/>
          <w:sz w:val="24"/>
          <w:szCs w:val="24"/>
          <w:lang w:val="en-US" w:bidi="en-US"/>
        </w:rPr>
        <w:t>standards, making them more likely to use the system. The outcome agrees that simple-to-use systems encourage people to use new technologies more easily (Venkatesh et al., 2003) and perceived ease-of-use is an important consideration when deciding whether to participate in mobile banking (Mensah &amp; Khan, 2024).</w:t>
      </w:r>
    </w:p>
    <w:p w14:paraId="2F2080FA"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3.1.3. Social I</w:t>
      </w:r>
      <w:r w:rsidR="0083529A" w:rsidRPr="00DA30FD">
        <w:rPr>
          <w:rFonts w:ascii="Times New Roman" w:eastAsia="Times New Roman" w:hAnsi="Times New Roman" w:cs="Times New Roman"/>
          <w:b/>
          <w:bCs/>
          <w:iCs/>
          <w:sz w:val="24"/>
          <w:szCs w:val="24"/>
          <w:lang w:val="en-US" w:bidi="en-US"/>
        </w:rPr>
        <w:t>nfluence</w:t>
      </w:r>
    </w:p>
    <w:p w14:paraId="0D00C5F3" w14:textId="77777777" w:rsidR="0083529A"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bidi="en-US"/>
        </w:rPr>
        <w:t>The computed M = 4.15 is described as agree. This suggests that the private students of higher education institution in General Santos City hav</w:t>
      </w:r>
      <w:r w:rsidR="00426CAE">
        <w:rPr>
          <w:rFonts w:ascii="Times New Roman" w:eastAsia="Times New Roman" w:hAnsi="Times New Roman" w:cs="Times New Roman"/>
          <w:bCs/>
          <w:iCs/>
          <w:sz w:val="24"/>
          <w:szCs w:val="24"/>
          <w:lang w:bidi="en-US"/>
        </w:rPr>
        <w:t xml:space="preserve">e a high extent of factors </w:t>
      </w:r>
      <w:r w:rsidRPr="00DA30FD">
        <w:rPr>
          <w:rFonts w:ascii="Times New Roman" w:eastAsia="Times New Roman" w:hAnsi="Times New Roman" w:cs="Times New Roman"/>
          <w:bCs/>
          <w:iCs/>
          <w:sz w:val="24"/>
          <w:szCs w:val="24"/>
          <w:lang w:bidi="en-US"/>
        </w:rPr>
        <w:t xml:space="preserve">influencing their adoption of these payment systems. Students would adopt QR-code    payments if the service is widely used by people in their community, if people whose opinions they value prefer that they use it, and also agree that the family members or relatives have an influence on their decision to adopt QR-code mobile payment. </w:t>
      </w:r>
      <w:r w:rsidRPr="00DA30FD">
        <w:rPr>
          <w:rFonts w:ascii="Times New Roman" w:eastAsia="Times New Roman" w:hAnsi="Times New Roman" w:cs="Times New Roman"/>
          <w:bCs/>
          <w:iCs/>
          <w:sz w:val="24"/>
          <w:szCs w:val="24"/>
          <w:lang w:val="en-US" w:bidi="en-US"/>
        </w:rPr>
        <w:t>This finding is consistent with (Venkatesh et al., 2003), who reported that people's intentions to make use of new technologies depend heavily on the expectations of other people.</w:t>
      </w:r>
    </w:p>
    <w:p w14:paraId="71B6A78F" w14:textId="77777777" w:rsidR="00E8005A" w:rsidRPr="00DA30FD" w:rsidRDefault="00E8005A" w:rsidP="00DA30FD">
      <w:pPr>
        <w:spacing w:before="240" w:after="240" w:line="240" w:lineRule="auto"/>
        <w:jc w:val="both"/>
        <w:rPr>
          <w:rFonts w:ascii="Times New Roman" w:eastAsia="Times New Roman" w:hAnsi="Times New Roman" w:cs="Times New Roman"/>
          <w:bCs/>
          <w:iCs/>
          <w:sz w:val="24"/>
          <w:szCs w:val="24"/>
          <w:lang w:val="en-US" w:bidi="en-US"/>
        </w:rPr>
      </w:pPr>
    </w:p>
    <w:p w14:paraId="07470034"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3.1.4. Facilitating C</w:t>
      </w:r>
      <w:r w:rsidR="0083529A" w:rsidRPr="00DA30FD">
        <w:rPr>
          <w:rFonts w:ascii="Times New Roman" w:eastAsia="Times New Roman" w:hAnsi="Times New Roman" w:cs="Times New Roman"/>
          <w:b/>
          <w:bCs/>
          <w:iCs/>
          <w:sz w:val="24"/>
          <w:szCs w:val="24"/>
          <w:lang w:val="en-US" w:bidi="en-US"/>
        </w:rPr>
        <w:t>onditions</w:t>
      </w:r>
    </w:p>
    <w:p w14:paraId="49DF8A0E"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computed M = 4.28 is described as agree. This implies that private students of higher education institution in General Santos City have a</w:t>
      </w:r>
      <w:r w:rsidR="00426CAE">
        <w:rPr>
          <w:rFonts w:ascii="Times New Roman" w:eastAsia="Times New Roman" w:hAnsi="Times New Roman" w:cs="Times New Roman"/>
          <w:bCs/>
          <w:iCs/>
          <w:sz w:val="24"/>
          <w:szCs w:val="24"/>
          <w:lang w:val="en-US" w:bidi="en-US"/>
        </w:rPr>
        <w:t xml:space="preserve"> high extent of factors </w:t>
      </w:r>
      <w:r w:rsidRPr="00DA30FD">
        <w:rPr>
          <w:rFonts w:ascii="Times New Roman" w:eastAsia="Times New Roman" w:hAnsi="Times New Roman" w:cs="Times New Roman"/>
          <w:bCs/>
          <w:iCs/>
          <w:sz w:val="24"/>
          <w:szCs w:val="24"/>
          <w:lang w:val="en-US" w:bidi="en-US"/>
        </w:rPr>
        <w:t>influencing their adoption of these payment systems. The students agreed that they have the resources necessary to use QR-code mobile payment, such as smartphones, internet services, and secured applications, they have the knowledge necessary to use QR- code mobile payment, and also agree that using QR-code mob</w:t>
      </w:r>
      <w:r w:rsidR="00426CAE">
        <w:rPr>
          <w:rFonts w:ascii="Times New Roman" w:eastAsia="Times New Roman" w:hAnsi="Times New Roman" w:cs="Times New Roman"/>
          <w:bCs/>
          <w:iCs/>
          <w:sz w:val="24"/>
          <w:szCs w:val="24"/>
          <w:lang w:val="en-US" w:bidi="en-US"/>
        </w:rPr>
        <w:t xml:space="preserve">ile payment fits into their </w:t>
      </w:r>
      <w:r w:rsidRPr="00DA30FD">
        <w:rPr>
          <w:rFonts w:ascii="Times New Roman" w:eastAsia="Times New Roman" w:hAnsi="Times New Roman" w:cs="Times New Roman"/>
          <w:bCs/>
          <w:iCs/>
          <w:sz w:val="24"/>
          <w:szCs w:val="24"/>
          <w:lang w:val="en-US" w:bidi="en-US"/>
        </w:rPr>
        <w:t>lifestyle. The result is supported by an earlier study that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1C38D9" w:rsidRPr="00DA30FD" w:rsidRDefault="0083529A"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r>
      <w:r w:rsidRPr="00DA30FD">
        <w:rPr>
          <w:rFonts w:ascii="Times New Roman" w:eastAsia="Times New Roman" w:hAnsi="Times New Roman" w:cs="Times New Roman"/>
          <w:bCs/>
          <w:iCs/>
          <w:sz w:val="24"/>
          <w:szCs w:val="24"/>
          <w:lang w:bidi="en-US"/>
        </w:rPr>
        <w:t xml:space="preserve">Overall, </w:t>
      </w:r>
      <w:r w:rsidRPr="00DA30FD">
        <w:rPr>
          <w:rFonts w:ascii="Times New Roman" w:eastAsia="Times New Roman" w:hAnsi="Times New Roman" w:cs="Times New Roman"/>
          <w:bCs/>
          <w:iCs/>
          <w:sz w:val="24"/>
          <w:szCs w:val="24"/>
          <w:lang w:val="en-US" w:bidi="en-US"/>
        </w:rPr>
        <w:t xml:space="preserve">the </w:t>
      </w:r>
      <w:r w:rsidRPr="00DA30FD">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4.25 was classified as agree. This suggests that students had a high level of factors that influenced how much they would be likely to use mobile payment systems; they had high levels of performance expectation, effort expectation, facilitation condition, and social influence as all being factors that influenced their willingness to adopt mobile payment systems. The above-mentioned finding aligns with UTAUT model which identifies the four factors as core sources of technology adoption (Venkatesh et al., 2003). Further supporting this argument is Mensah and Khan (2024); found that all four factors were significantly related to users' intention to adopt mobile banking/payment technologies, thus solidifying their applicability towards understanding users' adoption</w:t>
      </w:r>
      <w:r w:rsidR="00DA30FD">
        <w:rPr>
          <w:rFonts w:ascii="Times New Roman" w:eastAsia="Times New Roman" w:hAnsi="Times New Roman" w:cs="Times New Roman"/>
          <w:bCs/>
          <w:iCs/>
          <w:sz w:val="24"/>
          <w:szCs w:val="24"/>
          <w:lang w:val="en-US" w:bidi="en-US"/>
        </w:rPr>
        <w:t xml:space="preserve"> behaviors of digital payments.</w:t>
      </w:r>
    </w:p>
    <w:p w14:paraId="27A4B1A0" w14:textId="77777777" w:rsidR="0083529A"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3.2 Level of Students’ Behavioral Intention towards the A</w:t>
      </w:r>
      <w:r w:rsidR="0083529A" w:rsidRPr="00DA30FD">
        <w:rPr>
          <w:rFonts w:ascii="Times New Roman" w:eastAsia="Times New Roman" w:hAnsi="Times New Roman" w:cs="Times New Roman"/>
          <w:b/>
          <w:bCs/>
          <w:iCs/>
          <w:sz w:val="24"/>
          <w:szCs w:val="24"/>
          <w:lang w:val="en-US" w:bidi="en-US"/>
        </w:rPr>
        <w:t xml:space="preserve">doption of </w:t>
      </w:r>
      <w:r>
        <w:rPr>
          <w:rFonts w:ascii="Times New Roman" w:eastAsia="Times New Roman" w:hAnsi="Times New Roman" w:cs="Times New Roman"/>
          <w:b/>
          <w:bCs/>
          <w:iCs/>
          <w:sz w:val="24"/>
          <w:szCs w:val="24"/>
          <w:lang w:val="en-US" w:bidi="en-US"/>
        </w:rPr>
        <w:t>Mobile P</w:t>
      </w:r>
      <w:r w:rsidR="0083529A" w:rsidRPr="00DA30FD">
        <w:rPr>
          <w:rFonts w:ascii="Times New Roman" w:eastAsia="Times New Roman" w:hAnsi="Times New Roman" w:cs="Times New Roman"/>
          <w:b/>
          <w:bCs/>
          <w:iCs/>
          <w:sz w:val="24"/>
          <w:szCs w:val="24"/>
          <w:lang w:val="en-US" w:bidi="en-US"/>
        </w:rPr>
        <w:t>ayme</w:t>
      </w:r>
      <w:r>
        <w:rPr>
          <w:rFonts w:ascii="Times New Roman" w:eastAsia="Times New Roman" w:hAnsi="Times New Roman" w:cs="Times New Roman"/>
          <w:b/>
          <w:bCs/>
          <w:iCs/>
          <w:sz w:val="24"/>
          <w:szCs w:val="24"/>
          <w:lang w:val="en-US" w:bidi="en-US"/>
        </w:rPr>
        <w:t>nt S</w:t>
      </w:r>
      <w:r w:rsidR="0083529A" w:rsidRPr="00DA30FD">
        <w:rPr>
          <w:rFonts w:ascii="Times New Roman" w:eastAsia="Times New Roman" w:hAnsi="Times New Roman" w:cs="Times New Roman"/>
          <w:b/>
          <w:bCs/>
          <w:iCs/>
          <w:sz w:val="24"/>
          <w:szCs w:val="24"/>
          <w:lang w:val="en-US" w:bidi="en-US"/>
        </w:rPr>
        <w:t>ystems</w:t>
      </w:r>
    </w:p>
    <w:tbl>
      <w:tblPr>
        <w:tblW w:w="5000" w:type="pct"/>
        <w:jc w:val="right"/>
        <w:tblLook w:val="04A0" w:firstRow="1" w:lastRow="0" w:firstColumn="1" w:lastColumn="0" w:noHBand="0" w:noVBand="1"/>
      </w:tblPr>
      <w:tblGrid>
        <w:gridCol w:w="4006"/>
        <w:gridCol w:w="2973"/>
        <w:gridCol w:w="4267"/>
      </w:tblGrid>
      <w:tr w:rsidR="0083529A" w:rsidRPr="00DA30FD" w14:paraId="30658901" w14:textId="77777777" w:rsidTr="00E6134E">
        <w:trPr>
          <w:trHeight w:val="312"/>
          <w:jc w:val="right"/>
        </w:trPr>
        <w:tc>
          <w:tcPr>
            <w:tcW w:w="5000" w:type="pct"/>
            <w:gridSpan w:val="3"/>
            <w:tcBorders>
              <w:top w:val="single" w:sz="4" w:space="0" w:color="FFFFFF" w:themeColor="background1"/>
              <w:bottom w:val="single" w:sz="4" w:space="0" w:color="auto"/>
            </w:tcBorders>
          </w:tcPr>
          <w:p w14:paraId="743F0311" w14:textId="77777777" w:rsidR="0083529A" w:rsidRPr="00DA30FD" w:rsidRDefault="0083529A" w:rsidP="00DA30FD">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Table 5.</w:t>
            </w:r>
            <w:r w:rsidRPr="00DA30FD">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83529A" w:rsidRPr="00DA30FD" w14:paraId="22CEE635" w14:textId="77777777" w:rsidTr="00E6134E">
        <w:trPr>
          <w:trHeight w:val="312"/>
          <w:jc w:val="right"/>
        </w:trPr>
        <w:tc>
          <w:tcPr>
            <w:tcW w:w="1781" w:type="pct"/>
            <w:tcBorders>
              <w:top w:val="single" w:sz="4" w:space="0" w:color="auto"/>
              <w:bottom w:val="single" w:sz="4" w:space="0" w:color="auto"/>
            </w:tcBorders>
          </w:tcPr>
          <w:p w14:paraId="4245BF82" w14:textId="77777777" w:rsidR="0083529A" w:rsidRPr="00DA30FD" w:rsidRDefault="0083529A" w:rsidP="0083529A">
            <w:pPr>
              <w:spacing w:after="0" w:line="240" w:lineRule="auto"/>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Description</w:t>
            </w:r>
          </w:p>
        </w:tc>
      </w:tr>
      <w:tr w:rsidR="0083529A" w:rsidRPr="00DA30FD" w14:paraId="76E2D041" w14:textId="77777777" w:rsidTr="00E6134E">
        <w:trPr>
          <w:trHeight w:val="312"/>
          <w:jc w:val="right"/>
        </w:trPr>
        <w:tc>
          <w:tcPr>
            <w:tcW w:w="1781" w:type="pct"/>
            <w:tcBorders>
              <w:bottom w:val="single" w:sz="4" w:space="0" w:color="auto"/>
            </w:tcBorders>
          </w:tcPr>
          <w:p w14:paraId="76624A1B" w14:textId="77777777" w:rsidR="0083529A" w:rsidRPr="00DA30FD" w:rsidRDefault="0083529A" w:rsidP="0083529A">
            <w:pPr>
              <w:spacing w:after="0" w:line="240" w:lineRule="auto"/>
              <w:jc w:val="both"/>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Agree</w:t>
            </w:r>
          </w:p>
        </w:tc>
      </w:tr>
      <w:tr w:rsidR="0083529A" w:rsidRPr="00DA30FD" w14:paraId="4CDA6B6A" w14:textId="77777777" w:rsidTr="00E6134E">
        <w:trPr>
          <w:trHeight w:val="312"/>
          <w:jc w:val="right"/>
        </w:trPr>
        <w:tc>
          <w:tcPr>
            <w:tcW w:w="5000" w:type="pct"/>
            <w:gridSpan w:val="3"/>
            <w:tcBorders>
              <w:top w:val="single" w:sz="4" w:space="0" w:color="auto"/>
              <w:bottom w:val="single" w:sz="4" w:space="0" w:color="FFFFFF" w:themeColor="background1"/>
            </w:tcBorders>
          </w:tcPr>
          <w:p w14:paraId="765C4545" w14:textId="77777777" w:rsidR="0083529A" w:rsidRPr="00DA30FD" w:rsidRDefault="0083529A" w:rsidP="00DA30FD">
            <w:pPr>
              <w:spacing w:before="240" w:after="0" w:line="240" w:lineRule="auto"/>
              <w:jc w:val="both"/>
              <w:rPr>
                <w:rFonts w:ascii="Times New Roman" w:eastAsia="SimSun" w:hAnsi="Times New Roman" w:cs="Times New Roman"/>
                <w:color w:val="000000"/>
                <w:sz w:val="24"/>
                <w:szCs w:val="24"/>
                <w:lang w:val="en-US" w:eastAsia="zh-CN"/>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 Strongly Disagree</w:t>
            </w:r>
          </w:p>
        </w:tc>
      </w:tr>
    </w:tbl>
    <w:p w14:paraId="7257AB61" w14:textId="77777777" w:rsidR="0083529A" w:rsidRPr="00DA30FD" w:rsidRDefault="0083529A"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3.2.1 Behavioral Intention</w:t>
      </w:r>
    </w:p>
    <w:p w14:paraId="28569B54"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respondents agree that they believe their interest towards QR-code payment would increase in the near future, they intend to make payment by using QR-code mobile payment, and they would always try to make payment by using QR-code mobile payment in their personal life. With a computed mean of 4.27 is described as agree. This indicates that the students have a strong behavioral intention to adopt mobile payment systems. The conclusion of the study reveals that the students are continuing to use this new technology and are likely to continue their use in the future. The students have a favorable view of digital payment technologies, as they see them as both useful and necessary for their daily lives. This is consistent with Islam et al. (2024) that individuals that have favorable attitudes toward the QR code system and find the QR code system to be useful will tend to continue to use this system on an ongoing basis. In addition, Venkatesh et al. (2003) provides further evidence that a user's behavioral intention to use a system can reliably predict whether they will actually adopt and use it.</w:t>
      </w:r>
    </w:p>
    <w:p w14:paraId="1D91BF5B" w14:textId="77777777" w:rsidR="0083529A"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 Relationship between the Level of Behavioral Intention and the Factors Influencing Students' Adoption of Mobile Payment S</w:t>
      </w:r>
      <w:r w:rsidR="0083529A" w:rsidRPr="00DA30FD">
        <w:rPr>
          <w:rFonts w:ascii="Times New Roman" w:eastAsia="Times New Roman" w:hAnsi="Times New Roman" w:cs="Times New Roman"/>
          <w:b/>
          <w:bCs/>
          <w:sz w:val="24"/>
          <w:szCs w:val="24"/>
          <w:lang w:val="en-US" w:bidi="en-US"/>
        </w:rPr>
        <w:t>ystems</w:t>
      </w:r>
    </w:p>
    <w:p w14:paraId="7B66D7BA"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7E0" w:firstRow="1" w:lastRow="1" w:firstColumn="1" w:lastColumn="1" w:noHBand="1" w:noVBand="1"/>
      </w:tblPr>
      <w:tblGrid>
        <w:gridCol w:w="3509"/>
        <w:gridCol w:w="3207"/>
        <w:gridCol w:w="2211"/>
        <w:gridCol w:w="2319"/>
      </w:tblGrid>
      <w:tr w:rsidR="0083529A" w:rsidRPr="00DA30FD" w14:paraId="43861074" w14:textId="77777777" w:rsidTr="00E6134E">
        <w:tc>
          <w:tcPr>
            <w:tcW w:w="5000" w:type="pct"/>
            <w:gridSpan w:val="4"/>
            <w:tcBorders>
              <w:top w:val="nil"/>
              <w:left w:val="nil"/>
              <w:bottom w:val="single" w:sz="2" w:space="0" w:color="auto"/>
              <w:right w:val="nil"/>
            </w:tcBorders>
            <w:vAlign w:val="bottom"/>
          </w:tcPr>
          <w:p w14:paraId="336EFA53" w14:textId="77777777" w:rsidR="0083529A" w:rsidRPr="00DA30FD" w:rsidRDefault="0083529A"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Table 6.</w:t>
            </w:r>
            <w:r w:rsidRPr="00DA30FD">
              <w:rPr>
                <w:rFonts w:ascii="Times New Roman" w:eastAsia="Times New Roman" w:hAnsi="Times New Roman" w:cs="Times New Roman"/>
                <w:sz w:val="24"/>
                <w:szCs w:val="24"/>
                <w:lang w:val="en-US" w:bidi="en-US"/>
              </w:rPr>
              <w:t xml:space="preserve"> Test of Normality</w:t>
            </w:r>
          </w:p>
        </w:tc>
      </w:tr>
      <w:tr w:rsidR="0083529A" w:rsidRPr="00DA30FD" w14:paraId="23276C23" w14:textId="77777777" w:rsidTr="0083529A">
        <w:tc>
          <w:tcPr>
            <w:tcW w:w="1560" w:type="pct"/>
            <w:tcBorders>
              <w:top w:val="nil"/>
              <w:left w:val="nil"/>
              <w:bottom w:val="single" w:sz="2" w:space="0" w:color="auto"/>
              <w:right w:val="nil"/>
            </w:tcBorders>
            <w:vAlign w:val="bottom"/>
            <w:hideMark/>
          </w:tcPr>
          <w:p w14:paraId="093204DD" w14:textId="77777777" w:rsidR="0083529A" w:rsidRPr="00DA30FD" w:rsidRDefault="0083529A" w:rsidP="0083529A">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hideMark/>
          </w:tcPr>
          <w:p w14:paraId="5EF15A24"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Kolmogorov-Smirnov</w:t>
            </w:r>
          </w:p>
          <w:p w14:paraId="6C1BF855"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hideMark/>
          </w:tcPr>
          <w:p w14:paraId="0812CC3E"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hideMark/>
          </w:tcPr>
          <w:p w14:paraId="543227A3"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Significance(p)</w:t>
            </w:r>
          </w:p>
        </w:tc>
      </w:tr>
      <w:tr w:rsidR="0083529A" w:rsidRPr="00DA30FD" w14:paraId="1C982E5C" w14:textId="77777777" w:rsidTr="0083529A">
        <w:tc>
          <w:tcPr>
            <w:tcW w:w="1560" w:type="pct"/>
            <w:hideMark/>
          </w:tcPr>
          <w:p w14:paraId="3A6C3EF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1426" w:type="pct"/>
            <w:hideMark/>
          </w:tcPr>
          <w:p w14:paraId="65B8C2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7C0AA5D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.931</w:t>
            </w:r>
          </w:p>
        </w:tc>
        <w:tc>
          <w:tcPr>
            <w:tcW w:w="1031" w:type="pct"/>
            <w:hideMark/>
          </w:tcPr>
          <w:p w14:paraId="3F8997F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5A8BE518" w14:textId="77777777" w:rsidTr="0083529A">
        <w:tc>
          <w:tcPr>
            <w:tcW w:w="1560" w:type="pct"/>
            <w:hideMark/>
          </w:tcPr>
          <w:p w14:paraId="15373F6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1426" w:type="pct"/>
            <w:hideMark/>
          </w:tcPr>
          <w:p w14:paraId="03887DA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.103</w:t>
            </w:r>
          </w:p>
        </w:tc>
        <w:tc>
          <w:tcPr>
            <w:tcW w:w="983" w:type="pct"/>
            <w:hideMark/>
          </w:tcPr>
          <w:p w14:paraId="2648653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.945</w:t>
            </w:r>
          </w:p>
        </w:tc>
        <w:tc>
          <w:tcPr>
            <w:tcW w:w="1031" w:type="pct"/>
            <w:hideMark/>
          </w:tcPr>
          <w:p w14:paraId="425F3BF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70F2260" w14:textId="77777777" w:rsidTr="0083529A">
        <w:tc>
          <w:tcPr>
            <w:tcW w:w="1560" w:type="pct"/>
            <w:hideMark/>
          </w:tcPr>
          <w:p w14:paraId="43E0A14F"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1426" w:type="pct"/>
            <w:hideMark/>
          </w:tcPr>
          <w:p w14:paraId="1B993A8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6066226E"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.954</w:t>
            </w:r>
          </w:p>
        </w:tc>
        <w:tc>
          <w:tcPr>
            <w:tcW w:w="1031" w:type="pct"/>
            <w:hideMark/>
          </w:tcPr>
          <w:p w14:paraId="4943BF4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098E233E" w14:textId="77777777" w:rsidTr="0083529A">
        <w:tc>
          <w:tcPr>
            <w:tcW w:w="1560" w:type="pct"/>
            <w:hideMark/>
          </w:tcPr>
          <w:p w14:paraId="2AA68D33"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1426" w:type="pct"/>
            <w:hideMark/>
          </w:tcPr>
          <w:p w14:paraId="5283AC93"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.102</w:t>
            </w:r>
          </w:p>
        </w:tc>
        <w:tc>
          <w:tcPr>
            <w:tcW w:w="983" w:type="pct"/>
            <w:hideMark/>
          </w:tcPr>
          <w:p w14:paraId="2080757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.944</w:t>
            </w:r>
          </w:p>
        </w:tc>
        <w:tc>
          <w:tcPr>
            <w:tcW w:w="1031" w:type="pct"/>
            <w:hideMark/>
          </w:tcPr>
          <w:p w14:paraId="7B265B6B"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630523A7" w14:textId="77777777" w:rsidTr="0083529A">
        <w:tc>
          <w:tcPr>
            <w:tcW w:w="1560" w:type="pct"/>
            <w:tcBorders>
              <w:bottom w:val="single" w:sz="4" w:space="0" w:color="auto"/>
            </w:tcBorders>
            <w:hideMark/>
          </w:tcPr>
          <w:p w14:paraId="2CEAAF4E"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Behavioral Intention</w:t>
            </w:r>
          </w:p>
        </w:tc>
        <w:tc>
          <w:tcPr>
            <w:tcW w:w="1426" w:type="pct"/>
            <w:tcBorders>
              <w:bottom w:val="single" w:sz="4" w:space="0" w:color="auto"/>
            </w:tcBorders>
            <w:hideMark/>
          </w:tcPr>
          <w:p w14:paraId="42541C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.115</w:t>
            </w:r>
          </w:p>
        </w:tc>
        <w:tc>
          <w:tcPr>
            <w:tcW w:w="983" w:type="pct"/>
            <w:tcBorders>
              <w:bottom w:val="single" w:sz="4" w:space="0" w:color="auto"/>
            </w:tcBorders>
            <w:hideMark/>
          </w:tcPr>
          <w:p w14:paraId="2FD63A2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.936</w:t>
            </w:r>
          </w:p>
        </w:tc>
        <w:tc>
          <w:tcPr>
            <w:tcW w:w="1031" w:type="pct"/>
            <w:tcBorders>
              <w:bottom w:val="single" w:sz="4" w:space="0" w:color="auto"/>
            </w:tcBorders>
            <w:hideMark/>
          </w:tcPr>
          <w:p w14:paraId="4882F53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0A5A982" w14:textId="77777777" w:rsidTr="00E6134E">
        <w:tc>
          <w:tcPr>
            <w:tcW w:w="5000" w:type="pct"/>
            <w:gridSpan w:val="4"/>
            <w:tcBorders>
              <w:top w:val="single" w:sz="4" w:space="0" w:color="auto"/>
            </w:tcBorders>
          </w:tcPr>
          <w:p w14:paraId="5735A91D" w14:textId="77777777" w:rsidR="0083529A" w:rsidRPr="00DA30FD" w:rsidRDefault="0083529A" w:rsidP="0083529A">
            <w:pPr>
              <w:spacing w:before="120" w:after="100" w:afterAutospacing="1"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83529A" w:rsidRPr="00DA30FD" w:rsidRDefault="0083529A" w:rsidP="00426CAE">
      <w:pPr>
        <w:spacing w:before="240" w:after="36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Results were statistically significant (p = .000) for both the Kolmogorov-Smirnov test and the Shapiro-Wilk test of all variables. The results of these tests suggest that all of the variable distributions are significantly different from the normal distribution. The Shapiro-Wilk statistics of each variable, which ranged from .931 to .954, indicate the same lack of normal distribution since they are all significantly less than 1.0. Because the data are non-normally distributed, the appropriate method to use in order to examine how two variables relate to each other would be a non-parametric correlation (i.e., Spearman’s rho).</w:t>
      </w:r>
    </w:p>
    <w:p w14:paraId="67CA60CA" w14:textId="77777777" w:rsidR="009C1F76" w:rsidRPr="00DA30FD" w:rsidRDefault="00E8005A" w:rsidP="00DA30FD">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 Correlation Analysis: Relationships between Factors and B</w:t>
      </w:r>
      <w:r w:rsidR="009C1F76" w:rsidRPr="00DA30FD">
        <w:rPr>
          <w:rFonts w:ascii="Times New Roman" w:eastAsia="Times New Roman" w:hAnsi="Times New Roman" w:cs="Times New Roman"/>
          <w:b/>
          <w:bCs/>
          <w:sz w:val="24"/>
          <w:szCs w:val="24"/>
          <w:lang w:val="en-US" w:bidi="en-US"/>
        </w:rPr>
        <w:t>eha</w:t>
      </w:r>
      <w:r>
        <w:rPr>
          <w:rFonts w:ascii="Times New Roman" w:eastAsia="Times New Roman" w:hAnsi="Times New Roman" w:cs="Times New Roman"/>
          <w:b/>
          <w:bCs/>
          <w:sz w:val="24"/>
          <w:szCs w:val="24"/>
          <w:lang w:val="en-US" w:bidi="en-US"/>
        </w:rPr>
        <w:t>vioral I</w:t>
      </w:r>
      <w:r w:rsidR="009C1F76" w:rsidRPr="00DA30FD">
        <w:rPr>
          <w:rFonts w:ascii="Times New Roman" w:eastAsia="Times New Roman" w:hAnsi="Times New Roman" w:cs="Times New Roman"/>
          <w:b/>
          <w:bCs/>
          <w:sz w:val="24"/>
          <w:szCs w:val="24"/>
          <w:lang w:val="en-US" w:bidi="en-US"/>
        </w:rPr>
        <w:t>ntention</w:t>
      </w:r>
    </w:p>
    <w:tbl>
      <w:tblPr>
        <w:tblW w:w="5000" w:type="pct"/>
        <w:tblLook w:val="04A0" w:firstRow="1" w:lastRow="0" w:firstColumn="1" w:lastColumn="0" w:noHBand="0" w:noVBand="1"/>
      </w:tblPr>
      <w:tblGrid>
        <w:gridCol w:w="3979"/>
        <w:gridCol w:w="1235"/>
        <w:gridCol w:w="960"/>
        <w:gridCol w:w="1509"/>
        <w:gridCol w:w="3563"/>
      </w:tblGrid>
      <w:tr w:rsidR="009C1F76" w:rsidRPr="00DA30FD" w14:paraId="67781B5E" w14:textId="77777777" w:rsidTr="00E6134E">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9C1F76" w:rsidRPr="00DA30FD" w:rsidRDefault="009C1F76" w:rsidP="00DA30FD">
            <w:pPr>
              <w:spacing w:after="240" w:line="240" w:lineRule="auto"/>
              <w:rPr>
                <w:rFonts w:ascii="Times New Roman" w:eastAsia="Times New Roman" w:hAnsi="Times New Roman" w:cs="Times New Roman"/>
                <w:iCs/>
                <w:sz w:val="24"/>
                <w:szCs w:val="24"/>
                <w:lang w:val="en-US"/>
              </w:rPr>
            </w:pPr>
            <w:r w:rsidRPr="00DA30FD">
              <w:rPr>
                <w:rFonts w:ascii="Times New Roman" w:eastAsia="Times New Roman" w:hAnsi="Times New Roman" w:cs="Times New Roman"/>
                <w:b/>
                <w:bCs/>
                <w:iCs/>
                <w:sz w:val="24"/>
                <w:szCs w:val="24"/>
                <w:lang w:val="en-US"/>
              </w:rPr>
              <w:t>Table 7.</w:t>
            </w:r>
            <w:r w:rsidRPr="00DA30FD">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9C1F76" w:rsidRPr="00DA30FD" w14:paraId="1EC8A4B3" w14:textId="77777777" w:rsidTr="009C1F76">
        <w:trPr>
          <w:trHeight w:val="341"/>
        </w:trPr>
        <w:tc>
          <w:tcPr>
            <w:tcW w:w="1769" w:type="pct"/>
            <w:tcBorders>
              <w:top w:val="single" w:sz="4" w:space="0" w:color="auto"/>
              <w:left w:val="nil"/>
              <w:bottom w:val="single" w:sz="4" w:space="0" w:color="auto"/>
              <w:right w:val="nil"/>
            </w:tcBorders>
            <w:hideMark/>
          </w:tcPr>
          <w:p w14:paraId="05BED83E" w14:textId="77777777" w:rsidR="009C1F76" w:rsidRPr="00DA30FD" w:rsidRDefault="009C1F76" w:rsidP="009C1F76">
            <w:pPr>
              <w:spacing w:after="0" w:line="240" w:lineRule="auto"/>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noProof/>
                <w:sz w:val="24"/>
                <w:szCs w:val="24"/>
                <w:lang w:eastAsia="en-PH"/>
              </w:rPr>
              <w:drawing>
                <wp:inline distT="0" distB="0" distL="0" distR="0" wp14:anchorId="2C9E4CBD" wp14:editId="4FF2A728">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hideMark/>
          </w:tcPr>
          <w:p w14:paraId="460DAFAC"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vertAlign w:val="superscript"/>
                <w:lang w:val="en-US"/>
              </w:rPr>
            </w:pPr>
            <w:r w:rsidRPr="00DA30FD">
              <w:rPr>
                <w:rFonts w:ascii="Times New Roman" w:eastAsia="Times New Roman" w:hAnsi="Times New Roman" w:cs="Times New Roman"/>
                <w:b/>
                <w:bCs/>
                <w:sz w:val="24"/>
                <w:szCs w:val="24"/>
                <w:lang w:val="en-US"/>
              </w:rPr>
              <w:t>r</w:t>
            </w:r>
            <w:r w:rsidRPr="00DA30FD">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hideMark/>
          </w:tcPr>
          <w:p w14:paraId="161932E0"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hideMark/>
          </w:tcPr>
          <w:p w14:paraId="5FC18999"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Extent of Relationship</w:t>
            </w:r>
          </w:p>
        </w:tc>
      </w:tr>
      <w:tr w:rsidR="009C1F76" w:rsidRPr="00DA30FD" w14:paraId="0400DDCA" w14:textId="77777777" w:rsidTr="009C1F76">
        <w:tc>
          <w:tcPr>
            <w:tcW w:w="1769" w:type="pct"/>
            <w:tcBorders>
              <w:top w:val="single" w:sz="4" w:space="0" w:color="auto"/>
              <w:left w:val="nil"/>
              <w:bottom w:val="nil"/>
              <w:right w:val="nil"/>
            </w:tcBorders>
            <w:hideMark/>
          </w:tcPr>
          <w:p w14:paraId="12633302" w14:textId="77777777" w:rsidR="009C1F76" w:rsidRPr="00DA30FD" w:rsidRDefault="009C1F76" w:rsidP="009C1F76">
            <w:pPr>
              <w:spacing w:after="0" w:line="240" w:lineRule="auto"/>
              <w:jc w:val="both"/>
              <w:rPr>
                <w:rFonts w:ascii="Times New Roman" w:eastAsia="Times New Roman" w:hAnsi="Times New Roman" w:cs="Times New Roman"/>
                <w:bCs/>
                <w:sz w:val="24"/>
                <w:szCs w:val="24"/>
                <w:lang w:val="en-US"/>
              </w:rPr>
            </w:pPr>
            <w:r w:rsidRPr="00DA30FD">
              <w:rPr>
                <w:rFonts w:ascii="Times New Roman" w:eastAsia="Calibri" w:hAnsi="Times New Roman" w:cs="Times New Roman"/>
                <w:bCs/>
                <w:sz w:val="24"/>
                <w:szCs w:val="24"/>
                <w:lang w:val="en-US"/>
              </w:rPr>
              <w:t>Performance Expectancy and Behavioral Intention</w:t>
            </w:r>
          </w:p>
        </w:tc>
        <w:tc>
          <w:tcPr>
            <w:tcW w:w="549" w:type="pct"/>
            <w:tcBorders>
              <w:top w:val="single" w:sz="4" w:space="0" w:color="auto"/>
              <w:left w:val="nil"/>
              <w:bottom w:val="nil"/>
              <w:right w:val="nil"/>
            </w:tcBorders>
            <w:hideMark/>
          </w:tcPr>
          <w:p w14:paraId="02A88E4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hideMark/>
          </w:tcPr>
          <w:p w14:paraId="1765DB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hideMark/>
          </w:tcPr>
          <w:p w14:paraId="399EFA6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hideMark/>
          </w:tcPr>
          <w:p w14:paraId="22FA09A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D52292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22B1D60" w14:textId="77777777" w:rsidTr="009C1F76">
        <w:tc>
          <w:tcPr>
            <w:tcW w:w="1769" w:type="pct"/>
            <w:tcBorders>
              <w:top w:val="nil"/>
              <w:left w:val="nil"/>
              <w:bottom w:val="nil"/>
              <w:right w:val="nil"/>
            </w:tcBorders>
            <w:hideMark/>
          </w:tcPr>
          <w:p w14:paraId="3049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Effort Expectancy and </w:t>
            </w:r>
          </w:p>
          <w:p w14:paraId="0422F599"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hideMark/>
          </w:tcPr>
          <w:p w14:paraId="4C34B34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.672</w:t>
            </w:r>
          </w:p>
        </w:tc>
        <w:tc>
          <w:tcPr>
            <w:tcW w:w="427" w:type="pct"/>
            <w:tcBorders>
              <w:top w:val="nil"/>
              <w:left w:val="nil"/>
              <w:bottom w:val="nil"/>
              <w:right w:val="nil"/>
            </w:tcBorders>
            <w:hideMark/>
          </w:tcPr>
          <w:p w14:paraId="1CCF0D6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.452</w:t>
            </w:r>
          </w:p>
        </w:tc>
        <w:tc>
          <w:tcPr>
            <w:tcW w:w="671" w:type="pct"/>
            <w:tcBorders>
              <w:top w:val="nil"/>
              <w:left w:val="nil"/>
              <w:bottom w:val="nil"/>
              <w:right w:val="nil"/>
            </w:tcBorders>
            <w:hideMark/>
          </w:tcPr>
          <w:p w14:paraId="4E41008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2EBD2C8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2A6224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19F397D" w14:textId="77777777" w:rsidTr="009C1F76">
        <w:tc>
          <w:tcPr>
            <w:tcW w:w="1769" w:type="pct"/>
            <w:tcBorders>
              <w:top w:val="nil"/>
              <w:left w:val="nil"/>
              <w:bottom w:val="nil"/>
              <w:right w:val="nil"/>
            </w:tcBorders>
            <w:hideMark/>
          </w:tcPr>
          <w:p w14:paraId="1B12AF3D"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Social Influence and </w:t>
            </w:r>
          </w:p>
          <w:p w14:paraId="36D975F3"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hideMark/>
          </w:tcPr>
          <w:p w14:paraId="4F8ECD5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.572</w:t>
            </w:r>
          </w:p>
        </w:tc>
        <w:tc>
          <w:tcPr>
            <w:tcW w:w="427" w:type="pct"/>
            <w:tcBorders>
              <w:top w:val="nil"/>
              <w:left w:val="nil"/>
              <w:bottom w:val="nil"/>
              <w:right w:val="nil"/>
            </w:tcBorders>
            <w:hideMark/>
          </w:tcPr>
          <w:p w14:paraId="3469135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.327</w:t>
            </w:r>
          </w:p>
        </w:tc>
        <w:tc>
          <w:tcPr>
            <w:tcW w:w="671" w:type="pct"/>
            <w:tcBorders>
              <w:top w:val="nil"/>
              <w:left w:val="nil"/>
              <w:bottom w:val="nil"/>
              <w:right w:val="nil"/>
            </w:tcBorders>
            <w:hideMark/>
          </w:tcPr>
          <w:p w14:paraId="3E17F76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387AFB7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10ED8C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7B982547" w14:textId="77777777" w:rsidTr="009C1F76">
        <w:tc>
          <w:tcPr>
            <w:tcW w:w="1769" w:type="pct"/>
            <w:tcBorders>
              <w:top w:val="nil"/>
              <w:left w:val="nil"/>
              <w:bottom w:val="single" w:sz="4" w:space="0" w:color="000000"/>
              <w:right w:val="nil"/>
            </w:tcBorders>
            <w:hideMark/>
          </w:tcPr>
          <w:p w14:paraId="246D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hideMark/>
          </w:tcPr>
          <w:p w14:paraId="0D36E8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hideMark/>
          </w:tcPr>
          <w:p w14:paraId="0E7ECA0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hideMark/>
          </w:tcPr>
          <w:p w14:paraId="311A409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hideMark/>
          </w:tcPr>
          <w:p w14:paraId="572DDC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High Positive,</w:t>
            </w:r>
          </w:p>
          <w:p w14:paraId="157D1B9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6AEFCCC4" w14:textId="77777777" w:rsidTr="00E6134E">
        <w:tc>
          <w:tcPr>
            <w:tcW w:w="5000" w:type="pct"/>
            <w:gridSpan w:val="5"/>
            <w:tcBorders>
              <w:top w:val="single" w:sz="4" w:space="0" w:color="000000"/>
              <w:left w:val="nil"/>
              <w:bottom w:val="single" w:sz="4" w:space="0" w:color="FFFFFF" w:themeColor="background1"/>
              <w:right w:val="nil"/>
            </w:tcBorders>
          </w:tcPr>
          <w:p w14:paraId="16DB0231" w14:textId="77777777" w:rsidR="009C1F76" w:rsidRPr="00DA30FD" w:rsidRDefault="009C1F76" w:rsidP="00DA30FD">
            <w:pPr>
              <w:spacing w:before="240" w:after="0" w:line="240" w:lineRule="auto"/>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i/>
                <w:sz w:val="24"/>
                <w:szCs w:val="24"/>
                <w:lang w:val="en-US"/>
              </w:rPr>
              <w:t>Note</w:t>
            </w:r>
            <w:r w:rsidRPr="00DA30FD">
              <w:rPr>
                <w:rFonts w:ascii="Times New Roman" w:eastAsia="Times New Roman" w:hAnsi="Times New Roman" w:cs="Times New Roman"/>
                <w:sz w:val="24"/>
                <w:szCs w:val="24"/>
                <w:lang w:val="en-US"/>
              </w:rPr>
              <w:t xml:space="preserve">. n = 397. r = Pearson’s correlation coefficient; </w:t>
            </w:r>
            <w:r w:rsidRPr="00DA30FD">
              <w:rPr>
                <w:rFonts w:ascii="Times New Roman" w:eastAsia="Times New Roman" w:hAnsi="Times New Roman" w:cs="Times New Roman"/>
                <w:bCs/>
                <w:sz w:val="24"/>
                <w:szCs w:val="24"/>
                <w:lang w:val="en-US"/>
              </w:rPr>
              <w:t>r</w:t>
            </w:r>
            <w:r w:rsidRPr="00DA30FD">
              <w:rPr>
                <w:rFonts w:ascii="Times New Roman" w:eastAsia="Times New Roman" w:hAnsi="Times New Roman" w:cs="Times New Roman"/>
                <w:bCs/>
                <w:sz w:val="24"/>
                <w:szCs w:val="24"/>
                <w:vertAlign w:val="superscript"/>
                <w:lang w:val="en-US"/>
              </w:rPr>
              <w:t xml:space="preserve">2 </w:t>
            </w:r>
            <w:r w:rsidRPr="00DA30FD">
              <w:rPr>
                <w:rFonts w:ascii="Times New Roman" w:eastAsia="Times New Roman" w:hAnsi="Times New Roman" w:cs="Times New Roman"/>
                <w:sz w:val="24"/>
                <w:szCs w:val="24"/>
                <w:lang w:val="en-US"/>
              </w:rPr>
              <w:t>= coefficient of determination. The extent of relationship is based on the following scale: .00–.19 (Very Low), .20–.39 (Low), .40–.69 (Moderate), .70–.89 (High), and .90–1.00 (Very High). All correlations are significant at the .01 level (2-tailed)</w:t>
            </w:r>
          </w:p>
        </w:tc>
      </w:tr>
    </w:tbl>
    <w:p w14:paraId="0C8F7989" w14:textId="77777777" w:rsidR="009C1F76" w:rsidRPr="00DA30FD" w:rsidRDefault="00E8005A"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3.3.1.1 Performance Expectancy and Behavioral I</w:t>
      </w:r>
      <w:r w:rsidR="009C1F76" w:rsidRPr="00DA30FD">
        <w:rPr>
          <w:rFonts w:ascii="Times New Roman" w:eastAsia="Times New Roman" w:hAnsi="Times New Roman" w:cs="Times New Roman"/>
          <w:b/>
          <w:bCs/>
          <w:sz w:val="24"/>
          <w:szCs w:val="24"/>
          <w:lang w:val="en-US" w:bidi="en-US"/>
        </w:rPr>
        <w:t>ntention</w:t>
      </w:r>
    </w:p>
    <w:p w14:paraId="773639D5"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This study confirms that when students view technology as effective and useful, this is positively correlated to their future behavioral intention to use the technology. A recent empirical study examining user adoption of mobile payment systems through QR codes demonstrated that users' behavioral intentions to adopt mobile payment are significantly and positively influenced by their performance expectancy (Islam, Tamanna, &amp; Islam, 2024) and continues to be a major influencing factor in the research on digital finance, highlighting the significance of performance expectancy within technology acceptance models (Kiran &amp; Vedala, 2025).</w:t>
      </w:r>
    </w:p>
    <w:p w14:paraId="7655A200"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Base on the above, the following hypothesis is proposed:</w:t>
      </w:r>
    </w:p>
    <w:p w14:paraId="4E34E37E" w14:textId="77777777" w:rsidR="009C1F76" w:rsidRPr="00DA30FD" w:rsidRDefault="009C1F76" w:rsidP="00DA30FD">
      <w:pPr>
        <w:spacing w:before="240" w:after="240" w:line="240" w:lineRule="auto"/>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
          <w:bCs/>
          <w:sz w:val="24"/>
          <w:szCs w:val="24"/>
          <w:lang w:val="en-US" w:bidi="en-US"/>
        </w:rPr>
        <w:t xml:space="preserve">H1. </w:t>
      </w:r>
      <w:r w:rsidRPr="00DA30FD">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77777777" w:rsidR="009C1F76"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3.3.1.2 Effort Expectancy and Behavioral I</w:t>
      </w:r>
      <w:r w:rsidR="009C1F76" w:rsidRPr="00DA30FD">
        <w:rPr>
          <w:rFonts w:ascii="Times New Roman" w:eastAsia="Times New Roman" w:hAnsi="Times New Roman" w:cs="Times New Roman"/>
          <w:b/>
          <w:bCs/>
          <w:iCs/>
          <w:sz w:val="24"/>
          <w:szCs w:val="24"/>
          <w:lang w:val="en-US" w:bidi="en-US"/>
        </w:rPr>
        <w:t>ntention</w:t>
      </w:r>
    </w:p>
    <w:p w14:paraId="7D566E03"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confirms that there is a meaningful conn</w:t>
      </w:r>
      <w:r w:rsidR="00426CAE">
        <w:rPr>
          <w:rFonts w:ascii="Times New Roman" w:eastAsia="Times New Roman" w:hAnsi="Times New Roman" w:cs="Times New Roman"/>
          <w:bCs/>
          <w:iCs/>
          <w:sz w:val="24"/>
          <w:szCs w:val="24"/>
          <w:lang w:val="en-US" w:bidi="en-US"/>
        </w:rPr>
        <w:t xml:space="preserve">ection between greater effort </w:t>
      </w:r>
      <w:r w:rsidRPr="00DA30FD">
        <w:rPr>
          <w:rFonts w:ascii="Times New Roman" w:eastAsia="Times New Roman" w:hAnsi="Times New Roman" w:cs="Times New Roman"/>
          <w:bCs/>
          <w:iCs/>
          <w:sz w:val="24"/>
          <w:szCs w:val="24"/>
          <w:lang w:val="en-US" w:bidi="en-US"/>
        </w:rPr>
        <w:t>expectancy while implementing mobile payment systems, and greater levels of behavioral intention towards mobile payment systems. The simple nature of the QR code payment system (having just to scan the QR code with a mobile phone to pay) had a major impact on users' willingness-to-adopt this payment method (Sou et al., 2022). In addition, perceived usability had a greater impact as an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t>Base on the above, the following hypothesis is proposed:</w:t>
      </w:r>
    </w:p>
    <w:p w14:paraId="36FA012F"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H2. </w:t>
      </w:r>
      <w:r w:rsidRPr="00DA30FD">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77777777" w:rsidR="009C1F76" w:rsidRPr="00DA30FD" w:rsidRDefault="009C1F76"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3.3.1.3 Social</w:t>
      </w:r>
      <w:r w:rsidR="00E8005A">
        <w:rPr>
          <w:rFonts w:ascii="Times New Roman" w:eastAsia="Times New Roman" w:hAnsi="Times New Roman" w:cs="Times New Roman"/>
          <w:b/>
          <w:bCs/>
          <w:iCs/>
          <w:sz w:val="24"/>
          <w:szCs w:val="24"/>
          <w:lang w:val="en-US" w:bidi="en-US"/>
        </w:rPr>
        <w:t xml:space="preserve"> I</w:t>
      </w:r>
      <w:r w:rsidRPr="00DA30FD">
        <w:rPr>
          <w:rFonts w:ascii="Times New Roman" w:eastAsia="Times New Roman" w:hAnsi="Times New Roman" w:cs="Times New Roman"/>
          <w:b/>
          <w:bCs/>
          <w:iCs/>
          <w:sz w:val="24"/>
          <w:szCs w:val="24"/>
          <w:lang w:val="en-US" w:bidi="en-US"/>
        </w:rPr>
        <w:t xml:space="preserve">nfluence </w:t>
      </w:r>
      <w:r w:rsidR="00E8005A">
        <w:rPr>
          <w:rFonts w:ascii="Times New Roman" w:eastAsia="Times New Roman" w:hAnsi="Times New Roman" w:cs="Times New Roman"/>
          <w:b/>
          <w:bCs/>
          <w:iCs/>
          <w:sz w:val="24"/>
          <w:szCs w:val="24"/>
          <w:lang w:val="en-US" w:bidi="en-US"/>
        </w:rPr>
        <w:t>and B</w:t>
      </w:r>
      <w:r w:rsidRPr="00DA30FD">
        <w:rPr>
          <w:rFonts w:ascii="Times New Roman" w:eastAsia="Times New Roman" w:hAnsi="Times New Roman" w:cs="Times New Roman"/>
          <w:b/>
          <w:bCs/>
          <w:iCs/>
          <w:sz w:val="24"/>
          <w:szCs w:val="24"/>
          <w:lang w:val="en-US" w:bidi="en-US"/>
        </w:rPr>
        <w:t>ehavi</w:t>
      </w:r>
      <w:r w:rsidR="00E8005A">
        <w:rPr>
          <w:rFonts w:ascii="Times New Roman" w:eastAsia="Times New Roman" w:hAnsi="Times New Roman" w:cs="Times New Roman"/>
          <w:b/>
          <w:bCs/>
          <w:iCs/>
          <w:sz w:val="24"/>
          <w:szCs w:val="24"/>
          <w:lang w:val="en-US" w:bidi="en-US"/>
        </w:rPr>
        <w:t>oral I</w:t>
      </w:r>
      <w:r w:rsidRPr="00DA30FD">
        <w:rPr>
          <w:rFonts w:ascii="Times New Roman" w:eastAsia="Times New Roman" w:hAnsi="Times New Roman" w:cs="Times New Roman"/>
          <w:b/>
          <w:bCs/>
          <w:iCs/>
          <w:sz w:val="24"/>
          <w:szCs w:val="24"/>
          <w:lang w:val="en-US" w:bidi="en-US"/>
        </w:rPr>
        <w:t>ntention</w:t>
      </w:r>
    </w:p>
    <w:p w14:paraId="62073724"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use of mobile payment systems in the context </w:t>
      </w:r>
      <w:r w:rsidR="00426CAE">
        <w:rPr>
          <w:rFonts w:ascii="Times New Roman" w:eastAsia="Times New Roman" w:hAnsi="Times New Roman" w:cs="Times New Roman"/>
          <w:bCs/>
          <w:iCs/>
          <w:sz w:val="24"/>
          <w:szCs w:val="24"/>
          <w:lang w:val="en-US" w:bidi="en-US"/>
        </w:rPr>
        <w:t xml:space="preserve">of social influences has a </w:t>
      </w:r>
      <w:r w:rsidRPr="00DA30FD">
        <w:rPr>
          <w:rFonts w:ascii="Times New Roman" w:eastAsia="Times New Roman" w:hAnsi="Times New Roman" w:cs="Times New Roman"/>
          <w:bCs/>
          <w:iCs/>
          <w:sz w:val="24"/>
          <w:szCs w:val="24"/>
          <w:lang w:val="en-US" w:bidi="en-US"/>
        </w:rPr>
        <w:t>correlational impact on increases in behavioral intentions for using those systems. People’s decisions about whether or not they use e-wallets can be influenced by their perception of the value of the e-wallet and how much they trust others (Bacamante &amp; Campos, 2024) and social background and peer influence significantly affect mobile wallet adoption and consumer decision-making, underscoring the importance of societal expectations in driving behavioral intention (Ritu &amp; Chawla, 2024).</w:t>
      </w:r>
    </w:p>
    <w:p w14:paraId="49DB5C62"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7F74028D"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H3. </w:t>
      </w:r>
      <w:r w:rsidRPr="00DA30FD">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77777777" w:rsidR="009C1F76" w:rsidRPr="00DA30FD" w:rsidRDefault="009C1F76" w:rsidP="00DA30FD">
      <w:pPr>
        <w:spacing w:before="240" w:after="240" w:line="240" w:lineRule="auto"/>
        <w:jc w:val="both"/>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3.3.1.4 Facilitatin</w:t>
      </w:r>
      <w:r w:rsidR="00E8005A">
        <w:rPr>
          <w:rFonts w:ascii="Times New Roman" w:eastAsia="Times New Roman" w:hAnsi="Times New Roman" w:cs="Times New Roman"/>
          <w:b/>
          <w:bCs/>
          <w:iCs/>
          <w:sz w:val="24"/>
          <w:szCs w:val="24"/>
          <w:lang w:val="en-US" w:bidi="en-US"/>
        </w:rPr>
        <w:t>g C</w:t>
      </w:r>
      <w:r w:rsidRPr="00DA30FD">
        <w:rPr>
          <w:rFonts w:ascii="Times New Roman" w:eastAsia="Times New Roman" w:hAnsi="Times New Roman" w:cs="Times New Roman"/>
          <w:b/>
          <w:bCs/>
          <w:iCs/>
          <w:sz w:val="24"/>
          <w:szCs w:val="24"/>
          <w:lang w:val="en-US" w:bidi="en-US"/>
        </w:rPr>
        <w:t xml:space="preserve">onditions </w:t>
      </w:r>
      <w:r w:rsidR="00E8005A">
        <w:rPr>
          <w:rFonts w:ascii="Times New Roman" w:eastAsia="Times New Roman" w:hAnsi="Times New Roman" w:cs="Times New Roman"/>
          <w:b/>
          <w:bCs/>
          <w:iCs/>
          <w:sz w:val="24"/>
          <w:szCs w:val="24"/>
          <w:lang w:val="en-US" w:bidi="en-US"/>
        </w:rPr>
        <w:t>and B</w:t>
      </w:r>
      <w:r w:rsidRPr="00DA30FD">
        <w:rPr>
          <w:rFonts w:ascii="Times New Roman" w:eastAsia="Times New Roman" w:hAnsi="Times New Roman" w:cs="Times New Roman"/>
          <w:b/>
          <w:bCs/>
          <w:iCs/>
          <w:sz w:val="24"/>
          <w:szCs w:val="24"/>
          <w:lang w:val="en-US" w:bidi="en-US"/>
        </w:rPr>
        <w:t>eha</w:t>
      </w:r>
      <w:r w:rsidR="00E8005A">
        <w:rPr>
          <w:rFonts w:ascii="Times New Roman" w:eastAsia="Times New Roman" w:hAnsi="Times New Roman" w:cs="Times New Roman"/>
          <w:b/>
          <w:bCs/>
          <w:iCs/>
          <w:sz w:val="24"/>
          <w:szCs w:val="24"/>
          <w:lang w:val="en-US" w:bidi="en-US"/>
        </w:rPr>
        <w:t>vioral I</w:t>
      </w:r>
      <w:r w:rsidRPr="00DA30FD">
        <w:rPr>
          <w:rFonts w:ascii="Times New Roman" w:eastAsia="Times New Roman" w:hAnsi="Times New Roman" w:cs="Times New Roman"/>
          <w:b/>
          <w:bCs/>
          <w:iCs/>
          <w:sz w:val="24"/>
          <w:szCs w:val="24"/>
          <w:lang w:val="en-US" w:bidi="en-US"/>
        </w:rPr>
        <w:t>ntention</w:t>
      </w:r>
    </w:p>
    <w:p w14:paraId="3A86128A"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increase in use of mobile payment systems as related to facilitating conditions will result in an increase in behavioral intention to use mobile payment systems. These findings are consistent with previous studies which point out the role of infrastructure, resources, and technical assistance as critical components of technology adoption. Recent research examining e-wallet adoption in the Philippines highlights the role of the facilitating environment, trust, and usefulness of e-wallet</w:t>
      </w:r>
      <w:r w:rsidR="002B6BF1">
        <w:rPr>
          <w:rFonts w:ascii="Times New Roman" w:eastAsia="Times New Roman" w:hAnsi="Times New Roman" w:cs="Times New Roman"/>
          <w:bCs/>
          <w:iCs/>
          <w:sz w:val="24"/>
          <w:szCs w:val="24"/>
          <w:lang w:val="en-US" w:bidi="en-US"/>
        </w:rPr>
        <w:t xml:space="preserve">s in determining the level of </w:t>
      </w:r>
      <w:r w:rsidRPr="00DA30FD">
        <w:rPr>
          <w:rFonts w:ascii="Times New Roman" w:eastAsia="Times New Roman" w:hAnsi="Times New Roman" w:cs="Times New Roman"/>
          <w:bCs/>
          <w:iCs/>
          <w:sz w:val="24"/>
          <w:szCs w:val="24"/>
          <w:lang w:val="en-US" w:bidi="en-US"/>
        </w:rPr>
        <w:t>electronic payment utilization (</w:t>
      </w:r>
      <w:proofErr w:type="spellStart"/>
      <w:r w:rsidRPr="00DA30FD">
        <w:rPr>
          <w:rFonts w:ascii="Times New Roman" w:eastAsia="Times New Roman" w:hAnsi="Times New Roman" w:cs="Times New Roman"/>
          <w:bCs/>
          <w:iCs/>
          <w:sz w:val="24"/>
          <w:szCs w:val="24"/>
          <w:lang w:val="en-US" w:bidi="en-US"/>
        </w:rPr>
        <w:t>Bacamante</w:t>
      </w:r>
      <w:proofErr w:type="spellEnd"/>
      <w:r w:rsidRPr="00DA30FD">
        <w:rPr>
          <w:rFonts w:ascii="Times New Roman" w:eastAsia="Times New Roman" w:hAnsi="Times New Roman" w:cs="Times New Roman"/>
          <w:bCs/>
          <w:iCs/>
          <w:sz w:val="24"/>
          <w:szCs w:val="24"/>
          <w:lang w:val="en-US" w:bidi="en-US"/>
        </w:rPr>
        <w:t xml:space="preserve"> &amp; Campos, 2024), and when users carefully evaluate resource availability prior to creating adoption plans, facilitating conditions can impact intention (Venkatesh et al., 2003). </w:t>
      </w:r>
    </w:p>
    <w:p w14:paraId="44820229"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4A99CA6B"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H4. </w:t>
      </w:r>
      <w:r w:rsidRPr="00DA30FD">
        <w:rPr>
          <w:rFonts w:ascii="Times New Roman" w:eastAsia="Times New Roman" w:hAnsi="Times New Roman" w:cs="Times New Roman"/>
          <w:bCs/>
          <w:iCs/>
          <w:sz w:val="24"/>
          <w:szCs w:val="24"/>
          <w:lang w:val="en-US" w:bidi="en-US"/>
        </w:rPr>
        <w:t>Facilitating has a high positive significant relationship on behavioral intention.</w:t>
      </w:r>
    </w:p>
    <w:p w14:paraId="08F73774" w14:textId="77777777" w:rsidR="009C1F76"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 Factors exerts the most Significant Impact on the Behavioral Intention of S</w:t>
      </w:r>
      <w:r w:rsidR="009C1F76" w:rsidRPr="00DA30FD">
        <w:rPr>
          <w:rFonts w:ascii="Times New Roman" w:eastAsia="Times New Roman" w:hAnsi="Times New Roman" w:cs="Times New Roman"/>
          <w:b/>
          <w:bCs/>
          <w:iCs/>
          <w:sz w:val="24"/>
          <w:szCs w:val="24"/>
          <w:lang w:val="en-US" w:bidi="en-US"/>
        </w:rPr>
        <w:t>tudents</w:t>
      </w:r>
      <w:r>
        <w:rPr>
          <w:rFonts w:ascii="Times New Roman" w:eastAsia="Times New Roman" w:hAnsi="Times New Roman" w:cs="Times New Roman"/>
          <w:b/>
          <w:bCs/>
          <w:iCs/>
          <w:sz w:val="24"/>
          <w:szCs w:val="24"/>
          <w:lang w:val="en-US" w:bidi="en-US"/>
        </w:rPr>
        <w:t>’</w:t>
      </w:r>
      <w:r w:rsidR="009C1F76" w:rsidRPr="00DA30FD">
        <w:rPr>
          <w:rFonts w:ascii="Times New Roman" w:eastAsia="Times New Roman" w:hAnsi="Times New Roman" w:cs="Times New Roman"/>
          <w:b/>
          <w:bCs/>
          <w:iCs/>
          <w:sz w:val="24"/>
          <w:szCs w:val="24"/>
          <w:lang w:val="en-US" w:bidi="en-US"/>
        </w:rPr>
        <w:t xml:space="preserve"> toward t</w:t>
      </w:r>
      <w:r>
        <w:rPr>
          <w:rFonts w:ascii="Times New Roman" w:eastAsia="Times New Roman" w:hAnsi="Times New Roman" w:cs="Times New Roman"/>
          <w:b/>
          <w:bCs/>
          <w:iCs/>
          <w:sz w:val="24"/>
          <w:szCs w:val="24"/>
          <w:lang w:val="en-US" w:bidi="en-US"/>
        </w:rPr>
        <w:t>he Adoption of Mobile Payment S</w:t>
      </w:r>
      <w:r w:rsidR="009C1F76" w:rsidRPr="00DA30FD">
        <w:rPr>
          <w:rFonts w:ascii="Times New Roman" w:eastAsia="Times New Roman" w:hAnsi="Times New Roman" w:cs="Times New Roman"/>
          <w:b/>
          <w:bCs/>
          <w:iCs/>
          <w:sz w:val="24"/>
          <w:szCs w:val="24"/>
          <w:lang w:val="en-US" w:bidi="en-US"/>
        </w:rPr>
        <w:t>ystems</w:t>
      </w:r>
    </w:p>
    <w:p w14:paraId="0F1702AF" w14:textId="77777777" w:rsidR="00426CAE"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3.4.1 Multiple R</w:t>
      </w:r>
      <w:r w:rsidR="009C1F76" w:rsidRPr="00DA30FD">
        <w:rPr>
          <w:rFonts w:ascii="Times New Roman" w:eastAsia="Times New Roman" w:hAnsi="Times New Roman" w:cs="Times New Roman"/>
          <w:b/>
          <w:bCs/>
          <w:iCs/>
          <w:sz w:val="24"/>
          <w:szCs w:val="24"/>
          <w:lang w:val="en-US" w:bidi="en-US"/>
        </w:rPr>
        <w:t>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9C1F76" w:rsidRPr="00DA30FD" w14:paraId="12EE4F45" w14:textId="77777777" w:rsidTr="00E6134E">
        <w:trPr>
          <w:jc w:val="right"/>
        </w:trPr>
        <w:tc>
          <w:tcPr>
            <w:tcW w:w="5000" w:type="pct"/>
            <w:gridSpan w:val="6"/>
            <w:tcBorders>
              <w:bottom w:val="single" w:sz="4" w:space="0" w:color="auto"/>
            </w:tcBorders>
          </w:tcPr>
          <w:p w14:paraId="00CEA721"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8. </w:t>
            </w:r>
            <w:r w:rsidRPr="00DA30FD">
              <w:rPr>
                <w:rFonts w:ascii="Times New Roman" w:eastAsia="Times New Roman" w:hAnsi="Times New Roman" w:cs="Times New Roman"/>
                <w:sz w:val="24"/>
                <w:szCs w:val="24"/>
                <w:lang w:val="en-US" w:bidi="en-US"/>
              </w:rPr>
              <w:t>Multiple Regression</w:t>
            </w:r>
            <w:r w:rsidRPr="00DA30FD">
              <w:rPr>
                <w:rFonts w:ascii="Times New Roman" w:eastAsia="Times New Roman" w:hAnsi="Times New Roman" w:cs="Times New Roman"/>
                <w:b/>
                <w:sz w:val="24"/>
                <w:szCs w:val="24"/>
                <w:lang w:val="en-US" w:bidi="en-US"/>
              </w:rPr>
              <w:t xml:space="preserve"> </w:t>
            </w:r>
            <w:r w:rsidRPr="00DA30FD">
              <w:rPr>
                <w:rFonts w:ascii="Times New Roman" w:eastAsia="Times New Roman" w:hAnsi="Times New Roman" w:cs="Times New Roman"/>
                <w:iCs/>
                <w:sz w:val="24"/>
                <w:szCs w:val="24"/>
                <w:lang w:val="en-US" w:bidi="en-US"/>
              </w:rPr>
              <w:t>Model Summary</w:t>
            </w:r>
          </w:p>
        </w:tc>
      </w:tr>
      <w:tr w:rsidR="009C1F76" w:rsidRPr="00DA30FD" w14:paraId="5217DCA3" w14:textId="77777777" w:rsidTr="009C1F76">
        <w:trPr>
          <w:jc w:val="right"/>
        </w:trPr>
        <w:tc>
          <w:tcPr>
            <w:tcW w:w="669" w:type="pct"/>
            <w:tcBorders>
              <w:top w:val="single" w:sz="4" w:space="0" w:color="auto"/>
              <w:bottom w:val="single" w:sz="4" w:space="0" w:color="auto"/>
            </w:tcBorders>
          </w:tcPr>
          <w:p w14:paraId="5B63B8F9"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 Square</w:t>
            </w:r>
          </w:p>
        </w:tc>
        <w:tc>
          <w:tcPr>
            <w:tcW w:w="1182" w:type="pct"/>
            <w:gridSpan w:val="2"/>
            <w:tcBorders>
              <w:top w:val="single" w:sz="4" w:space="0" w:color="auto"/>
              <w:bottom w:val="single" w:sz="4" w:space="0" w:color="auto"/>
            </w:tcBorders>
          </w:tcPr>
          <w:p w14:paraId="1ED0591A"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Std. Error of the Estimate</w:t>
            </w:r>
          </w:p>
        </w:tc>
      </w:tr>
      <w:tr w:rsidR="009C1F76" w:rsidRPr="00DA30FD" w14:paraId="42820DB6" w14:textId="77777777" w:rsidTr="009C1F76">
        <w:trPr>
          <w:jc w:val="right"/>
        </w:trPr>
        <w:tc>
          <w:tcPr>
            <w:tcW w:w="669" w:type="pct"/>
            <w:tcBorders>
              <w:bottom w:val="single" w:sz="4" w:space="0" w:color="auto"/>
            </w:tcBorders>
          </w:tcPr>
          <w:p w14:paraId="78783B38"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.778</w:t>
            </w:r>
            <w:r w:rsidRPr="00DA30FD">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.36059</w:t>
            </w:r>
          </w:p>
        </w:tc>
      </w:tr>
      <w:tr w:rsidR="009C1F76" w:rsidRPr="00DA30FD" w14:paraId="5D39337C" w14:textId="77777777" w:rsidTr="00E6134E">
        <w:trPr>
          <w:jc w:val="right"/>
        </w:trPr>
        <w:tc>
          <w:tcPr>
            <w:tcW w:w="5000" w:type="pct"/>
            <w:gridSpan w:val="6"/>
          </w:tcPr>
          <w:p w14:paraId="1254E09A"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d. Predictors: (Constant), facilitate, performance, effort, social</w:t>
            </w:r>
          </w:p>
        </w:tc>
      </w:tr>
    </w:tbl>
    <w:p w14:paraId="7678F715" w14:textId="77777777" w:rsidR="00DA30FD" w:rsidRPr="00DA30FD" w:rsidRDefault="009C1F76" w:rsidP="00426CAE">
      <w:pPr>
        <w:spacing w:before="20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Table 8 present the multiple regression model summary. The multiple R value of .788 indicates a strong positive relationship between the variables. The coefficient of determination, or R-squared, of .605 implies that 60.5% of the variation in students' behavioral intention is explained by their performance expectancy, effort expectancy, social influence, and facilitating conditions. The remaining 39.5% may be attributed to other factors</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9C1F76" w:rsidRPr="00DA30FD" w14:paraId="7019D181" w14:textId="77777777" w:rsidTr="00DA30FD">
        <w:trPr>
          <w:trHeight w:val="280"/>
        </w:trPr>
        <w:tc>
          <w:tcPr>
            <w:tcW w:w="5000" w:type="pct"/>
            <w:gridSpan w:val="7"/>
            <w:tcBorders>
              <w:top w:val="nil"/>
            </w:tcBorders>
          </w:tcPr>
          <w:p w14:paraId="19ABD512" w14:textId="77777777" w:rsidR="009C1F76" w:rsidRPr="00DA30FD" w:rsidRDefault="009C1F76"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 xml:space="preserve">Table 9. </w:t>
            </w:r>
            <w:r w:rsidRPr="00DA30FD">
              <w:rPr>
                <w:rFonts w:ascii="Times New Roman" w:eastAsia="Times New Roman" w:hAnsi="Times New Roman" w:cs="Times New Roman"/>
                <w:sz w:val="24"/>
                <w:szCs w:val="24"/>
                <w:lang w:val="en-US" w:bidi="en-US"/>
              </w:rPr>
              <w:t>ANOVA Results for Multiple Regression Model</w:t>
            </w:r>
          </w:p>
        </w:tc>
      </w:tr>
      <w:tr w:rsidR="009C1F76" w:rsidRPr="00DA30FD" w14:paraId="43D6D3DB" w14:textId="77777777" w:rsidTr="00DA30FD">
        <w:trPr>
          <w:trHeight w:val="260"/>
        </w:trPr>
        <w:tc>
          <w:tcPr>
            <w:tcW w:w="1594" w:type="pct"/>
            <w:gridSpan w:val="2"/>
            <w:tcBorders>
              <w:top w:val="single" w:sz="4" w:space="0" w:color="auto"/>
              <w:bottom w:val="single" w:sz="4" w:space="0" w:color="auto"/>
            </w:tcBorders>
          </w:tcPr>
          <w:p w14:paraId="29872405"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w:t>
            </w:r>
          </w:p>
        </w:tc>
      </w:tr>
      <w:tr w:rsidR="009C1F76" w:rsidRPr="00DA30FD" w14:paraId="244158FC" w14:textId="77777777" w:rsidTr="00DA30FD">
        <w:tc>
          <w:tcPr>
            <w:tcW w:w="322" w:type="pct"/>
          </w:tcPr>
          <w:p w14:paraId="238A59D2"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1272" w:type="pct"/>
          </w:tcPr>
          <w:p w14:paraId="0DA48EE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Regression</w:t>
            </w:r>
          </w:p>
        </w:tc>
        <w:tc>
          <w:tcPr>
            <w:tcW w:w="1092" w:type="pct"/>
          </w:tcPr>
          <w:p w14:paraId="7D0BF8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78.046</w:t>
            </w:r>
          </w:p>
        </w:tc>
        <w:tc>
          <w:tcPr>
            <w:tcW w:w="344" w:type="pct"/>
          </w:tcPr>
          <w:p w14:paraId="4F46881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953" w:type="pct"/>
          </w:tcPr>
          <w:p w14:paraId="5FE015E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19.512</w:t>
            </w:r>
          </w:p>
        </w:tc>
        <w:tc>
          <w:tcPr>
            <w:tcW w:w="594" w:type="pct"/>
          </w:tcPr>
          <w:p w14:paraId="32B50B3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150.059</w:t>
            </w:r>
          </w:p>
        </w:tc>
        <w:tc>
          <w:tcPr>
            <w:tcW w:w="423" w:type="pct"/>
          </w:tcPr>
          <w:p w14:paraId="667B53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r w:rsidRPr="00DA30FD">
              <w:rPr>
                <w:rFonts w:ascii="Times New Roman" w:eastAsia="Times New Roman" w:hAnsi="Times New Roman" w:cs="Times New Roman"/>
                <w:sz w:val="24"/>
                <w:szCs w:val="24"/>
                <w:vertAlign w:val="superscript"/>
                <w:lang w:val="en-US" w:bidi="en-US"/>
              </w:rPr>
              <w:t>e</w:t>
            </w:r>
          </w:p>
        </w:tc>
      </w:tr>
      <w:tr w:rsidR="009C1F76" w:rsidRPr="00DA30FD" w14:paraId="4A19301C" w14:textId="77777777" w:rsidTr="00DA30FD">
        <w:tc>
          <w:tcPr>
            <w:tcW w:w="322" w:type="pct"/>
            <w:vMerge w:val="restart"/>
          </w:tcPr>
          <w:p w14:paraId="79FF92A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Residual</w:t>
            </w:r>
          </w:p>
        </w:tc>
        <w:tc>
          <w:tcPr>
            <w:tcW w:w="1092" w:type="pct"/>
          </w:tcPr>
          <w:p w14:paraId="32C10AB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50.970</w:t>
            </w:r>
          </w:p>
        </w:tc>
        <w:tc>
          <w:tcPr>
            <w:tcW w:w="344" w:type="pct"/>
          </w:tcPr>
          <w:p w14:paraId="32C3F6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392</w:t>
            </w:r>
          </w:p>
        </w:tc>
        <w:tc>
          <w:tcPr>
            <w:tcW w:w="953" w:type="pct"/>
          </w:tcPr>
          <w:p w14:paraId="22E6A40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.130</w:t>
            </w:r>
          </w:p>
        </w:tc>
        <w:tc>
          <w:tcPr>
            <w:tcW w:w="594" w:type="pct"/>
          </w:tcPr>
          <w:p w14:paraId="052F2D6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5809C801" w14:textId="77777777" w:rsidTr="00DA30FD">
        <w:tc>
          <w:tcPr>
            <w:tcW w:w="322" w:type="pct"/>
            <w:vMerge/>
            <w:tcBorders>
              <w:bottom w:val="single" w:sz="4" w:space="0" w:color="auto"/>
            </w:tcBorders>
          </w:tcPr>
          <w:p w14:paraId="43576F6C"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6D7CC08D" w14:textId="77777777" w:rsidTr="00DA30FD">
        <w:tc>
          <w:tcPr>
            <w:tcW w:w="5000" w:type="pct"/>
            <w:gridSpan w:val="7"/>
          </w:tcPr>
          <w:p w14:paraId="0A4AAA87"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9C1F76" w:rsidRPr="00DA30FD"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results of ANOVA shown in table 9 demonstrated that the regression models were statistically significant (P &lt; 0.001), which indicates that these variables together have a significant influence on the intention to use technology supporting of an F (4,392) = 150.059 and a substantial p &lt; </w:t>
      </w:r>
      <w:r w:rsidR="00E6134E" w:rsidRPr="00DA30FD">
        <w:rPr>
          <w:rFonts w:ascii="Times New Roman" w:eastAsia="Times New Roman" w:hAnsi="Times New Roman" w:cs="Times New Roman"/>
          <w:bCs/>
          <w:iCs/>
          <w:sz w:val="24"/>
          <w:szCs w:val="24"/>
          <w:lang w:val="en-US" w:bidi="en-US"/>
        </w:rPr>
        <w:t>.</w:t>
      </w:r>
      <w:r w:rsidRPr="00DA30FD">
        <w:rPr>
          <w:rFonts w:ascii="Times New Roman" w:eastAsia="Times New Roman" w:hAnsi="Times New Roman" w:cs="Times New Roman"/>
          <w:bCs/>
          <w:iCs/>
          <w:sz w:val="24"/>
          <w:szCs w:val="24"/>
          <w:lang w:val="en-US" w:bidi="en-US"/>
        </w:rPr>
        <w:t>000. These findings show a strong correlation between students' intention to use mobile payment systems and the predictors found in the UTAUT framework.</w:t>
      </w:r>
    </w:p>
    <w:tbl>
      <w:tblPr>
        <w:tblW w:w="5000" w:type="pct"/>
        <w:tblLook w:val="04A0" w:firstRow="1" w:lastRow="0" w:firstColumn="1" w:lastColumn="0" w:noHBand="0" w:noVBand="1"/>
      </w:tblPr>
      <w:tblGrid>
        <w:gridCol w:w="3594"/>
        <w:gridCol w:w="1601"/>
        <w:gridCol w:w="1851"/>
        <w:gridCol w:w="1478"/>
        <w:gridCol w:w="2722"/>
      </w:tblGrid>
      <w:tr w:rsidR="009C1F76" w:rsidRPr="00DA30FD" w14:paraId="5EEEA197" w14:textId="77777777" w:rsidTr="00E6134E">
        <w:tc>
          <w:tcPr>
            <w:tcW w:w="5000" w:type="pct"/>
            <w:gridSpan w:val="5"/>
            <w:tcBorders>
              <w:top w:val="single" w:sz="4" w:space="0" w:color="FFFFFF" w:themeColor="background1"/>
              <w:bottom w:val="single" w:sz="4" w:space="0" w:color="auto"/>
            </w:tcBorders>
          </w:tcPr>
          <w:p w14:paraId="5624DAE7"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10. </w:t>
            </w:r>
            <w:r w:rsidRPr="00DA30FD">
              <w:rPr>
                <w:rFonts w:ascii="Times New Roman" w:eastAsia="Times New Roman" w:hAnsi="Times New Roman" w:cs="Times New Roman"/>
                <w:sz w:val="24"/>
                <w:szCs w:val="24"/>
                <w:lang w:val="en-US" w:bidi="en-US"/>
              </w:rPr>
              <w:t>Regression Coefficients</w:t>
            </w:r>
          </w:p>
        </w:tc>
      </w:tr>
      <w:tr w:rsidR="009C1F76" w:rsidRPr="00DA30FD" w14:paraId="40DDF64A" w14:textId="77777777" w:rsidTr="00E6134E">
        <w:tc>
          <w:tcPr>
            <w:tcW w:w="1598" w:type="pct"/>
            <w:tcBorders>
              <w:top w:val="single" w:sz="4" w:space="0" w:color="auto"/>
              <w:bottom w:val="single" w:sz="4" w:space="0" w:color="auto"/>
            </w:tcBorders>
          </w:tcPr>
          <w:p w14:paraId="03B9F74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Indicator</w:t>
            </w:r>
          </w:p>
        </w:tc>
        <w:tc>
          <w:tcPr>
            <w:tcW w:w="3402" w:type="pct"/>
            <w:gridSpan w:val="4"/>
            <w:tcBorders>
              <w:top w:val="single" w:sz="4" w:space="0" w:color="auto"/>
              <w:bottom w:val="single" w:sz="4" w:space="0" w:color="auto"/>
            </w:tcBorders>
          </w:tcPr>
          <w:p w14:paraId="104EFA1D"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Extent of Relationships</w:t>
            </w:r>
          </w:p>
        </w:tc>
      </w:tr>
      <w:tr w:rsidR="009C1F76" w:rsidRPr="00DA30FD" w14:paraId="47B25895" w14:textId="77777777" w:rsidTr="00E6134E">
        <w:tc>
          <w:tcPr>
            <w:tcW w:w="1598" w:type="pct"/>
            <w:tcBorders>
              <w:top w:val="single" w:sz="4" w:space="0" w:color="auto"/>
            </w:tcBorders>
          </w:tcPr>
          <w:p w14:paraId="1E3E40DD"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712" w:type="pct"/>
            <w:tcBorders>
              <w:top w:val="single" w:sz="4" w:space="0" w:color="auto"/>
              <w:bottom w:val="single" w:sz="4" w:space="0" w:color="auto"/>
            </w:tcBorders>
          </w:tcPr>
          <w:p w14:paraId="554B18CE"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Beta</w:t>
            </w:r>
          </w:p>
        </w:tc>
        <w:tc>
          <w:tcPr>
            <w:tcW w:w="823" w:type="pct"/>
            <w:tcBorders>
              <w:bottom w:val="single" w:sz="4" w:space="0" w:color="auto"/>
            </w:tcBorders>
          </w:tcPr>
          <w:p w14:paraId="3D036B5B"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t-value</w:t>
            </w:r>
          </w:p>
        </w:tc>
        <w:tc>
          <w:tcPr>
            <w:tcW w:w="657" w:type="pct"/>
            <w:tcBorders>
              <w:bottom w:val="single" w:sz="4" w:space="0" w:color="auto"/>
            </w:tcBorders>
          </w:tcPr>
          <w:p w14:paraId="473A57B4"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p-value</w:t>
            </w:r>
          </w:p>
        </w:tc>
        <w:tc>
          <w:tcPr>
            <w:tcW w:w="1210" w:type="pct"/>
            <w:tcBorders>
              <w:bottom w:val="single" w:sz="4" w:space="0" w:color="auto"/>
            </w:tcBorders>
          </w:tcPr>
          <w:p w14:paraId="24435F79" w14:textId="77777777" w:rsidR="009C1F76" w:rsidRPr="00DA30FD" w:rsidRDefault="009C1F76" w:rsidP="009C1F76">
            <w:pPr>
              <w:spacing w:after="0" w:line="240" w:lineRule="auto"/>
              <w:jc w:val="center"/>
              <w:rPr>
                <w:rFonts w:ascii="Times New Roman" w:eastAsia="Times New Roman" w:hAnsi="Times New Roman" w:cs="Times New Roman"/>
                <w:b/>
                <w:i/>
                <w:sz w:val="24"/>
                <w:szCs w:val="24"/>
                <w:lang w:val="en-US" w:bidi="en-US"/>
              </w:rPr>
            </w:pPr>
            <w:r w:rsidRPr="00DA30FD">
              <w:rPr>
                <w:rFonts w:ascii="Times New Roman" w:eastAsia="Times New Roman" w:hAnsi="Times New Roman" w:cs="Times New Roman"/>
                <w:b/>
                <w:i/>
                <w:sz w:val="24"/>
                <w:szCs w:val="24"/>
                <w:lang w:val="en-US" w:bidi="en-US"/>
              </w:rPr>
              <w:t>Remark</w:t>
            </w:r>
          </w:p>
        </w:tc>
      </w:tr>
      <w:tr w:rsidR="009C1F76" w:rsidRPr="00DA30FD" w14:paraId="6FEC5B64" w14:textId="77777777" w:rsidTr="00E6134E">
        <w:tc>
          <w:tcPr>
            <w:tcW w:w="1598" w:type="pct"/>
          </w:tcPr>
          <w:p w14:paraId="1FFD2BBD"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(Constant)</w:t>
            </w:r>
          </w:p>
        </w:tc>
        <w:tc>
          <w:tcPr>
            <w:tcW w:w="712" w:type="pct"/>
            <w:tcBorders>
              <w:top w:val="single" w:sz="4" w:space="0" w:color="auto"/>
            </w:tcBorders>
          </w:tcPr>
          <w:p w14:paraId="4E83C2C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.376</w:t>
            </w:r>
          </w:p>
        </w:tc>
        <w:tc>
          <w:tcPr>
            <w:tcW w:w="823" w:type="pct"/>
            <w:tcBorders>
              <w:top w:val="single" w:sz="4" w:space="0" w:color="auto"/>
            </w:tcBorders>
          </w:tcPr>
          <w:p w14:paraId="2FD54E2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2.322</w:t>
            </w:r>
          </w:p>
        </w:tc>
        <w:tc>
          <w:tcPr>
            <w:tcW w:w="657" w:type="pct"/>
            <w:tcBorders>
              <w:top w:val="single" w:sz="4" w:space="0" w:color="auto"/>
            </w:tcBorders>
          </w:tcPr>
          <w:p w14:paraId="2524D90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.021</w:t>
            </w:r>
          </w:p>
        </w:tc>
        <w:tc>
          <w:tcPr>
            <w:tcW w:w="1210" w:type="pct"/>
            <w:tcBorders>
              <w:top w:val="single" w:sz="4" w:space="0" w:color="auto"/>
            </w:tcBorders>
          </w:tcPr>
          <w:p w14:paraId="11A7DD95"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48D99C5D" w14:textId="77777777" w:rsidTr="00E6134E">
        <w:tc>
          <w:tcPr>
            <w:tcW w:w="1598" w:type="pct"/>
          </w:tcPr>
          <w:p w14:paraId="597B095B"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712" w:type="pct"/>
          </w:tcPr>
          <w:p w14:paraId="6022D5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.245</w:t>
            </w:r>
          </w:p>
        </w:tc>
        <w:tc>
          <w:tcPr>
            <w:tcW w:w="823" w:type="pct"/>
          </w:tcPr>
          <w:p w14:paraId="3377C39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4.966</w:t>
            </w:r>
          </w:p>
        </w:tc>
        <w:tc>
          <w:tcPr>
            <w:tcW w:w="657" w:type="pct"/>
          </w:tcPr>
          <w:p w14:paraId="149673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c>
          <w:tcPr>
            <w:tcW w:w="1210" w:type="pct"/>
          </w:tcPr>
          <w:p w14:paraId="6ACCAB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25A994CD" w14:textId="77777777" w:rsidTr="00E6134E">
        <w:tc>
          <w:tcPr>
            <w:tcW w:w="1598" w:type="pct"/>
          </w:tcPr>
          <w:p w14:paraId="5F5069E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712" w:type="pct"/>
          </w:tcPr>
          <w:p w14:paraId="2AFCE0F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.141</w:t>
            </w:r>
          </w:p>
        </w:tc>
        <w:tc>
          <w:tcPr>
            <w:tcW w:w="823" w:type="pct"/>
          </w:tcPr>
          <w:p w14:paraId="424F80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2.400</w:t>
            </w:r>
          </w:p>
        </w:tc>
        <w:tc>
          <w:tcPr>
            <w:tcW w:w="657" w:type="pct"/>
          </w:tcPr>
          <w:p w14:paraId="7F03A81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.017</w:t>
            </w:r>
          </w:p>
        </w:tc>
        <w:tc>
          <w:tcPr>
            <w:tcW w:w="1210" w:type="pct"/>
          </w:tcPr>
          <w:p w14:paraId="4A5478C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28193657" w14:textId="77777777" w:rsidTr="00E6134E">
        <w:tc>
          <w:tcPr>
            <w:tcW w:w="1598" w:type="pct"/>
          </w:tcPr>
          <w:p w14:paraId="75BE4CA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712" w:type="pct"/>
          </w:tcPr>
          <w:p w14:paraId="208F3D6B"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.096</w:t>
            </w:r>
          </w:p>
        </w:tc>
        <w:tc>
          <w:tcPr>
            <w:tcW w:w="823" w:type="pct"/>
          </w:tcPr>
          <w:p w14:paraId="323405D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2.345</w:t>
            </w:r>
          </w:p>
        </w:tc>
        <w:tc>
          <w:tcPr>
            <w:tcW w:w="657" w:type="pct"/>
          </w:tcPr>
          <w:p w14:paraId="10D1E0E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.020</w:t>
            </w:r>
          </w:p>
        </w:tc>
        <w:tc>
          <w:tcPr>
            <w:tcW w:w="1210" w:type="pct"/>
          </w:tcPr>
          <w:p w14:paraId="5EACD94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7ADB8F33" w14:textId="77777777" w:rsidTr="00E6134E">
        <w:tc>
          <w:tcPr>
            <w:tcW w:w="1598" w:type="pct"/>
            <w:tcBorders>
              <w:bottom w:val="single" w:sz="4" w:space="0" w:color="auto"/>
            </w:tcBorders>
          </w:tcPr>
          <w:p w14:paraId="6A467980"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712" w:type="pct"/>
            <w:tcBorders>
              <w:bottom w:val="single" w:sz="4" w:space="0" w:color="auto"/>
            </w:tcBorders>
          </w:tcPr>
          <w:p w14:paraId="2CB011C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.430</w:t>
            </w:r>
          </w:p>
        </w:tc>
        <w:tc>
          <w:tcPr>
            <w:tcW w:w="823" w:type="pct"/>
            <w:tcBorders>
              <w:bottom w:val="single" w:sz="4" w:space="0" w:color="auto"/>
            </w:tcBorders>
          </w:tcPr>
          <w:p w14:paraId="79A780F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8.066</w:t>
            </w:r>
          </w:p>
        </w:tc>
        <w:tc>
          <w:tcPr>
            <w:tcW w:w="657" w:type="pct"/>
            <w:tcBorders>
              <w:bottom w:val="single" w:sz="4" w:space="0" w:color="auto"/>
            </w:tcBorders>
          </w:tcPr>
          <w:p w14:paraId="2A0B9D5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c>
          <w:tcPr>
            <w:tcW w:w="1210" w:type="pct"/>
            <w:tcBorders>
              <w:bottom w:val="single" w:sz="4" w:space="0" w:color="auto"/>
            </w:tcBorders>
          </w:tcPr>
          <w:p w14:paraId="1A9FADC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Significant</w:t>
            </w:r>
          </w:p>
        </w:tc>
      </w:tr>
      <w:tr w:rsidR="009C1F76" w:rsidRPr="00DA30FD" w14:paraId="40C60064" w14:textId="77777777" w:rsidTr="00E6134E">
        <w:tc>
          <w:tcPr>
            <w:tcW w:w="5000" w:type="pct"/>
            <w:gridSpan w:val="5"/>
            <w:tcBorders>
              <w:top w:val="single" w:sz="4" w:space="0" w:color="auto"/>
              <w:bottom w:val="single" w:sz="4" w:space="0" w:color="FFFFFF" w:themeColor="background1"/>
            </w:tcBorders>
          </w:tcPr>
          <w:p w14:paraId="54118FC9" w14:textId="77777777" w:rsidR="009C1F76" w:rsidRPr="00DA30FD" w:rsidRDefault="009C1F76" w:rsidP="00DA30FD">
            <w:pPr>
              <w:spacing w:before="24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xml:space="preserve">. </w:t>
            </w:r>
            <w:r w:rsidRPr="00DA30FD">
              <w:rPr>
                <w:rFonts w:ascii="Times New Roman" w:eastAsia="Times New Roman" w:hAnsi="Times New Roman" w:cs="Times New Roman"/>
                <w:iCs/>
                <w:sz w:val="24"/>
                <w:szCs w:val="24"/>
                <w:lang w:val="en-US" w:bidi="en-US"/>
              </w:rPr>
              <w:t>All four predictors demonstrated statistically significant at p &lt; .001.</w:t>
            </w:r>
          </w:p>
        </w:tc>
      </w:tr>
    </w:tbl>
    <w:p w14:paraId="0709C52A" w14:textId="77777777" w:rsidR="009C1F76"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.430,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w:t>
      </w:r>
      <w:r w:rsidRPr="00DA30FD">
        <w:rPr>
          <w:rFonts w:ascii="Times New Roman" w:eastAsia="Times New Roman" w:hAnsi="Times New Roman" w:cs="Times New Roman"/>
          <w:bCs/>
          <w:iCs/>
          <w:sz w:val="24"/>
          <w:szCs w:val="24"/>
          <w:lang w:val="it-IT" w:bidi="en-US"/>
        </w:rPr>
        <w:t xml:space="preserve">Followed by performance expectancy, and was the second strongest predictor, demonstrated a significant relationship with behavioral intention, with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.245,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Moreover, effort expectancy and social influence also demonstrated significant relationship with behavioral intention, as indicated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.141,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and by </w:t>
      </w:r>
      <w:r w:rsidRPr="00DA30FD">
        <w:rPr>
          <w:rFonts w:ascii="Times New Roman" w:eastAsia="Times New Roman" w:hAnsi="Times New Roman" w:cs="Times New Roman"/>
          <w:bCs/>
          <w:i/>
          <w:iCs/>
          <w:sz w:val="24"/>
          <w:szCs w:val="24"/>
          <w:lang w:val="it-IT" w:bidi="en-US"/>
        </w:rPr>
        <w:t>β</w:t>
      </w:r>
      <w:r w:rsidRPr="00DA30FD">
        <w:rPr>
          <w:rFonts w:ascii="Times New Roman" w:eastAsia="Times New Roman" w:hAnsi="Times New Roman" w:cs="Times New Roman"/>
          <w:bCs/>
          <w:iCs/>
          <w:sz w:val="24"/>
          <w:szCs w:val="24"/>
          <w:lang w:val="it-IT" w:bidi="en-US"/>
        </w:rPr>
        <w:t xml:space="preserve"> </w:t>
      </w:r>
      <w:r w:rsidRPr="00DA30FD">
        <w:rPr>
          <w:rFonts w:ascii="Times New Roman" w:eastAsia="Times New Roman" w:hAnsi="Times New Roman" w:cs="Times New Roman"/>
          <w:bCs/>
          <w:iCs/>
          <w:sz w:val="24"/>
          <w:szCs w:val="24"/>
          <w:lang w:val="en-US" w:bidi="en-US"/>
        </w:rPr>
        <w:t xml:space="preserve">= .096, </w:t>
      </w:r>
      <w:r w:rsidRPr="00DA30FD">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.05 respectively.</w:t>
      </w:r>
    </w:p>
    <w:p w14:paraId="1CDD7EA7" w14:textId="77777777" w:rsidR="00E6134E" w:rsidRPr="00DA30FD" w:rsidRDefault="00E8005A"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3.4.2 Stepwise Regression A</w:t>
      </w:r>
      <w:r w:rsidR="00E6134E" w:rsidRPr="00DA30FD">
        <w:rPr>
          <w:rFonts w:ascii="Times New Roman" w:eastAsia="Times New Roman" w:hAnsi="Times New Roman" w:cs="Times New Roman"/>
          <w:b/>
          <w:bCs/>
          <w:iCs/>
          <w:sz w:val="24"/>
          <w:szCs w:val="24"/>
          <w:lang w:val="en-US" w:bidi="en-US"/>
        </w:rPr>
        <w:t>nalysis</w:t>
      </w:r>
    </w:p>
    <w:p w14:paraId="78508E74" w14:textId="77777777" w:rsid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To establish the hierarchical significance of the predictor variables, a stepwise regression analysis was performed. Stepwise regression adds predictors to the model in stages based on their incremental contribution to the total explained variance and therefore identifies the most important predictors for the behavioral intention. A summary of the stepwise model results is shown in Table 11.</w:t>
      </w:r>
    </w:p>
    <w:p w14:paraId="4575E469" w14:textId="77777777" w:rsidR="0033465A"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56C87C1D" w14:textId="77777777" w:rsidR="0033465A"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644E5AEC" w14:textId="77777777" w:rsidR="0033465A" w:rsidRPr="00DA30FD" w:rsidRDefault="0033465A"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tbl>
      <w:tblPr>
        <w:tblStyle w:val="Table"/>
        <w:tblW w:w="5000" w:type="pct"/>
        <w:jc w:val="right"/>
        <w:tblInd w:w="0" w:type="dxa"/>
        <w:tblLook w:val="07E0" w:firstRow="1" w:lastRow="1" w:firstColumn="1" w:lastColumn="1" w:noHBand="1" w:noVBand="1"/>
      </w:tblPr>
      <w:tblGrid>
        <w:gridCol w:w="896"/>
        <w:gridCol w:w="3248"/>
        <w:gridCol w:w="837"/>
        <w:gridCol w:w="837"/>
        <w:gridCol w:w="1482"/>
        <w:gridCol w:w="1314"/>
        <w:gridCol w:w="1314"/>
        <w:gridCol w:w="1318"/>
      </w:tblGrid>
      <w:tr w:rsidR="00E6134E" w:rsidRPr="00DA30FD" w14:paraId="63BBFE97" w14:textId="77777777" w:rsidTr="00E6134E">
        <w:trPr>
          <w:jc w:val="right"/>
        </w:trPr>
        <w:tc>
          <w:tcPr>
            <w:tcW w:w="5000" w:type="pct"/>
            <w:gridSpan w:val="8"/>
            <w:tcBorders>
              <w:top w:val="nil"/>
              <w:left w:val="nil"/>
              <w:bottom w:val="single" w:sz="2" w:space="0" w:color="auto"/>
              <w:right w:val="nil"/>
            </w:tcBorders>
            <w:vAlign w:val="bottom"/>
          </w:tcPr>
          <w:p w14:paraId="2D02E946" w14:textId="77777777" w:rsidR="00E6134E" w:rsidRPr="00DA30FD" w:rsidRDefault="00E6134E" w:rsidP="00DA30FD">
            <w:pPr>
              <w:spacing w:after="240"/>
              <w:rPr>
                <w:rFonts w:ascii="Times New Roman" w:eastAsia="Calibri" w:hAnsi="Times New Roman"/>
                <w:b/>
              </w:rPr>
            </w:pPr>
            <w:r w:rsidRPr="00DA30FD">
              <w:rPr>
                <w:rFonts w:ascii="Times New Roman" w:eastAsia="Calibri" w:hAnsi="Times New Roman"/>
                <w:b/>
              </w:rPr>
              <w:t>Table 11. S</w:t>
            </w:r>
            <w:r w:rsidRPr="00DA30FD">
              <w:rPr>
                <w:rFonts w:ascii="Times New Roman" w:eastAsia="Calibri" w:hAnsi="Times New Roman"/>
              </w:rPr>
              <w:t>tepwise Regression Summary</w:t>
            </w:r>
          </w:p>
        </w:tc>
      </w:tr>
      <w:tr w:rsidR="00E6134E" w:rsidRPr="00DA30FD" w14:paraId="3E063D1B" w14:textId="77777777" w:rsidTr="00E6134E">
        <w:trPr>
          <w:jc w:val="right"/>
        </w:trPr>
        <w:tc>
          <w:tcPr>
            <w:tcW w:w="399" w:type="pct"/>
            <w:tcBorders>
              <w:top w:val="nil"/>
              <w:left w:val="nil"/>
              <w:bottom w:val="single" w:sz="2" w:space="0" w:color="auto"/>
              <w:right w:val="nil"/>
            </w:tcBorders>
            <w:vAlign w:val="bottom"/>
            <w:hideMark/>
          </w:tcPr>
          <w:p w14:paraId="3E22D0BB"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Step</w:t>
            </w:r>
          </w:p>
        </w:tc>
        <w:tc>
          <w:tcPr>
            <w:tcW w:w="1444" w:type="pct"/>
            <w:tcBorders>
              <w:top w:val="nil"/>
              <w:left w:val="nil"/>
              <w:bottom w:val="single" w:sz="2" w:space="0" w:color="auto"/>
              <w:right w:val="nil"/>
            </w:tcBorders>
            <w:vAlign w:val="bottom"/>
            <w:hideMark/>
          </w:tcPr>
          <w:p w14:paraId="58AE62A9"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Variable(s) Entered</w:t>
            </w:r>
          </w:p>
        </w:tc>
        <w:tc>
          <w:tcPr>
            <w:tcW w:w="372" w:type="pct"/>
            <w:tcBorders>
              <w:top w:val="nil"/>
              <w:left w:val="nil"/>
              <w:bottom w:val="single" w:sz="2" w:space="0" w:color="auto"/>
              <w:right w:val="nil"/>
            </w:tcBorders>
            <w:vAlign w:val="bottom"/>
            <w:hideMark/>
          </w:tcPr>
          <w:p w14:paraId="350BC73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w:t>
            </w:r>
          </w:p>
        </w:tc>
        <w:tc>
          <w:tcPr>
            <w:tcW w:w="372" w:type="pct"/>
            <w:tcBorders>
              <w:top w:val="nil"/>
              <w:left w:val="nil"/>
              <w:bottom w:val="single" w:sz="2" w:space="0" w:color="auto"/>
              <w:right w:val="nil"/>
            </w:tcBorders>
            <w:vAlign w:val="bottom"/>
            <w:hideMark/>
          </w:tcPr>
          <w:p w14:paraId="1FE71A7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w:t>
            </w:r>
          </w:p>
        </w:tc>
        <w:tc>
          <w:tcPr>
            <w:tcW w:w="659" w:type="pct"/>
            <w:tcBorders>
              <w:top w:val="nil"/>
              <w:left w:val="nil"/>
              <w:bottom w:val="single" w:sz="2" w:space="0" w:color="auto"/>
              <w:right w:val="nil"/>
            </w:tcBorders>
            <w:vAlign w:val="bottom"/>
            <w:hideMark/>
          </w:tcPr>
          <w:p w14:paraId="7FEF46FB"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Adjusted R²</w:t>
            </w:r>
          </w:p>
        </w:tc>
        <w:tc>
          <w:tcPr>
            <w:tcW w:w="584" w:type="pct"/>
            <w:tcBorders>
              <w:top w:val="nil"/>
              <w:left w:val="nil"/>
              <w:bottom w:val="single" w:sz="2" w:space="0" w:color="auto"/>
              <w:right w:val="nil"/>
            </w:tcBorders>
            <w:vAlign w:val="bottom"/>
            <w:hideMark/>
          </w:tcPr>
          <w:p w14:paraId="1982FFC6"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 Change</w:t>
            </w:r>
          </w:p>
        </w:tc>
        <w:tc>
          <w:tcPr>
            <w:tcW w:w="584" w:type="pct"/>
            <w:tcBorders>
              <w:top w:val="nil"/>
              <w:left w:val="nil"/>
              <w:bottom w:val="single" w:sz="2" w:space="0" w:color="auto"/>
              <w:right w:val="nil"/>
            </w:tcBorders>
            <w:vAlign w:val="bottom"/>
            <w:hideMark/>
          </w:tcPr>
          <w:p w14:paraId="519B1AAE"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F Change</w:t>
            </w:r>
          </w:p>
        </w:tc>
        <w:tc>
          <w:tcPr>
            <w:tcW w:w="586" w:type="pct"/>
            <w:tcBorders>
              <w:top w:val="nil"/>
              <w:left w:val="nil"/>
              <w:bottom w:val="single" w:sz="2" w:space="0" w:color="auto"/>
              <w:right w:val="nil"/>
            </w:tcBorders>
            <w:vAlign w:val="bottom"/>
            <w:hideMark/>
          </w:tcPr>
          <w:p w14:paraId="465B778D"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 F Change</w:t>
            </w:r>
          </w:p>
        </w:tc>
      </w:tr>
      <w:tr w:rsidR="00E6134E" w:rsidRPr="00DA30FD" w14:paraId="4A9276D3" w14:textId="77777777" w:rsidTr="00E6134E">
        <w:trPr>
          <w:jc w:val="right"/>
        </w:trPr>
        <w:tc>
          <w:tcPr>
            <w:tcW w:w="399" w:type="pct"/>
            <w:hideMark/>
          </w:tcPr>
          <w:p w14:paraId="1063095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1</w:t>
            </w:r>
          </w:p>
        </w:tc>
        <w:tc>
          <w:tcPr>
            <w:tcW w:w="1444" w:type="pct"/>
            <w:hideMark/>
          </w:tcPr>
          <w:p w14:paraId="4269B12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Facilitating Conditions</w:t>
            </w:r>
          </w:p>
        </w:tc>
        <w:tc>
          <w:tcPr>
            <w:tcW w:w="372" w:type="pct"/>
            <w:hideMark/>
          </w:tcPr>
          <w:p w14:paraId="6BBE3CF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.729</w:t>
            </w:r>
          </w:p>
        </w:tc>
        <w:tc>
          <w:tcPr>
            <w:tcW w:w="372" w:type="pct"/>
            <w:hideMark/>
          </w:tcPr>
          <w:p w14:paraId="7C35F67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659" w:type="pct"/>
            <w:hideMark/>
          </w:tcPr>
          <w:p w14:paraId="3D3C531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.530</w:t>
            </w:r>
          </w:p>
        </w:tc>
        <w:tc>
          <w:tcPr>
            <w:tcW w:w="584" w:type="pct"/>
            <w:hideMark/>
          </w:tcPr>
          <w:p w14:paraId="4E4CBE4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584" w:type="pct"/>
            <w:hideMark/>
          </w:tcPr>
          <w:p w14:paraId="712C554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447.421</w:t>
            </w:r>
          </w:p>
        </w:tc>
        <w:tc>
          <w:tcPr>
            <w:tcW w:w="586" w:type="pct"/>
            <w:hideMark/>
          </w:tcPr>
          <w:p w14:paraId="4CCF5F9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037328B7" w14:textId="77777777" w:rsidTr="00E6134E">
        <w:trPr>
          <w:jc w:val="right"/>
        </w:trPr>
        <w:tc>
          <w:tcPr>
            <w:tcW w:w="399" w:type="pct"/>
            <w:hideMark/>
          </w:tcPr>
          <w:p w14:paraId="6FE5501F"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2</w:t>
            </w:r>
          </w:p>
        </w:tc>
        <w:tc>
          <w:tcPr>
            <w:tcW w:w="1444" w:type="pct"/>
            <w:hideMark/>
          </w:tcPr>
          <w:p w14:paraId="4B3F9C7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 Performance </w:t>
            </w:r>
          </w:p>
          <w:p w14:paraId="6261532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372" w:type="pct"/>
            <w:hideMark/>
          </w:tcPr>
          <w:p w14:paraId="4AC09AB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.769</w:t>
            </w:r>
          </w:p>
        </w:tc>
        <w:tc>
          <w:tcPr>
            <w:tcW w:w="372" w:type="pct"/>
            <w:hideMark/>
          </w:tcPr>
          <w:p w14:paraId="59FB851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.591</w:t>
            </w:r>
          </w:p>
        </w:tc>
        <w:tc>
          <w:tcPr>
            <w:tcW w:w="659" w:type="pct"/>
            <w:hideMark/>
          </w:tcPr>
          <w:p w14:paraId="212DA8D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.589</w:t>
            </w:r>
          </w:p>
        </w:tc>
        <w:tc>
          <w:tcPr>
            <w:tcW w:w="584" w:type="pct"/>
            <w:hideMark/>
          </w:tcPr>
          <w:p w14:paraId="6FB1E4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.060</w:t>
            </w:r>
          </w:p>
        </w:tc>
        <w:tc>
          <w:tcPr>
            <w:tcW w:w="584" w:type="pct"/>
            <w:hideMark/>
          </w:tcPr>
          <w:p w14:paraId="16A3003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57.709</w:t>
            </w:r>
          </w:p>
        </w:tc>
        <w:tc>
          <w:tcPr>
            <w:tcW w:w="586" w:type="pct"/>
            <w:hideMark/>
          </w:tcPr>
          <w:p w14:paraId="064AED0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7E5624B7" w14:textId="77777777" w:rsidTr="00E6134E">
        <w:trPr>
          <w:jc w:val="right"/>
        </w:trPr>
        <w:tc>
          <w:tcPr>
            <w:tcW w:w="399" w:type="pct"/>
            <w:hideMark/>
          </w:tcPr>
          <w:p w14:paraId="73EDB6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3</w:t>
            </w:r>
          </w:p>
        </w:tc>
        <w:tc>
          <w:tcPr>
            <w:tcW w:w="1444" w:type="pct"/>
            <w:hideMark/>
          </w:tcPr>
          <w:p w14:paraId="018A5A1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Effort Expectancy</w:t>
            </w:r>
          </w:p>
        </w:tc>
        <w:tc>
          <w:tcPr>
            <w:tcW w:w="372" w:type="pct"/>
            <w:hideMark/>
          </w:tcPr>
          <w:p w14:paraId="33AE339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.774</w:t>
            </w:r>
          </w:p>
        </w:tc>
        <w:tc>
          <w:tcPr>
            <w:tcW w:w="372" w:type="pct"/>
            <w:hideMark/>
          </w:tcPr>
          <w:p w14:paraId="3CFDF38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.599</w:t>
            </w:r>
          </w:p>
        </w:tc>
        <w:tc>
          <w:tcPr>
            <w:tcW w:w="659" w:type="pct"/>
            <w:hideMark/>
          </w:tcPr>
          <w:p w14:paraId="75749F4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.596</w:t>
            </w:r>
          </w:p>
        </w:tc>
        <w:tc>
          <w:tcPr>
            <w:tcW w:w="584" w:type="pct"/>
            <w:hideMark/>
          </w:tcPr>
          <w:p w14:paraId="160F5A7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.008</w:t>
            </w:r>
          </w:p>
        </w:tc>
        <w:tc>
          <w:tcPr>
            <w:tcW w:w="584" w:type="pct"/>
            <w:hideMark/>
          </w:tcPr>
          <w:p w14:paraId="660F0BE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7.857</w:t>
            </w:r>
          </w:p>
        </w:tc>
        <w:tc>
          <w:tcPr>
            <w:tcW w:w="586" w:type="pct"/>
            <w:hideMark/>
          </w:tcPr>
          <w:p w14:paraId="6A489A5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.005</w:t>
            </w:r>
          </w:p>
        </w:tc>
      </w:tr>
      <w:tr w:rsidR="00E6134E" w:rsidRPr="00DA30FD" w14:paraId="2A8C4C53" w14:textId="77777777" w:rsidTr="00E6134E">
        <w:trPr>
          <w:jc w:val="right"/>
        </w:trPr>
        <w:tc>
          <w:tcPr>
            <w:tcW w:w="399" w:type="pct"/>
            <w:tcBorders>
              <w:bottom w:val="single" w:sz="4" w:space="0" w:color="auto"/>
            </w:tcBorders>
            <w:hideMark/>
          </w:tcPr>
          <w:p w14:paraId="49CB7F4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w:t>
            </w:r>
          </w:p>
        </w:tc>
        <w:tc>
          <w:tcPr>
            <w:tcW w:w="1444" w:type="pct"/>
            <w:tcBorders>
              <w:bottom w:val="single" w:sz="4" w:space="0" w:color="auto"/>
            </w:tcBorders>
            <w:hideMark/>
          </w:tcPr>
          <w:p w14:paraId="1EDDEDB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Social Influence</w:t>
            </w:r>
          </w:p>
        </w:tc>
        <w:tc>
          <w:tcPr>
            <w:tcW w:w="372" w:type="pct"/>
            <w:tcBorders>
              <w:bottom w:val="single" w:sz="4" w:space="0" w:color="auto"/>
            </w:tcBorders>
            <w:hideMark/>
          </w:tcPr>
          <w:p w14:paraId="42F4ED5B"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.778</w:t>
            </w:r>
          </w:p>
        </w:tc>
        <w:tc>
          <w:tcPr>
            <w:tcW w:w="372" w:type="pct"/>
            <w:tcBorders>
              <w:bottom w:val="single" w:sz="4" w:space="0" w:color="auto"/>
            </w:tcBorders>
            <w:hideMark/>
          </w:tcPr>
          <w:p w14:paraId="4942832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.605</w:t>
            </w:r>
          </w:p>
        </w:tc>
        <w:tc>
          <w:tcPr>
            <w:tcW w:w="659" w:type="pct"/>
            <w:tcBorders>
              <w:bottom w:val="single" w:sz="4" w:space="0" w:color="auto"/>
            </w:tcBorders>
            <w:hideMark/>
          </w:tcPr>
          <w:p w14:paraId="17AECA9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.601</w:t>
            </w:r>
          </w:p>
        </w:tc>
        <w:tc>
          <w:tcPr>
            <w:tcW w:w="584" w:type="pct"/>
            <w:tcBorders>
              <w:bottom w:val="single" w:sz="4" w:space="0" w:color="auto"/>
            </w:tcBorders>
            <w:hideMark/>
          </w:tcPr>
          <w:p w14:paraId="279DA3C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.006</w:t>
            </w:r>
          </w:p>
        </w:tc>
        <w:tc>
          <w:tcPr>
            <w:tcW w:w="584" w:type="pct"/>
            <w:tcBorders>
              <w:bottom w:val="single" w:sz="4" w:space="0" w:color="auto"/>
            </w:tcBorders>
            <w:hideMark/>
          </w:tcPr>
          <w:p w14:paraId="65A1866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5.499</w:t>
            </w:r>
          </w:p>
        </w:tc>
        <w:tc>
          <w:tcPr>
            <w:tcW w:w="586" w:type="pct"/>
            <w:tcBorders>
              <w:bottom w:val="single" w:sz="4" w:space="0" w:color="auto"/>
            </w:tcBorders>
            <w:hideMark/>
          </w:tcPr>
          <w:p w14:paraId="00ADE73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.020</w:t>
            </w:r>
          </w:p>
        </w:tc>
      </w:tr>
      <w:tr w:rsidR="00E6134E" w:rsidRPr="00DA30FD" w14:paraId="64599FFF" w14:textId="77777777" w:rsidTr="00E6134E">
        <w:trPr>
          <w:jc w:val="right"/>
        </w:trPr>
        <w:tc>
          <w:tcPr>
            <w:tcW w:w="5000" w:type="pct"/>
            <w:gridSpan w:val="8"/>
            <w:tcBorders>
              <w:top w:val="single" w:sz="4" w:space="0" w:color="auto"/>
              <w:bottom w:val="nil"/>
            </w:tcBorders>
          </w:tcPr>
          <w:p w14:paraId="6358E517" w14:textId="77777777" w:rsidR="00E6134E" w:rsidRPr="00DA30FD" w:rsidRDefault="00E6134E" w:rsidP="00DA30FD">
            <w:pPr>
              <w:spacing w:before="240" w:after="0"/>
              <w:rPr>
                <w:rFonts w:ascii="Times New Roman" w:eastAsia="Calibri" w:hAnsi="Times New Roman"/>
              </w:rPr>
            </w:pPr>
            <w:r w:rsidRPr="00DA30FD">
              <w:rPr>
                <w:rFonts w:ascii="Times New Roman" w:eastAsia="Calibri" w:hAnsi="Times New Roman"/>
                <w:lang w:val="en-PH"/>
              </w:rPr>
              <w:t xml:space="preserve">Note. R² </w:t>
            </w:r>
            <w:r w:rsidRPr="00DA30FD">
              <w:rPr>
                <w:rFonts w:ascii="Times New Roman" w:eastAsia="Calibri" w:hAnsi="Times New Roman"/>
                <w:bCs/>
                <w:lang w:val="en-PH"/>
              </w:rPr>
              <w:t>= .531, F = 447.421, p &lt; .001.</w:t>
            </w:r>
          </w:p>
        </w:tc>
      </w:tr>
    </w:tbl>
    <w:p w14:paraId="5D5BECBA" w14:textId="77777777" w:rsidR="009C1F76"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According to the stepwise analysis, the first entry was Facilitating Conditions which explained 53.1% of the variance in Behavioral Intention (R² = .531, F = 447.421, p &lt; .001). Therefore, since Facilitating Conditions had such a strong initial explanatory capability, it can be concluded that Facilitating Conditions are the most important factor influencing the intention to use mobile payments.</w:t>
      </w:r>
    </w:p>
    <w:tbl>
      <w:tblPr>
        <w:tblStyle w:val="Table"/>
        <w:tblW w:w="5000" w:type="pct"/>
        <w:tblInd w:w="0" w:type="dxa"/>
        <w:tblLook w:val="07E0" w:firstRow="1" w:lastRow="1" w:firstColumn="1" w:lastColumn="1" w:noHBand="1" w:noVBand="1"/>
      </w:tblPr>
      <w:tblGrid>
        <w:gridCol w:w="2613"/>
        <w:gridCol w:w="2377"/>
        <w:gridCol w:w="1127"/>
        <w:gridCol w:w="2099"/>
        <w:gridCol w:w="1073"/>
        <w:gridCol w:w="1957"/>
      </w:tblGrid>
      <w:tr w:rsidR="00E6134E" w:rsidRPr="00DA30FD" w14:paraId="42C60ED1" w14:textId="77777777" w:rsidTr="00E6134E">
        <w:tc>
          <w:tcPr>
            <w:tcW w:w="5000" w:type="pct"/>
            <w:gridSpan w:val="6"/>
            <w:tcBorders>
              <w:top w:val="nil"/>
              <w:left w:val="nil"/>
              <w:bottom w:val="single" w:sz="2" w:space="0" w:color="auto"/>
              <w:right w:val="nil"/>
            </w:tcBorders>
            <w:vAlign w:val="bottom"/>
          </w:tcPr>
          <w:p w14:paraId="2A957569" w14:textId="77777777" w:rsidR="00E6134E" w:rsidRPr="00DA30FD" w:rsidRDefault="00E6134E" w:rsidP="00DA30FD">
            <w:pPr>
              <w:spacing w:after="240"/>
              <w:rPr>
                <w:rFonts w:ascii="Times New Roman" w:eastAsia="Calibri" w:hAnsi="Times New Roman"/>
              </w:rPr>
            </w:pPr>
            <w:r w:rsidRPr="00DA30FD">
              <w:rPr>
                <w:rFonts w:ascii="Times New Roman" w:eastAsia="Calibri" w:hAnsi="Times New Roman"/>
                <w:b/>
              </w:rPr>
              <w:t>Table 12.</w:t>
            </w:r>
            <w:r w:rsidRPr="00DA30FD">
              <w:rPr>
                <w:rFonts w:ascii="Times New Roman" w:eastAsia="Calibri" w:hAnsi="Times New Roman"/>
              </w:rPr>
              <w:t xml:space="preserve"> Final Stepwise Regression Coefficients</w:t>
            </w:r>
          </w:p>
        </w:tc>
      </w:tr>
      <w:tr w:rsidR="00E6134E" w:rsidRPr="00DA30FD" w14:paraId="35875930" w14:textId="77777777" w:rsidTr="00E6134E">
        <w:tc>
          <w:tcPr>
            <w:tcW w:w="1162" w:type="pct"/>
            <w:tcBorders>
              <w:top w:val="nil"/>
              <w:left w:val="nil"/>
              <w:bottom w:val="single" w:sz="2" w:space="0" w:color="auto"/>
              <w:right w:val="nil"/>
            </w:tcBorders>
            <w:vAlign w:val="bottom"/>
            <w:hideMark/>
          </w:tcPr>
          <w:p w14:paraId="43334151"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Predictor</w:t>
            </w:r>
          </w:p>
        </w:tc>
        <w:tc>
          <w:tcPr>
            <w:tcW w:w="1057" w:type="pct"/>
            <w:tcBorders>
              <w:top w:val="nil"/>
              <w:left w:val="nil"/>
              <w:bottom w:val="single" w:sz="2" w:space="0" w:color="auto"/>
              <w:right w:val="nil"/>
            </w:tcBorders>
            <w:vAlign w:val="bottom"/>
            <w:hideMark/>
          </w:tcPr>
          <w:p w14:paraId="205D8EA7"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 xml:space="preserve">Unstandardized </w:t>
            </w:r>
            <w:r w:rsidRPr="00DA30FD">
              <w:rPr>
                <w:rFonts w:ascii="Times New Roman" w:eastAsia="Calibri" w:hAnsi="Times New Roman"/>
                <w:b/>
                <w:bCs/>
                <w:i/>
                <w:lang w:val="it-IT"/>
              </w:rPr>
              <w:t>β</w:t>
            </w:r>
          </w:p>
        </w:tc>
        <w:tc>
          <w:tcPr>
            <w:tcW w:w="501" w:type="pct"/>
            <w:tcBorders>
              <w:top w:val="nil"/>
              <w:left w:val="nil"/>
              <w:bottom w:val="single" w:sz="2" w:space="0" w:color="auto"/>
              <w:right w:val="nil"/>
            </w:tcBorders>
            <w:vAlign w:val="bottom"/>
            <w:hideMark/>
          </w:tcPr>
          <w:p w14:paraId="4036686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Std.</w:t>
            </w:r>
          </w:p>
          <w:p w14:paraId="0250C337"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Error</w:t>
            </w:r>
          </w:p>
        </w:tc>
        <w:tc>
          <w:tcPr>
            <w:tcW w:w="933" w:type="pct"/>
            <w:tcBorders>
              <w:top w:val="nil"/>
              <w:left w:val="nil"/>
              <w:bottom w:val="single" w:sz="2" w:space="0" w:color="auto"/>
              <w:right w:val="nil"/>
            </w:tcBorders>
            <w:vAlign w:val="bottom"/>
            <w:hideMark/>
          </w:tcPr>
          <w:p w14:paraId="6F5DCF7F"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Standardized Beta (β)</w:t>
            </w:r>
          </w:p>
        </w:tc>
        <w:tc>
          <w:tcPr>
            <w:tcW w:w="477" w:type="pct"/>
            <w:tcBorders>
              <w:top w:val="nil"/>
              <w:left w:val="nil"/>
              <w:bottom w:val="single" w:sz="2" w:space="0" w:color="auto"/>
              <w:right w:val="nil"/>
            </w:tcBorders>
            <w:vAlign w:val="bottom"/>
            <w:hideMark/>
          </w:tcPr>
          <w:p w14:paraId="7CEE3605"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t</w:t>
            </w:r>
          </w:p>
        </w:tc>
        <w:tc>
          <w:tcPr>
            <w:tcW w:w="870" w:type="pct"/>
            <w:tcBorders>
              <w:top w:val="nil"/>
              <w:left w:val="nil"/>
              <w:bottom w:val="single" w:sz="2" w:space="0" w:color="auto"/>
              <w:right w:val="nil"/>
            </w:tcBorders>
            <w:vAlign w:val="bottom"/>
            <w:hideMark/>
          </w:tcPr>
          <w:p w14:paraId="599B4A8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Significance (p)</w:t>
            </w:r>
          </w:p>
        </w:tc>
      </w:tr>
      <w:tr w:rsidR="00E6134E" w:rsidRPr="00DA30FD" w14:paraId="3788670F" w14:textId="77777777" w:rsidTr="00E6134E">
        <w:tc>
          <w:tcPr>
            <w:tcW w:w="1162" w:type="pct"/>
            <w:hideMark/>
          </w:tcPr>
          <w:p w14:paraId="2475641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(Constant)</w:t>
            </w:r>
          </w:p>
        </w:tc>
        <w:tc>
          <w:tcPr>
            <w:tcW w:w="1057" w:type="pct"/>
            <w:hideMark/>
          </w:tcPr>
          <w:p w14:paraId="468DEED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.376</w:t>
            </w:r>
          </w:p>
        </w:tc>
        <w:tc>
          <w:tcPr>
            <w:tcW w:w="501" w:type="pct"/>
            <w:hideMark/>
          </w:tcPr>
          <w:p w14:paraId="4E11A80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.162</w:t>
            </w:r>
          </w:p>
        </w:tc>
        <w:tc>
          <w:tcPr>
            <w:tcW w:w="933" w:type="pct"/>
            <w:hideMark/>
          </w:tcPr>
          <w:p w14:paraId="16688F55"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w:t>
            </w:r>
          </w:p>
        </w:tc>
        <w:tc>
          <w:tcPr>
            <w:tcW w:w="477" w:type="pct"/>
            <w:hideMark/>
          </w:tcPr>
          <w:p w14:paraId="444F617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2.322</w:t>
            </w:r>
          </w:p>
        </w:tc>
        <w:tc>
          <w:tcPr>
            <w:tcW w:w="870" w:type="pct"/>
            <w:hideMark/>
          </w:tcPr>
          <w:p w14:paraId="345B8EF7"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.021</w:t>
            </w:r>
          </w:p>
        </w:tc>
      </w:tr>
      <w:tr w:rsidR="00E6134E" w:rsidRPr="00DA30FD" w14:paraId="61CD24E5" w14:textId="77777777" w:rsidTr="00E6134E">
        <w:tc>
          <w:tcPr>
            <w:tcW w:w="1162" w:type="pct"/>
            <w:hideMark/>
          </w:tcPr>
          <w:p w14:paraId="06E66F5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Facilitating </w:t>
            </w:r>
          </w:p>
          <w:p w14:paraId="514900C4"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Conditions</w:t>
            </w:r>
          </w:p>
        </w:tc>
        <w:tc>
          <w:tcPr>
            <w:tcW w:w="1057" w:type="pct"/>
            <w:hideMark/>
          </w:tcPr>
          <w:p w14:paraId="78AF3B9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.430</w:t>
            </w:r>
          </w:p>
        </w:tc>
        <w:tc>
          <w:tcPr>
            <w:tcW w:w="501" w:type="pct"/>
            <w:hideMark/>
          </w:tcPr>
          <w:p w14:paraId="758DE845"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.053</w:t>
            </w:r>
          </w:p>
        </w:tc>
        <w:tc>
          <w:tcPr>
            <w:tcW w:w="933" w:type="pct"/>
            <w:hideMark/>
          </w:tcPr>
          <w:p w14:paraId="601485C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.411</w:t>
            </w:r>
          </w:p>
        </w:tc>
        <w:tc>
          <w:tcPr>
            <w:tcW w:w="477" w:type="pct"/>
            <w:hideMark/>
          </w:tcPr>
          <w:p w14:paraId="0E5D97CA"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8.066</w:t>
            </w:r>
          </w:p>
        </w:tc>
        <w:tc>
          <w:tcPr>
            <w:tcW w:w="870" w:type="pct"/>
            <w:hideMark/>
          </w:tcPr>
          <w:p w14:paraId="3794C818"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.000</w:t>
            </w:r>
          </w:p>
        </w:tc>
      </w:tr>
      <w:tr w:rsidR="00E6134E" w:rsidRPr="00DA30FD" w14:paraId="2D3EE068" w14:textId="77777777" w:rsidTr="00E6134E">
        <w:tc>
          <w:tcPr>
            <w:tcW w:w="1162" w:type="pct"/>
            <w:hideMark/>
          </w:tcPr>
          <w:p w14:paraId="160D5FC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Performance </w:t>
            </w:r>
          </w:p>
          <w:p w14:paraId="1A200F1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1057" w:type="pct"/>
            <w:hideMark/>
          </w:tcPr>
          <w:p w14:paraId="5AEEB46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.245</w:t>
            </w:r>
          </w:p>
        </w:tc>
        <w:tc>
          <w:tcPr>
            <w:tcW w:w="501" w:type="pct"/>
            <w:hideMark/>
          </w:tcPr>
          <w:p w14:paraId="128A9F5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.049</w:t>
            </w:r>
          </w:p>
        </w:tc>
        <w:tc>
          <w:tcPr>
            <w:tcW w:w="933" w:type="pct"/>
            <w:hideMark/>
          </w:tcPr>
          <w:p w14:paraId="6B10A07A"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.241</w:t>
            </w:r>
          </w:p>
        </w:tc>
        <w:tc>
          <w:tcPr>
            <w:tcW w:w="477" w:type="pct"/>
            <w:hideMark/>
          </w:tcPr>
          <w:p w14:paraId="77E9658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4.966</w:t>
            </w:r>
          </w:p>
        </w:tc>
        <w:tc>
          <w:tcPr>
            <w:tcW w:w="870" w:type="pct"/>
            <w:hideMark/>
          </w:tcPr>
          <w:p w14:paraId="4FE8B399"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.000</w:t>
            </w:r>
          </w:p>
        </w:tc>
      </w:tr>
      <w:tr w:rsidR="00E6134E" w:rsidRPr="00DA30FD" w14:paraId="527C8DE2" w14:textId="77777777" w:rsidTr="00E6134E">
        <w:tc>
          <w:tcPr>
            <w:tcW w:w="1162" w:type="pct"/>
            <w:hideMark/>
          </w:tcPr>
          <w:p w14:paraId="6033B7DE"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Effort Expectancy</w:t>
            </w:r>
          </w:p>
        </w:tc>
        <w:tc>
          <w:tcPr>
            <w:tcW w:w="1057" w:type="pct"/>
            <w:hideMark/>
          </w:tcPr>
          <w:p w14:paraId="3B21A16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.141</w:t>
            </w:r>
          </w:p>
        </w:tc>
        <w:tc>
          <w:tcPr>
            <w:tcW w:w="501" w:type="pct"/>
            <w:hideMark/>
          </w:tcPr>
          <w:p w14:paraId="143AD46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.059</w:t>
            </w:r>
          </w:p>
        </w:tc>
        <w:tc>
          <w:tcPr>
            <w:tcW w:w="933" w:type="pct"/>
            <w:hideMark/>
          </w:tcPr>
          <w:p w14:paraId="2FF2316E"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.132</w:t>
            </w:r>
          </w:p>
        </w:tc>
        <w:tc>
          <w:tcPr>
            <w:tcW w:w="477" w:type="pct"/>
            <w:hideMark/>
          </w:tcPr>
          <w:p w14:paraId="795F1888"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2.400</w:t>
            </w:r>
          </w:p>
        </w:tc>
        <w:tc>
          <w:tcPr>
            <w:tcW w:w="870" w:type="pct"/>
            <w:hideMark/>
          </w:tcPr>
          <w:p w14:paraId="503D15DD"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.017</w:t>
            </w:r>
          </w:p>
        </w:tc>
      </w:tr>
      <w:tr w:rsidR="00E6134E" w:rsidRPr="00DA30FD" w14:paraId="463A4A91" w14:textId="77777777" w:rsidTr="00E6134E">
        <w:tc>
          <w:tcPr>
            <w:tcW w:w="1162" w:type="pct"/>
            <w:tcBorders>
              <w:bottom w:val="single" w:sz="4" w:space="0" w:color="auto"/>
            </w:tcBorders>
            <w:hideMark/>
          </w:tcPr>
          <w:p w14:paraId="0F5C05B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Social Influence</w:t>
            </w:r>
          </w:p>
        </w:tc>
        <w:tc>
          <w:tcPr>
            <w:tcW w:w="1057" w:type="pct"/>
            <w:tcBorders>
              <w:bottom w:val="single" w:sz="4" w:space="0" w:color="auto"/>
            </w:tcBorders>
            <w:hideMark/>
          </w:tcPr>
          <w:p w14:paraId="58535B66"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.096</w:t>
            </w:r>
          </w:p>
        </w:tc>
        <w:tc>
          <w:tcPr>
            <w:tcW w:w="501" w:type="pct"/>
            <w:tcBorders>
              <w:bottom w:val="single" w:sz="4" w:space="0" w:color="auto"/>
            </w:tcBorders>
            <w:hideMark/>
          </w:tcPr>
          <w:p w14:paraId="10E63AD0"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.041</w:t>
            </w:r>
          </w:p>
        </w:tc>
        <w:tc>
          <w:tcPr>
            <w:tcW w:w="933" w:type="pct"/>
            <w:tcBorders>
              <w:bottom w:val="single" w:sz="4" w:space="0" w:color="auto"/>
            </w:tcBorders>
            <w:hideMark/>
          </w:tcPr>
          <w:p w14:paraId="6B6B0079"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.100</w:t>
            </w:r>
          </w:p>
        </w:tc>
        <w:tc>
          <w:tcPr>
            <w:tcW w:w="477" w:type="pct"/>
            <w:tcBorders>
              <w:bottom w:val="single" w:sz="4" w:space="0" w:color="auto"/>
            </w:tcBorders>
            <w:hideMark/>
          </w:tcPr>
          <w:p w14:paraId="02FE03AB"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2.345</w:t>
            </w:r>
          </w:p>
        </w:tc>
        <w:tc>
          <w:tcPr>
            <w:tcW w:w="870" w:type="pct"/>
            <w:tcBorders>
              <w:bottom w:val="single" w:sz="4" w:space="0" w:color="auto"/>
            </w:tcBorders>
            <w:hideMark/>
          </w:tcPr>
          <w:p w14:paraId="65DF6533" w14:textId="77777777" w:rsidR="00E6134E" w:rsidRPr="00DA30FD" w:rsidRDefault="00E6134E" w:rsidP="00E6134E">
            <w:pPr>
              <w:spacing w:before="36" w:after="36"/>
              <w:jc w:val="center"/>
              <w:rPr>
                <w:rFonts w:ascii="Times New Roman" w:eastAsia="Calibri" w:hAnsi="Times New Roman"/>
              </w:rPr>
            </w:pPr>
            <w:r w:rsidRPr="00DA30FD">
              <w:rPr>
                <w:rFonts w:ascii="Times New Roman" w:eastAsia="Calibri" w:hAnsi="Times New Roman"/>
              </w:rPr>
              <w:t>.020</w:t>
            </w:r>
          </w:p>
        </w:tc>
      </w:tr>
    </w:tbl>
    <w:p w14:paraId="454B82E1" w14:textId="77777777" w:rsidR="00E6134E" w:rsidRPr="00DA30FD"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final coefficients from the stepwise regression analysis are consistently the same as those obtained through the Enter method, reinforcing confidence in the reliability of the results based on both approaches. Therefore, because both the stepwise regression analysis and the Enter method yield consistent results for the most significant predictor of behavioral intention, Facilitating Conditions, both methods allow for increased confidence in making the conclusion.</w:t>
      </w:r>
    </w:p>
    <w:p w14:paraId="7CE8C248" w14:textId="77777777" w:rsidR="00E6134E" w:rsidRPr="00DA30FD" w:rsidRDefault="00E8005A" w:rsidP="00DA30FD">
      <w:pPr>
        <w:spacing w:before="240" w:after="240" w:line="240" w:lineRule="auto"/>
        <w:jc w:val="center"/>
        <w:rPr>
          <w:rFonts w:ascii="Times New Roman" w:eastAsia="Times New Roman" w:hAnsi="Times New Roman" w:cs="Times New Roman"/>
          <w:b/>
          <w:bCs/>
          <w:iCs/>
          <w:sz w:val="28"/>
          <w:szCs w:val="24"/>
          <w:lang w:val="en-US" w:bidi="en-US"/>
        </w:rPr>
      </w:pPr>
      <w:r w:rsidRPr="00DA30FD">
        <w:rPr>
          <w:rFonts w:ascii="Times New Roman" w:eastAsia="Times New Roman" w:hAnsi="Times New Roman" w:cs="Times New Roman"/>
          <w:b/>
          <w:bCs/>
          <w:iCs/>
          <w:sz w:val="28"/>
          <w:szCs w:val="24"/>
          <w:lang w:val="en-US" w:bidi="en-US"/>
        </w:rPr>
        <w:t xml:space="preserve">4. </w:t>
      </w:r>
      <w:r>
        <w:rPr>
          <w:rFonts w:ascii="Times New Roman" w:eastAsia="Times New Roman" w:hAnsi="Times New Roman" w:cs="Times New Roman"/>
          <w:b/>
          <w:bCs/>
          <w:iCs/>
          <w:sz w:val="28"/>
          <w:szCs w:val="24"/>
          <w:lang w:val="en-US" w:bidi="en-US"/>
        </w:rPr>
        <w:t>DISCUSSION</w:t>
      </w:r>
    </w:p>
    <w:p w14:paraId="08724E7A" w14:textId="77777777" w:rsidR="00E8005A" w:rsidRPr="00E8005A"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E8005A">
        <w:rPr>
          <w:rFonts w:ascii="Times New Roman" w:eastAsia="Times New Roman" w:hAnsi="Times New Roman" w:cs="Times New Roman"/>
          <w:b/>
          <w:bCs/>
          <w:iCs/>
          <w:sz w:val="24"/>
          <w:szCs w:val="24"/>
          <w:lang w:val="en-US" w:bidi="en-US"/>
        </w:rPr>
        <w:t>4.1 Findings</w:t>
      </w:r>
    </w:p>
    <w:p w14:paraId="24395DC9"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study validated the UTAUT framework applicability of mobile payment systems adoption to students’ behavioral intention in General S</w:t>
      </w:r>
      <w:r w:rsidR="00426CAE">
        <w:rPr>
          <w:rFonts w:ascii="Times New Roman" w:eastAsia="Times New Roman" w:hAnsi="Times New Roman" w:cs="Times New Roman"/>
          <w:bCs/>
          <w:iCs/>
          <w:sz w:val="24"/>
          <w:szCs w:val="24"/>
          <w:lang w:val="en-US" w:bidi="en-US"/>
        </w:rPr>
        <w:t xml:space="preserve">antos City private Higher </w:t>
      </w:r>
      <w:r w:rsidRPr="00E8005A">
        <w:rPr>
          <w:rFonts w:ascii="Times New Roman" w:eastAsia="Times New Roman" w:hAnsi="Times New Roman" w:cs="Times New Roman"/>
          <w:bCs/>
          <w:iCs/>
          <w:sz w:val="24"/>
          <w:szCs w:val="24"/>
          <w:lang w:val="en-US" w:bidi="en-US"/>
        </w:rPr>
        <w:t>Education Institutions setting. All the factors are signific</w:t>
      </w:r>
      <w:r w:rsidR="00426CAE">
        <w:rPr>
          <w:rFonts w:ascii="Times New Roman" w:eastAsia="Times New Roman" w:hAnsi="Times New Roman" w:cs="Times New Roman"/>
          <w:bCs/>
          <w:iCs/>
          <w:sz w:val="24"/>
          <w:szCs w:val="24"/>
          <w:lang w:val="en-US" w:bidi="en-US"/>
        </w:rPr>
        <w:t xml:space="preserve">antly influences behavioral </w:t>
      </w:r>
      <w:r w:rsidRPr="00E8005A">
        <w:rPr>
          <w:rFonts w:ascii="Times New Roman" w:eastAsia="Times New Roman" w:hAnsi="Times New Roman" w:cs="Times New Roman"/>
          <w:bCs/>
          <w:iCs/>
          <w:sz w:val="24"/>
          <w:szCs w:val="24"/>
          <w:lang w:val="en-US" w:bidi="en-US"/>
        </w:rPr>
        <w:t>intention. This study has demonstrated that UTAUT provides a theoretical framework to assist in understanding how mobile payments are being utilized by students of private HEIs’. The emergence of Facilitating Conditions as the st</w:t>
      </w:r>
      <w:r w:rsidR="00426CAE">
        <w:rPr>
          <w:rFonts w:ascii="Times New Roman" w:eastAsia="Times New Roman" w:hAnsi="Times New Roman" w:cs="Times New Roman"/>
          <w:bCs/>
          <w:iCs/>
          <w:sz w:val="24"/>
          <w:szCs w:val="24"/>
          <w:lang w:val="en-US" w:bidi="en-US"/>
        </w:rPr>
        <w:t xml:space="preserve">rongest predictor of behavior </w:t>
      </w:r>
      <w:r w:rsidRPr="00E8005A">
        <w:rPr>
          <w:rFonts w:ascii="Times New Roman" w:eastAsia="Times New Roman" w:hAnsi="Times New Roman" w:cs="Times New Roman"/>
          <w:bCs/>
          <w:iCs/>
          <w:sz w:val="24"/>
          <w:szCs w:val="24"/>
          <w:lang w:val="en-US" w:bidi="en-US"/>
        </w:rPr>
        <w:t>intention towards the adoption of mobile payment is significant with many implications both theoretically and practically. Additionally, the di</w:t>
      </w:r>
      <w:r w:rsidR="00426CAE">
        <w:rPr>
          <w:rFonts w:ascii="Times New Roman" w:eastAsia="Times New Roman" w:hAnsi="Times New Roman" w:cs="Times New Roman"/>
          <w:bCs/>
          <w:iCs/>
          <w:sz w:val="24"/>
          <w:szCs w:val="24"/>
          <w:lang w:val="en-US" w:bidi="en-US"/>
        </w:rPr>
        <w:t xml:space="preserve">scovery of the importance of </w:t>
      </w:r>
      <w:r w:rsidRPr="00E8005A">
        <w:rPr>
          <w:rFonts w:ascii="Times New Roman" w:eastAsia="Times New Roman" w:hAnsi="Times New Roman" w:cs="Times New Roman"/>
          <w:bCs/>
          <w:iCs/>
          <w:sz w:val="24"/>
          <w:szCs w:val="24"/>
          <w:lang w:val="en-US" w:bidi="en-US"/>
        </w:rPr>
        <w:t>infrastructure to the development of mobile payment systems and the impact they have on students’ intention to adopt these systems will be critical as the Philippines continues to develop a digital payment ecosystem. Finally, this study demonstrated that the UTAUT model remains relevant in the area of technology research due to its overall positive predictive power with respect to consumer technologies.</w:t>
      </w:r>
    </w:p>
    <w:p w14:paraId="47CFBC17" w14:textId="77777777"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4.2 Theoretical Implications</w:t>
      </w:r>
    </w:p>
    <w:p w14:paraId="076F908E"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research also adds to the literature on UTAUT by examining the ways that the model can be used to help explain the use of mobile payments within higher education institutions located in the Philippines; along with the different contexts in which these various predictors are ranked hierarchically. One of the other major findings from this study is that Facilitating Conditions were found to be the most significant predictor re-garding the infrastructure supporting the use of digital payments in developing countries.</w:t>
      </w:r>
    </w:p>
    <w:p w14:paraId="5E095507"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According to this study, contextual moderation plays an </w:t>
      </w:r>
      <w:r w:rsidR="002B6BF1">
        <w:rPr>
          <w:rFonts w:ascii="Times New Roman" w:eastAsia="Times New Roman" w:hAnsi="Times New Roman" w:cs="Times New Roman"/>
          <w:bCs/>
          <w:iCs/>
          <w:sz w:val="24"/>
          <w:szCs w:val="24"/>
          <w:lang w:val="en-US" w:bidi="en-US"/>
        </w:rPr>
        <w:t>important role when con</w:t>
      </w:r>
      <w:r w:rsidRPr="00E8005A">
        <w:rPr>
          <w:rFonts w:ascii="Times New Roman" w:eastAsia="Times New Roman" w:hAnsi="Times New Roman" w:cs="Times New Roman"/>
          <w:bCs/>
          <w:iCs/>
          <w:sz w:val="24"/>
          <w:szCs w:val="24"/>
          <w:lang w:val="en-US" w:bidi="en-US"/>
        </w:rPr>
        <w:t>sidering the technology acceptance model. The UTAUT c</w:t>
      </w:r>
      <w:r w:rsidR="002B6BF1">
        <w:rPr>
          <w:rFonts w:ascii="Times New Roman" w:eastAsia="Times New Roman" w:hAnsi="Times New Roman" w:cs="Times New Roman"/>
          <w:bCs/>
          <w:iCs/>
          <w:sz w:val="24"/>
          <w:szCs w:val="24"/>
          <w:lang w:val="en-US" w:bidi="en-US"/>
        </w:rPr>
        <w:t>onstructs are differentially im</w:t>
      </w:r>
      <w:r w:rsidRPr="00E8005A">
        <w:rPr>
          <w:rFonts w:ascii="Times New Roman" w:eastAsia="Times New Roman" w:hAnsi="Times New Roman" w:cs="Times New Roman"/>
          <w:bCs/>
          <w:iCs/>
          <w:sz w:val="24"/>
          <w:szCs w:val="24"/>
          <w:lang w:val="en-US" w:bidi="en-US"/>
        </w:rPr>
        <w:t>portant based on the maturity of the digital infrastructu</w:t>
      </w:r>
      <w:r w:rsidR="002B6BF1">
        <w:rPr>
          <w:rFonts w:ascii="Times New Roman" w:eastAsia="Times New Roman" w:hAnsi="Times New Roman" w:cs="Times New Roman"/>
          <w:bCs/>
          <w:iCs/>
          <w:sz w:val="24"/>
          <w:szCs w:val="24"/>
          <w:lang w:val="en-US" w:bidi="en-US"/>
        </w:rPr>
        <w:t>re, user demographics, and tech</w:t>
      </w:r>
      <w:r w:rsidRPr="00E8005A">
        <w:rPr>
          <w:rFonts w:ascii="Times New Roman" w:eastAsia="Times New Roman" w:hAnsi="Times New Roman" w:cs="Times New Roman"/>
          <w:bCs/>
          <w:iCs/>
          <w:sz w:val="24"/>
          <w:szCs w:val="24"/>
          <w:lang w:val="en-US" w:bidi="en-US"/>
        </w:rPr>
        <w:t>nology attributes. Additionally, this research adds to the body of knowledge about mobile payments and how they are adopted in developing countries, in particular Southeast Asia. The results support research done in India, Malaysia, and other developing markets showing that infrastructure plays a major role in the changing digital payment ecosystem.</w:t>
      </w:r>
    </w:p>
    <w:p w14:paraId="270FC549" w14:textId="77777777" w:rsidR="00E8005A" w:rsidRPr="00426CAE" w:rsidRDefault="00E8005A" w:rsidP="00E8005A">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4.3 Practical Implications</w:t>
      </w:r>
    </w:p>
    <w:p w14:paraId="23104FE6"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 focus on growing their acceptance network for merchants, assuring the reliability of their technology (i.e., payment processing system), and providing quality customer service. Additionally, by providing digital payment methods for tuition, services on campus, stores on campus, and cafeteria food items, educational institutions create opportunities for convenience of use on the campus where mobile payments will be more likely to be used regularly.</w:t>
      </w:r>
    </w:p>
    <w:p w14:paraId="43D5DDE1"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Furthermore, Facilitating Conditions are importan</w:t>
      </w:r>
      <w:r w:rsidR="00426CAE">
        <w:rPr>
          <w:rFonts w:ascii="Times New Roman" w:eastAsia="Times New Roman" w:hAnsi="Times New Roman" w:cs="Times New Roman"/>
          <w:bCs/>
          <w:iCs/>
          <w:sz w:val="24"/>
          <w:szCs w:val="24"/>
          <w:lang w:val="en-US" w:bidi="en-US"/>
        </w:rPr>
        <w:t>t for the development of invest</w:t>
      </w:r>
      <w:r w:rsidRPr="00E8005A">
        <w:rPr>
          <w:rFonts w:ascii="Times New Roman" w:eastAsia="Times New Roman" w:hAnsi="Times New Roman" w:cs="Times New Roman"/>
          <w:bCs/>
          <w:iCs/>
          <w:sz w:val="24"/>
          <w:szCs w:val="24"/>
          <w:lang w:val="en-US" w:bidi="en-US"/>
        </w:rPr>
        <w:t>ments in digital infrastructure including but not limited to internet connectivity, mobile device technology, and established regulations to provide a safe and trusted environment to create mobile payment ecosystems.</w:t>
      </w:r>
    </w:p>
    <w:p w14:paraId="0855265D" w14:textId="77777777" w:rsidR="00426CAE" w:rsidRPr="00DA30FD" w:rsidRDefault="00426CA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5AD70D0" w14:textId="77777777" w:rsidR="00E8005A" w:rsidRDefault="00E8005A" w:rsidP="00DA30FD">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 CONCLUSIONS</w:t>
      </w:r>
    </w:p>
    <w:p w14:paraId="29CDA9CA"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empirical research provides a lot of informatio</w:t>
      </w:r>
      <w:r w:rsidR="00426CAE">
        <w:rPr>
          <w:rFonts w:ascii="Times New Roman" w:eastAsia="Times New Roman" w:hAnsi="Times New Roman" w:cs="Times New Roman"/>
          <w:bCs/>
          <w:iCs/>
          <w:sz w:val="24"/>
          <w:szCs w:val="24"/>
          <w:lang w:val="en-US" w:bidi="en-US"/>
        </w:rPr>
        <w:t>n about the reasons why stu</w:t>
      </w:r>
      <w:r w:rsidRPr="00E8005A">
        <w:rPr>
          <w:rFonts w:ascii="Times New Roman" w:eastAsia="Times New Roman" w:hAnsi="Times New Roman" w:cs="Times New Roman"/>
          <w:bCs/>
          <w:iCs/>
          <w:sz w:val="24"/>
          <w:szCs w:val="24"/>
          <w:lang w:val="en-US" w:bidi="en-US"/>
        </w:rPr>
        <w:t>dents’ behavioral intention to use mobile payment systems at private higher learning in-</w:t>
      </w:r>
      <w:r w:rsidR="00426CAE" w:rsidRPr="00E8005A">
        <w:rPr>
          <w:rFonts w:ascii="Times New Roman" w:eastAsia="Times New Roman" w:hAnsi="Times New Roman" w:cs="Times New Roman"/>
          <w:bCs/>
          <w:iCs/>
          <w:sz w:val="24"/>
          <w:szCs w:val="24"/>
          <w:lang w:val="en-US" w:bidi="en-US"/>
        </w:rPr>
        <w:t>situations</w:t>
      </w:r>
      <w:r w:rsidRPr="00E8005A">
        <w:rPr>
          <w:rFonts w:ascii="Times New Roman" w:eastAsia="Times New Roman" w:hAnsi="Times New Roman" w:cs="Times New Roman"/>
          <w:bCs/>
          <w:iCs/>
          <w:sz w:val="24"/>
          <w:szCs w:val="24"/>
          <w:lang w:val="en-US" w:bidi="en-US"/>
        </w:rPr>
        <w:t xml:space="preserve"> located in General Santos City, Philippines, will be fulfilled. The research was performed using rigorous quantitative approaches and was developed through the use of the UTAUT theoretical framework. The results of the research found that Performance Expectancy, Effort Expectancy, Social Influence, and Faci</w:t>
      </w:r>
      <w:r w:rsidR="00426CAE">
        <w:rPr>
          <w:rFonts w:ascii="Times New Roman" w:eastAsia="Times New Roman" w:hAnsi="Times New Roman" w:cs="Times New Roman"/>
          <w:bCs/>
          <w:iCs/>
          <w:sz w:val="24"/>
          <w:szCs w:val="24"/>
          <w:lang w:val="en-US" w:bidi="en-US"/>
        </w:rPr>
        <w:t>litating Conditions are all sig</w:t>
      </w:r>
      <w:r w:rsidRPr="00E8005A">
        <w:rPr>
          <w:rFonts w:ascii="Times New Roman" w:eastAsia="Times New Roman" w:hAnsi="Times New Roman" w:cs="Times New Roman"/>
          <w:bCs/>
          <w:iCs/>
          <w:sz w:val="24"/>
          <w:szCs w:val="24"/>
          <w:lang w:val="en-US" w:bidi="en-US"/>
        </w:rPr>
        <w:t>nificant predictors of students’ behavioral intention to adopt a mobile payment system and these four variables explain over 60.5% of the vari</w:t>
      </w:r>
      <w:r w:rsidR="00426CAE">
        <w:rPr>
          <w:rFonts w:ascii="Times New Roman" w:eastAsia="Times New Roman" w:hAnsi="Times New Roman" w:cs="Times New Roman"/>
          <w:bCs/>
          <w:iCs/>
          <w:sz w:val="24"/>
          <w:szCs w:val="24"/>
          <w:lang w:val="en-US" w:bidi="en-US"/>
        </w:rPr>
        <w:t>ance in students’ behavioral in</w:t>
      </w:r>
      <w:r w:rsidRPr="00E8005A">
        <w:rPr>
          <w:rFonts w:ascii="Times New Roman" w:eastAsia="Times New Roman" w:hAnsi="Times New Roman" w:cs="Times New Roman"/>
          <w:bCs/>
          <w:iCs/>
          <w:sz w:val="24"/>
          <w:szCs w:val="24"/>
          <w:lang w:val="en-US" w:bidi="en-US"/>
        </w:rPr>
        <w:t>tention to adopt mobile payment systems.</w:t>
      </w:r>
    </w:p>
    <w:p w14:paraId="51F77622"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Facilitating Conditions have emerged as the dominant predictor in this study, which is an important finding that has both significant theoretical and practical implications. Emerging digital payment ecosystems in the Philippines are substantially dependent on infrastructure factors, including resource availability, technical support, system compatibility and merchant acceptance, and these infrastructure factors do not just serve as enabling factors but also serve as primary motivators for the intention to adopt mobile payments. These findings highlight the importance of infrastructure development in facilitating mobile payment adoption and demonstrate that technology acceptance is context-dependent and that there are significant differences among technology acceptance dynamics in different contexts.</w:t>
      </w:r>
    </w:p>
    <w:p w14:paraId="1D7BE8B2" w14:textId="77777777" w:rsid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Future research studies will advance the field of</w:t>
      </w:r>
      <w:r w:rsidR="00426CAE">
        <w:rPr>
          <w:rFonts w:ascii="Times New Roman" w:eastAsia="Times New Roman" w:hAnsi="Times New Roman" w:cs="Times New Roman"/>
          <w:bCs/>
          <w:iCs/>
          <w:sz w:val="24"/>
          <w:szCs w:val="24"/>
          <w:lang w:val="en-US" w:bidi="en-US"/>
        </w:rPr>
        <w:t xml:space="preserve"> mobile payment adoption by uti</w:t>
      </w:r>
      <w:r w:rsidRPr="00E8005A">
        <w:rPr>
          <w:rFonts w:ascii="Times New Roman" w:eastAsia="Times New Roman" w:hAnsi="Times New Roman" w:cs="Times New Roman"/>
          <w:bCs/>
          <w:iCs/>
          <w:sz w:val="24"/>
          <w:szCs w:val="24"/>
          <w:lang w:val="en-US" w:bidi="en-US"/>
        </w:rPr>
        <w:t>lizing longitudinal studies, theoretical frameworks, cros</w:t>
      </w:r>
      <w:r w:rsidR="00426CAE">
        <w:rPr>
          <w:rFonts w:ascii="Times New Roman" w:eastAsia="Times New Roman" w:hAnsi="Times New Roman" w:cs="Times New Roman"/>
          <w:bCs/>
          <w:iCs/>
          <w:sz w:val="24"/>
          <w:szCs w:val="24"/>
          <w:lang w:val="en-US" w:bidi="en-US"/>
        </w:rPr>
        <w:t>s-case comparisons, and qualita</w:t>
      </w:r>
      <w:r w:rsidRPr="00E8005A">
        <w:rPr>
          <w:rFonts w:ascii="Times New Roman" w:eastAsia="Times New Roman" w:hAnsi="Times New Roman" w:cs="Times New Roman"/>
          <w:bCs/>
          <w:iCs/>
          <w:sz w:val="24"/>
          <w:szCs w:val="24"/>
          <w:lang w:val="en-US" w:bidi="en-US"/>
        </w:rPr>
        <w:t>tive/quantitative methods. In doing so, further knowle</w:t>
      </w:r>
      <w:r w:rsidR="00426CAE">
        <w:rPr>
          <w:rFonts w:ascii="Times New Roman" w:eastAsia="Times New Roman" w:hAnsi="Times New Roman" w:cs="Times New Roman"/>
          <w:bCs/>
          <w:iCs/>
          <w:sz w:val="24"/>
          <w:szCs w:val="24"/>
          <w:lang w:val="en-US" w:bidi="en-US"/>
        </w:rPr>
        <w:t>dge will be gained about the dy</w:t>
      </w:r>
      <w:r w:rsidRPr="00E8005A">
        <w:rPr>
          <w:rFonts w:ascii="Times New Roman" w:eastAsia="Times New Roman" w:hAnsi="Times New Roman" w:cs="Times New Roman"/>
          <w:bCs/>
          <w:iCs/>
          <w:sz w:val="24"/>
          <w:szCs w:val="24"/>
          <w:lang w:val="en-US" w:bidi="en-US"/>
        </w:rPr>
        <w:t>namics of mobile payments' use while contributing to the creation of effective, re-search-based strategies for encouraging the inclusion of digital finance within the country of the Philippines.</w:t>
      </w:r>
    </w:p>
    <w:p w14:paraId="7655DFB5"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7E4D0AC0" w14:textId="77777777" w:rsidR="0056761E" w:rsidRPr="00426CAE" w:rsidRDefault="0056761E" w:rsidP="0056761E">
      <w:pPr>
        <w:spacing w:before="240" w:after="240" w:line="240" w:lineRule="auto"/>
        <w:jc w:val="both"/>
        <w:rPr>
          <w:rFonts w:ascii="Times New Roman" w:eastAsia="Times New Roman" w:hAnsi="Times New Roman" w:cs="Times New Roman"/>
          <w:b/>
          <w:bCs/>
          <w:iCs/>
          <w:sz w:val="24"/>
          <w:szCs w:val="24"/>
          <w:lang w:val="en-US" w:bidi="en-US"/>
        </w:rPr>
      </w:pPr>
      <w:r w:rsidRPr="00426CAE">
        <w:rPr>
          <w:rFonts w:ascii="Times New Roman" w:eastAsia="Times New Roman" w:hAnsi="Times New Roman" w:cs="Times New Roman"/>
          <w:b/>
          <w:bCs/>
          <w:iCs/>
          <w:sz w:val="24"/>
          <w:szCs w:val="24"/>
          <w:lang w:val="en-US" w:bidi="en-US"/>
        </w:rPr>
        <w:t>4.4 Limitations</w:t>
      </w:r>
    </w:p>
    <w:p w14:paraId="6CA270F1" w14:textId="77777777" w:rsidR="0056761E" w:rsidRPr="00E8005A"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Although this research study reveals important information regarding mobile payment use by students, the following limitations are present:</w:t>
      </w:r>
    </w:p>
    <w:p w14:paraId="2ED3BDDF" w14:textId="77777777" w:rsidR="0056761E" w:rsidRPr="00E8005A"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study utilized a cross-sectional design to collect data at one point in time. This limits the possibility for establishing causal relationships because the variables studied could only be shown to be related to one another, not a cause–effect relationship. There is a need for longitudinal studies that would track the same participants and who would have mobile payment systems that would provide an increased ability to determine causal relationships and enhance understanding of how the intent to use will result in actual usage.</w:t>
      </w:r>
    </w:p>
    <w:p w14:paraId="0C27D248" w14:textId="77777777" w:rsidR="0056761E" w:rsidRDefault="0056761E" w:rsidP="0056761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research looked specifically at students enrolled at private colleges/universities located in General Santos City, limiting the study's applicability in terms of location, demographics, and type of institution. Students enrolled in privately funded educational institutions may not be similar to those enrolled in publ</w:t>
      </w:r>
      <w:r>
        <w:rPr>
          <w:rFonts w:ascii="Times New Roman" w:eastAsia="Times New Roman" w:hAnsi="Times New Roman" w:cs="Times New Roman"/>
          <w:bCs/>
          <w:iCs/>
          <w:sz w:val="24"/>
          <w:szCs w:val="24"/>
          <w:lang w:val="en-US" w:bidi="en-US"/>
        </w:rPr>
        <w:t>icly funded educational institu</w:t>
      </w:r>
      <w:r w:rsidRPr="00E8005A">
        <w:rPr>
          <w:rFonts w:ascii="Times New Roman" w:eastAsia="Times New Roman" w:hAnsi="Times New Roman" w:cs="Times New Roman"/>
          <w:bCs/>
          <w:iCs/>
          <w:sz w:val="24"/>
          <w:szCs w:val="24"/>
          <w:lang w:val="en-US" w:bidi="en-US"/>
        </w:rPr>
        <w:t>tions based on differences in socio-economic status, technology access, and attitudes to-wards technology. The urban environment of General Santos City does not simulate that of a rural location with different infrastructural conditions. Further research should ex-amine mobile payment adoption amongst various geogr</w:t>
      </w:r>
      <w:r>
        <w:rPr>
          <w:rFonts w:ascii="Times New Roman" w:eastAsia="Times New Roman" w:hAnsi="Times New Roman" w:cs="Times New Roman"/>
          <w:bCs/>
          <w:iCs/>
          <w:sz w:val="24"/>
          <w:szCs w:val="24"/>
          <w:lang w:val="en-US" w:bidi="en-US"/>
        </w:rPr>
        <w:t>aphic locations, types of educa</w:t>
      </w:r>
      <w:r w:rsidRPr="00E8005A">
        <w:rPr>
          <w:rFonts w:ascii="Times New Roman" w:eastAsia="Times New Roman" w:hAnsi="Times New Roman" w:cs="Times New Roman"/>
          <w:bCs/>
          <w:iCs/>
          <w:sz w:val="24"/>
          <w:szCs w:val="24"/>
          <w:lang w:val="en-US" w:bidi="en-US"/>
        </w:rPr>
        <w:t>tional institutions, and demographics to determine generalizability.</w:t>
      </w:r>
    </w:p>
    <w:p w14:paraId="1D56E3CA" w14:textId="77777777" w:rsidR="0056761E" w:rsidRPr="00E8005A"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02CD24C7"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4" w:name="_Hlk89945590"/>
      <w:r w:rsidRPr="00DA30FD">
        <w:rPr>
          <w:rFonts w:ascii="Times New Roman" w:eastAsia="Times New Roman" w:hAnsi="Times New Roman" w:cs="Times New Roman"/>
          <w:b/>
          <w:bCs/>
          <w:iCs/>
          <w:sz w:val="24"/>
          <w:szCs w:val="24"/>
          <w:lang w:val="en-US" w:bidi="en-US"/>
        </w:rPr>
        <w:t>Institutional Review Board Statement</w:t>
      </w:r>
    </w:p>
    <w:p w14:paraId="13089F8B"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was conducted in accordance with the Declaration of Helsinki, and approved by the Institutional Ethics Review Committee of Mindanao State University, General Santos (protocol code 2026-145-SR, March 5, 2026) for studies involving humans.</w:t>
      </w:r>
    </w:p>
    <w:p w14:paraId="4CDD4248"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5" w:name="_Hlk60054323"/>
      <w:bookmarkEnd w:id="4"/>
      <w:r w:rsidRPr="00DA30FD">
        <w:rPr>
          <w:rFonts w:ascii="Times New Roman" w:eastAsia="Times New Roman" w:hAnsi="Times New Roman" w:cs="Times New Roman"/>
          <w:b/>
          <w:bCs/>
          <w:iCs/>
          <w:sz w:val="24"/>
          <w:szCs w:val="24"/>
          <w:lang w:val="en-US" w:bidi="en-US"/>
        </w:rPr>
        <w:t>Informed Consent Statement</w:t>
      </w:r>
    </w:p>
    <w:p w14:paraId="5F44AA22" w14:textId="77777777" w:rsidR="009F5289" w:rsidRPr="00DA30FD" w:rsidRDefault="009F5289" w:rsidP="00426CAE">
      <w:pPr>
        <w:spacing w:before="240" w:after="240" w:line="240" w:lineRule="auto"/>
        <w:ind w:firstLine="720"/>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Informed consent was obtained from all subjects involved in the study.</w:t>
      </w:r>
    </w:p>
    <w:bookmarkEnd w:id="5"/>
    <w:p w14:paraId="683FBC5B"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Data Availability Statement</w:t>
      </w:r>
    </w:p>
    <w:p w14:paraId="7029DF60"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Conflicts of Interest</w:t>
      </w:r>
    </w:p>
    <w:p w14:paraId="5C132ECF" w14:textId="77777777" w:rsidR="009F5289"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56761E" w:rsidRPr="0056761E" w:rsidRDefault="0056761E" w:rsidP="0056761E">
      <w:pPr>
        <w:rPr>
          <w:rFonts w:ascii="Arial" w:eastAsia="Times New Roman" w:hAnsi="Arial" w:cs="Arial"/>
          <w:b/>
          <w:bCs/>
          <w:lang w:val="en-GB" w:eastAsia="en-GB"/>
        </w:rPr>
      </w:pPr>
      <w:r w:rsidRPr="0056761E">
        <w:rPr>
          <w:rFonts w:ascii="Arial" w:eastAsia="Times New Roman" w:hAnsi="Arial" w:cs="Arial"/>
          <w:b/>
          <w:bCs/>
          <w:lang w:val="en-GB" w:eastAsia="en-GB"/>
        </w:rPr>
        <w:t>COMPETING INTERESTS DISCLAIMER:</w:t>
      </w:r>
    </w:p>
    <w:p w14:paraId="53FA365C" w14:textId="77777777" w:rsidR="0056761E" w:rsidRPr="0056761E" w:rsidRDefault="0056761E" w:rsidP="0056761E">
      <w:pPr>
        <w:rPr>
          <w:rFonts w:ascii="Calibri" w:eastAsia="Times New Roman" w:hAnsi="Calibri" w:cs="Times New Roman"/>
          <w:lang w:val="en-GB" w:eastAsia="en-GB"/>
        </w:rPr>
      </w:pPr>
      <w:r w:rsidRPr="0056761E">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D7D37D5" w14:textId="77777777" w:rsidR="0056761E" w:rsidRPr="00DA30FD"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66F794A9" w14:textId="77777777" w:rsidR="009F5289" w:rsidRPr="00DA30FD" w:rsidRDefault="009F5289" w:rsidP="00DA30FD">
      <w:pPr>
        <w:spacing w:before="240" w:after="240" w:line="240" w:lineRule="auto"/>
        <w:jc w:val="both"/>
        <w:rPr>
          <w:rFonts w:ascii="Times New Roman" w:eastAsia="Times New Roman" w:hAnsi="Times New Roman" w:cs="Times New Roman"/>
          <w:bCs/>
          <w:iCs/>
          <w:sz w:val="24"/>
          <w:szCs w:val="24"/>
          <w:lang w:val="en-US" w:bidi="en-US"/>
        </w:rPr>
      </w:pPr>
    </w:p>
    <w:p w14:paraId="430F12F4" w14:textId="77777777" w:rsidR="00E6134E" w:rsidRPr="00DA30FD" w:rsidRDefault="009F5289" w:rsidP="009F5289">
      <w:pPr>
        <w:spacing w:before="200" w:line="240" w:lineRule="auto"/>
        <w:jc w:val="center"/>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References</w:t>
      </w:r>
    </w:p>
    <w:p w14:paraId="3456E24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w:t>
      </w:r>
      <w:r w:rsidRPr="00426CAE">
        <w:rPr>
          <w:rFonts w:ascii="Times New Roman" w:eastAsia="Times New Roman" w:hAnsi="Times New Roman" w:cs="Times New Roman"/>
          <w:bCs/>
          <w:iCs/>
          <w:sz w:val="24"/>
          <w:szCs w:val="24"/>
          <w:lang w:val="en-US" w:bidi="en-US"/>
        </w:rPr>
        <w:tab/>
        <w:t xml:space="preserve">Bahaj, S. A. (2024). Student's perception of mobile payment application using TAM model: An empirical study in Saudi Arabia. International Journal of Data and Network Science, 9(1) 87-96. https://doi:10.5267/j.ijdns.2024.9.020 </w:t>
      </w:r>
    </w:p>
    <w:p w14:paraId="043363C9"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2.</w:t>
      </w:r>
      <w:r w:rsidRPr="00426CAE">
        <w:rPr>
          <w:rFonts w:ascii="Times New Roman" w:eastAsia="Times New Roman" w:hAnsi="Times New Roman" w:cs="Times New Roman"/>
          <w:bCs/>
          <w:iCs/>
          <w:sz w:val="24"/>
          <w:szCs w:val="24"/>
          <w:lang w:val="en-US" w:bidi="en-US"/>
        </w:rPr>
        <w:tab/>
      </w:r>
      <w:proofErr w:type="spellStart"/>
      <w:r w:rsidRPr="00426CAE">
        <w:rPr>
          <w:rFonts w:ascii="Times New Roman" w:eastAsia="Times New Roman" w:hAnsi="Times New Roman" w:cs="Times New Roman"/>
          <w:bCs/>
          <w:iCs/>
          <w:sz w:val="24"/>
          <w:szCs w:val="24"/>
          <w:lang w:val="en-US" w:bidi="en-US"/>
        </w:rPr>
        <w:t>Bacamante</w:t>
      </w:r>
      <w:proofErr w:type="spellEnd"/>
      <w:r w:rsidRPr="00426CAE">
        <w:rPr>
          <w:rFonts w:ascii="Times New Roman" w:eastAsia="Times New Roman" w:hAnsi="Times New Roman" w:cs="Times New Roman"/>
          <w:bCs/>
          <w:iCs/>
          <w:sz w:val="24"/>
          <w:szCs w:val="24"/>
          <w:lang w:val="en-US" w:bidi="en-US"/>
        </w:rPr>
        <w:t>, S. R., Campos, K. (2024). Consumer's intentions towards e-wallets in the Philippines: A systematic literature review. Journal of International Business, Economics and Entrepreneurship, 9(2), 19-28. https://doi.org/10.24191//jibe.v9i1.101</w:t>
      </w:r>
    </w:p>
    <w:p w14:paraId="4287CD04"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3.</w:t>
      </w:r>
      <w:r w:rsidRPr="00426CAE">
        <w:rPr>
          <w:rFonts w:ascii="Times New Roman" w:eastAsia="Times New Roman" w:hAnsi="Times New Roman" w:cs="Times New Roman"/>
          <w:bCs/>
          <w:iCs/>
          <w:sz w:val="24"/>
          <w:szCs w:val="24"/>
          <w:lang w:val="en-US" w:bidi="en-US"/>
        </w:rPr>
        <w:tab/>
        <w:t xml:space="preserve">Irianto, A. P., &amp; </w:t>
      </w:r>
      <w:proofErr w:type="spellStart"/>
      <w:r w:rsidRPr="00426CAE">
        <w:rPr>
          <w:rFonts w:ascii="Times New Roman" w:eastAsia="Times New Roman" w:hAnsi="Times New Roman" w:cs="Times New Roman"/>
          <w:bCs/>
          <w:iCs/>
          <w:sz w:val="24"/>
          <w:szCs w:val="24"/>
          <w:lang w:val="en-US" w:bidi="en-US"/>
        </w:rPr>
        <w:t>Chanvarasuth</w:t>
      </w:r>
      <w:proofErr w:type="spellEnd"/>
      <w:r w:rsidRPr="00426CAE">
        <w:rPr>
          <w:rFonts w:ascii="Times New Roman" w:eastAsia="Times New Roman" w:hAnsi="Times New Roman" w:cs="Times New Roman"/>
          <w:bCs/>
          <w:iCs/>
          <w:sz w:val="24"/>
          <w:szCs w:val="24"/>
          <w:lang w:val="en-US" w:bidi="en-US"/>
        </w:rPr>
        <w:t>, P. (2025). Drivers and barriers of mobile payment adoption among MSMEs: Insights from Indonesia. Journal of Risk and Financial Management, 18(5), 251. https://doi.org/10.3390/jrfm18050251</w:t>
      </w:r>
    </w:p>
    <w:p w14:paraId="6ED0F8BA"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4.</w:t>
      </w:r>
      <w:r w:rsidRPr="00426CAE">
        <w:rPr>
          <w:rFonts w:ascii="Times New Roman" w:eastAsia="Times New Roman" w:hAnsi="Times New Roman" w:cs="Times New Roman"/>
          <w:bCs/>
          <w:iCs/>
          <w:sz w:val="24"/>
          <w:szCs w:val="24"/>
          <w:lang w:val="en-US" w:bidi="en-US"/>
        </w:rPr>
        <w:tab/>
        <w:t xml:space="preserve">Ishak, M. F., Mahmood, A. N., Zaini, N. M., Rizal N. N., Razif, N. A., </w:t>
      </w:r>
      <w:proofErr w:type="spellStart"/>
      <w:r w:rsidRPr="00426CAE">
        <w:rPr>
          <w:rFonts w:ascii="Times New Roman" w:eastAsia="Times New Roman" w:hAnsi="Times New Roman" w:cs="Times New Roman"/>
          <w:bCs/>
          <w:iCs/>
          <w:sz w:val="24"/>
          <w:szCs w:val="24"/>
          <w:lang w:val="en-US" w:bidi="en-US"/>
        </w:rPr>
        <w:t>Norazam</w:t>
      </w:r>
      <w:proofErr w:type="spellEnd"/>
      <w:r w:rsidRPr="00426CAE">
        <w:rPr>
          <w:rFonts w:ascii="Times New Roman" w:eastAsia="Times New Roman" w:hAnsi="Times New Roman" w:cs="Times New Roman"/>
          <w:bCs/>
          <w:iCs/>
          <w:sz w:val="24"/>
          <w:szCs w:val="24"/>
          <w:lang w:val="en-US" w:bidi="en-US"/>
        </w:rPr>
        <w:t xml:space="preserve">, N. B., Hashim, N. B. (2024). Adoption of cashless payment among undergraduate students: A case study. Information Management and Business Review, 16(3), 1072-1085. https:// </w:t>
      </w:r>
      <w:proofErr w:type="spellStart"/>
      <w:r w:rsidRPr="00426CAE">
        <w:rPr>
          <w:rFonts w:ascii="Times New Roman" w:eastAsia="Times New Roman" w:hAnsi="Times New Roman" w:cs="Times New Roman"/>
          <w:bCs/>
          <w:iCs/>
          <w:sz w:val="24"/>
          <w:szCs w:val="24"/>
          <w:lang w:val="en-US" w:bidi="en-US"/>
        </w:rPr>
        <w:t>doi</w:t>
      </w:r>
      <w:proofErr w:type="spellEnd"/>
      <w:r w:rsidRPr="00426CAE">
        <w:rPr>
          <w:rFonts w:ascii="Times New Roman" w:eastAsia="Times New Roman" w:hAnsi="Times New Roman" w:cs="Times New Roman"/>
          <w:bCs/>
          <w:iCs/>
          <w:sz w:val="24"/>
          <w:szCs w:val="24"/>
          <w:lang w:val="en-US" w:bidi="en-US"/>
        </w:rPr>
        <w:t>: 10.22610/imbr.v16i3S(I)a.4197</w:t>
      </w:r>
    </w:p>
    <w:p w14:paraId="61E2F573"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5.</w:t>
      </w:r>
      <w:r w:rsidRPr="00426CAE">
        <w:rPr>
          <w:rFonts w:ascii="Times New Roman" w:eastAsia="Times New Roman" w:hAnsi="Times New Roman" w:cs="Times New Roman"/>
          <w:bCs/>
          <w:iCs/>
          <w:sz w:val="24"/>
          <w:szCs w:val="24"/>
          <w:lang w:val="en-US" w:bidi="en-US"/>
        </w:rPr>
        <w:tab/>
        <w:t xml:space="preserve">Islam, M., Tamanna, A., &amp; Islam, S. (2024). The path to cashless transaction: A study of user intention and attitudes towards quick response mobile payments. </w:t>
      </w:r>
      <w:proofErr w:type="spellStart"/>
      <w:r w:rsidRPr="00426CAE">
        <w:rPr>
          <w:rFonts w:ascii="Times New Roman" w:eastAsia="Times New Roman" w:hAnsi="Times New Roman" w:cs="Times New Roman"/>
          <w:bCs/>
          <w:iCs/>
          <w:sz w:val="24"/>
          <w:szCs w:val="24"/>
          <w:lang w:val="en-US" w:bidi="en-US"/>
        </w:rPr>
        <w:t>Heliyon</w:t>
      </w:r>
      <w:proofErr w:type="spellEnd"/>
      <w:r w:rsidRPr="00426CAE">
        <w:rPr>
          <w:rFonts w:ascii="Times New Roman" w:eastAsia="Times New Roman" w:hAnsi="Times New Roman" w:cs="Times New Roman"/>
          <w:bCs/>
          <w:iCs/>
          <w:sz w:val="24"/>
          <w:szCs w:val="24"/>
          <w:lang w:val="en-US" w:bidi="en-US"/>
        </w:rPr>
        <w:t xml:space="preserve"> a Cell Press Journal, 10(15), 1-19. https://doi.org/10.1016/j.heliyon.2024.e35302</w:t>
      </w:r>
    </w:p>
    <w:p w14:paraId="5AEF1C9C"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6.</w:t>
      </w:r>
      <w:r w:rsidRPr="00426CAE">
        <w:rPr>
          <w:rFonts w:ascii="Times New Roman" w:eastAsia="Times New Roman" w:hAnsi="Times New Roman" w:cs="Times New Roman"/>
          <w:bCs/>
          <w:iCs/>
          <w:sz w:val="24"/>
          <w:szCs w:val="24"/>
          <w:lang w:val="en-US" w:bidi="en-US"/>
        </w:rPr>
        <w:tab/>
        <w:t xml:space="preserve">Kiran, K. P., </w:t>
      </w:r>
      <w:proofErr w:type="spellStart"/>
      <w:r w:rsidRPr="00426CAE">
        <w:rPr>
          <w:rFonts w:ascii="Times New Roman" w:eastAsia="Times New Roman" w:hAnsi="Times New Roman" w:cs="Times New Roman"/>
          <w:bCs/>
          <w:iCs/>
          <w:sz w:val="24"/>
          <w:szCs w:val="24"/>
          <w:lang w:val="en-US" w:bidi="en-US"/>
        </w:rPr>
        <w:t>Vedala</w:t>
      </w:r>
      <w:proofErr w:type="spellEnd"/>
      <w:r w:rsidRPr="00426CAE">
        <w:rPr>
          <w:rFonts w:ascii="Times New Roman" w:eastAsia="Times New Roman" w:hAnsi="Times New Roman" w:cs="Times New Roman"/>
          <w:bCs/>
          <w:iCs/>
          <w:sz w:val="24"/>
          <w:szCs w:val="24"/>
          <w:lang w:val="en-US" w:bidi="en-US"/>
        </w:rPr>
        <w:t xml:space="preserve">, N. S. (2025). Exploring behavioral intentions of consumers towards different digital payment services through the interplay of perceived risks and adoption factors. </w:t>
      </w:r>
      <w:proofErr w:type="spellStart"/>
      <w:r w:rsidRPr="00426CAE">
        <w:rPr>
          <w:rFonts w:ascii="Times New Roman" w:eastAsia="Times New Roman" w:hAnsi="Times New Roman" w:cs="Times New Roman"/>
          <w:bCs/>
          <w:iCs/>
          <w:sz w:val="24"/>
          <w:szCs w:val="24"/>
          <w:lang w:val="en-US" w:bidi="en-US"/>
        </w:rPr>
        <w:t>Humanit</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Soc</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Sci</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Commun</w:t>
      </w:r>
      <w:proofErr w:type="spellEnd"/>
      <w:r w:rsidRPr="00426CAE">
        <w:rPr>
          <w:rFonts w:ascii="Times New Roman" w:eastAsia="Times New Roman" w:hAnsi="Times New Roman" w:cs="Times New Roman"/>
          <w:bCs/>
          <w:iCs/>
          <w:sz w:val="24"/>
          <w:szCs w:val="24"/>
          <w:lang w:val="en-US" w:bidi="en-US"/>
        </w:rPr>
        <w:t>, 12, 1141. https://doi.org/10.1057/s41599-025-05468-6</w:t>
      </w:r>
    </w:p>
    <w:p w14:paraId="222972BA"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7.</w:t>
      </w:r>
      <w:r w:rsidRPr="00426CAE">
        <w:rPr>
          <w:rFonts w:ascii="Times New Roman" w:eastAsia="Times New Roman" w:hAnsi="Times New Roman" w:cs="Times New Roman"/>
          <w:bCs/>
          <w:iCs/>
          <w:sz w:val="24"/>
          <w:szCs w:val="24"/>
          <w:lang w:val="en-US" w:bidi="en-US"/>
        </w:rPr>
        <w:tab/>
        <w:t>Mensah, I. K., &amp; Khan, M. K. (2024) Unified Theory of Acceptance and Use of Technology (UTAUT) Model: Factors influencing mobile banking services’ adoption in China. Sage Open, 14(1). https://doi.org/10.1177/21582440241234230</w:t>
      </w:r>
    </w:p>
    <w:p w14:paraId="2B230C2F"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8.</w:t>
      </w:r>
      <w:r w:rsidRPr="00426CAE">
        <w:rPr>
          <w:rFonts w:ascii="Times New Roman" w:eastAsia="Times New Roman" w:hAnsi="Times New Roman" w:cs="Times New Roman"/>
          <w:bCs/>
          <w:iCs/>
          <w:sz w:val="24"/>
          <w:szCs w:val="24"/>
          <w:lang w:val="en-US" w:bidi="en-US"/>
        </w:rPr>
        <w:tab/>
      </w:r>
      <w:proofErr w:type="spellStart"/>
      <w:r w:rsidRPr="00426CAE">
        <w:rPr>
          <w:rFonts w:ascii="Times New Roman" w:eastAsia="Times New Roman" w:hAnsi="Times New Roman" w:cs="Times New Roman"/>
          <w:bCs/>
          <w:iCs/>
          <w:sz w:val="24"/>
          <w:szCs w:val="24"/>
          <w:lang w:val="en-US" w:bidi="en-US"/>
        </w:rPr>
        <w:t>Mohajan</w:t>
      </w:r>
      <w:proofErr w:type="spellEnd"/>
      <w:r w:rsidRPr="00426CAE">
        <w:rPr>
          <w:rFonts w:ascii="Times New Roman" w:eastAsia="Times New Roman" w:hAnsi="Times New Roman" w:cs="Times New Roman"/>
          <w:bCs/>
          <w:iCs/>
          <w:sz w:val="24"/>
          <w:szCs w:val="24"/>
          <w:lang w:val="en-US" w:bidi="en-US"/>
        </w:rPr>
        <w:t xml:space="preserve">, H. (2020). Quantitative research: A successful investigation in natural and social sciences. Journal of Economic </w:t>
      </w:r>
      <w:proofErr w:type="spellStart"/>
      <w:r w:rsidRPr="00426CAE">
        <w:rPr>
          <w:rFonts w:ascii="Times New Roman" w:eastAsia="Times New Roman" w:hAnsi="Times New Roman" w:cs="Times New Roman"/>
          <w:bCs/>
          <w:iCs/>
          <w:sz w:val="24"/>
          <w:szCs w:val="24"/>
          <w:lang w:val="en-US" w:bidi="en-US"/>
        </w:rPr>
        <w:t>Devel-opment</w:t>
      </w:r>
      <w:proofErr w:type="spellEnd"/>
      <w:r w:rsidRPr="00426CAE">
        <w:rPr>
          <w:rFonts w:ascii="Times New Roman" w:eastAsia="Times New Roman" w:hAnsi="Times New Roman" w:cs="Times New Roman"/>
          <w:bCs/>
          <w:iCs/>
          <w:sz w:val="24"/>
          <w:szCs w:val="24"/>
          <w:lang w:val="en-US" w:bidi="en-US"/>
        </w:rPr>
        <w:t>, Environment and People, 9(4), 52-79. https://mpra.ub.uni-muenchen.de/105149/</w:t>
      </w:r>
    </w:p>
    <w:p w14:paraId="7A972CE7"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9.</w:t>
      </w:r>
      <w:r w:rsidRPr="00426CAE">
        <w:rPr>
          <w:rFonts w:ascii="Times New Roman" w:eastAsia="Times New Roman" w:hAnsi="Times New Roman" w:cs="Times New Roman"/>
          <w:bCs/>
          <w:iCs/>
          <w:sz w:val="24"/>
          <w:szCs w:val="24"/>
          <w:lang w:val="en-US" w:bidi="en-US"/>
        </w:rPr>
        <w:tab/>
        <w:t>Patil, P., Tamilmani, K., Rana, N. P., &amp; Raghavan, V. (2020). Understanding consumer adoption of mobile payment in India: Extending Meta-UTAUT model with personal innovativeness, anxiety, trust, and grievance redressal. International Journal of Information Management, 54, 102144. https://doi.org/10.1016/j.ijinfomgt.2020.102144</w:t>
      </w:r>
    </w:p>
    <w:p w14:paraId="14A2A53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10.</w:t>
      </w:r>
      <w:r w:rsidRPr="00426CAE">
        <w:rPr>
          <w:rFonts w:ascii="Times New Roman" w:eastAsia="Times New Roman" w:hAnsi="Times New Roman" w:cs="Times New Roman"/>
          <w:bCs/>
          <w:iCs/>
          <w:sz w:val="24"/>
          <w:szCs w:val="24"/>
          <w:lang w:val="en-US" w:bidi="en-US"/>
        </w:rPr>
        <w:tab/>
        <w:t>Ritu., &amp; Chawla, P. (2024). Studying influence of social background on mobile wallet adoption and consumer decision making through structural equational modelling. Academy of Marketing Studies Journal, 28(5), 1-10. https://www.abacademies.org/articles/studying-influence-of-social-background-on-mobile-wallet-adoption-and-consumer-decision-making-through-structural-equati.pdf</w:t>
      </w:r>
    </w:p>
    <w:p w14:paraId="3EA8D5DE"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11.</w:t>
      </w:r>
      <w:r w:rsidRPr="00426CAE">
        <w:rPr>
          <w:rFonts w:ascii="Times New Roman" w:eastAsia="Times New Roman" w:hAnsi="Times New Roman" w:cs="Times New Roman"/>
          <w:bCs/>
          <w:iCs/>
          <w:sz w:val="24"/>
          <w:szCs w:val="24"/>
          <w:lang w:val="en-US" w:bidi="en-US"/>
        </w:rPr>
        <w:tab/>
        <w:t>Suo, W. J., Goi, C. L., Goi, M. T., &amp; Sim, A. (2022). Factors influencing behavioral intention to adopt the QR-code payment: Extending UTAUT2 model. International Journal of Asian Business and Information Management, 13(2), 1-22. https://doi:10.4018/IJABIM.20220701.oa8</w:t>
      </w:r>
    </w:p>
    <w:p w14:paraId="6E2189E6"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12.</w:t>
      </w:r>
      <w:r w:rsidRPr="00426CAE">
        <w:rPr>
          <w:rFonts w:ascii="Times New Roman" w:eastAsia="Times New Roman" w:hAnsi="Times New Roman" w:cs="Times New Roman"/>
          <w:bCs/>
          <w:iCs/>
          <w:sz w:val="24"/>
          <w:szCs w:val="24"/>
          <w:lang w:val="en-US" w:bidi="en-US"/>
        </w:rPr>
        <w:tab/>
        <w:t xml:space="preserve">Tang, Y., Chau, K., Hong, L., Ip, Y., &amp; Yan, W. (2021). Financial innovation in digital payment with WeChat towards electronic business success. Journal of theoretical and Applied Electronic Commerce Research, 16(5), 1844-1861. https://doi.org/10.3390/jtaer16050103 </w:t>
      </w:r>
    </w:p>
    <w:p w14:paraId="17B43E1C"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13.</w:t>
      </w:r>
      <w:r w:rsidRPr="00426CAE">
        <w:rPr>
          <w:rFonts w:ascii="Times New Roman" w:eastAsia="Times New Roman" w:hAnsi="Times New Roman" w:cs="Times New Roman"/>
          <w:bCs/>
          <w:iCs/>
          <w:sz w:val="24"/>
          <w:szCs w:val="24"/>
          <w:lang w:val="en-US" w:bidi="en-US"/>
        </w:rPr>
        <w:tab/>
        <w:t>Verma, A., &amp; Singh, S. (2025). Factors affecting the usage of e-wallet among university students. International Journal of Research Publication and Reviews, 6(4), 632-634. https://ijrpr.com/uploads/V6ISSUE4/IJRPR41408.pdf</w:t>
      </w:r>
    </w:p>
    <w:p w14:paraId="78BF6DE4"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14.</w:t>
      </w:r>
      <w:r w:rsidRPr="00426CAE">
        <w:rPr>
          <w:rFonts w:ascii="Times New Roman" w:eastAsia="Times New Roman" w:hAnsi="Times New Roman" w:cs="Times New Roman"/>
          <w:bCs/>
          <w:iCs/>
          <w:sz w:val="24"/>
          <w:szCs w:val="24"/>
          <w:lang w:val="en-US" w:bidi="en-US"/>
        </w:rPr>
        <w:tab/>
        <w:t>Venkatesh, V., Morris, M. G., Davis, G. B., &amp; Davis, F. D. (2003). User acceptance of information technology: Toward a unified view. MIS Quarterly, 27(3), 425–478. https://doi.org/10.2307/30036540</w:t>
      </w:r>
    </w:p>
    <w:p w14:paraId="62E7CD18" w14:textId="77777777" w:rsidR="00426CAE" w:rsidRPr="00426CAE"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15.</w:t>
      </w:r>
      <w:r w:rsidRPr="00426CAE">
        <w:rPr>
          <w:rFonts w:ascii="Times New Roman" w:eastAsia="Times New Roman" w:hAnsi="Times New Roman" w:cs="Times New Roman"/>
          <w:bCs/>
          <w:iCs/>
          <w:sz w:val="24"/>
          <w:szCs w:val="24"/>
          <w:lang w:val="en-US" w:bidi="en-US"/>
        </w:rPr>
        <w:tab/>
        <w:t xml:space="preserve">Yamin, M. Y., </w:t>
      </w:r>
      <w:proofErr w:type="spellStart"/>
      <w:r w:rsidRPr="00426CAE">
        <w:rPr>
          <w:rFonts w:ascii="Times New Roman" w:eastAsia="Times New Roman" w:hAnsi="Times New Roman" w:cs="Times New Roman"/>
          <w:bCs/>
          <w:iCs/>
          <w:sz w:val="24"/>
          <w:szCs w:val="24"/>
          <w:lang w:val="en-US" w:bidi="en-US"/>
        </w:rPr>
        <w:t>Abdalatif</w:t>
      </w:r>
      <w:proofErr w:type="spellEnd"/>
      <w:r w:rsidRPr="00426CAE">
        <w:rPr>
          <w:rFonts w:ascii="Times New Roman" w:eastAsia="Times New Roman" w:hAnsi="Times New Roman" w:cs="Times New Roman"/>
          <w:bCs/>
          <w:iCs/>
          <w:sz w:val="24"/>
          <w:szCs w:val="24"/>
          <w:lang w:val="en-US" w:bidi="en-US"/>
        </w:rPr>
        <w:t xml:space="preserve">, O. A. (2024) Examining consumer behavior towards adoption of quick response code mobile payment systems: Transforming mobile payment in the fintech industry. </w:t>
      </w:r>
      <w:proofErr w:type="spellStart"/>
      <w:r w:rsidRPr="00426CAE">
        <w:rPr>
          <w:rFonts w:ascii="Times New Roman" w:eastAsia="Times New Roman" w:hAnsi="Times New Roman" w:cs="Times New Roman"/>
          <w:bCs/>
          <w:iCs/>
          <w:sz w:val="24"/>
          <w:szCs w:val="24"/>
          <w:lang w:val="en-US" w:bidi="en-US"/>
        </w:rPr>
        <w:t>Humanit</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Soc</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Sci</w:t>
      </w:r>
      <w:proofErr w:type="spellEnd"/>
      <w:r w:rsidRPr="00426CAE">
        <w:rPr>
          <w:rFonts w:ascii="Times New Roman" w:eastAsia="Times New Roman" w:hAnsi="Times New Roman" w:cs="Times New Roman"/>
          <w:bCs/>
          <w:iCs/>
          <w:sz w:val="24"/>
          <w:szCs w:val="24"/>
          <w:lang w:val="en-US" w:bidi="en-US"/>
        </w:rPr>
        <w:t xml:space="preserve"> </w:t>
      </w:r>
      <w:proofErr w:type="spellStart"/>
      <w:r w:rsidRPr="00426CAE">
        <w:rPr>
          <w:rFonts w:ascii="Times New Roman" w:eastAsia="Times New Roman" w:hAnsi="Times New Roman" w:cs="Times New Roman"/>
          <w:bCs/>
          <w:iCs/>
          <w:sz w:val="24"/>
          <w:szCs w:val="24"/>
          <w:lang w:val="en-US" w:bidi="en-US"/>
        </w:rPr>
        <w:t>Commun</w:t>
      </w:r>
      <w:proofErr w:type="spellEnd"/>
      <w:r w:rsidRPr="00426CAE">
        <w:rPr>
          <w:rFonts w:ascii="Times New Roman" w:eastAsia="Times New Roman" w:hAnsi="Times New Roman" w:cs="Times New Roman"/>
          <w:bCs/>
          <w:iCs/>
          <w:sz w:val="24"/>
          <w:szCs w:val="24"/>
          <w:lang w:val="en-US" w:bidi="en-US"/>
        </w:rPr>
        <w:t>, 11, 675. https://doi.org/10.1057/s41599-024-03189-w</w:t>
      </w:r>
    </w:p>
    <w:p w14:paraId="71B408ED" w14:textId="77777777" w:rsidR="00E6134E" w:rsidRPr="00DA30FD" w:rsidRDefault="00426CAE" w:rsidP="002B6BF1">
      <w:pPr>
        <w:spacing w:after="0" w:line="240" w:lineRule="auto"/>
        <w:ind w:left="432" w:hanging="432"/>
        <w:rPr>
          <w:rFonts w:ascii="Times New Roman" w:eastAsia="Times New Roman" w:hAnsi="Times New Roman" w:cs="Times New Roman"/>
          <w:bCs/>
          <w:iCs/>
          <w:sz w:val="24"/>
          <w:szCs w:val="24"/>
          <w:lang w:val="en-US" w:bidi="en-US"/>
        </w:rPr>
      </w:pPr>
      <w:r w:rsidRPr="00426CAE">
        <w:rPr>
          <w:rFonts w:ascii="Times New Roman" w:eastAsia="Times New Roman" w:hAnsi="Times New Roman" w:cs="Times New Roman"/>
          <w:bCs/>
          <w:iCs/>
          <w:sz w:val="24"/>
          <w:szCs w:val="24"/>
          <w:lang w:val="en-US" w:bidi="en-US"/>
        </w:rPr>
        <w:t>16.</w:t>
      </w:r>
      <w:r w:rsidRPr="00426CAE">
        <w:rPr>
          <w:rFonts w:ascii="Times New Roman" w:eastAsia="Times New Roman" w:hAnsi="Times New Roman" w:cs="Times New Roman"/>
          <w:bCs/>
          <w:iCs/>
          <w:sz w:val="24"/>
          <w:szCs w:val="24"/>
          <w:lang w:val="en-US" w:bidi="en-US"/>
        </w:rPr>
        <w:tab/>
        <w:t>Yang, M., Mamun, A., Mohiuddin, M., Nawi, N., &amp; Zainol, N. (2021). Cashless transactions: A study on intention and adoption of e-wallets. Sustainability, 13(2), 831. https://doi.org/10.3390/su13020831</w:t>
      </w:r>
    </w:p>
    <w:p w14:paraId="22C76BED" w14:textId="77777777" w:rsidR="00E6134E" w:rsidRPr="00DA30FD" w:rsidRDefault="00E6134E" w:rsidP="002B6BF1">
      <w:pPr>
        <w:spacing w:before="200" w:line="240" w:lineRule="auto"/>
        <w:rPr>
          <w:rFonts w:ascii="Times New Roman" w:eastAsia="Times New Roman" w:hAnsi="Times New Roman" w:cs="Times New Roman"/>
          <w:bCs/>
          <w:iCs/>
          <w:sz w:val="24"/>
          <w:szCs w:val="24"/>
          <w:lang w:val="en-US" w:bidi="en-US"/>
        </w:rPr>
      </w:pPr>
    </w:p>
    <w:p w14:paraId="57843871"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9C1F76" w:rsidRPr="00DA30FD" w:rsidRDefault="009C1F76" w:rsidP="009C1F76">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26EAB5B6"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1549BB7F"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48AAA957" w14:textId="77777777" w:rsidR="009C1F76" w:rsidRPr="00DA30FD" w:rsidRDefault="009C1F76" w:rsidP="009C1F76">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83529A" w:rsidRPr="00DA30FD" w:rsidRDefault="0083529A" w:rsidP="0083529A">
      <w:pPr>
        <w:spacing w:before="200" w:line="240" w:lineRule="auto"/>
        <w:jc w:val="both"/>
        <w:rPr>
          <w:rFonts w:ascii="Times New Roman" w:eastAsia="Times New Roman" w:hAnsi="Times New Roman" w:cs="Times New Roman"/>
          <w:bCs/>
          <w:sz w:val="24"/>
          <w:szCs w:val="24"/>
          <w:lang w:val="en-US" w:bidi="en-US"/>
        </w:rPr>
      </w:pPr>
    </w:p>
    <w:p w14:paraId="6D406300" w14:textId="77777777" w:rsidR="00CE6E0A" w:rsidRPr="00DA30FD" w:rsidRDefault="00CE6E0A" w:rsidP="00CE6E0A">
      <w:pPr>
        <w:spacing w:before="200" w:line="240" w:lineRule="auto"/>
        <w:jc w:val="both"/>
        <w:rPr>
          <w:rFonts w:ascii="Times New Roman" w:eastAsia="Times New Roman" w:hAnsi="Times New Roman" w:cs="Times New Roman"/>
          <w:bCs/>
          <w:sz w:val="24"/>
          <w:szCs w:val="24"/>
          <w:lang w:val="en-US" w:bidi="en-US"/>
        </w:rPr>
      </w:pPr>
    </w:p>
    <w:p w14:paraId="5A22E538" w14:textId="77777777" w:rsidR="00CE6E0A" w:rsidRPr="00DA30FD" w:rsidRDefault="00CE6E0A" w:rsidP="00CE6E0A">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p w14:paraId="7D95A2CF" w14:textId="77777777" w:rsidR="00E175B6" w:rsidRPr="00DA30FD" w:rsidRDefault="00E175B6" w:rsidP="009F5289">
      <w:pPr>
        <w:tabs>
          <w:tab w:val="left" w:pos="2717"/>
        </w:tabs>
        <w:spacing w:before="200" w:line="240" w:lineRule="auto"/>
        <w:rPr>
          <w:rFonts w:ascii="Times New Roman" w:hAnsi="Times New Roman" w:cs="Times New Roman"/>
          <w:sz w:val="24"/>
          <w:szCs w:val="24"/>
          <w:lang w:val="en-US"/>
        </w:rPr>
      </w:pPr>
    </w:p>
    <w:sectPr w:rsidR="00E175B6" w:rsidRPr="00DA30FD" w:rsidSect="00DA30FD">
      <w:headerReference w:type="even" r:id="rId12"/>
      <w:headerReference w:type="default" r:id="rId13"/>
      <w:footerReference w:type="even" r:id="rId14"/>
      <w:footerReference w:type="default" r:id="rId15"/>
      <w:headerReference w:type="first" r:id="rId16"/>
      <w:footerReference w:type="first" r:id="rId17"/>
      <w:pgSz w:w="12240" w:h="15840"/>
      <w:pgMar w:top="1094" w:right="605" w:bottom="605" w:left="605" w:header="346"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ina Musa" w:date="2026-05-09T09:09:00Z" w:initials="AM">
    <w:p w14:paraId="3CF428A7" w14:textId="77777777" w:rsidR="00894B01" w:rsidRDefault="00894B01" w:rsidP="00894B01">
      <w:pPr>
        <w:pStyle w:val="CommentText"/>
      </w:pPr>
      <w:r>
        <w:rPr>
          <w:rStyle w:val="CommentReference"/>
        </w:rPr>
        <w:annotationRef/>
      </w:r>
      <w:r>
        <w:t>In today's business activities,</w:t>
      </w:r>
    </w:p>
  </w:comment>
  <w:comment w:id="1" w:author="Amina Musa" w:date="2026-05-09T09:10:00Z" w:initials="AM">
    <w:p w14:paraId="20D8A304" w14:textId="77777777" w:rsidR="007F7C8A" w:rsidRDefault="007F7C8A" w:rsidP="007F7C8A">
      <w:pPr>
        <w:pStyle w:val="CommentText"/>
      </w:pPr>
      <w:r>
        <w:rPr>
          <w:rStyle w:val="CommentReference"/>
        </w:rPr>
        <w:annotationRef/>
      </w:r>
      <w:r>
        <w:t>delete</w:t>
      </w:r>
    </w:p>
  </w:comment>
  <w:comment w:id="2" w:author="Amina Musa" w:date="2026-05-09T09:12:00Z" w:initials="AM">
    <w:p w14:paraId="7AA30986" w14:textId="77777777" w:rsidR="006A6BC4" w:rsidRDefault="006A6BC4" w:rsidP="006A6BC4">
      <w:pPr>
        <w:pStyle w:val="CommentText"/>
      </w:pPr>
      <w:r>
        <w:rPr>
          <w:rStyle w:val="CommentReference"/>
        </w:rPr>
        <w:annotationRef/>
      </w:r>
      <w:r>
        <w:t>delete</w:t>
      </w:r>
    </w:p>
  </w:comment>
  <w:comment w:id="3" w:author="Amina Musa" w:date="2026-05-09T09:14:00Z" w:initials="AM">
    <w:p w14:paraId="6CF16140" w14:textId="77777777" w:rsidR="00A73ED7" w:rsidRDefault="00A73ED7" w:rsidP="00A73ED7">
      <w:pPr>
        <w:pStyle w:val="CommentText"/>
      </w:pPr>
      <w:r>
        <w:rPr>
          <w:rStyle w:val="CommentReference"/>
        </w:rPr>
        <w:annotationRef/>
      </w:r>
      <w:r>
        <w:t>Method of Data collection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428A7" w15:done="0"/>
  <w15:commentEx w15:paraId="20D8A304" w15:done="0"/>
  <w15:commentEx w15:paraId="7AA30986" w15:done="0"/>
  <w15:commentEx w15:paraId="6CF16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C0811" w16cex:dateUtc="2026-05-09T08:09:00Z"/>
  <w16cex:commentExtensible w16cex:durableId="15FC6C57" w16cex:dateUtc="2026-05-09T08:10:00Z"/>
  <w16cex:commentExtensible w16cex:durableId="3DA5AE27" w16cex:dateUtc="2026-05-09T08:12:00Z"/>
  <w16cex:commentExtensible w16cex:durableId="14CD6131" w16cex:dateUtc="2026-05-09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428A7" w16cid:durableId="043C0811"/>
  <w16cid:commentId w16cid:paraId="20D8A304" w16cid:durableId="15FC6C57"/>
  <w16cid:commentId w16cid:paraId="7AA30986" w16cid:durableId="3DA5AE27"/>
  <w16cid:commentId w16cid:paraId="6CF16140" w16cid:durableId="14CD61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17EA" w14:textId="77777777" w:rsidR="00E64D8B" w:rsidRDefault="00E64D8B" w:rsidP="00CE6E0A">
      <w:pPr>
        <w:spacing w:after="0" w:line="240" w:lineRule="auto"/>
      </w:pPr>
      <w:r>
        <w:separator/>
      </w:r>
    </w:p>
  </w:endnote>
  <w:endnote w:type="continuationSeparator" w:id="0">
    <w:p w14:paraId="2559FEC9" w14:textId="77777777" w:rsidR="00E64D8B" w:rsidRDefault="00E64D8B"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6277" w14:textId="77777777" w:rsidR="00B51E8D" w:rsidRDefault="00B51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462428"/>
      <w:docPartObj>
        <w:docPartGallery w:val="Page Numbers (Bottom of Page)"/>
        <w:docPartUnique/>
      </w:docPartObj>
    </w:sdtPr>
    <w:sdtEndPr>
      <w:rPr>
        <w:noProof/>
      </w:rPr>
    </w:sdtEndPr>
    <w:sdtContent>
      <w:p w14:paraId="6C98BBCC" w14:textId="77777777" w:rsidR="00D43E30" w:rsidRDefault="00D43E30" w:rsidP="00DA30FD">
        <w:pPr>
          <w:pStyle w:val="Footer"/>
          <w:jc w:val="center"/>
        </w:pPr>
        <w:r>
          <w:fldChar w:fldCharType="begin"/>
        </w:r>
        <w:r>
          <w:instrText xml:space="preserve"> PAGE   \* MERGEFORMAT </w:instrText>
        </w:r>
        <w:r>
          <w:fldChar w:fldCharType="separate"/>
        </w:r>
        <w:r w:rsidR="005D4D25">
          <w:rPr>
            <w:noProof/>
          </w:rPr>
          <w:t>1</w:t>
        </w:r>
        <w:r>
          <w:rPr>
            <w:noProof/>
          </w:rPr>
          <w:fldChar w:fldCharType="end"/>
        </w:r>
      </w:p>
    </w:sdtContent>
  </w:sdt>
  <w:p w14:paraId="3A69691C" w14:textId="77777777" w:rsidR="00D43E30" w:rsidRDefault="00D43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E22" w14:textId="77777777" w:rsidR="00B51E8D" w:rsidRDefault="00B5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72D3" w14:textId="77777777" w:rsidR="00E64D8B" w:rsidRDefault="00E64D8B" w:rsidP="00CE6E0A">
      <w:pPr>
        <w:spacing w:after="0" w:line="240" w:lineRule="auto"/>
      </w:pPr>
      <w:r>
        <w:separator/>
      </w:r>
    </w:p>
  </w:footnote>
  <w:footnote w:type="continuationSeparator" w:id="0">
    <w:p w14:paraId="2C3E1F2E" w14:textId="77777777" w:rsidR="00E64D8B" w:rsidRDefault="00E64D8B"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42BF" w14:textId="1B7E3EF4" w:rsidR="00B51E8D" w:rsidRDefault="009B0330">
    <w:pPr>
      <w:pStyle w:val="Header"/>
    </w:pPr>
    <w:r>
      <w:rPr>
        <w:noProof/>
      </w:rPr>
    </w:r>
    <w:r w:rsidR="009B0330">
      <w:rPr>
        <w:noProof/>
      </w:rPr>
      <w:pict w14:anchorId="2791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1027" type="#_x0000_t136" style="position:absolute;margin-left:0;margin-top:0;width:654.1pt;height:123.3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88C0" w14:textId="1D9078CB" w:rsidR="00DA30FD" w:rsidRDefault="009B0330">
    <w:pPr>
      <w:pStyle w:val="Header"/>
      <w:rPr>
        <w:lang w:val="en-US"/>
      </w:rPr>
    </w:pPr>
    <w:r>
      <w:rPr>
        <w:noProof/>
      </w:rPr>
    </w:r>
    <w:r w:rsidR="009B0330">
      <w:rPr>
        <w:noProof/>
      </w:rPr>
      <w:pict w14:anchorId="1830A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1026" type="#_x0000_t136" style="position:absolute;margin-left:0;margin-top:0;width:654.1pt;height:123.3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0EDF0D" w14:textId="77777777" w:rsidR="00DA30FD" w:rsidRDefault="00DA30FD">
    <w:pPr>
      <w:pStyle w:val="Header"/>
      <w:rPr>
        <w:lang w:val="en-US"/>
      </w:rPr>
    </w:pPr>
  </w:p>
  <w:p w14:paraId="788FE37D" w14:textId="77777777" w:rsidR="00DA30FD" w:rsidRPr="00DA30FD" w:rsidRDefault="00DA30F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58EF" w14:textId="77C949CF" w:rsidR="00B51E8D" w:rsidRDefault="009B0330">
    <w:pPr>
      <w:pStyle w:val="Header"/>
    </w:pPr>
    <w:r>
      <w:rPr>
        <w:noProof/>
      </w:rPr>
    </w:r>
    <w:r w:rsidR="009B0330">
      <w:rPr>
        <w:noProof/>
      </w:rPr>
      <w:pict w14:anchorId="134C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1025" type="#_x0000_t136" style="position:absolute;margin-left:0;margin-top:0;width:654.1pt;height:123.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na Musa">
    <w15:presenceInfo w15:providerId="Windows Live" w15:userId="4eb4dac68d7dd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revisionView w:inkAnnotations="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A0828"/>
    <w:rsid w:val="00136F9D"/>
    <w:rsid w:val="001C38D9"/>
    <w:rsid w:val="0029646B"/>
    <w:rsid w:val="002B6BF1"/>
    <w:rsid w:val="0033465A"/>
    <w:rsid w:val="00426CAE"/>
    <w:rsid w:val="0054184B"/>
    <w:rsid w:val="0056761E"/>
    <w:rsid w:val="00584D61"/>
    <w:rsid w:val="005C61ED"/>
    <w:rsid w:val="005D4D25"/>
    <w:rsid w:val="006025D8"/>
    <w:rsid w:val="006A6BC4"/>
    <w:rsid w:val="006C5EDF"/>
    <w:rsid w:val="007D5446"/>
    <w:rsid w:val="007F7C8A"/>
    <w:rsid w:val="0083529A"/>
    <w:rsid w:val="00894B01"/>
    <w:rsid w:val="008D1EC0"/>
    <w:rsid w:val="008D7AD3"/>
    <w:rsid w:val="009B0330"/>
    <w:rsid w:val="009B3C1F"/>
    <w:rsid w:val="009C1F76"/>
    <w:rsid w:val="009C43F2"/>
    <w:rsid w:val="009F5289"/>
    <w:rsid w:val="00A73ED7"/>
    <w:rsid w:val="00AD55AE"/>
    <w:rsid w:val="00B51E8D"/>
    <w:rsid w:val="00B90B33"/>
    <w:rsid w:val="00C1163B"/>
    <w:rsid w:val="00C4487B"/>
    <w:rsid w:val="00CC6BA9"/>
    <w:rsid w:val="00CE6E0A"/>
    <w:rsid w:val="00D43E30"/>
    <w:rsid w:val="00D731A5"/>
    <w:rsid w:val="00DA30FD"/>
    <w:rsid w:val="00E175B6"/>
    <w:rsid w:val="00E26BBD"/>
    <w:rsid w:val="00E6134E"/>
    <w:rsid w:val="00E64D8B"/>
    <w:rsid w:val="00E8005A"/>
    <w:rsid w:val="00EA416F"/>
    <w:rsid w:val="00EB1CAC"/>
    <w:rsid w:val="00F0461A"/>
    <w:rsid w:val="00F1610B"/>
    <w:rsid w:val="00F34BDC"/>
    <w:rsid w:val="00F50D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89414A4"/>
  <w15:docId w15:val="{6CE35DB5-DF41-492E-B1A1-149D614F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character" w:styleId="UnresolvedMention">
    <w:name w:val="Unresolved Mention"/>
    <w:basedOn w:val="DefaultParagraphFont"/>
    <w:uiPriority w:val="99"/>
    <w:semiHidden/>
    <w:unhideWhenUsed/>
    <w:rsid w:val="0054184B"/>
    <w:rPr>
      <w:color w:val="605E5C"/>
      <w:shd w:val="clear" w:color="auto" w:fill="E1DFDD"/>
    </w:rPr>
  </w:style>
  <w:style w:type="character" w:styleId="CommentReference">
    <w:name w:val="annotation reference"/>
    <w:basedOn w:val="DefaultParagraphFont"/>
    <w:uiPriority w:val="99"/>
    <w:semiHidden/>
    <w:unhideWhenUsed/>
    <w:rsid w:val="00894B01"/>
    <w:rPr>
      <w:sz w:val="16"/>
      <w:szCs w:val="16"/>
    </w:rPr>
  </w:style>
  <w:style w:type="paragraph" w:styleId="CommentText">
    <w:name w:val="annotation text"/>
    <w:basedOn w:val="Normal"/>
    <w:link w:val="CommentTextChar"/>
    <w:uiPriority w:val="99"/>
    <w:unhideWhenUsed/>
    <w:rsid w:val="00894B01"/>
    <w:pPr>
      <w:spacing w:line="240" w:lineRule="auto"/>
    </w:pPr>
    <w:rPr>
      <w:sz w:val="20"/>
      <w:szCs w:val="20"/>
    </w:rPr>
  </w:style>
  <w:style w:type="character" w:customStyle="1" w:styleId="CommentTextChar">
    <w:name w:val="Comment Text Char"/>
    <w:basedOn w:val="DefaultParagraphFont"/>
    <w:link w:val="CommentText"/>
    <w:uiPriority w:val="99"/>
    <w:rsid w:val="00894B01"/>
    <w:rPr>
      <w:sz w:val="20"/>
      <w:szCs w:val="20"/>
    </w:rPr>
  </w:style>
  <w:style w:type="paragraph" w:styleId="CommentSubject">
    <w:name w:val="annotation subject"/>
    <w:basedOn w:val="CommentText"/>
    <w:next w:val="CommentText"/>
    <w:link w:val="CommentSubjectChar"/>
    <w:uiPriority w:val="99"/>
    <w:semiHidden/>
    <w:unhideWhenUsed/>
    <w:rsid w:val="00894B01"/>
    <w:rPr>
      <w:b/>
      <w:bCs/>
    </w:rPr>
  </w:style>
  <w:style w:type="character" w:customStyle="1" w:styleId="CommentSubjectChar">
    <w:name w:val="Comment Subject Char"/>
    <w:basedOn w:val="CommentTextChar"/>
    <w:link w:val="CommentSubject"/>
    <w:uiPriority w:val="99"/>
    <w:semiHidden/>
    <w:rsid w:val="00894B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header" Target="header3.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1.jpeg" /><Relationship Id="rId5" Type="http://schemas.openxmlformats.org/officeDocument/2006/relationships/footnotes" Target="footnotes.xml" /><Relationship Id="rId15" Type="http://schemas.openxmlformats.org/officeDocument/2006/relationships/footer" Target="footer2.xml" /><Relationship Id="rId10" Type="http://schemas.microsoft.com/office/2018/08/relationships/commentsExtensible" Target="commentsExtensible.xml" /><Relationship Id="rId19" Type="http://schemas.microsoft.com/office/2011/relationships/people" Target="people.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D194-883A-4294-BED1-560B8FF325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6131</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Amina Musa</cp:lastModifiedBy>
  <cp:revision>2</cp:revision>
  <dcterms:created xsi:type="dcterms:W3CDTF">2026-05-09T08:33:00Z</dcterms:created>
  <dcterms:modified xsi:type="dcterms:W3CDTF">2026-05-09T08:33:00Z</dcterms:modified>
</cp:coreProperties>
</file>