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4D385E9" w14:textId="77777777" w:rsidR="00BA6B1C" w:rsidRPr="00BA6B1C" w:rsidRDefault="00BA6B1C" w:rsidP="00BA6B1C">
      <w:pPr>
        <w:spacing w:line="360" w:lineRule="auto"/>
        <w:jc w:val="right"/>
        <w:rPr>
          <w:rFonts w:ascii="Times New Roman" w:eastAsia="Times New Roman" w:hAnsi="Times New Roman" w:cs="Times New Roman"/>
          <w:b/>
          <w:bCs/>
          <w:i/>
          <w:iCs/>
          <w:sz w:val="36"/>
          <w:szCs w:val="36"/>
          <w:u w:val="single"/>
          <w:lang w:val="en-US"/>
        </w:rPr>
      </w:pPr>
      <w:r w:rsidRPr="00BA6B1C">
        <w:rPr>
          <w:rFonts w:ascii="Times New Roman" w:eastAsia="Times New Roman" w:hAnsi="Times New Roman" w:cs="Times New Roman"/>
          <w:b/>
          <w:bCs/>
          <w:i/>
          <w:iCs/>
          <w:sz w:val="36"/>
          <w:szCs w:val="36"/>
          <w:u w:val="single"/>
          <w:lang w:val="en-US"/>
        </w:rPr>
        <w:t xml:space="preserve">Case report </w:t>
      </w:r>
    </w:p>
    <w:p w14:paraId="6CD8AF90" w14:textId="77777777" w:rsidR="00453C1B" w:rsidRDefault="00163369">
      <w:pPr>
        <w:spacing w:line="360" w:lineRule="auto"/>
        <w:jc w:val="right"/>
        <w:rPr>
          <w:rFonts w:ascii="Times New Roman" w:eastAsia="Times New Roman" w:hAnsi="Times New Roman" w:cs="Times New Roman"/>
          <w:b/>
          <w:bCs/>
          <w:sz w:val="36"/>
          <w:szCs w:val="36"/>
        </w:rPr>
      </w:pPr>
      <w:commentRangeStart w:id="0"/>
      <w:commentRangeStart w:id="1"/>
      <w:r>
        <w:rPr>
          <w:rFonts w:ascii="Times New Roman" w:eastAsia="Times New Roman" w:hAnsi="Times New Roman" w:cs="Times New Roman"/>
          <w:b/>
          <w:bCs/>
          <w:sz w:val="36"/>
          <w:szCs w:val="36"/>
        </w:rPr>
        <w:t>Autonomic Dysfunction and Plasmapheresis Intolerance in Guillain-Barré syndrome: A Case Report</w:t>
      </w:r>
      <w:commentRangeEnd w:id="0"/>
      <w:r w:rsidR="00CF0D3A">
        <w:rPr>
          <w:rStyle w:val="CommentReference"/>
        </w:rPr>
        <w:commentReference w:id="0"/>
      </w:r>
      <w:commentRangeEnd w:id="1"/>
      <w:r w:rsidR="00CF0D3A">
        <w:rPr>
          <w:rStyle w:val="CommentReference"/>
        </w:rPr>
        <w:commentReference w:id="1"/>
      </w:r>
    </w:p>
    <w:p w14:paraId="70F7A9B1" w14:textId="5A51AA36" w:rsidR="00453C1B" w:rsidRDefault="00453C1B">
      <w:pPr>
        <w:spacing w:line="360" w:lineRule="auto"/>
        <w:jc w:val="right"/>
        <w:rPr>
          <w:rFonts w:ascii="Times New Roman" w:eastAsia="Times New Roman" w:hAnsi="Times New Roman" w:cs="Times New Roman"/>
          <w:b/>
          <w:bCs/>
          <w:sz w:val="24"/>
          <w:szCs w:val="24"/>
        </w:rPr>
      </w:pPr>
    </w:p>
    <w:p w14:paraId="09FBB9FB" w14:textId="191A75ED" w:rsidR="005A2245" w:rsidRDefault="005A2245">
      <w:pPr>
        <w:spacing w:line="360" w:lineRule="auto"/>
        <w:jc w:val="right"/>
        <w:rPr>
          <w:rFonts w:ascii="Times New Roman" w:eastAsia="Times New Roman" w:hAnsi="Times New Roman" w:cs="Times New Roman"/>
          <w:b/>
          <w:bCs/>
          <w:sz w:val="24"/>
          <w:szCs w:val="24"/>
        </w:rPr>
      </w:pPr>
    </w:p>
    <w:p w14:paraId="272AD13A" w14:textId="30A96687" w:rsidR="005A2245" w:rsidRDefault="005A2245">
      <w:pPr>
        <w:spacing w:line="360" w:lineRule="auto"/>
        <w:jc w:val="right"/>
        <w:rPr>
          <w:rFonts w:ascii="Times New Roman" w:eastAsia="Times New Roman" w:hAnsi="Times New Roman" w:cs="Times New Roman"/>
          <w:b/>
          <w:bCs/>
          <w:sz w:val="24"/>
          <w:szCs w:val="24"/>
        </w:rPr>
      </w:pPr>
    </w:p>
    <w:p w14:paraId="6DCF1551" w14:textId="77777777" w:rsidR="005A2245" w:rsidRDefault="005A2245">
      <w:pPr>
        <w:spacing w:line="360" w:lineRule="auto"/>
        <w:jc w:val="right"/>
        <w:rPr>
          <w:rFonts w:ascii="Times New Roman" w:eastAsia="Times New Roman" w:hAnsi="Times New Roman" w:cs="Times New Roman"/>
          <w:b/>
          <w:bCs/>
          <w:sz w:val="24"/>
          <w:szCs w:val="24"/>
        </w:rPr>
      </w:pPr>
    </w:p>
    <w:p w14:paraId="6835D2B3" w14:textId="77777777" w:rsidR="00453C1B" w:rsidRDefault="00163369">
      <w:pPr>
        <w:spacing w:line="360" w:lineRule="auto"/>
        <w:jc w:val="both"/>
        <w:rPr>
          <w:rFonts w:ascii="Times New Roman" w:eastAsia="Times New Roman" w:hAnsi="Times New Roman" w:cs="Times New Roman"/>
          <w:b/>
          <w:bCs/>
          <w:sz w:val="24"/>
          <w:szCs w:val="24"/>
        </w:rPr>
      </w:pPr>
      <w:commentRangeStart w:id="2"/>
      <w:commentRangeStart w:id="3"/>
      <w:commentRangeStart w:id="4"/>
      <w:r>
        <w:rPr>
          <w:rFonts w:ascii="Times New Roman" w:eastAsia="Times New Roman" w:hAnsi="Times New Roman" w:cs="Times New Roman"/>
          <w:b/>
          <w:bCs/>
          <w:sz w:val="24"/>
          <w:szCs w:val="24"/>
        </w:rPr>
        <w:t>ABSTRACT:</w:t>
      </w:r>
      <w:commentRangeEnd w:id="2"/>
      <w:r w:rsidR="00CF0D3A">
        <w:rPr>
          <w:rStyle w:val="CommentReference"/>
        </w:rPr>
        <w:commentReference w:id="2"/>
      </w:r>
      <w:commentRangeEnd w:id="3"/>
      <w:r w:rsidR="00CF0D3A">
        <w:rPr>
          <w:rStyle w:val="CommentReference"/>
        </w:rPr>
        <w:commentReference w:id="3"/>
      </w:r>
      <w:commentRangeEnd w:id="4"/>
      <w:r w:rsidR="00CF0D3A">
        <w:rPr>
          <w:rStyle w:val="CommentReference"/>
        </w:rPr>
        <w:commentReference w:id="4"/>
      </w:r>
    </w:p>
    <w:p w14:paraId="73E11057" w14:textId="77777777" w:rsidR="00453C1B" w:rsidRDefault="0016336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Guillain-Barré syndrome is an acute immune-mediated polyradiculoneuropathy and a major cause of acute flaccid paralysis, often triggered by antecedent infections through molecular mimicry. Autonomic dysfunction is a significant complication that contributes to morbidity, mortality, and challenges in treatment. We report a case of a 27-year-old previously healthy male who developed progressive ascending weakness following an episode of acute gastroenteritis. Clinical evaluation and electrophysiological findings were consistent with acute inflammatory demyelinating polyradiculoneuropathy (AIDP) with secondary axonal involvement. The patient developed significant dysautonomia, manifesting as tachycardia, hypotension, diaphoresis, and respiratory discomfort during therapeutic plasma exchange. </w:t>
      </w:r>
      <w:proofErr w:type="spellStart"/>
      <w:r>
        <w:rPr>
          <w:rFonts w:ascii="Times New Roman" w:eastAsia="Times New Roman" w:hAnsi="Times New Roman" w:cs="Times New Roman"/>
          <w:sz w:val="24"/>
          <w:szCs w:val="24"/>
        </w:rPr>
        <w:t>Plasmapheresis</w:t>
      </w:r>
      <w:proofErr w:type="spellEnd"/>
      <w:r>
        <w:rPr>
          <w:rFonts w:ascii="Times New Roman" w:eastAsia="Times New Roman" w:hAnsi="Times New Roman" w:cs="Times New Roman"/>
          <w:sz w:val="24"/>
          <w:szCs w:val="24"/>
        </w:rPr>
        <w:t xml:space="preserve"> had to be discontinued after three sessions due to intolerance related to autonomic instability. The case highlights the clinical complexity of managing GBS with severe autonomic dysfunction and emphasizes the importance of close hemodynamic monitoring and individualized therapeutic strategies in patients undergoing immunomodulatory treatment.</w:t>
      </w:r>
    </w:p>
    <w:p w14:paraId="1C3CC85A" w14:textId="77777777" w:rsidR="00453C1B" w:rsidRDefault="00453C1B">
      <w:pPr>
        <w:spacing w:line="360" w:lineRule="auto"/>
        <w:jc w:val="both"/>
        <w:rPr>
          <w:rFonts w:ascii="Times New Roman" w:eastAsia="Times New Roman" w:hAnsi="Times New Roman" w:cs="Times New Roman"/>
          <w:sz w:val="24"/>
          <w:szCs w:val="24"/>
        </w:rPr>
      </w:pPr>
    </w:p>
    <w:p w14:paraId="62DEEA27" w14:textId="77777777" w:rsidR="00453C1B" w:rsidRDefault="0016336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KEYWORDS:</w:t>
      </w:r>
      <w:r>
        <w:rPr>
          <w:rFonts w:ascii="Times New Roman" w:eastAsia="Times New Roman" w:hAnsi="Times New Roman" w:cs="Times New Roman"/>
          <w:sz w:val="24"/>
          <w:szCs w:val="24"/>
        </w:rPr>
        <w:t xml:space="preserve"> Acute Inflammatory Demyelinating Polyneuropathy; Autonomic Dysfunction; </w:t>
      </w:r>
      <w:commentRangeStart w:id="5"/>
      <w:proofErr w:type="spellStart"/>
      <w:r>
        <w:rPr>
          <w:rFonts w:ascii="Times New Roman" w:eastAsia="Times New Roman" w:hAnsi="Times New Roman" w:cs="Times New Roman"/>
          <w:sz w:val="24"/>
          <w:szCs w:val="24"/>
        </w:rPr>
        <w:t>Guillain-barré</w:t>
      </w:r>
      <w:proofErr w:type="spellEnd"/>
      <w:r>
        <w:rPr>
          <w:rFonts w:ascii="Times New Roman" w:eastAsia="Times New Roman" w:hAnsi="Times New Roman" w:cs="Times New Roman"/>
          <w:sz w:val="24"/>
          <w:szCs w:val="24"/>
        </w:rPr>
        <w:t xml:space="preserve"> Syndrome</w:t>
      </w:r>
      <w:commentRangeEnd w:id="5"/>
      <w:r w:rsidR="00974F1D">
        <w:rPr>
          <w:rStyle w:val="CommentReference"/>
        </w:rPr>
        <w:commentReference w:id="5"/>
      </w:r>
      <w:r>
        <w:rPr>
          <w:rFonts w:ascii="Times New Roman" w:eastAsia="Times New Roman" w:hAnsi="Times New Roman" w:cs="Times New Roman"/>
          <w:sz w:val="24"/>
          <w:szCs w:val="24"/>
        </w:rPr>
        <w:t xml:space="preserve">; </w:t>
      </w:r>
      <w:commentRangeStart w:id="6"/>
      <w:proofErr w:type="spellStart"/>
      <w:r>
        <w:rPr>
          <w:rFonts w:ascii="Times New Roman" w:eastAsia="Times New Roman" w:hAnsi="Times New Roman" w:cs="Times New Roman"/>
          <w:sz w:val="24"/>
          <w:szCs w:val="24"/>
        </w:rPr>
        <w:t>Plasmapheresis</w:t>
      </w:r>
      <w:proofErr w:type="spellEnd"/>
      <w:r>
        <w:rPr>
          <w:rFonts w:ascii="Times New Roman" w:eastAsia="Times New Roman" w:hAnsi="Times New Roman" w:cs="Times New Roman"/>
          <w:sz w:val="24"/>
          <w:szCs w:val="24"/>
        </w:rPr>
        <w:t xml:space="preserve"> Intolerance;</w:t>
      </w:r>
      <w:commentRangeEnd w:id="6"/>
      <w:r w:rsidR="00974F1D">
        <w:rPr>
          <w:rStyle w:val="CommentReference"/>
        </w:rPr>
        <w:commentReference w:id="6"/>
      </w:r>
    </w:p>
    <w:p w14:paraId="1CC9C29F" w14:textId="77777777" w:rsidR="00453C1B" w:rsidRDefault="00453C1B">
      <w:pPr>
        <w:spacing w:line="360" w:lineRule="auto"/>
        <w:jc w:val="both"/>
        <w:rPr>
          <w:rFonts w:ascii="Times New Roman" w:eastAsia="Times New Roman" w:hAnsi="Times New Roman" w:cs="Times New Roman"/>
          <w:sz w:val="24"/>
          <w:szCs w:val="24"/>
        </w:rPr>
      </w:pPr>
    </w:p>
    <w:p w14:paraId="033C092F" w14:textId="77777777" w:rsidR="00453C1B" w:rsidRDefault="00163369">
      <w:pPr>
        <w:spacing w:line="360" w:lineRule="auto"/>
        <w:jc w:val="both"/>
        <w:rPr>
          <w:rFonts w:ascii="Times New Roman" w:eastAsia="Times New Roman" w:hAnsi="Times New Roman" w:cs="Times New Roman"/>
          <w:b/>
          <w:bCs/>
          <w:sz w:val="24"/>
          <w:szCs w:val="24"/>
        </w:rPr>
      </w:pPr>
      <w:r>
        <w:br w:type="page"/>
      </w:r>
    </w:p>
    <w:p w14:paraId="31390520" w14:textId="77777777" w:rsidR="00453C1B" w:rsidRDefault="00163369">
      <w:pPr>
        <w:spacing w:line="360" w:lineRule="auto"/>
        <w:jc w:val="both"/>
        <w:rPr>
          <w:rFonts w:ascii="Times New Roman" w:eastAsia="Times New Roman" w:hAnsi="Times New Roman" w:cs="Times New Roman"/>
          <w:b/>
          <w:bCs/>
          <w:sz w:val="24"/>
          <w:szCs w:val="24"/>
        </w:rPr>
      </w:pPr>
      <w:commentRangeStart w:id="7"/>
      <w:commentRangeStart w:id="8"/>
      <w:r>
        <w:rPr>
          <w:rFonts w:ascii="Times New Roman" w:eastAsia="Times New Roman" w:hAnsi="Times New Roman" w:cs="Times New Roman"/>
          <w:b/>
          <w:bCs/>
          <w:sz w:val="24"/>
          <w:szCs w:val="24"/>
        </w:rPr>
        <w:lastRenderedPageBreak/>
        <w:t>INTRODUCTION:</w:t>
      </w:r>
      <w:commentRangeEnd w:id="7"/>
      <w:r w:rsidR="00CF0D3A">
        <w:rPr>
          <w:rStyle w:val="CommentReference"/>
        </w:rPr>
        <w:commentReference w:id="7"/>
      </w:r>
      <w:commentRangeEnd w:id="8"/>
      <w:r w:rsidR="00CF0D3A">
        <w:rPr>
          <w:rStyle w:val="CommentReference"/>
        </w:rPr>
        <w:commentReference w:id="8"/>
      </w:r>
    </w:p>
    <w:p w14:paraId="7386672E" w14:textId="6D42688F" w:rsidR="00453C1B" w:rsidRDefault="0016336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Guillain-Barré syndrome (GBS) is an acute immune-mediated polyradiculoneuropathy and a leading cause of acute flaccid paralysis worldwide. It is commonly triggered by antecedent infections that induce an aberrant autoimmune response through molecular mimicry, resulting in peripheral nerve injury. Among its subtypes, acute inflammatory demyelinating polyradiculoneuropathy (AIDP) is the most common form, characterized by immune-mediated demyelination of the peripheral nerves [1,2</w:t>
      </w:r>
      <w:commentRangeStart w:id="9"/>
      <w:r>
        <w:rPr>
          <w:rFonts w:ascii="Times New Roman" w:eastAsia="Times New Roman" w:hAnsi="Times New Roman" w:cs="Times New Roman"/>
          <w:sz w:val="24"/>
          <w:szCs w:val="24"/>
        </w:rPr>
        <w:t>]. A</w:t>
      </w:r>
      <w:commentRangeEnd w:id="9"/>
      <w:r w:rsidR="00CF0D3A">
        <w:rPr>
          <w:rStyle w:val="CommentReference"/>
        </w:rPr>
        <w:commentReference w:id="9"/>
      </w:r>
      <w:r>
        <w:rPr>
          <w:rFonts w:ascii="Times New Roman" w:eastAsia="Times New Roman" w:hAnsi="Times New Roman" w:cs="Times New Roman"/>
          <w:sz w:val="24"/>
          <w:szCs w:val="24"/>
        </w:rPr>
        <w:t xml:space="preserve"> major determinant of morbidity and mortality in GBS is autonomic dysfunction, which can present with marked blood pressure fluctuations, cardiac arrhythmias, and other features of cardiovascular instability. Such dysautonomia necessitates intensive monitoring and </w:t>
      </w:r>
      <w:commentRangeStart w:id="10"/>
      <w:r>
        <w:rPr>
          <w:rFonts w:ascii="Times New Roman" w:eastAsia="Times New Roman" w:hAnsi="Times New Roman" w:cs="Times New Roman"/>
          <w:sz w:val="24"/>
          <w:szCs w:val="24"/>
        </w:rPr>
        <w:t>complicates both disease c</w:t>
      </w:r>
      <w:commentRangeEnd w:id="10"/>
      <w:r w:rsidR="00974F1D">
        <w:rPr>
          <w:rStyle w:val="CommentReference"/>
        </w:rPr>
        <w:commentReference w:id="10"/>
      </w:r>
      <w:r>
        <w:rPr>
          <w:rFonts w:ascii="Times New Roman" w:eastAsia="Times New Roman" w:hAnsi="Times New Roman" w:cs="Times New Roman"/>
          <w:sz w:val="24"/>
          <w:szCs w:val="24"/>
        </w:rPr>
        <w:t>ours</w:t>
      </w:r>
      <w:r w:rsidR="00CF0D3A">
        <w:rPr>
          <w:rFonts w:ascii="Times New Roman" w:eastAsia="Times New Roman" w:hAnsi="Times New Roman" w:cs="Times New Roman"/>
          <w:sz w:val="24"/>
          <w:szCs w:val="24"/>
        </w:rPr>
        <w:t xml:space="preserve">e and therapeutic interventions </w:t>
      </w:r>
      <w:r>
        <w:rPr>
          <w:rFonts w:ascii="Times New Roman" w:eastAsia="Times New Roman" w:hAnsi="Times New Roman" w:cs="Times New Roman"/>
          <w:sz w:val="24"/>
          <w:szCs w:val="24"/>
        </w:rPr>
        <w:t>[3]. Immunomodulatory treatment with intravenous immunoglobulin or plasma exchange forms the mainstay of management; however, treatment tolerance may be limited in patients with severe autonomic involvement, posing significant clinical challenges [4]. This report describes a case of AIDP with secondary axonal involvement complicated by dysautonomia and intolerance to plasmapheresis, underscoring the complexity of managing demyelinating GBS in the critical care setting.</w:t>
      </w:r>
    </w:p>
    <w:p w14:paraId="0631364B" w14:textId="77777777" w:rsidR="00453C1B" w:rsidRDefault="00453C1B">
      <w:pPr>
        <w:spacing w:line="360" w:lineRule="auto"/>
        <w:jc w:val="both"/>
        <w:rPr>
          <w:rFonts w:ascii="Times New Roman" w:eastAsia="Times New Roman" w:hAnsi="Times New Roman" w:cs="Times New Roman"/>
          <w:sz w:val="24"/>
          <w:szCs w:val="24"/>
        </w:rPr>
      </w:pPr>
    </w:p>
    <w:p w14:paraId="28FC81FC" w14:textId="06FD1FA1" w:rsidR="00453C1B" w:rsidRDefault="000A1E5D">
      <w:pPr>
        <w:spacing w:line="360" w:lineRule="auto"/>
        <w:jc w:val="both"/>
        <w:rPr>
          <w:rFonts w:ascii="Times New Roman" w:eastAsia="Times New Roman" w:hAnsi="Times New Roman" w:cs="Times New Roman"/>
          <w:b/>
          <w:bCs/>
          <w:sz w:val="24"/>
          <w:szCs w:val="24"/>
        </w:rPr>
      </w:pPr>
      <w:commentRangeStart w:id="11"/>
      <w:commentRangeStart w:id="12"/>
      <w:commentRangeStart w:id="13"/>
      <w:r>
        <w:rPr>
          <w:rFonts w:ascii="Times New Roman" w:eastAsia="Times New Roman" w:hAnsi="Times New Roman" w:cs="Times New Roman"/>
          <w:b/>
          <w:bCs/>
          <w:sz w:val="24"/>
          <w:szCs w:val="24"/>
        </w:rPr>
        <w:t>CASE PRESENTATION:</w:t>
      </w:r>
      <w:commentRangeEnd w:id="11"/>
      <w:r w:rsidR="00CF0D3A">
        <w:rPr>
          <w:rStyle w:val="CommentReference"/>
        </w:rPr>
        <w:commentReference w:id="11"/>
      </w:r>
      <w:commentRangeEnd w:id="12"/>
      <w:r w:rsidR="00CF0D3A">
        <w:rPr>
          <w:rStyle w:val="CommentReference"/>
        </w:rPr>
        <w:commentReference w:id="12"/>
      </w:r>
      <w:commentRangeEnd w:id="13"/>
      <w:r w:rsidR="00CF0D3A">
        <w:rPr>
          <w:rStyle w:val="CommentReference"/>
        </w:rPr>
        <w:commentReference w:id="13"/>
      </w:r>
    </w:p>
    <w:p w14:paraId="7A1376DC" w14:textId="77777777" w:rsidR="00453C1B" w:rsidRDefault="00163369">
      <w:pPr>
        <w:spacing w:line="360" w:lineRule="auto"/>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 xml:space="preserve">A 27-year-old previously healthy male </w:t>
      </w:r>
      <w:commentRangeStart w:id="14"/>
      <w:r>
        <w:rPr>
          <w:rFonts w:ascii="Times New Roman" w:eastAsia="Times New Roman" w:hAnsi="Times New Roman" w:cs="Times New Roman"/>
          <w:sz w:val="24"/>
          <w:szCs w:val="24"/>
        </w:rPr>
        <w:t xml:space="preserve">with no known comorbidities or recent vaccination history presenting </w:t>
      </w:r>
      <w:commentRangeEnd w:id="14"/>
      <w:r w:rsidR="00974F1D">
        <w:rPr>
          <w:rStyle w:val="CommentReference"/>
        </w:rPr>
        <w:commentReference w:id="14"/>
      </w:r>
      <w:r>
        <w:rPr>
          <w:rFonts w:ascii="Times New Roman" w:eastAsia="Times New Roman" w:hAnsi="Times New Roman" w:cs="Times New Roman"/>
          <w:sz w:val="24"/>
          <w:szCs w:val="24"/>
        </w:rPr>
        <w:t>with progressive limb weakness to our hospital in 2026.</w:t>
      </w:r>
      <w:proofErr w:type="gramEnd"/>
      <w:r>
        <w:rPr>
          <w:rFonts w:ascii="Times New Roman" w:eastAsia="Times New Roman" w:hAnsi="Times New Roman" w:cs="Times New Roman"/>
          <w:sz w:val="24"/>
          <w:szCs w:val="24"/>
        </w:rPr>
        <w:t xml:space="preserve"> Fourteen days prior to the onset of the symptoms, he had a history of travel during which he consumed food from the </w:t>
      </w:r>
      <w:commentRangeStart w:id="15"/>
      <w:r>
        <w:rPr>
          <w:rFonts w:ascii="Times New Roman" w:eastAsia="Times New Roman" w:hAnsi="Times New Roman" w:cs="Times New Roman"/>
          <w:sz w:val="24"/>
          <w:szCs w:val="24"/>
        </w:rPr>
        <w:t>external vendor</w:t>
      </w:r>
      <w:commentRangeEnd w:id="15"/>
      <w:r w:rsidR="002C68A5">
        <w:rPr>
          <w:rStyle w:val="CommentReference"/>
        </w:rPr>
        <w:commentReference w:id="15"/>
      </w:r>
      <w:r>
        <w:rPr>
          <w:rFonts w:ascii="Times New Roman" w:eastAsia="Times New Roman" w:hAnsi="Times New Roman" w:cs="Times New Roman"/>
          <w:sz w:val="24"/>
          <w:szCs w:val="24"/>
        </w:rPr>
        <w:t xml:space="preserve">, following which he developed acute gastroenteritis characterized by abdominal pain and loose stools occurring approximately three times daily for three to four </w:t>
      </w:r>
      <w:commentRangeStart w:id="16"/>
      <w:r>
        <w:rPr>
          <w:rFonts w:ascii="Times New Roman" w:eastAsia="Times New Roman" w:hAnsi="Times New Roman" w:cs="Times New Roman"/>
          <w:sz w:val="24"/>
          <w:szCs w:val="24"/>
        </w:rPr>
        <w:t xml:space="preserve">days which </w:t>
      </w:r>
      <w:commentRangeEnd w:id="16"/>
      <w:r w:rsidR="002C68A5">
        <w:rPr>
          <w:rStyle w:val="CommentReference"/>
        </w:rPr>
        <w:commentReference w:id="16"/>
      </w:r>
      <w:r>
        <w:rPr>
          <w:rFonts w:ascii="Times New Roman" w:eastAsia="Times New Roman" w:hAnsi="Times New Roman" w:cs="Times New Roman"/>
          <w:sz w:val="24"/>
          <w:szCs w:val="24"/>
        </w:rPr>
        <w:t xml:space="preserve">resolved spontaneously. Approximately three days after the </w:t>
      </w:r>
      <w:proofErr w:type="spellStart"/>
      <w:r>
        <w:rPr>
          <w:rFonts w:ascii="Times New Roman" w:eastAsia="Times New Roman" w:hAnsi="Times New Roman" w:cs="Times New Roman"/>
          <w:sz w:val="24"/>
          <w:szCs w:val="24"/>
        </w:rPr>
        <w:t>diarrhoeal</w:t>
      </w:r>
      <w:proofErr w:type="spellEnd"/>
      <w:r>
        <w:rPr>
          <w:rFonts w:ascii="Times New Roman" w:eastAsia="Times New Roman" w:hAnsi="Times New Roman" w:cs="Times New Roman"/>
          <w:sz w:val="24"/>
          <w:szCs w:val="24"/>
        </w:rPr>
        <w:t xml:space="preserve"> illness, the </w:t>
      </w:r>
      <w:commentRangeStart w:id="17"/>
      <w:r>
        <w:rPr>
          <w:rFonts w:ascii="Times New Roman" w:eastAsia="Times New Roman" w:hAnsi="Times New Roman" w:cs="Times New Roman"/>
          <w:sz w:val="24"/>
          <w:szCs w:val="24"/>
        </w:rPr>
        <w:t xml:space="preserve">patient developed tingling and numbness in both palms and fingers, along with </w:t>
      </w:r>
      <w:commentRangeStart w:id="18"/>
      <w:r>
        <w:rPr>
          <w:rFonts w:ascii="Times New Roman" w:eastAsia="Times New Roman" w:hAnsi="Times New Roman" w:cs="Times New Roman"/>
          <w:sz w:val="24"/>
          <w:szCs w:val="24"/>
        </w:rPr>
        <w:t>tingling sensation of the tongue</w:t>
      </w:r>
      <w:commentRangeEnd w:id="17"/>
      <w:r w:rsidR="002C68A5">
        <w:rPr>
          <w:rStyle w:val="CommentReference"/>
        </w:rPr>
        <w:commentReference w:id="17"/>
      </w:r>
      <w:r>
        <w:rPr>
          <w:rFonts w:ascii="Times New Roman" w:eastAsia="Times New Roman" w:hAnsi="Times New Roman" w:cs="Times New Roman"/>
          <w:sz w:val="24"/>
          <w:szCs w:val="24"/>
        </w:rPr>
        <w:t xml:space="preserve">. </w:t>
      </w:r>
      <w:commentRangeEnd w:id="18"/>
      <w:r w:rsidR="002C68A5">
        <w:rPr>
          <w:rStyle w:val="CommentReference"/>
        </w:rPr>
        <w:commentReference w:id="18"/>
      </w:r>
      <w:r>
        <w:rPr>
          <w:rFonts w:ascii="Times New Roman" w:eastAsia="Times New Roman" w:hAnsi="Times New Roman" w:cs="Times New Roman"/>
          <w:sz w:val="24"/>
          <w:szCs w:val="24"/>
        </w:rPr>
        <w:t xml:space="preserve">Within the next one to two days, he noticed weakness in both upper limbs, evidenced by repeated dropping of his mobile phone from his hands. This was followed by progressive weakness in the lower limbs, eventually </w:t>
      </w:r>
      <w:commentRangeStart w:id="19"/>
      <w:r>
        <w:rPr>
          <w:rFonts w:ascii="Times New Roman" w:eastAsia="Times New Roman" w:hAnsi="Times New Roman" w:cs="Times New Roman"/>
          <w:sz w:val="24"/>
          <w:szCs w:val="24"/>
        </w:rPr>
        <w:t>leading to inability to stand</w:t>
      </w:r>
      <w:commentRangeEnd w:id="19"/>
      <w:r w:rsidR="002C68A5">
        <w:rPr>
          <w:rStyle w:val="CommentReference"/>
        </w:rPr>
        <w:commentReference w:id="19"/>
      </w:r>
      <w:r>
        <w:rPr>
          <w:rFonts w:ascii="Times New Roman" w:eastAsia="Times New Roman" w:hAnsi="Times New Roman" w:cs="Times New Roman"/>
          <w:sz w:val="24"/>
          <w:szCs w:val="24"/>
        </w:rPr>
        <w:t xml:space="preserve">, walk, or move his limbs independently. The weakness reached its nadir approximately one week after onset. He was initially admitted to another hospital </w:t>
      </w:r>
      <w:commentRangeStart w:id="20"/>
      <w:r>
        <w:rPr>
          <w:rFonts w:ascii="Times New Roman" w:eastAsia="Times New Roman" w:hAnsi="Times New Roman" w:cs="Times New Roman"/>
          <w:sz w:val="24"/>
          <w:szCs w:val="24"/>
        </w:rPr>
        <w:t xml:space="preserve">where a clinical diagnosis of Guillain-Barré syndrome was made. </w:t>
      </w:r>
      <w:commentRangeEnd w:id="20"/>
      <w:r w:rsidR="002C68A5">
        <w:rPr>
          <w:rStyle w:val="CommentReference"/>
        </w:rPr>
        <w:commentReference w:id="20"/>
      </w:r>
      <w:r>
        <w:rPr>
          <w:rFonts w:ascii="Times New Roman" w:eastAsia="Times New Roman" w:hAnsi="Times New Roman" w:cs="Times New Roman"/>
          <w:sz w:val="24"/>
          <w:szCs w:val="24"/>
        </w:rPr>
        <w:t xml:space="preserve">Therapeutic </w:t>
      </w:r>
      <w:proofErr w:type="spellStart"/>
      <w:r>
        <w:rPr>
          <w:rFonts w:ascii="Times New Roman" w:eastAsia="Times New Roman" w:hAnsi="Times New Roman" w:cs="Times New Roman"/>
          <w:sz w:val="24"/>
          <w:szCs w:val="24"/>
        </w:rPr>
        <w:t>plasmapheresis</w:t>
      </w:r>
      <w:proofErr w:type="spellEnd"/>
      <w:r>
        <w:rPr>
          <w:rFonts w:ascii="Times New Roman" w:eastAsia="Times New Roman" w:hAnsi="Times New Roman" w:cs="Times New Roman"/>
          <w:sz w:val="24"/>
          <w:szCs w:val="24"/>
        </w:rPr>
        <w:t xml:space="preserve"> was initiated, but after three sessions, it was discontinued due to </w:t>
      </w:r>
      <w:commentRangeStart w:id="21"/>
      <w:r>
        <w:rPr>
          <w:rFonts w:ascii="Times New Roman" w:eastAsia="Times New Roman" w:hAnsi="Times New Roman" w:cs="Times New Roman"/>
          <w:sz w:val="24"/>
          <w:szCs w:val="24"/>
        </w:rPr>
        <w:t>episodes of breathlessness, sweating, and hypotension during therapy</w:t>
      </w:r>
      <w:commentRangeEnd w:id="21"/>
      <w:r w:rsidR="002C68A5">
        <w:rPr>
          <w:rStyle w:val="CommentReference"/>
        </w:rPr>
        <w:commentReference w:id="21"/>
      </w:r>
      <w:r>
        <w:rPr>
          <w:rFonts w:ascii="Times New Roman" w:eastAsia="Times New Roman" w:hAnsi="Times New Roman" w:cs="Times New Roman"/>
          <w:sz w:val="24"/>
          <w:szCs w:val="24"/>
        </w:rPr>
        <w:t xml:space="preserve">. He was subsequently referred to our </w:t>
      </w:r>
      <w:proofErr w:type="spellStart"/>
      <w:r>
        <w:rPr>
          <w:rFonts w:ascii="Times New Roman" w:eastAsia="Times New Roman" w:hAnsi="Times New Roman" w:cs="Times New Roman"/>
          <w:sz w:val="24"/>
          <w:szCs w:val="24"/>
        </w:rPr>
        <w:t>centre</w:t>
      </w:r>
      <w:proofErr w:type="spellEnd"/>
      <w:r>
        <w:rPr>
          <w:rFonts w:ascii="Times New Roman" w:eastAsia="Times New Roman" w:hAnsi="Times New Roman" w:cs="Times New Roman"/>
          <w:sz w:val="24"/>
          <w:szCs w:val="24"/>
        </w:rPr>
        <w:t xml:space="preserve"> for further management. At the time of admission to the previous hospital, he had tachycardia (pulse rate </w:t>
      </w:r>
      <w:r>
        <w:rPr>
          <w:rFonts w:ascii="Times New Roman" w:eastAsia="Times New Roman" w:hAnsi="Times New Roman" w:cs="Times New Roman"/>
          <w:sz w:val="24"/>
          <w:szCs w:val="24"/>
        </w:rPr>
        <w:lastRenderedPageBreak/>
        <w:t xml:space="preserve">119 beats/min) and elevated blood pressure (160/90 mmHg), with oxygen saturation of 99% at room air, suggesting autonomic dysfunction. After arrival </w:t>
      </w:r>
      <w:commentRangeStart w:id="22"/>
      <w:proofErr w:type="gramStart"/>
      <w:r>
        <w:rPr>
          <w:rFonts w:ascii="Times New Roman" w:eastAsia="Times New Roman" w:hAnsi="Times New Roman" w:cs="Times New Roman"/>
          <w:sz w:val="24"/>
          <w:szCs w:val="24"/>
        </w:rPr>
        <w:t>to  our</w:t>
      </w:r>
      <w:proofErr w:type="gram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centre</w:t>
      </w:r>
      <w:proofErr w:type="spellEnd"/>
      <w:r>
        <w:rPr>
          <w:rFonts w:ascii="Times New Roman" w:eastAsia="Times New Roman" w:hAnsi="Times New Roman" w:cs="Times New Roman"/>
          <w:sz w:val="24"/>
          <w:szCs w:val="24"/>
        </w:rPr>
        <w:t xml:space="preserve"> </w:t>
      </w:r>
      <w:commentRangeEnd w:id="22"/>
      <w:r w:rsidR="00CF0D3A">
        <w:rPr>
          <w:rStyle w:val="CommentReference"/>
        </w:rPr>
        <w:commentReference w:id="22"/>
      </w:r>
      <w:r>
        <w:rPr>
          <w:rFonts w:ascii="Times New Roman" w:eastAsia="Times New Roman" w:hAnsi="Times New Roman" w:cs="Times New Roman"/>
          <w:sz w:val="24"/>
          <w:szCs w:val="24"/>
        </w:rPr>
        <w:t>his vital signs stabilized (BP 120/80 mmHg, pulse 101 beats/min, SpO₂ 98</w:t>
      </w:r>
      <w:commentRangeStart w:id="23"/>
      <w:r>
        <w:rPr>
          <w:rFonts w:ascii="Times New Roman" w:eastAsia="Times New Roman" w:hAnsi="Times New Roman" w:cs="Times New Roman"/>
          <w:sz w:val="24"/>
          <w:szCs w:val="24"/>
        </w:rPr>
        <w:t xml:space="preserve">%). In view of the risk of autonomic instability, the patient was kept under continuous </w:t>
      </w:r>
      <w:proofErr w:type="gramStart"/>
      <w:r>
        <w:rPr>
          <w:rFonts w:ascii="Times New Roman" w:eastAsia="Times New Roman" w:hAnsi="Times New Roman" w:cs="Times New Roman"/>
          <w:sz w:val="24"/>
          <w:szCs w:val="24"/>
        </w:rPr>
        <w:t>monitoring,</w:t>
      </w:r>
      <w:proofErr w:type="gramEnd"/>
      <w:r>
        <w:rPr>
          <w:rFonts w:ascii="Times New Roman" w:eastAsia="Times New Roman" w:hAnsi="Times New Roman" w:cs="Times New Roman"/>
          <w:sz w:val="24"/>
          <w:szCs w:val="24"/>
        </w:rPr>
        <w:t xml:space="preserve"> however he remained </w:t>
      </w:r>
      <w:proofErr w:type="spellStart"/>
      <w:r>
        <w:rPr>
          <w:rFonts w:ascii="Times New Roman" w:eastAsia="Times New Roman" w:hAnsi="Times New Roman" w:cs="Times New Roman"/>
          <w:sz w:val="24"/>
          <w:szCs w:val="24"/>
        </w:rPr>
        <w:t>hemodynamically</w:t>
      </w:r>
      <w:proofErr w:type="spellEnd"/>
      <w:r>
        <w:rPr>
          <w:rFonts w:ascii="Times New Roman" w:eastAsia="Times New Roman" w:hAnsi="Times New Roman" w:cs="Times New Roman"/>
          <w:sz w:val="24"/>
          <w:szCs w:val="24"/>
        </w:rPr>
        <w:t xml:space="preserve"> stable</w:t>
      </w:r>
      <w:commentRangeEnd w:id="23"/>
      <w:r w:rsidR="002C68A5">
        <w:rPr>
          <w:rStyle w:val="CommentReference"/>
        </w:rPr>
        <w:commentReference w:id="23"/>
      </w:r>
      <w:r>
        <w:rPr>
          <w:rFonts w:ascii="Times New Roman" w:eastAsia="Times New Roman" w:hAnsi="Times New Roman" w:cs="Times New Roman"/>
          <w:sz w:val="24"/>
          <w:szCs w:val="24"/>
        </w:rPr>
        <w:t xml:space="preserve"> and did not require intensive care. The patient remained conscious, alert, and oriented throughout the illness. He denied dysphagia, nasal regurgitation, slurred speech, diplopia, facial weakness, or bladder dysfunction. There was mild constipation but no urinary retention. </w:t>
      </w:r>
      <w:commentRangeStart w:id="24"/>
      <w:r>
        <w:rPr>
          <w:rFonts w:ascii="Times New Roman" w:eastAsia="Times New Roman" w:hAnsi="Times New Roman" w:cs="Times New Roman"/>
          <w:sz w:val="24"/>
          <w:szCs w:val="24"/>
        </w:rPr>
        <w:t>No significant pain or backache was reported</w:t>
      </w:r>
      <w:commentRangeEnd w:id="24"/>
      <w:r w:rsidR="002C68A5">
        <w:rPr>
          <w:rStyle w:val="CommentReference"/>
        </w:rPr>
        <w:commentReference w:id="24"/>
      </w:r>
      <w:r>
        <w:rPr>
          <w:rFonts w:ascii="Times New Roman" w:eastAsia="Times New Roman" w:hAnsi="Times New Roman" w:cs="Times New Roman"/>
          <w:sz w:val="24"/>
          <w:szCs w:val="24"/>
        </w:rPr>
        <w:t>.</w:t>
      </w:r>
    </w:p>
    <w:p w14:paraId="57C3DFB7" w14:textId="77777777" w:rsidR="00453C1B" w:rsidRDefault="00453C1B">
      <w:pPr>
        <w:spacing w:line="360" w:lineRule="auto"/>
        <w:jc w:val="both"/>
        <w:rPr>
          <w:rFonts w:ascii="Times New Roman" w:eastAsia="Times New Roman" w:hAnsi="Times New Roman" w:cs="Times New Roman"/>
          <w:sz w:val="24"/>
          <w:szCs w:val="24"/>
        </w:rPr>
      </w:pPr>
    </w:p>
    <w:p w14:paraId="106A4AD2" w14:textId="77777777" w:rsidR="00453C1B" w:rsidRDefault="0016336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Motor examination revealed generalized hypotonia with flaccid weakness. </w:t>
      </w:r>
      <w:commentRangeStart w:id="25"/>
      <w:r>
        <w:rPr>
          <w:rFonts w:ascii="Times New Roman" w:eastAsia="Times New Roman" w:hAnsi="Times New Roman" w:cs="Times New Roman"/>
          <w:sz w:val="24"/>
          <w:szCs w:val="24"/>
        </w:rPr>
        <w:t>Initially, muscle power was graded as 1/5 in both upper limbs, 1/5 in the left lower limb, and 4/5 in the right lower limb</w:t>
      </w:r>
      <w:commentRangeEnd w:id="25"/>
      <w:r w:rsidR="00CA2FE7">
        <w:rPr>
          <w:rStyle w:val="CommentReference"/>
        </w:rPr>
        <w:commentReference w:id="25"/>
      </w:r>
      <w:r>
        <w:rPr>
          <w:rFonts w:ascii="Times New Roman" w:eastAsia="Times New Roman" w:hAnsi="Times New Roman" w:cs="Times New Roman"/>
          <w:sz w:val="24"/>
          <w:szCs w:val="24"/>
        </w:rPr>
        <w:t xml:space="preserve">. Deep tendon reflexes were absent in both upper and lower limbs. Plantar responses were mute. Sensory examination was normal, with intact light touch, pain, vibration, and joint position sense, </w:t>
      </w:r>
      <w:commentRangeStart w:id="26"/>
      <w:r>
        <w:rPr>
          <w:rFonts w:ascii="Times New Roman" w:eastAsia="Times New Roman" w:hAnsi="Times New Roman" w:cs="Times New Roman"/>
          <w:sz w:val="24"/>
          <w:szCs w:val="24"/>
        </w:rPr>
        <w:t xml:space="preserve">despite subjective </w:t>
      </w:r>
      <w:proofErr w:type="spellStart"/>
      <w:r>
        <w:rPr>
          <w:rFonts w:ascii="Times New Roman" w:eastAsia="Times New Roman" w:hAnsi="Times New Roman" w:cs="Times New Roman"/>
          <w:sz w:val="24"/>
          <w:szCs w:val="24"/>
        </w:rPr>
        <w:t>paresthesias</w:t>
      </w:r>
      <w:commentRangeEnd w:id="26"/>
      <w:proofErr w:type="spellEnd"/>
      <w:r w:rsidR="00CA2FE7">
        <w:rPr>
          <w:rStyle w:val="CommentReference"/>
        </w:rPr>
        <w:commentReference w:id="26"/>
      </w:r>
      <w:r>
        <w:rPr>
          <w:rFonts w:ascii="Times New Roman" w:eastAsia="Times New Roman" w:hAnsi="Times New Roman" w:cs="Times New Roman"/>
          <w:sz w:val="24"/>
          <w:szCs w:val="24"/>
        </w:rPr>
        <w:t>. Cranial nerve examination was normal, with no facial, bulbar, or ocular involvement. The patient was able to count up to 30 in the single-breath test, and there were no signs of respiratory distress.</w:t>
      </w:r>
    </w:p>
    <w:p w14:paraId="58C51DE0" w14:textId="77777777" w:rsidR="00453C1B" w:rsidRDefault="00453C1B">
      <w:pPr>
        <w:spacing w:line="360" w:lineRule="auto"/>
        <w:jc w:val="both"/>
        <w:rPr>
          <w:rFonts w:ascii="Times New Roman" w:eastAsia="Times New Roman" w:hAnsi="Times New Roman" w:cs="Times New Roman"/>
          <w:sz w:val="24"/>
          <w:szCs w:val="24"/>
        </w:rPr>
      </w:pPr>
    </w:p>
    <w:p w14:paraId="1D17EE13" w14:textId="77777777" w:rsidR="00453C1B" w:rsidRDefault="0016336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Routine laboratory investigations including complete blood count, thyroid function tests and serum electrolytes were within normal limits (Table 1). Serology for HIV, hepatitis B, and hepatitis C was negative. Magnetic resonance imaging (MRI) of the brain and spine showed no abnormalities (Figure 1, 2). Two-dimensional echocardiography demonstrated preserved left ventricular function (ejection fraction &gt;69%) with mild aortic regurgitation. Serial ECGs showed no arrhythmias. </w:t>
      </w:r>
      <w:commentRangeStart w:id="27"/>
      <w:r>
        <w:rPr>
          <w:rFonts w:ascii="Times New Roman" w:eastAsia="Times New Roman" w:hAnsi="Times New Roman" w:cs="Times New Roman"/>
          <w:sz w:val="24"/>
          <w:szCs w:val="24"/>
        </w:rPr>
        <w:t xml:space="preserve">Nerve conduction studies performed </w:t>
      </w:r>
      <w:commentRangeStart w:id="28"/>
      <w:r>
        <w:rPr>
          <w:rFonts w:ascii="Times New Roman" w:eastAsia="Times New Roman" w:hAnsi="Times New Roman" w:cs="Times New Roman"/>
          <w:sz w:val="24"/>
          <w:szCs w:val="24"/>
        </w:rPr>
        <w:t xml:space="preserve">subsequently demonstrated </w:t>
      </w:r>
      <w:commentRangeEnd w:id="28"/>
      <w:r w:rsidR="00CA2FE7">
        <w:rPr>
          <w:rStyle w:val="CommentReference"/>
        </w:rPr>
        <w:commentReference w:id="28"/>
      </w:r>
      <w:r>
        <w:rPr>
          <w:rFonts w:ascii="Times New Roman" w:eastAsia="Times New Roman" w:hAnsi="Times New Roman" w:cs="Times New Roman"/>
          <w:sz w:val="24"/>
          <w:szCs w:val="24"/>
        </w:rPr>
        <w:t xml:space="preserve">a demyelinating motor neuropathy with secondary axonal and sensory involvement in all four </w:t>
      </w:r>
      <w:proofErr w:type="gramStart"/>
      <w:r>
        <w:rPr>
          <w:rFonts w:ascii="Times New Roman" w:eastAsia="Times New Roman" w:hAnsi="Times New Roman" w:cs="Times New Roman"/>
          <w:sz w:val="24"/>
          <w:szCs w:val="24"/>
        </w:rPr>
        <w:t>limbs</w:t>
      </w:r>
      <w:proofErr w:type="gramEnd"/>
      <w:r>
        <w:rPr>
          <w:rFonts w:ascii="Times New Roman" w:eastAsia="Times New Roman" w:hAnsi="Times New Roman" w:cs="Times New Roman"/>
          <w:sz w:val="24"/>
          <w:szCs w:val="24"/>
        </w:rPr>
        <w:t>.</w:t>
      </w:r>
      <w:commentRangeEnd w:id="27"/>
      <w:r w:rsidR="00CF0D3A">
        <w:rPr>
          <w:rStyle w:val="CommentReference"/>
        </w:rPr>
        <w:commentReference w:id="27"/>
      </w:r>
    </w:p>
    <w:p w14:paraId="3A14FE42" w14:textId="77777777" w:rsidR="00453C1B" w:rsidRDefault="00163369">
      <w:pPr>
        <w:spacing w:line="360" w:lineRule="auto"/>
        <w:jc w:val="both"/>
        <w:rPr>
          <w:rFonts w:ascii="Times New Roman" w:eastAsia="Times New Roman" w:hAnsi="Times New Roman" w:cs="Times New Roman"/>
          <w:sz w:val="24"/>
          <w:szCs w:val="24"/>
        </w:rPr>
      </w:pPr>
      <w:r>
        <w:br w:type="page"/>
      </w:r>
    </w:p>
    <w:p w14:paraId="526AFC06" w14:textId="77777777" w:rsidR="00453C1B" w:rsidRDefault="00163369">
      <w:pPr>
        <w:jc w:val="both"/>
        <w:rPr>
          <w:rFonts w:ascii="Times New Roman" w:eastAsia="Times New Roman" w:hAnsi="Times New Roman" w:cs="Times New Roman"/>
          <w:b/>
          <w:bCs/>
          <w:sz w:val="24"/>
          <w:szCs w:val="24"/>
        </w:rPr>
      </w:pPr>
      <w:commentRangeStart w:id="29"/>
      <w:r>
        <w:rPr>
          <w:rFonts w:ascii="Times New Roman" w:eastAsia="Times New Roman" w:hAnsi="Times New Roman" w:cs="Times New Roman"/>
          <w:b/>
          <w:bCs/>
          <w:sz w:val="24"/>
          <w:szCs w:val="24"/>
        </w:rPr>
        <w:lastRenderedPageBreak/>
        <w:t>Table 1: Blood investigation results</w:t>
      </w:r>
      <w:commentRangeEnd w:id="29"/>
      <w:r w:rsidR="008974F5">
        <w:rPr>
          <w:rStyle w:val="CommentReference"/>
        </w:rPr>
        <w:commentReference w:id="29"/>
      </w:r>
    </w:p>
    <w:tbl>
      <w:tblPr>
        <w:tblStyle w:val="a"/>
        <w:tblW w:w="902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08"/>
        <w:gridCol w:w="3009"/>
        <w:gridCol w:w="3009"/>
      </w:tblGrid>
      <w:tr w:rsidR="00453C1B" w14:paraId="4186E4D2" w14:textId="77777777">
        <w:tc>
          <w:tcPr>
            <w:tcW w:w="3008" w:type="dxa"/>
            <w:tcMar>
              <w:top w:w="100" w:type="dxa"/>
              <w:left w:w="100" w:type="dxa"/>
              <w:bottom w:w="100" w:type="dxa"/>
              <w:right w:w="100" w:type="dxa"/>
            </w:tcMar>
          </w:tcPr>
          <w:p w14:paraId="6D53480C" w14:textId="77777777" w:rsidR="00453C1B" w:rsidRDefault="00163369">
            <w:pPr>
              <w:widowControl w:val="0"/>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Laboratory parameter</w:t>
            </w:r>
          </w:p>
        </w:tc>
        <w:tc>
          <w:tcPr>
            <w:tcW w:w="3008" w:type="dxa"/>
            <w:tcMar>
              <w:top w:w="100" w:type="dxa"/>
              <w:left w:w="100" w:type="dxa"/>
              <w:bottom w:w="100" w:type="dxa"/>
              <w:right w:w="100" w:type="dxa"/>
            </w:tcMar>
          </w:tcPr>
          <w:p w14:paraId="2EFFD458" w14:textId="77777777" w:rsidR="00453C1B" w:rsidRDefault="00163369">
            <w:pPr>
              <w:widowControl w:val="0"/>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Result</w:t>
            </w:r>
          </w:p>
        </w:tc>
        <w:tc>
          <w:tcPr>
            <w:tcW w:w="3008" w:type="dxa"/>
            <w:tcMar>
              <w:top w:w="100" w:type="dxa"/>
              <w:left w:w="100" w:type="dxa"/>
              <w:bottom w:w="100" w:type="dxa"/>
              <w:right w:w="100" w:type="dxa"/>
            </w:tcMar>
          </w:tcPr>
          <w:p w14:paraId="278201AC" w14:textId="77777777" w:rsidR="00453C1B" w:rsidRDefault="00163369">
            <w:pPr>
              <w:widowControl w:val="0"/>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Range</w:t>
            </w:r>
          </w:p>
        </w:tc>
      </w:tr>
      <w:tr w:rsidR="00453C1B" w14:paraId="13E82A8B" w14:textId="77777777">
        <w:tc>
          <w:tcPr>
            <w:tcW w:w="3008" w:type="dxa"/>
            <w:tcMar>
              <w:top w:w="100" w:type="dxa"/>
              <w:left w:w="100" w:type="dxa"/>
              <w:bottom w:w="100" w:type="dxa"/>
              <w:right w:w="100" w:type="dxa"/>
            </w:tcMar>
          </w:tcPr>
          <w:p w14:paraId="6F05351C" w14:textId="77777777" w:rsidR="00453C1B" w:rsidRDefault="00163369">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Hemoglobin</w:t>
            </w:r>
          </w:p>
        </w:tc>
        <w:tc>
          <w:tcPr>
            <w:tcW w:w="3008" w:type="dxa"/>
            <w:tcMar>
              <w:top w:w="100" w:type="dxa"/>
              <w:left w:w="100" w:type="dxa"/>
              <w:bottom w:w="100" w:type="dxa"/>
              <w:right w:w="100" w:type="dxa"/>
            </w:tcMar>
          </w:tcPr>
          <w:p w14:paraId="35D377CC" w14:textId="77777777" w:rsidR="00453C1B" w:rsidRDefault="00163369">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165 g/L</w:t>
            </w:r>
          </w:p>
        </w:tc>
        <w:tc>
          <w:tcPr>
            <w:tcW w:w="3008" w:type="dxa"/>
            <w:tcMar>
              <w:top w:w="100" w:type="dxa"/>
              <w:left w:w="100" w:type="dxa"/>
              <w:bottom w:w="100" w:type="dxa"/>
              <w:right w:w="100" w:type="dxa"/>
            </w:tcMar>
          </w:tcPr>
          <w:p w14:paraId="0CA79412" w14:textId="77777777" w:rsidR="00453C1B" w:rsidRDefault="00163369">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130-180 g/L</w:t>
            </w:r>
          </w:p>
        </w:tc>
      </w:tr>
      <w:tr w:rsidR="00453C1B" w14:paraId="1AAC1B8D" w14:textId="77777777">
        <w:tc>
          <w:tcPr>
            <w:tcW w:w="3008" w:type="dxa"/>
            <w:tcMar>
              <w:top w:w="100" w:type="dxa"/>
              <w:left w:w="100" w:type="dxa"/>
              <w:bottom w:w="100" w:type="dxa"/>
              <w:right w:w="100" w:type="dxa"/>
            </w:tcMar>
          </w:tcPr>
          <w:p w14:paraId="4CB4CC38" w14:textId="77777777" w:rsidR="00453C1B" w:rsidRDefault="00163369">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Red cell count</w:t>
            </w:r>
          </w:p>
        </w:tc>
        <w:tc>
          <w:tcPr>
            <w:tcW w:w="3008" w:type="dxa"/>
            <w:tcMar>
              <w:top w:w="100" w:type="dxa"/>
              <w:left w:w="100" w:type="dxa"/>
              <w:bottom w:w="100" w:type="dxa"/>
              <w:right w:w="100" w:type="dxa"/>
            </w:tcMar>
          </w:tcPr>
          <w:p w14:paraId="4F0B6340" w14:textId="77777777" w:rsidR="00453C1B" w:rsidRDefault="00163369">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5.42 x 10</w:t>
            </w:r>
            <w:r>
              <w:rPr>
                <w:rFonts w:ascii="Times New Roman" w:eastAsia="Times New Roman" w:hAnsi="Times New Roman" w:cs="Times New Roman"/>
                <w:sz w:val="24"/>
                <w:szCs w:val="24"/>
                <w:vertAlign w:val="superscript"/>
              </w:rPr>
              <w:t>12</w:t>
            </w:r>
            <w:r>
              <w:rPr>
                <w:rFonts w:ascii="Times New Roman" w:eastAsia="Times New Roman" w:hAnsi="Times New Roman" w:cs="Times New Roman"/>
                <w:sz w:val="24"/>
                <w:szCs w:val="24"/>
              </w:rPr>
              <w:t>/L</w:t>
            </w:r>
          </w:p>
        </w:tc>
        <w:tc>
          <w:tcPr>
            <w:tcW w:w="3008" w:type="dxa"/>
            <w:tcMar>
              <w:top w:w="100" w:type="dxa"/>
              <w:left w:w="100" w:type="dxa"/>
              <w:bottom w:w="100" w:type="dxa"/>
              <w:right w:w="100" w:type="dxa"/>
            </w:tcMar>
          </w:tcPr>
          <w:p w14:paraId="02EB5F1A" w14:textId="77777777" w:rsidR="00453C1B" w:rsidRDefault="00163369">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4.0-5.9 x 10</w:t>
            </w:r>
            <w:r>
              <w:rPr>
                <w:rFonts w:ascii="Times New Roman" w:eastAsia="Times New Roman" w:hAnsi="Times New Roman" w:cs="Times New Roman"/>
                <w:sz w:val="24"/>
                <w:szCs w:val="24"/>
                <w:vertAlign w:val="superscript"/>
              </w:rPr>
              <w:t>12</w:t>
            </w:r>
            <w:r>
              <w:rPr>
                <w:rFonts w:ascii="Times New Roman" w:eastAsia="Times New Roman" w:hAnsi="Times New Roman" w:cs="Times New Roman"/>
                <w:sz w:val="24"/>
                <w:szCs w:val="24"/>
              </w:rPr>
              <w:t>/L</w:t>
            </w:r>
          </w:p>
        </w:tc>
      </w:tr>
      <w:tr w:rsidR="00453C1B" w14:paraId="56DFD5F5" w14:textId="77777777">
        <w:tc>
          <w:tcPr>
            <w:tcW w:w="3008" w:type="dxa"/>
            <w:tcMar>
              <w:top w:w="100" w:type="dxa"/>
              <w:left w:w="100" w:type="dxa"/>
              <w:bottom w:w="100" w:type="dxa"/>
              <w:right w:w="100" w:type="dxa"/>
            </w:tcMar>
          </w:tcPr>
          <w:p w14:paraId="57A99F0E" w14:textId="77777777" w:rsidR="00453C1B" w:rsidRDefault="00163369">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Mean corpuscular volume</w:t>
            </w:r>
          </w:p>
        </w:tc>
        <w:tc>
          <w:tcPr>
            <w:tcW w:w="3008" w:type="dxa"/>
            <w:tcMar>
              <w:top w:w="100" w:type="dxa"/>
              <w:left w:w="100" w:type="dxa"/>
              <w:bottom w:w="100" w:type="dxa"/>
              <w:right w:w="100" w:type="dxa"/>
            </w:tcMar>
          </w:tcPr>
          <w:p w14:paraId="2147BAB9" w14:textId="77777777" w:rsidR="00453C1B" w:rsidRDefault="00163369">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81.7 </w:t>
            </w:r>
            <w:proofErr w:type="spellStart"/>
            <w:r>
              <w:rPr>
                <w:rFonts w:ascii="Times New Roman" w:eastAsia="Times New Roman" w:hAnsi="Times New Roman" w:cs="Times New Roman"/>
                <w:sz w:val="24"/>
                <w:szCs w:val="24"/>
              </w:rPr>
              <w:t>fL</w:t>
            </w:r>
            <w:proofErr w:type="spellEnd"/>
          </w:p>
        </w:tc>
        <w:tc>
          <w:tcPr>
            <w:tcW w:w="3008" w:type="dxa"/>
            <w:tcMar>
              <w:top w:w="100" w:type="dxa"/>
              <w:left w:w="100" w:type="dxa"/>
              <w:bottom w:w="100" w:type="dxa"/>
              <w:right w:w="100" w:type="dxa"/>
            </w:tcMar>
          </w:tcPr>
          <w:p w14:paraId="57D30E7E" w14:textId="77777777" w:rsidR="00453C1B" w:rsidRDefault="00163369">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76.0-100.0 </w:t>
            </w:r>
            <w:proofErr w:type="spellStart"/>
            <w:r>
              <w:rPr>
                <w:rFonts w:ascii="Times New Roman" w:eastAsia="Times New Roman" w:hAnsi="Times New Roman" w:cs="Times New Roman"/>
                <w:sz w:val="24"/>
                <w:szCs w:val="24"/>
              </w:rPr>
              <w:t>fL</w:t>
            </w:r>
            <w:proofErr w:type="spellEnd"/>
          </w:p>
        </w:tc>
      </w:tr>
      <w:tr w:rsidR="00453C1B" w14:paraId="54F56646" w14:textId="77777777">
        <w:tc>
          <w:tcPr>
            <w:tcW w:w="3008" w:type="dxa"/>
            <w:tcMar>
              <w:top w:w="100" w:type="dxa"/>
              <w:left w:w="100" w:type="dxa"/>
              <w:bottom w:w="100" w:type="dxa"/>
              <w:right w:w="100" w:type="dxa"/>
            </w:tcMar>
          </w:tcPr>
          <w:p w14:paraId="641FFE34" w14:textId="77777777" w:rsidR="00453C1B" w:rsidRDefault="00163369">
            <w:pPr>
              <w:widowControl w:val="0"/>
              <w:spacing w:line="240" w:lineRule="auto"/>
              <w:jc w:val="both"/>
              <w:rPr>
                <w:rFonts w:ascii="Times New Roman" w:eastAsia="Times New Roman" w:hAnsi="Times New Roman" w:cs="Times New Roman"/>
                <w:sz w:val="24"/>
                <w:szCs w:val="24"/>
              </w:rPr>
            </w:pPr>
            <w:commentRangeStart w:id="30"/>
            <w:r>
              <w:rPr>
                <w:rFonts w:ascii="Times New Roman" w:eastAsia="Times New Roman" w:hAnsi="Times New Roman" w:cs="Times New Roman"/>
                <w:sz w:val="24"/>
                <w:szCs w:val="24"/>
              </w:rPr>
              <w:t>Mean corpuscular hemoglobin</w:t>
            </w:r>
            <w:commentRangeEnd w:id="30"/>
            <w:r w:rsidR="00CA2FE7">
              <w:rPr>
                <w:rStyle w:val="CommentReference"/>
              </w:rPr>
              <w:commentReference w:id="30"/>
            </w:r>
          </w:p>
        </w:tc>
        <w:tc>
          <w:tcPr>
            <w:tcW w:w="3008" w:type="dxa"/>
            <w:tcMar>
              <w:top w:w="100" w:type="dxa"/>
              <w:left w:w="100" w:type="dxa"/>
              <w:bottom w:w="100" w:type="dxa"/>
              <w:right w:w="100" w:type="dxa"/>
            </w:tcMar>
          </w:tcPr>
          <w:p w14:paraId="3A6807CD" w14:textId="77777777" w:rsidR="00453C1B" w:rsidRDefault="00163369">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30.4 </w:t>
            </w:r>
            <w:proofErr w:type="spellStart"/>
            <w:r>
              <w:rPr>
                <w:rFonts w:ascii="Times New Roman" w:eastAsia="Times New Roman" w:hAnsi="Times New Roman" w:cs="Times New Roman"/>
                <w:sz w:val="24"/>
                <w:szCs w:val="24"/>
              </w:rPr>
              <w:t>pg</w:t>
            </w:r>
            <w:proofErr w:type="spellEnd"/>
          </w:p>
        </w:tc>
        <w:tc>
          <w:tcPr>
            <w:tcW w:w="3008" w:type="dxa"/>
            <w:tcMar>
              <w:top w:w="100" w:type="dxa"/>
              <w:left w:w="100" w:type="dxa"/>
              <w:bottom w:w="100" w:type="dxa"/>
              <w:right w:w="100" w:type="dxa"/>
            </w:tcMar>
          </w:tcPr>
          <w:p w14:paraId="4400276D" w14:textId="77777777" w:rsidR="00453C1B" w:rsidRDefault="00163369">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27.0-33.0 </w:t>
            </w:r>
            <w:proofErr w:type="spellStart"/>
            <w:r>
              <w:rPr>
                <w:rFonts w:ascii="Times New Roman" w:eastAsia="Times New Roman" w:hAnsi="Times New Roman" w:cs="Times New Roman"/>
                <w:sz w:val="24"/>
                <w:szCs w:val="24"/>
              </w:rPr>
              <w:t>pg</w:t>
            </w:r>
            <w:proofErr w:type="spellEnd"/>
          </w:p>
        </w:tc>
      </w:tr>
      <w:tr w:rsidR="00453C1B" w14:paraId="514B2070" w14:textId="77777777">
        <w:tc>
          <w:tcPr>
            <w:tcW w:w="3008" w:type="dxa"/>
            <w:tcMar>
              <w:top w:w="100" w:type="dxa"/>
              <w:left w:w="100" w:type="dxa"/>
              <w:bottom w:w="100" w:type="dxa"/>
              <w:right w:w="100" w:type="dxa"/>
            </w:tcMar>
          </w:tcPr>
          <w:p w14:paraId="656177ED" w14:textId="77777777" w:rsidR="00453C1B" w:rsidRDefault="00163369">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Hematocrit</w:t>
            </w:r>
          </w:p>
        </w:tc>
        <w:tc>
          <w:tcPr>
            <w:tcW w:w="3008" w:type="dxa"/>
            <w:tcMar>
              <w:top w:w="100" w:type="dxa"/>
              <w:left w:w="100" w:type="dxa"/>
              <w:bottom w:w="100" w:type="dxa"/>
              <w:right w:w="100" w:type="dxa"/>
            </w:tcMar>
          </w:tcPr>
          <w:p w14:paraId="67429989" w14:textId="77777777" w:rsidR="00453C1B" w:rsidRDefault="00163369">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0.44 L/L</w:t>
            </w:r>
          </w:p>
        </w:tc>
        <w:tc>
          <w:tcPr>
            <w:tcW w:w="3008" w:type="dxa"/>
            <w:tcMar>
              <w:top w:w="100" w:type="dxa"/>
              <w:left w:w="100" w:type="dxa"/>
              <w:bottom w:w="100" w:type="dxa"/>
              <w:right w:w="100" w:type="dxa"/>
            </w:tcMar>
          </w:tcPr>
          <w:p w14:paraId="0108FFD4" w14:textId="77777777" w:rsidR="00453C1B" w:rsidRDefault="00163369">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0.40-0.54 L/L</w:t>
            </w:r>
          </w:p>
        </w:tc>
      </w:tr>
      <w:tr w:rsidR="00453C1B" w14:paraId="53024230" w14:textId="77777777">
        <w:tc>
          <w:tcPr>
            <w:tcW w:w="3008" w:type="dxa"/>
            <w:tcMar>
              <w:top w:w="100" w:type="dxa"/>
              <w:left w:w="100" w:type="dxa"/>
              <w:bottom w:w="100" w:type="dxa"/>
              <w:right w:w="100" w:type="dxa"/>
            </w:tcMar>
          </w:tcPr>
          <w:p w14:paraId="4A2839E9" w14:textId="77777777" w:rsidR="00453C1B" w:rsidRDefault="00163369">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White cell count</w:t>
            </w:r>
          </w:p>
        </w:tc>
        <w:tc>
          <w:tcPr>
            <w:tcW w:w="3008" w:type="dxa"/>
            <w:tcMar>
              <w:top w:w="100" w:type="dxa"/>
              <w:left w:w="100" w:type="dxa"/>
              <w:bottom w:w="100" w:type="dxa"/>
              <w:right w:w="100" w:type="dxa"/>
            </w:tcMar>
          </w:tcPr>
          <w:p w14:paraId="0442810E" w14:textId="77777777" w:rsidR="00453C1B" w:rsidRDefault="00163369">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10.6 x 10</w:t>
            </w:r>
            <w:r>
              <w:rPr>
                <w:rFonts w:ascii="Times New Roman" w:eastAsia="Times New Roman" w:hAnsi="Times New Roman" w:cs="Times New Roman"/>
                <w:sz w:val="24"/>
                <w:szCs w:val="24"/>
                <w:vertAlign w:val="superscript"/>
              </w:rPr>
              <w:t>9</w:t>
            </w:r>
            <w:r>
              <w:rPr>
                <w:rFonts w:ascii="Times New Roman" w:eastAsia="Times New Roman" w:hAnsi="Times New Roman" w:cs="Times New Roman"/>
                <w:sz w:val="24"/>
                <w:szCs w:val="24"/>
              </w:rPr>
              <w:t>/L</w:t>
            </w:r>
          </w:p>
        </w:tc>
        <w:tc>
          <w:tcPr>
            <w:tcW w:w="3008" w:type="dxa"/>
            <w:tcMar>
              <w:top w:w="100" w:type="dxa"/>
              <w:left w:w="100" w:type="dxa"/>
              <w:bottom w:w="100" w:type="dxa"/>
              <w:right w:w="100" w:type="dxa"/>
            </w:tcMar>
          </w:tcPr>
          <w:p w14:paraId="065DAEA9" w14:textId="77777777" w:rsidR="00453C1B" w:rsidRDefault="00163369">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3.7-11.0 x 10</w:t>
            </w:r>
            <w:r>
              <w:rPr>
                <w:rFonts w:ascii="Times New Roman" w:eastAsia="Times New Roman" w:hAnsi="Times New Roman" w:cs="Times New Roman"/>
                <w:sz w:val="24"/>
                <w:szCs w:val="24"/>
                <w:vertAlign w:val="superscript"/>
              </w:rPr>
              <w:t>9</w:t>
            </w:r>
            <w:r>
              <w:rPr>
                <w:rFonts w:ascii="Times New Roman" w:eastAsia="Times New Roman" w:hAnsi="Times New Roman" w:cs="Times New Roman"/>
                <w:sz w:val="24"/>
                <w:szCs w:val="24"/>
              </w:rPr>
              <w:t>/L</w:t>
            </w:r>
          </w:p>
        </w:tc>
      </w:tr>
      <w:tr w:rsidR="00453C1B" w14:paraId="15A174F5" w14:textId="77777777">
        <w:tc>
          <w:tcPr>
            <w:tcW w:w="3008" w:type="dxa"/>
            <w:tcMar>
              <w:top w:w="100" w:type="dxa"/>
              <w:left w:w="100" w:type="dxa"/>
              <w:bottom w:w="100" w:type="dxa"/>
              <w:right w:w="100" w:type="dxa"/>
            </w:tcMar>
          </w:tcPr>
          <w:p w14:paraId="18B21F81" w14:textId="77777777" w:rsidR="00453C1B" w:rsidRDefault="00163369">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Neutrophils</w:t>
            </w:r>
          </w:p>
        </w:tc>
        <w:tc>
          <w:tcPr>
            <w:tcW w:w="3008" w:type="dxa"/>
            <w:tcMar>
              <w:top w:w="100" w:type="dxa"/>
              <w:left w:w="100" w:type="dxa"/>
              <w:bottom w:w="100" w:type="dxa"/>
              <w:right w:w="100" w:type="dxa"/>
            </w:tcMar>
          </w:tcPr>
          <w:p w14:paraId="046F5934" w14:textId="77777777" w:rsidR="00453C1B" w:rsidRDefault="00163369">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71 %</w:t>
            </w:r>
          </w:p>
        </w:tc>
        <w:tc>
          <w:tcPr>
            <w:tcW w:w="3008" w:type="dxa"/>
            <w:tcMar>
              <w:top w:w="100" w:type="dxa"/>
              <w:left w:w="100" w:type="dxa"/>
              <w:bottom w:w="100" w:type="dxa"/>
              <w:right w:w="100" w:type="dxa"/>
            </w:tcMar>
          </w:tcPr>
          <w:p w14:paraId="3EBDE25A" w14:textId="77777777" w:rsidR="00453C1B" w:rsidRDefault="00163369">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40-70 %</w:t>
            </w:r>
          </w:p>
        </w:tc>
      </w:tr>
      <w:tr w:rsidR="00453C1B" w14:paraId="7219F050" w14:textId="77777777">
        <w:tc>
          <w:tcPr>
            <w:tcW w:w="3008" w:type="dxa"/>
            <w:tcMar>
              <w:top w:w="100" w:type="dxa"/>
              <w:left w:w="100" w:type="dxa"/>
              <w:bottom w:w="100" w:type="dxa"/>
              <w:right w:w="100" w:type="dxa"/>
            </w:tcMar>
          </w:tcPr>
          <w:p w14:paraId="6E10A1CF" w14:textId="77777777" w:rsidR="00453C1B" w:rsidRDefault="00163369">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Lymphocytes</w:t>
            </w:r>
          </w:p>
        </w:tc>
        <w:tc>
          <w:tcPr>
            <w:tcW w:w="3008" w:type="dxa"/>
            <w:tcMar>
              <w:top w:w="100" w:type="dxa"/>
              <w:left w:w="100" w:type="dxa"/>
              <w:bottom w:w="100" w:type="dxa"/>
              <w:right w:w="100" w:type="dxa"/>
            </w:tcMar>
          </w:tcPr>
          <w:p w14:paraId="0F1C74FE" w14:textId="77777777" w:rsidR="00453C1B" w:rsidRDefault="00163369">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24 %</w:t>
            </w:r>
          </w:p>
        </w:tc>
        <w:tc>
          <w:tcPr>
            <w:tcW w:w="3008" w:type="dxa"/>
            <w:tcMar>
              <w:top w:w="100" w:type="dxa"/>
              <w:left w:w="100" w:type="dxa"/>
              <w:bottom w:w="100" w:type="dxa"/>
              <w:right w:w="100" w:type="dxa"/>
            </w:tcMar>
          </w:tcPr>
          <w:p w14:paraId="51C0F23D" w14:textId="77777777" w:rsidR="00453C1B" w:rsidRDefault="00163369">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20-45 %</w:t>
            </w:r>
          </w:p>
        </w:tc>
      </w:tr>
      <w:tr w:rsidR="00453C1B" w14:paraId="01D6828D" w14:textId="77777777">
        <w:tc>
          <w:tcPr>
            <w:tcW w:w="3008" w:type="dxa"/>
            <w:tcMar>
              <w:top w:w="100" w:type="dxa"/>
              <w:left w:w="100" w:type="dxa"/>
              <w:bottom w:w="100" w:type="dxa"/>
              <w:right w:w="100" w:type="dxa"/>
            </w:tcMar>
          </w:tcPr>
          <w:p w14:paraId="68252B51" w14:textId="77777777" w:rsidR="00453C1B" w:rsidRDefault="00163369">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Platelet count</w:t>
            </w:r>
          </w:p>
        </w:tc>
        <w:tc>
          <w:tcPr>
            <w:tcW w:w="3008" w:type="dxa"/>
            <w:tcMar>
              <w:top w:w="100" w:type="dxa"/>
              <w:left w:w="100" w:type="dxa"/>
              <w:bottom w:w="100" w:type="dxa"/>
              <w:right w:w="100" w:type="dxa"/>
            </w:tcMar>
          </w:tcPr>
          <w:p w14:paraId="74FB9ECF" w14:textId="77777777" w:rsidR="00453C1B" w:rsidRDefault="00163369">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245 x 10</w:t>
            </w:r>
            <w:r>
              <w:rPr>
                <w:rFonts w:ascii="Times New Roman" w:eastAsia="Times New Roman" w:hAnsi="Times New Roman" w:cs="Times New Roman"/>
                <w:sz w:val="24"/>
                <w:szCs w:val="24"/>
                <w:vertAlign w:val="superscript"/>
              </w:rPr>
              <w:t>9</w:t>
            </w:r>
            <w:r>
              <w:rPr>
                <w:rFonts w:ascii="Times New Roman" w:eastAsia="Times New Roman" w:hAnsi="Times New Roman" w:cs="Times New Roman"/>
                <w:sz w:val="24"/>
                <w:szCs w:val="24"/>
              </w:rPr>
              <w:t>/L</w:t>
            </w:r>
          </w:p>
        </w:tc>
        <w:tc>
          <w:tcPr>
            <w:tcW w:w="3008" w:type="dxa"/>
            <w:tcMar>
              <w:top w:w="100" w:type="dxa"/>
              <w:left w:w="100" w:type="dxa"/>
              <w:bottom w:w="100" w:type="dxa"/>
              <w:right w:w="100" w:type="dxa"/>
            </w:tcMar>
          </w:tcPr>
          <w:p w14:paraId="740869FA" w14:textId="77777777" w:rsidR="00453C1B" w:rsidRDefault="00163369">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150-450 x 10</w:t>
            </w:r>
            <w:r>
              <w:rPr>
                <w:rFonts w:ascii="Times New Roman" w:eastAsia="Times New Roman" w:hAnsi="Times New Roman" w:cs="Times New Roman"/>
                <w:sz w:val="24"/>
                <w:szCs w:val="24"/>
                <w:vertAlign w:val="superscript"/>
              </w:rPr>
              <w:t>9</w:t>
            </w:r>
            <w:r>
              <w:rPr>
                <w:rFonts w:ascii="Times New Roman" w:eastAsia="Times New Roman" w:hAnsi="Times New Roman" w:cs="Times New Roman"/>
                <w:sz w:val="24"/>
                <w:szCs w:val="24"/>
              </w:rPr>
              <w:t>/L</w:t>
            </w:r>
          </w:p>
        </w:tc>
      </w:tr>
      <w:tr w:rsidR="00453C1B" w14:paraId="4630D8A3" w14:textId="77777777">
        <w:tc>
          <w:tcPr>
            <w:tcW w:w="3008" w:type="dxa"/>
            <w:tcMar>
              <w:top w:w="100" w:type="dxa"/>
              <w:left w:w="100" w:type="dxa"/>
              <w:bottom w:w="100" w:type="dxa"/>
              <w:right w:w="100" w:type="dxa"/>
            </w:tcMar>
          </w:tcPr>
          <w:p w14:paraId="1D5B0FE6" w14:textId="77777777" w:rsidR="00453C1B" w:rsidRDefault="00163369">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Serum calcium (ionized)</w:t>
            </w:r>
          </w:p>
        </w:tc>
        <w:tc>
          <w:tcPr>
            <w:tcW w:w="3008" w:type="dxa"/>
            <w:tcMar>
              <w:top w:w="100" w:type="dxa"/>
              <w:left w:w="100" w:type="dxa"/>
              <w:bottom w:w="100" w:type="dxa"/>
              <w:right w:w="100" w:type="dxa"/>
            </w:tcMar>
          </w:tcPr>
          <w:p w14:paraId="497DB8A2" w14:textId="77777777" w:rsidR="00453C1B" w:rsidRDefault="00163369">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1.21 mmol/L</w:t>
            </w:r>
          </w:p>
        </w:tc>
        <w:tc>
          <w:tcPr>
            <w:tcW w:w="3008" w:type="dxa"/>
            <w:tcMar>
              <w:top w:w="100" w:type="dxa"/>
              <w:left w:w="100" w:type="dxa"/>
              <w:bottom w:w="100" w:type="dxa"/>
              <w:right w:w="100" w:type="dxa"/>
            </w:tcMar>
          </w:tcPr>
          <w:p w14:paraId="7720F3AB" w14:textId="77777777" w:rsidR="00453C1B" w:rsidRDefault="00163369">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1.12-1.32 mmol/L</w:t>
            </w:r>
          </w:p>
        </w:tc>
      </w:tr>
      <w:tr w:rsidR="00453C1B" w14:paraId="675AFA56" w14:textId="77777777">
        <w:tc>
          <w:tcPr>
            <w:tcW w:w="3008" w:type="dxa"/>
            <w:tcMar>
              <w:top w:w="100" w:type="dxa"/>
              <w:left w:w="100" w:type="dxa"/>
              <w:bottom w:w="100" w:type="dxa"/>
              <w:right w:w="100" w:type="dxa"/>
            </w:tcMar>
          </w:tcPr>
          <w:p w14:paraId="5AF3C63F" w14:textId="77777777" w:rsidR="00453C1B" w:rsidRDefault="00163369">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Serum sodium</w:t>
            </w:r>
          </w:p>
        </w:tc>
        <w:tc>
          <w:tcPr>
            <w:tcW w:w="3008" w:type="dxa"/>
            <w:tcMar>
              <w:top w:w="100" w:type="dxa"/>
              <w:left w:w="100" w:type="dxa"/>
              <w:bottom w:w="100" w:type="dxa"/>
              <w:right w:w="100" w:type="dxa"/>
            </w:tcMar>
          </w:tcPr>
          <w:p w14:paraId="55094157" w14:textId="77777777" w:rsidR="00453C1B" w:rsidRDefault="00163369">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137 mmol/L</w:t>
            </w:r>
          </w:p>
        </w:tc>
        <w:tc>
          <w:tcPr>
            <w:tcW w:w="3008" w:type="dxa"/>
            <w:tcMar>
              <w:top w:w="100" w:type="dxa"/>
              <w:left w:w="100" w:type="dxa"/>
              <w:bottom w:w="100" w:type="dxa"/>
              <w:right w:w="100" w:type="dxa"/>
            </w:tcMar>
          </w:tcPr>
          <w:p w14:paraId="5F1C9A5E" w14:textId="77777777" w:rsidR="00453C1B" w:rsidRDefault="00163369">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133-146 mmol/L</w:t>
            </w:r>
          </w:p>
        </w:tc>
      </w:tr>
      <w:tr w:rsidR="00453C1B" w14:paraId="72C5042B" w14:textId="77777777">
        <w:tc>
          <w:tcPr>
            <w:tcW w:w="3008" w:type="dxa"/>
            <w:tcMar>
              <w:top w:w="100" w:type="dxa"/>
              <w:left w:w="100" w:type="dxa"/>
              <w:bottom w:w="100" w:type="dxa"/>
              <w:right w:w="100" w:type="dxa"/>
            </w:tcMar>
          </w:tcPr>
          <w:p w14:paraId="2842AE8E" w14:textId="77777777" w:rsidR="00453C1B" w:rsidRDefault="00163369">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Serum potassium</w:t>
            </w:r>
          </w:p>
        </w:tc>
        <w:tc>
          <w:tcPr>
            <w:tcW w:w="3008" w:type="dxa"/>
            <w:tcMar>
              <w:top w:w="100" w:type="dxa"/>
              <w:left w:w="100" w:type="dxa"/>
              <w:bottom w:w="100" w:type="dxa"/>
              <w:right w:w="100" w:type="dxa"/>
            </w:tcMar>
          </w:tcPr>
          <w:p w14:paraId="212F33FC" w14:textId="77777777" w:rsidR="00453C1B" w:rsidRDefault="00163369">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4.3 mmol/L</w:t>
            </w:r>
          </w:p>
        </w:tc>
        <w:tc>
          <w:tcPr>
            <w:tcW w:w="3008" w:type="dxa"/>
            <w:tcMar>
              <w:top w:w="100" w:type="dxa"/>
              <w:left w:w="100" w:type="dxa"/>
              <w:bottom w:w="100" w:type="dxa"/>
              <w:right w:w="100" w:type="dxa"/>
            </w:tcMar>
          </w:tcPr>
          <w:p w14:paraId="2AEA1F71" w14:textId="77777777" w:rsidR="00453C1B" w:rsidRDefault="00163369">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3.5-5.3 mmol/L</w:t>
            </w:r>
          </w:p>
        </w:tc>
      </w:tr>
      <w:tr w:rsidR="00453C1B" w14:paraId="2D0B82B9" w14:textId="77777777">
        <w:tc>
          <w:tcPr>
            <w:tcW w:w="3008" w:type="dxa"/>
            <w:tcMar>
              <w:top w:w="100" w:type="dxa"/>
              <w:left w:w="100" w:type="dxa"/>
              <w:bottom w:w="100" w:type="dxa"/>
              <w:right w:w="100" w:type="dxa"/>
            </w:tcMar>
          </w:tcPr>
          <w:p w14:paraId="0B3DE8D3" w14:textId="77777777" w:rsidR="00453C1B" w:rsidRDefault="00163369">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Serum chloride</w:t>
            </w:r>
          </w:p>
        </w:tc>
        <w:tc>
          <w:tcPr>
            <w:tcW w:w="3008" w:type="dxa"/>
            <w:tcMar>
              <w:top w:w="100" w:type="dxa"/>
              <w:left w:w="100" w:type="dxa"/>
              <w:bottom w:w="100" w:type="dxa"/>
              <w:right w:w="100" w:type="dxa"/>
            </w:tcMar>
          </w:tcPr>
          <w:p w14:paraId="61199C39" w14:textId="77777777" w:rsidR="00453C1B" w:rsidRDefault="00163369">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98 mmol/L</w:t>
            </w:r>
          </w:p>
        </w:tc>
        <w:tc>
          <w:tcPr>
            <w:tcW w:w="3008" w:type="dxa"/>
            <w:tcMar>
              <w:top w:w="100" w:type="dxa"/>
              <w:left w:w="100" w:type="dxa"/>
              <w:bottom w:w="100" w:type="dxa"/>
              <w:right w:w="100" w:type="dxa"/>
            </w:tcMar>
          </w:tcPr>
          <w:p w14:paraId="2E8B320A" w14:textId="77777777" w:rsidR="00453C1B" w:rsidRDefault="00163369">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96-106 mmol/L</w:t>
            </w:r>
          </w:p>
        </w:tc>
      </w:tr>
      <w:tr w:rsidR="00453C1B" w14:paraId="49F7E9CB" w14:textId="77777777">
        <w:tc>
          <w:tcPr>
            <w:tcW w:w="3008" w:type="dxa"/>
            <w:tcMar>
              <w:top w:w="100" w:type="dxa"/>
              <w:left w:w="100" w:type="dxa"/>
              <w:bottom w:w="100" w:type="dxa"/>
              <w:right w:w="100" w:type="dxa"/>
            </w:tcMar>
          </w:tcPr>
          <w:p w14:paraId="2DA2CBEC" w14:textId="77777777" w:rsidR="00453C1B" w:rsidRDefault="00163369">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Serum urea</w:t>
            </w:r>
          </w:p>
        </w:tc>
        <w:tc>
          <w:tcPr>
            <w:tcW w:w="3008" w:type="dxa"/>
            <w:tcMar>
              <w:top w:w="100" w:type="dxa"/>
              <w:left w:w="100" w:type="dxa"/>
              <w:bottom w:w="100" w:type="dxa"/>
              <w:right w:w="100" w:type="dxa"/>
            </w:tcMar>
          </w:tcPr>
          <w:p w14:paraId="5975F8F8" w14:textId="77777777" w:rsidR="00453C1B" w:rsidRDefault="00163369">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10.57 mmol/L</w:t>
            </w:r>
          </w:p>
        </w:tc>
        <w:tc>
          <w:tcPr>
            <w:tcW w:w="3008" w:type="dxa"/>
            <w:tcMar>
              <w:top w:w="100" w:type="dxa"/>
              <w:left w:w="100" w:type="dxa"/>
              <w:bottom w:w="100" w:type="dxa"/>
              <w:right w:w="100" w:type="dxa"/>
            </w:tcMar>
          </w:tcPr>
          <w:p w14:paraId="1DDD32F0" w14:textId="77777777" w:rsidR="00453C1B" w:rsidRDefault="00163369">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2.5-7.8 mmol/L</w:t>
            </w:r>
          </w:p>
        </w:tc>
      </w:tr>
      <w:tr w:rsidR="00453C1B" w14:paraId="61A6918B" w14:textId="77777777">
        <w:tc>
          <w:tcPr>
            <w:tcW w:w="3008" w:type="dxa"/>
            <w:tcMar>
              <w:top w:w="100" w:type="dxa"/>
              <w:left w:w="100" w:type="dxa"/>
              <w:bottom w:w="100" w:type="dxa"/>
              <w:right w:w="100" w:type="dxa"/>
            </w:tcMar>
          </w:tcPr>
          <w:p w14:paraId="46D0EAF6" w14:textId="77777777" w:rsidR="00453C1B" w:rsidRDefault="00163369">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Serum creatinine</w:t>
            </w:r>
          </w:p>
        </w:tc>
        <w:tc>
          <w:tcPr>
            <w:tcW w:w="3008" w:type="dxa"/>
            <w:tcMar>
              <w:top w:w="100" w:type="dxa"/>
              <w:left w:w="100" w:type="dxa"/>
              <w:bottom w:w="100" w:type="dxa"/>
              <w:right w:w="100" w:type="dxa"/>
            </w:tcMar>
          </w:tcPr>
          <w:p w14:paraId="57D2AD84" w14:textId="77777777" w:rsidR="00453C1B" w:rsidRDefault="00163369">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70.74 </w:t>
            </w:r>
            <w:proofErr w:type="spellStart"/>
            <w:r>
              <w:rPr>
                <w:rFonts w:ascii="Times New Roman" w:eastAsia="Times New Roman" w:hAnsi="Times New Roman" w:cs="Times New Roman"/>
                <w:sz w:val="24"/>
                <w:szCs w:val="24"/>
              </w:rPr>
              <w:t>umol</w:t>
            </w:r>
            <w:proofErr w:type="spellEnd"/>
            <w:r>
              <w:rPr>
                <w:rFonts w:ascii="Times New Roman" w:eastAsia="Times New Roman" w:hAnsi="Times New Roman" w:cs="Times New Roman"/>
                <w:sz w:val="24"/>
                <w:szCs w:val="24"/>
              </w:rPr>
              <w:t>/L</w:t>
            </w:r>
          </w:p>
        </w:tc>
        <w:tc>
          <w:tcPr>
            <w:tcW w:w="3008" w:type="dxa"/>
            <w:tcMar>
              <w:top w:w="100" w:type="dxa"/>
              <w:left w:w="100" w:type="dxa"/>
              <w:bottom w:w="100" w:type="dxa"/>
              <w:right w:w="100" w:type="dxa"/>
            </w:tcMar>
          </w:tcPr>
          <w:p w14:paraId="48578C1A" w14:textId="77777777" w:rsidR="00453C1B" w:rsidRDefault="00163369">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62-106 </w:t>
            </w:r>
            <w:proofErr w:type="spellStart"/>
            <w:r>
              <w:rPr>
                <w:rFonts w:ascii="Times New Roman" w:eastAsia="Times New Roman" w:hAnsi="Times New Roman" w:cs="Times New Roman"/>
                <w:sz w:val="24"/>
                <w:szCs w:val="24"/>
              </w:rPr>
              <w:t>umol</w:t>
            </w:r>
            <w:proofErr w:type="spellEnd"/>
            <w:r>
              <w:rPr>
                <w:rFonts w:ascii="Times New Roman" w:eastAsia="Times New Roman" w:hAnsi="Times New Roman" w:cs="Times New Roman"/>
                <w:sz w:val="24"/>
                <w:szCs w:val="24"/>
              </w:rPr>
              <w:t>/L</w:t>
            </w:r>
          </w:p>
        </w:tc>
      </w:tr>
      <w:tr w:rsidR="00453C1B" w14:paraId="69C61653" w14:textId="77777777">
        <w:tc>
          <w:tcPr>
            <w:tcW w:w="3008" w:type="dxa"/>
            <w:tcMar>
              <w:top w:w="100" w:type="dxa"/>
              <w:left w:w="100" w:type="dxa"/>
              <w:bottom w:w="100" w:type="dxa"/>
              <w:right w:w="100" w:type="dxa"/>
            </w:tcMar>
          </w:tcPr>
          <w:p w14:paraId="4E2A6201" w14:textId="77777777" w:rsidR="00453C1B" w:rsidRDefault="00163369">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Estimated GFR*</w:t>
            </w:r>
          </w:p>
        </w:tc>
        <w:tc>
          <w:tcPr>
            <w:tcW w:w="3008" w:type="dxa"/>
            <w:tcMar>
              <w:top w:w="100" w:type="dxa"/>
              <w:left w:w="100" w:type="dxa"/>
              <w:bottom w:w="100" w:type="dxa"/>
              <w:right w:w="100" w:type="dxa"/>
            </w:tcMar>
          </w:tcPr>
          <w:p w14:paraId="4AFE9867" w14:textId="77777777" w:rsidR="00453C1B" w:rsidRDefault="00163369">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124 mL/min</w:t>
            </w:r>
          </w:p>
        </w:tc>
        <w:tc>
          <w:tcPr>
            <w:tcW w:w="3008" w:type="dxa"/>
            <w:tcMar>
              <w:top w:w="100" w:type="dxa"/>
              <w:left w:w="100" w:type="dxa"/>
              <w:bottom w:w="100" w:type="dxa"/>
              <w:right w:w="100" w:type="dxa"/>
            </w:tcMar>
          </w:tcPr>
          <w:p w14:paraId="242991AB" w14:textId="77777777" w:rsidR="00453C1B" w:rsidRDefault="00163369">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&gt;90 mL/min</w:t>
            </w:r>
          </w:p>
        </w:tc>
      </w:tr>
      <w:tr w:rsidR="00453C1B" w14:paraId="5F0F3390" w14:textId="77777777">
        <w:tc>
          <w:tcPr>
            <w:tcW w:w="3008" w:type="dxa"/>
            <w:tcMar>
              <w:top w:w="100" w:type="dxa"/>
              <w:left w:w="100" w:type="dxa"/>
              <w:bottom w:w="100" w:type="dxa"/>
              <w:right w:w="100" w:type="dxa"/>
            </w:tcMar>
          </w:tcPr>
          <w:p w14:paraId="6F5359BF" w14:textId="77777777" w:rsidR="00453C1B" w:rsidRDefault="00163369">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T3 triiodothyronine</w:t>
            </w:r>
          </w:p>
        </w:tc>
        <w:tc>
          <w:tcPr>
            <w:tcW w:w="3008" w:type="dxa"/>
            <w:tcMar>
              <w:top w:w="100" w:type="dxa"/>
              <w:left w:w="100" w:type="dxa"/>
              <w:bottom w:w="100" w:type="dxa"/>
              <w:right w:w="100" w:type="dxa"/>
            </w:tcMar>
          </w:tcPr>
          <w:p w14:paraId="6BA6EE4B" w14:textId="77777777" w:rsidR="00453C1B" w:rsidRDefault="00163369">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2.12 nmol/L</w:t>
            </w:r>
          </w:p>
        </w:tc>
        <w:tc>
          <w:tcPr>
            <w:tcW w:w="3008" w:type="dxa"/>
            <w:tcMar>
              <w:top w:w="100" w:type="dxa"/>
              <w:left w:w="100" w:type="dxa"/>
              <w:bottom w:w="100" w:type="dxa"/>
              <w:right w:w="100" w:type="dxa"/>
            </w:tcMar>
          </w:tcPr>
          <w:p w14:paraId="7E10A176" w14:textId="77777777" w:rsidR="00453C1B" w:rsidRDefault="00163369">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1.3-3.1 nmol/L</w:t>
            </w:r>
          </w:p>
        </w:tc>
      </w:tr>
      <w:tr w:rsidR="00453C1B" w14:paraId="2BD2F892" w14:textId="77777777">
        <w:tc>
          <w:tcPr>
            <w:tcW w:w="3008" w:type="dxa"/>
            <w:tcMar>
              <w:top w:w="100" w:type="dxa"/>
              <w:left w:w="100" w:type="dxa"/>
              <w:bottom w:w="100" w:type="dxa"/>
              <w:right w:w="100" w:type="dxa"/>
            </w:tcMar>
          </w:tcPr>
          <w:p w14:paraId="6539F35A" w14:textId="77777777" w:rsidR="00453C1B" w:rsidRDefault="00163369">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T4 thyroxine</w:t>
            </w:r>
          </w:p>
        </w:tc>
        <w:tc>
          <w:tcPr>
            <w:tcW w:w="3008" w:type="dxa"/>
            <w:tcMar>
              <w:top w:w="100" w:type="dxa"/>
              <w:left w:w="100" w:type="dxa"/>
              <w:bottom w:w="100" w:type="dxa"/>
              <w:right w:w="100" w:type="dxa"/>
            </w:tcMar>
          </w:tcPr>
          <w:p w14:paraId="7B39ADF1" w14:textId="77777777" w:rsidR="00453C1B" w:rsidRDefault="00163369">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140.28 nmol/L</w:t>
            </w:r>
          </w:p>
        </w:tc>
        <w:tc>
          <w:tcPr>
            <w:tcW w:w="3008" w:type="dxa"/>
            <w:tcMar>
              <w:top w:w="100" w:type="dxa"/>
              <w:left w:w="100" w:type="dxa"/>
              <w:bottom w:w="100" w:type="dxa"/>
              <w:right w:w="100" w:type="dxa"/>
            </w:tcMar>
          </w:tcPr>
          <w:p w14:paraId="6ED2E61E" w14:textId="77777777" w:rsidR="00453C1B" w:rsidRDefault="00163369">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57-148 nmol/L</w:t>
            </w:r>
          </w:p>
        </w:tc>
      </w:tr>
      <w:tr w:rsidR="00453C1B" w14:paraId="5D4D4405" w14:textId="77777777">
        <w:tc>
          <w:tcPr>
            <w:tcW w:w="3008" w:type="dxa"/>
            <w:tcMar>
              <w:top w:w="100" w:type="dxa"/>
              <w:left w:w="100" w:type="dxa"/>
              <w:bottom w:w="100" w:type="dxa"/>
              <w:right w:w="100" w:type="dxa"/>
            </w:tcMar>
          </w:tcPr>
          <w:p w14:paraId="5796D3A0" w14:textId="77777777" w:rsidR="00453C1B" w:rsidRDefault="00163369">
            <w:pPr>
              <w:widowControl w:val="0"/>
              <w:spacing w:line="240" w:lineRule="auto"/>
              <w:jc w:val="both"/>
              <w:rPr>
                <w:rFonts w:ascii="Times New Roman" w:eastAsia="Times New Roman" w:hAnsi="Times New Roman" w:cs="Times New Roman"/>
                <w:sz w:val="24"/>
                <w:szCs w:val="24"/>
              </w:rPr>
            </w:pPr>
            <w:commentRangeStart w:id="31"/>
            <w:r>
              <w:rPr>
                <w:rFonts w:ascii="Times New Roman" w:eastAsia="Times New Roman" w:hAnsi="Times New Roman" w:cs="Times New Roman"/>
                <w:sz w:val="24"/>
                <w:szCs w:val="24"/>
              </w:rPr>
              <w:t>Thyroid stimulating hormone</w:t>
            </w:r>
            <w:commentRangeEnd w:id="31"/>
            <w:r w:rsidR="00CA2FE7">
              <w:rPr>
                <w:rStyle w:val="CommentReference"/>
              </w:rPr>
              <w:commentReference w:id="31"/>
            </w:r>
          </w:p>
        </w:tc>
        <w:tc>
          <w:tcPr>
            <w:tcW w:w="3008" w:type="dxa"/>
            <w:tcMar>
              <w:top w:w="100" w:type="dxa"/>
              <w:left w:w="100" w:type="dxa"/>
              <w:bottom w:w="100" w:type="dxa"/>
              <w:right w:w="100" w:type="dxa"/>
            </w:tcMar>
          </w:tcPr>
          <w:p w14:paraId="5041921E" w14:textId="77777777" w:rsidR="00453C1B" w:rsidRDefault="00163369">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3.71 </w:t>
            </w:r>
            <w:proofErr w:type="spellStart"/>
            <w:r>
              <w:rPr>
                <w:rFonts w:ascii="Times New Roman" w:eastAsia="Times New Roman" w:hAnsi="Times New Roman" w:cs="Times New Roman"/>
                <w:sz w:val="24"/>
                <w:szCs w:val="24"/>
              </w:rPr>
              <w:t>mIU</w:t>
            </w:r>
            <w:proofErr w:type="spellEnd"/>
            <w:r>
              <w:rPr>
                <w:rFonts w:ascii="Times New Roman" w:eastAsia="Times New Roman" w:hAnsi="Times New Roman" w:cs="Times New Roman"/>
                <w:sz w:val="24"/>
                <w:szCs w:val="24"/>
              </w:rPr>
              <w:t>/L</w:t>
            </w:r>
          </w:p>
        </w:tc>
        <w:tc>
          <w:tcPr>
            <w:tcW w:w="3008" w:type="dxa"/>
            <w:tcMar>
              <w:top w:w="100" w:type="dxa"/>
              <w:left w:w="100" w:type="dxa"/>
              <w:bottom w:w="100" w:type="dxa"/>
              <w:right w:w="100" w:type="dxa"/>
            </w:tcMar>
          </w:tcPr>
          <w:p w14:paraId="7E8F5F70" w14:textId="77777777" w:rsidR="00453C1B" w:rsidRDefault="00163369">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0.4-5.0 </w:t>
            </w:r>
            <w:proofErr w:type="spellStart"/>
            <w:r>
              <w:rPr>
                <w:rFonts w:ascii="Times New Roman" w:eastAsia="Times New Roman" w:hAnsi="Times New Roman" w:cs="Times New Roman"/>
                <w:sz w:val="24"/>
                <w:szCs w:val="24"/>
              </w:rPr>
              <w:t>mIU</w:t>
            </w:r>
            <w:proofErr w:type="spellEnd"/>
            <w:r>
              <w:rPr>
                <w:rFonts w:ascii="Times New Roman" w:eastAsia="Times New Roman" w:hAnsi="Times New Roman" w:cs="Times New Roman"/>
                <w:sz w:val="24"/>
                <w:szCs w:val="24"/>
              </w:rPr>
              <w:t>/L</w:t>
            </w:r>
          </w:p>
        </w:tc>
      </w:tr>
      <w:tr w:rsidR="00453C1B" w14:paraId="031E0A3F" w14:textId="77777777">
        <w:tc>
          <w:tcPr>
            <w:tcW w:w="3008" w:type="dxa"/>
            <w:tcMar>
              <w:top w:w="100" w:type="dxa"/>
              <w:left w:w="100" w:type="dxa"/>
              <w:bottom w:w="100" w:type="dxa"/>
              <w:right w:w="100" w:type="dxa"/>
            </w:tcMar>
          </w:tcPr>
          <w:p w14:paraId="7837693A" w14:textId="77777777" w:rsidR="00453C1B" w:rsidRDefault="00163369">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Hepatitis B surface antigen</w:t>
            </w:r>
          </w:p>
        </w:tc>
        <w:tc>
          <w:tcPr>
            <w:tcW w:w="3008" w:type="dxa"/>
            <w:tcMar>
              <w:top w:w="100" w:type="dxa"/>
              <w:left w:w="100" w:type="dxa"/>
              <w:bottom w:w="100" w:type="dxa"/>
              <w:right w:w="100" w:type="dxa"/>
            </w:tcMar>
          </w:tcPr>
          <w:p w14:paraId="00CCC81E" w14:textId="77777777" w:rsidR="00453C1B" w:rsidRDefault="00163369">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Negative</w:t>
            </w:r>
          </w:p>
        </w:tc>
        <w:tc>
          <w:tcPr>
            <w:tcW w:w="3008" w:type="dxa"/>
            <w:tcMar>
              <w:top w:w="100" w:type="dxa"/>
              <w:left w:w="100" w:type="dxa"/>
              <w:bottom w:w="100" w:type="dxa"/>
              <w:right w:w="100" w:type="dxa"/>
            </w:tcMar>
          </w:tcPr>
          <w:p w14:paraId="4B25C5B2" w14:textId="77777777" w:rsidR="00453C1B" w:rsidRDefault="00163369">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453C1B" w14:paraId="76D3E505" w14:textId="77777777">
        <w:tc>
          <w:tcPr>
            <w:tcW w:w="3008" w:type="dxa"/>
            <w:tcMar>
              <w:top w:w="100" w:type="dxa"/>
              <w:left w:w="100" w:type="dxa"/>
              <w:bottom w:w="100" w:type="dxa"/>
              <w:right w:w="100" w:type="dxa"/>
            </w:tcMar>
          </w:tcPr>
          <w:p w14:paraId="327BC3E4" w14:textId="77777777" w:rsidR="00453C1B" w:rsidRDefault="00163369">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Hepatitis C antibody</w:t>
            </w:r>
          </w:p>
        </w:tc>
        <w:tc>
          <w:tcPr>
            <w:tcW w:w="3008" w:type="dxa"/>
            <w:tcMar>
              <w:top w:w="100" w:type="dxa"/>
              <w:left w:w="100" w:type="dxa"/>
              <w:bottom w:w="100" w:type="dxa"/>
              <w:right w:w="100" w:type="dxa"/>
            </w:tcMar>
          </w:tcPr>
          <w:p w14:paraId="5116D3BA" w14:textId="77777777" w:rsidR="00453C1B" w:rsidRDefault="00163369">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Negative</w:t>
            </w:r>
          </w:p>
        </w:tc>
        <w:tc>
          <w:tcPr>
            <w:tcW w:w="3008" w:type="dxa"/>
            <w:tcMar>
              <w:top w:w="100" w:type="dxa"/>
              <w:left w:w="100" w:type="dxa"/>
              <w:bottom w:w="100" w:type="dxa"/>
              <w:right w:w="100" w:type="dxa"/>
            </w:tcMar>
          </w:tcPr>
          <w:p w14:paraId="73C56580" w14:textId="77777777" w:rsidR="00453C1B" w:rsidRDefault="00163369">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453C1B" w14:paraId="5E4A2225" w14:textId="77777777">
        <w:tc>
          <w:tcPr>
            <w:tcW w:w="3008" w:type="dxa"/>
            <w:tcMar>
              <w:top w:w="100" w:type="dxa"/>
              <w:left w:w="100" w:type="dxa"/>
              <w:bottom w:w="100" w:type="dxa"/>
              <w:right w:w="100" w:type="dxa"/>
            </w:tcMar>
          </w:tcPr>
          <w:p w14:paraId="3A05E508" w14:textId="77777777" w:rsidR="00453C1B" w:rsidRDefault="00163369">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HIV 1 and 2 antibodies</w:t>
            </w:r>
          </w:p>
        </w:tc>
        <w:tc>
          <w:tcPr>
            <w:tcW w:w="3008" w:type="dxa"/>
            <w:tcMar>
              <w:top w:w="100" w:type="dxa"/>
              <w:left w:w="100" w:type="dxa"/>
              <w:bottom w:w="100" w:type="dxa"/>
              <w:right w:w="100" w:type="dxa"/>
            </w:tcMar>
          </w:tcPr>
          <w:p w14:paraId="0F303342" w14:textId="77777777" w:rsidR="00453C1B" w:rsidRDefault="00163369">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Not detected</w:t>
            </w:r>
          </w:p>
        </w:tc>
        <w:tc>
          <w:tcPr>
            <w:tcW w:w="3008" w:type="dxa"/>
            <w:tcMar>
              <w:top w:w="100" w:type="dxa"/>
              <w:left w:w="100" w:type="dxa"/>
              <w:bottom w:w="100" w:type="dxa"/>
              <w:right w:w="100" w:type="dxa"/>
            </w:tcMar>
          </w:tcPr>
          <w:p w14:paraId="472B2C2A" w14:textId="77777777" w:rsidR="00453C1B" w:rsidRDefault="00163369">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bl>
    <w:p w14:paraId="5D0CCBF1" w14:textId="77777777" w:rsidR="00453C1B" w:rsidRDefault="00163369">
      <w:pPr>
        <w:jc w:val="both"/>
        <w:rPr>
          <w:rFonts w:ascii="Times New Roman" w:eastAsia="Times New Roman" w:hAnsi="Times New Roman" w:cs="Times New Roman"/>
        </w:rPr>
      </w:pPr>
      <w:r>
        <w:rPr>
          <w:rFonts w:ascii="Times New Roman" w:eastAsia="Times New Roman" w:hAnsi="Times New Roman" w:cs="Times New Roman"/>
        </w:rPr>
        <w:t>*GFR: Glomerular filtration rate</w:t>
      </w:r>
    </w:p>
    <w:p w14:paraId="4EF8C8F9" w14:textId="77777777" w:rsidR="00453C1B" w:rsidRDefault="00163369">
      <w:pPr>
        <w:jc w:val="both"/>
        <w:rPr>
          <w:rFonts w:ascii="Times New Roman" w:eastAsia="Times New Roman" w:hAnsi="Times New Roman" w:cs="Times New Roman"/>
          <w:sz w:val="24"/>
          <w:szCs w:val="24"/>
        </w:rPr>
      </w:pPr>
      <w:r>
        <w:br w:type="page"/>
      </w:r>
    </w:p>
    <w:p w14:paraId="3942CBEE" w14:textId="77777777" w:rsidR="00453C1B" w:rsidRDefault="00163369">
      <w:pPr>
        <w:jc w:val="both"/>
        <w:rPr>
          <w:rFonts w:ascii="Times New Roman" w:eastAsia="Times New Roman" w:hAnsi="Times New Roman" w:cs="Times New Roman"/>
          <w:b/>
          <w:bCs/>
          <w:sz w:val="24"/>
          <w:szCs w:val="24"/>
        </w:rPr>
      </w:pPr>
      <w:commentRangeStart w:id="32"/>
      <w:r>
        <w:rPr>
          <w:rFonts w:ascii="Times New Roman" w:eastAsia="Times New Roman" w:hAnsi="Times New Roman" w:cs="Times New Roman"/>
          <w:b/>
          <w:bCs/>
          <w:sz w:val="24"/>
          <w:szCs w:val="24"/>
        </w:rPr>
        <w:lastRenderedPageBreak/>
        <w:t>Figure 1: MRI brain</w:t>
      </w:r>
      <w:commentRangeEnd w:id="32"/>
      <w:r w:rsidR="008974F5">
        <w:rPr>
          <w:rStyle w:val="CommentReference"/>
        </w:rPr>
        <w:commentReference w:id="32"/>
      </w:r>
    </w:p>
    <w:p w14:paraId="52962A46" w14:textId="77777777" w:rsidR="00453C1B" w:rsidRDefault="00163369">
      <w:pPr>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IN" w:eastAsia="en-IN"/>
        </w:rPr>
        <w:drawing>
          <wp:inline distT="114300" distB="114300" distL="114300" distR="114300" wp14:anchorId="304393E4" wp14:editId="2B8D6BD2">
            <wp:extent cx="5731200" cy="5727700"/>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5731200" cy="5727700"/>
                    </a:xfrm>
                    <a:prstGeom prst="rect">
                      <a:avLst/>
                    </a:prstGeom>
                    <a:ln/>
                  </pic:spPr>
                </pic:pic>
              </a:graphicData>
            </a:graphic>
          </wp:inline>
        </w:drawing>
      </w:r>
    </w:p>
    <w:p w14:paraId="65E09DD6" w14:textId="77777777" w:rsidR="00453C1B" w:rsidRDefault="00163369">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Axial T2-weighted MRI of the brain demonstrating normal ventricular configuration and preserved gray-white matter differentiation with no evidence of focal intracranial lesion, edema, or demyelinating changes.</w:t>
      </w:r>
    </w:p>
    <w:p w14:paraId="751415D9" w14:textId="77777777" w:rsidR="00453C1B" w:rsidRDefault="00163369">
      <w:pPr>
        <w:jc w:val="both"/>
        <w:rPr>
          <w:rFonts w:ascii="Times New Roman" w:eastAsia="Times New Roman" w:hAnsi="Times New Roman" w:cs="Times New Roman"/>
          <w:sz w:val="24"/>
          <w:szCs w:val="24"/>
        </w:rPr>
      </w:pPr>
      <w:r>
        <w:br w:type="page"/>
      </w:r>
    </w:p>
    <w:p w14:paraId="1E971062" w14:textId="77777777" w:rsidR="00453C1B" w:rsidRDefault="00163369">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Figure 2: MRI spine</w:t>
      </w:r>
    </w:p>
    <w:p w14:paraId="245C3E78" w14:textId="77777777" w:rsidR="00453C1B" w:rsidRDefault="00163369">
      <w:pPr>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IN" w:eastAsia="en-IN"/>
        </w:rPr>
        <w:drawing>
          <wp:inline distT="114300" distB="114300" distL="114300" distR="114300" wp14:anchorId="6B6E1088" wp14:editId="787D28EA">
            <wp:extent cx="5731200" cy="5727700"/>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5731200" cy="5727700"/>
                    </a:xfrm>
                    <a:prstGeom prst="rect">
                      <a:avLst/>
                    </a:prstGeom>
                    <a:ln/>
                  </pic:spPr>
                </pic:pic>
              </a:graphicData>
            </a:graphic>
          </wp:inline>
        </w:drawing>
      </w:r>
    </w:p>
    <w:p w14:paraId="01D54449" w14:textId="77777777" w:rsidR="00453C1B" w:rsidRDefault="00163369">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Sagittal T2-weighted MRI of lumbosacral spine showing normal vertebral alignment, preserved intervertebral disc spaces, and no evidence of spinal canal stenosis or compressive pathology.</w:t>
      </w:r>
    </w:p>
    <w:p w14:paraId="6DA94AF5" w14:textId="77777777" w:rsidR="00453C1B" w:rsidRDefault="00453C1B">
      <w:pPr>
        <w:spacing w:line="360" w:lineRule="auto"/>
        <w:jc w:val="both"/>
        <w:rPr>
          <w:rFonts w:ascii="Times New Roman" w:eastAsia="Times New Roman" w:hAnsi="Times New Roman" w:cs="Times New Roman"/>
          <w:sz w:val="24"/>
          <w:szCs w:val="24"/>
        </w:rPr>
      </w:pPr>
    </w:p>
    <w:p w14:paraId="12AD79D1" w14:textId="77777777" w:rsidR="00453C1B" w:rsidRDefault="00163369">
      <w:pPr>
        <w:spacing w:line="360" w:lineRule="auto"/>
        <w:jc w:val="both"/>
        <w:rPr>
          <w:rFonts w:ascii="Times New Roman" w:eastAsia="Times New Roman" w:hAnsi="Times New Roman" w:cs="Times New Roman"/>
          <w:sz w:val="24"/>
          <w:szCs w:val="24"/>
        </w:rPr>
      </w:pPr>
      <w:commentRangeStart w:id="33"/>
      <w:r>
        <w:rPr>
          <w:rFonts w:ascii="Times New Roman" w:eastAsia="Times New Roman" w:hAnsi="Times New Roman" w:cs="Times New Roman"/>
          <w:sz w:val="24"/>
          <w:szCs w:val="24"/>
        </w:rPr>
        <w:t>In view of intolerance to plasmapheresis and ongoing weakness, the patient was started on intravenous immunoglobulin (IVIG) at a dose of 0.4 g/kg/day for five consecutive days in our hospital</w:t>
      </w:r>
      <w:commentRangeEnd w:id="33"/>
      <w:r w:rsidR="008974F5">
        <w:rPr>
          <w:rStyle w:val="CommentReference"/>
        </w:rPr>
        <w:commentReference w:id="33"/>
      </w:r>
      <w:r>
        <w:rPr>
          <w:rFonts w:ascii="Times New Roman" w:eastAsia="Times New Roman" w:hAnsi="Times New Roman" w:cs="Times New Roman"/>
          <w:sz w:val="24"/>
          <w:szCs w:val="24"/>
        </w:rPr>
        <w:t>. The patient responded well to IVIG and clinical improvement was observed by the third day of therapy, with muscle strength improving to 3/5 in both upper limbs, 4/5 in the right lower limb, and 3/5 in the left lower limb</w:t>
      </w:r>
      <w:commentRangeStart w:id="34"/>
      <w:r>
        <w:rPr>
          <w:rFonts w:ascii="Times New Roman" w:eastAsia="Times New Roman" w:hAnsi="Times New Roman" w:cs="Times New Roman"/>
          <w:sz w:val="24"/>
          <w:szCs w:val="24"/>
        </w:rPr>
        <w:t>.</w:t>
      </w:r>
    </w:p>
    <w:commentRangeEnd w:id="34"/>
    <w:p w14:paraId="24270531" w14:textId="77777777" w:rsidR="00453C1B" w:rsidRDefault="0070072E">
      <w:pPr>
        <w:spacing w:line="360" w:lineRule="auto"/>
        <w:jc w:val="both"/>
        <w:rPr>
          <w:rFonts w:ascii="Times New Roman" w:eastAsia="Times New Roman" w:hAnsi="Times New Roman" w:cs="Times New Roman"/>
          <w:sz w:val="24"/>
          <w:szCs w:val="24"/>
        </w:rPr>
      </w:pPr>
      <w:r>
        <w:rPr>
          <w:rStyle w:val="CommentReference"/>
        </w:rPr>
        <w:commentReference w:id="34"/>
      </w:r>
    </w:p>
    <w:p w14:paraId="07FF0078" w14:textId="77777777" w:rsidR="00453C1B" w:rsidRDefault="00163369">
      <w:pPr>
        <w:spacing w:line="360" w:lineRule="auto"/>
        <w:jc w:val="both"/>
        <w:rPr>
          <w:rFonts w:ascii="Times New Roman" w:eastAsia="Times New Roman" w:hAnsi="Times New Roman" w:cs="Times New Roman"/>
          <w:sz w:val="24"/>
          <w:szCs w:val="24"/>
        </w:rPr>
      </w:pPr>
      <w:r>
        <w:br w:type="page"/>
      </w:r>
    </w:p>
    <w:p w14:paraId="5CC1C300" w14:textId="77777777" w:rsidR="00453C1B" w:rsidRDefault="00163369">
      <w:pPr>
        <w:spacing w:line="360" w:lineRule="auto"/>
        <w:jc w:val="both"/>
        <w:rPr>
          <w:rFonts w:ascii="Times New Roman" w:eastAsia="Times New Roman" w:hAnsi="Times New Roman" w:cs="Times New Roman"/>
          <w:b/>
          <w:bCs/>
          <w:sz w:val="24"/>
          <w:szCs w:val="24"/>
        </w:rPr>
      </w:pPr>
      <w:commentRangeStart w:id="35"/>
      <w:r>
        <w:rPr>
          <w:rFonts w:ascii="Times New Roman" w:eastAsia="Times New Roman" w:hAnsi="Times New Roman" w:cs="Times New Roman"/>
          <w:b/>
          <w:bCs/>
          <w:sz w:val="24"/>
          <w:szCs w:val="24"/>
        </w:rPr>
        <w:lastRenderedPageBreak/>
        <w:t>DISCUSSION:</w:t>
      </w:r>
      <w:commentRangeEnd w:id="35"/>
      <w:r w:rsidR="008974F5">
        <w:rPr>
          <w:rStyle w:val="CommentReference"/>
        </w:rPr>
        <w:commentReference w:id="35"/>
      </w:r>
    </w:p>
    <w:p w14:paraId="1062B4D0" w14:textId="77777777" w:rsidR="00453C1B" w:rsidRDefault="00163369">
      <w:pPr>
        <w:spacing w:line="360" w:lineRule="auto"/>
        <w:jc w:val="both"/>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 xml:space="preserve">Guillain-Barré syndrome (GBS) is an acute immune-mediated polyradiculoneuropathy typically triggered by an antecedent infection that induces an aberrant autoimmune response through molecular mimicry, resulting in peripheral nerve injury. It is characterized by </w:t>
      </w:r>
      <w:commentRangeStart w:id="36"/>
      <w:r>
        <w:rPr>
          <w:rFonts w:ascii="Times New Roman" w:eastAsia="Times New Roman" w:hAnsi="Times New Roman" w:cs="Times New Roman"/>
          <w:sz w:val="24"/>
          <w:szCs w:val="24"/>
        </w:rPr>
        <w:t>rapid progressive,</w:t>
      </w:r>
      <w:commentRangeEnd w:id="36"/>
      <w:r w:rsidR="00CA2FE7">
        <w:rPr>
          <w:rStyle w:val="CommentReference"/>
        </w:rPr>
        <w:commentReference w:id="36"/>
      </w:r>
      <w:r>
        <w:rPr>
          <w:rFonts w:ascii="Times New Roman" w:eastAsia="Times New Roman" w:hAnsi="Times New Roman" w:cs="Times New Roman"/>
          <w:sz w:val="24"/>
          <w:szCs w:val="24"/>
        </w:rPr>
        <w:t xml:space="preserve"> symmetrical limb weakness, areflexia, and variable sensory and autonomic involvement [2]. A distinct preceding history of acute gastroenteritis </w:t>
      </w:r>
      <w:commentRangeStart w:id="37"/>
      <w:r>
        <w:rPr>
          <w:rFonts w:ascii="Times New Roman" w:eastAsia="Times New Roman" w:hAnsi="Times New Roman" w:cs="Times New Roman"/>
          <w:sz w:val="24"/>
          <w:szCs w:val="24"/>
        </w:rPr>
        <w:t>approximately three days prior to neurological symptom onset is notable.</w:t>
      </w:r>
      <w:commentRangeEnd w:id="37"/>
      <w:r w:rsidR="00CA2FE7">
        <w:rPr>
          <w:rStyle w:val="CommentReference"/>
        </w:rPr>
        <w:commentReference w:id="37"/>
      </w:r>
      <w:r>
        <w:rPr>
          <w:rFonts w:ascii="Times New Roman" w:eastAsia="Times New Roman" w:hAnsi="Times New Roman" w:cs="Times New Roman"/>
          <w:sz w:val="24"/>
          <w:szCs w:val="24"/>
        </w:rPr>
        <w:t xml:space="preserve"> The patient developed rapidly progressive, predominantly motor weakness beginning in the upper limbs and subsequently involving the lower limbs, reaching its nadir within approximately one week, consistent with the monophasic progression typical of GBS [5]. Deep tendon reflexes were absent in all limbs, while objective sensory examination including vibration and joint position sense remained normal, despite subjective </w:t>
      </w:r>
      <w:proofErr w:type="spellStart"/>
      <w:r>
        <w:rPr>
          <w:rFonts w:ascii="Times New Roman" w:eastAsia="Times New Roman" w:hAnsi="Times New Roman" w:cs="Times New Roman"/>
          <w:sz w:val="24"/>
          <w:szCs w:val="24"/>
        </w:rPr>
        <w:t>paresthesias</w:t>
      </w:r>
      <w:proofErr w:type="spellEnd"/>
      <w:r>
        <w:rPr>
          <w:rFonts w:ascii="Times New Roman" w:eastAsia="Times New Roman" w:hAnsi="Times New Roman" w:cs="Times New Roman"/>
          <w:sz w:val="24"/>
          <w:szCs w:val="24"/>
        </w:rPr>
        <w:t xml:space="preserve">. Cranial sensory symptoms such as tongue paresthesia, although uncommon, have been described in GBS and may reflect involvement of sensory nerve roots or cranial nerve sensory fibers without detectable objective deficits [6]. Cranial nerve examination was normal, and there was no bulbar or respiratory compromise. </w:t>
      </w:r>
      <w:commentRangeStart w:id="38"/>
      <w:r>
        <w:rPr>
          <w:rFonts w:ascii="Times New Roman" w:eastAsia="Times New Roman" w:hAnsi="Times New Roman" w:cs="Times New Roman"/>
          <w:sz w:val="24"/>
          <w:szCs w:val="24"/>
        </w:rPr>
        <w:t xml:space="preserve">An additional important feature in this case was early autonomic dysfunction, manifested by tachycardia and transient hypertension, along with sweating episodes during </w:t>
      </w:r>
      <w:proofErr w:type="spellStart"/>
      <w:r>
        <w:rPr>
          <w:rFonts w:ascii="Times New Roman" w:eastAsia="Times New Roman" w:hAnsi="Times New Roman" w:cs="Times New Roman"/>
          <w:sz w:val="24"/>
          <w:szCs w:val="24"/>
        </w:rPr>
        <w:t>plasmapheresis</w:t>
      </w:r>
      <w:commentRangeEnd w:id="38"/>
      <w:proofErr w:type="spellEnd"/>
      <w:r w:rsidR="008974F5">
        <w:rPr>
          <w:rStyle w:val="CommentReference"/>
        </w:rPr>
        <w:commentReference w:id="38"/>
      </w:r>
      <w:r>
        <w:rPr>
          <w:rFonts w:ascii="Times New Roman" w:eastAsia="Times New Roman" w:hAnsi="Times New Roman" w:cs="Times New Roman"/>
          <w:sz w:val="24"/>
          <w:szCs w:val="24"/>
        </w:rPr>
        <w:t>. Autonomic involvement is reported in a significant proportion of GBS patients and is associated with increased morbidity due to risks of arrhythmias and blood pressure instability [3].</w:t>
      </w:r>
    </w:p>
    <w:p w14:paraId="35BF52ED" w14:textId="77777777" w:rsidR="00453C1B" w:rsidRDefault="00453C1B">
      <w:pPr>
        <w:spacing w:line="360" w:lineRule="auto"/>
        <w:jc w:val="both"/>
        <w:rPr>
          <w:rFonts w:ascii="Times New Roman" w:eastAsia="Times New Roman" w:hAnsi="Times New Roman" w:cs="Times New Roman"/>
          <w:sz w:val="24"/>
          <w:szCs w:val="24"/>
        </w:rPr>
      </w:pPr>
    </w:p>
    <w:p w14:paraId="07DD0CE4" w14:textId="77777777" w:rsidR="00453C1B" w:rsidRDefault="0016336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noteworthy aspect of this case is intolerance to therapeutic plasmapheresis. The patient developed breathlessness, hypotension, and diaphoresis during plasmapheresis sessions, necessitating discontinuation after three cycles. </w:t>
      </w:r>
      <w:commentRangeStart w:id="39"/>
      <w:r>
        <w:rPr>
          <w:rFonts w:ascii="Times New Roman" w:eastAsia="Times New Roman" w:hAnsi="Times New Roman" w:cs="Times New Roman"/>
          <w:sz w:val="24"/>
          <w:szCs w:val="24"/>
        </w:rPr>
        <w:t>These manifestations may be related to autonomic instability</w:t>
      </w:r>
      <w:commentRangeEnd w:id="39"/>
      <w:r w:rsidR="00CA2FE7">
        <w:rPr>
          <w:rStyle w:val="CommentReference"/>
        </w:rPr>
        <w:commentReference w:id="39"/>
      </w:r>
      <w:r>
        <w:rPr>
          <w:rFonts w:ascii="Times New Roman" w:eastAsia="Times New Roman" w:hAnsi="Times New Roman" w:cs="Times New Roman"/>
          <w:sz w:val="24"/>
          <w:szCs w:val="24"/>
        </w:rPr>
        <w:t xml:space="preserve">, rapid intravascular volume shifts, or citrate-related reactions. This highlights an important clinical consideration, even though both plasmapheresis and intravenous immunoglobulin (IVIG) are considered equally effective first-line therapies, </w:t>
      </w:r>
      <w:commentRangeStart w:id="40"/>
      <w:r>
        <w:rPr>
          <w:rFonts w:ascii="Times New Roman" w:eastAsia="Times New Roman" w:hAnsi="Times New Roman" w:cs="Times New Roman"/>
          <w:sz w:val="24"/>
          <w:szCs w:val="24"/>
        </w:rPr>
        <w:t>individual tolerance may differ</w:t>
      </w:r>
      <w:commentRangeEnd w:id="40"/>
      <w:r w:rsidR="008720A5">
        <w:rPr>
          <w:rStyle w:val="CommentReference"/>
        </w:rPr>
        <w:commentReference w:id="40"/>
      </w:r>
      <w:r>
        <w:rPr>
          <w:rFonts w:ascii="Times New Roman" w:eastAsia="Times New Roman" w:hAnsi="Times New Roman" w:cs="Times New Roman"/>
          <w:sz w:val="24"/>
          <w:szCs w:val="24"/>
        </w:rPr>
        <w:t>, and early recognition of complications is essential. Following discontinuation of plasmapheresis, the patient received IVIG at a dose of 0.4 g/kg/day for five days, with clinical improvement noted by the third day of therapy. Prompt initiation of immunotherapy is known to shorten disease progression and improve functional outcomes [7,8]. This case is notable for the combination of post-</w:t>
      </w:r>
      <w:proofErr w:type="spellStart"/>
      <w:r>
        <w:rPr>
          <w:rFonts w:ascii="Times New Roman" w:eastAsia="Times New Roman" w:hAnsi="Times New Roman" w:cs="Times New Roman"/>
          <w:sz w:val="24"/>
          <w:szCs w:val="24"/>
        </w:rPr>
        <w:t>diarrhoeal</w:t>
      </w:r>
      <w:proofErr w:type="spellEnd"/>
      <w:r>
        <w:rPr>
          <w:rFonts w:ascii="Times New Roman" w:eastAsia="Times New Roman" w:hAnsi="Times New Roman" w:cs="Times New Roman"/>
          <w:sz w:val="24"/>
          <w:szCs w:val="24"/>
        </w:rPr>
        <w:t xml:space="preserve"> onset, early autonomic features, unusual tongue paresthesia, and intolerance to plasmapheresis requiring a switch to </w:t>
      </w:r>
      <w:r>
        <w:rPr>
          <w:rFonts w:ascii="Times New Roman" w:eastAsia="Times New Roman" w:hAnsi="Times New Roman" w:cs="Times New Roman"/>
          <w:sz w:val="24"/>
          <w:szCs w:val="24"/>
        </w:rPr>
        <w:lastRenderedPageBreak/>
        <w:t>IVIG. These elements highlight the heterogeneity of GBS presentations and reinforce the importance of individualized management strategies.</w:t>
      </w:r>
    </w:p>
    <w:p w14:paraId="4644428C" w14:textId="77777777" w:rsidR="00453C1B" w:rsidRDefault="00453C1B">
      <w:pPr>
        <w:spacing w:line="360" w:lineRule="auto"/>
        <w:jc w:val="both"/>
        <w:rPr>
          <w:rFonts w:ascii="Times New Roman" w:eastAsia="Times New Roman" w:hAnsi="Times New Roman" w:cs="Times New Roman"/>
          <w:sz w:val="24"/>
          <w:szCs w:val="24"/>
        </w:rPr>
      </w:pPr>
    </w:p>
    <w:p w14:paraId="43B9C5C8" w14:textId="77777777" w:rsidR="00453C1B" w:rsidRDefault="00163369">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CONCLUSION:</w:t>
      </w:r>
    </w:p>
    <w:p w14:paraId="48E56A17" w14:textId="77777777" w:rsidR="00453C1B" w:rsidRDefault="0016336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case illustrates a post-infectious Guillain-Barré syndrome </w:t>
      </w:r>
      <w:commentRangeStart w:id="41"/>
      <w:r>
        <w:rPr>
          <w:rFonts w:ascii="Times New Roman" w:eastAsia="Times New Roman" w:hAnsi="Times New Roman" w:cs="Times New Roman"/>
          <w:sz w:val="24"/>
          <w:szCs w:val="24"/>
        </w:rPr>
        <w:t>most consistent with the AIDP,</w:t>
      </w:r>
      <w:commentRangeEnd w:id="41"/>
      <w:r w:rsidR="008720A5">
        <w:rPr>
          <w:rStyle w:val="CommentReference"/>
        </w:rPr>
        <w:commentReference w:id="41"/>
      </w:r>
      <w:r>
        <w:rPr>
          <w:rFonts w:ascii="Times New Roman" w:eastAsia="Times New Roman" w:hAnsi="Times New Roman" w:cs="Times New Roman"/>
          <w:sz w:val="24"/>
          <w:szCs w:val="24"/>
        </w:rPr>
        <w:t xml:space="preserve"> characterized by rapidly progressive motor weakness following gastroenteritis, preserved objective sensory function, and areflexia. Early autonomic dysfunction and intolerance to plasmapheresis complicated management, necessitating transition to intravenous immunoglobulin therapy, which led to prompt clinical improvement. The case highlights the importance of recognizing demyelinating GBS subtypes, monitoring for autonomic instability, and individualizing immunotherapy when first-line treatment is not tolerated.</w:t>
      </w:r>
    </w:p>
    <w:p w14:paraId="2423C56E" w14:textId="77777777" w:rsidR="00453C1B" w:rsidRDefault="00453C1B">
      <w:pPr>
        <w:spacing w:line="360" w:lineRule="auto"/>
        <w:jc w:val="both"/>
        <w:rPr>
          <w:rFonts w:ascii="Times New Roman" w:eastAsia="Times New Roman" w:hAnsi="Times New Roman" w:cs="Times New Roman"/>
          <w:sz w:val="24"/>
          <w:szCs w:val="24"/>
        </w:rPr>
      </w:pPr>
    </w:p>
    <w:p w14:paraId="0B59D4F8" w14:textId="77777777" w:rsidR="00453C1B" w:rsidRDefault="00163369">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CONSENT: </w:t>
      </w:r>
    </w:p>
    <w:p w14:paraId="104BF6ED" w14:textId="77777777" w:rsidR="00453C1B" w:rsidRDefault="0016336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Consent was obtained from the patient for publication of the case report.</w:t>
      </w:r>
    </w:p>
    <w:p w14:paraId="4D4CAADA" w14:textId="77777777" w:rsidR="00453C1B" w:rsidRDefault="00453C1B">
      <w:pPr>
        <w:spacing w:line="360" w:lineRule="auto"/>
        <w:jc w:val="both"/>
        <w:rPr>
          <w:rFonts w:ascii="Times New Roman" w:eastAsia="Times New Roman" w:hAnsi="Times New Roman" w:cs="Times New Roman"/>
          <w:sz w:val="24"/>
          <w:szCs w:val="24"/>
        </w:rPr>
      </w:pPr>
    </w:p>
    <w:p w14:paraId="11435559" w14:textId="77777777" w:rsidR="00453C1B" w:rsidRDefault="00163369">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ETHICAL APPROVAL: </w:t>
      </w:r>
    </w:p>
    <w:p w14:paraId="5F2DFD3D" w14:textId="77777777" w:rsidR="00453C1B" w:rsidRDefault="0016336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Not applicable.</w:t>
      </w:r>
    </w:p>
    <w:p w14:paraId="0258F910" w14:textId="77777777" w:rsidR="00453C1B" w:rsidRDefault="00453C1B">
      <w:pPr>
        <w:spacing w:line="360" w:lineRule="auto"/>
        <w:jc w:val="both"/>
        <w:rPr>
          <w:rFonts w:ascii="Times New Roman" w:eastAsia="Times New Roman" w:hAnsi="Times New Roman" w:cs="Times New Roman"/>
          <w:sz w:val="24"/>
          <w:szCs w:val="24"/>
        </w:rPr>
      </w:pPr>
    </w:p>
    <w:p w14:paraId="2A577D82" w14:textId="77777777" w:rsidR="00453C1B" w:rsidRDefault="00163369">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COMPETING INTERESTS: </w:t>
      </w:r>
    </w:p>
    <w:p w14:paraId="79769B86" w14:textId="77777777" w:rsidR="00453C1B" w:rsidRDefault="0016336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Authors have declared that no competing interests exist.</w:t>
      </w:r>
    </w:p>
    <w:p w14:paraId="56395678" w14:textId="77777777" w:rsidR="00453C1B" w:rsidRDefault="00453C1B">
      <w:pPr>
        <w:spacing w:line="360" w:lineRule="auto"/>
        <w:jc w:val="both"/>
        <w:rPr>
          <w:rFonts w:ascii="Times New Roman" w:eastAsia="Times New Roman" w:hAnsi="Times New Roman" w:cs="Times New Roman"/>
          <w:sz w:val="24"/>
          <w:szCs w:val="24"/>
        </w:rPr>
      </w:pPr>
    </w:p>
    <w:p w14:paraId="783EAADE" w14:textId="77777777" w:rsidR="00453C1B" w:rsidRDefault="00453C1B">
      <w:pPr>
        <w:spacing w:line="360" w:lineRule="auto"/>
        <w:jc w:val="both"/>
        <w:rPr>
          <w:rFonts w:ascii="Times New Roman" w:eastAsia="Times New Roman" w:hAnsi="Times New Roman" w:cs="Times New Roman"/>
          <w:sz w:val="24"/>
          <w:szCs w:val="24"/>
        </w:rPr>
      </w:pPr>
    </w:p>
    <w:p w14:paraId="172DF0E6" w14:textId="77777777" w:rsidR="00453C1B" w:rsidRDefault="00163369">
      <w:pPr>
        <w:spacing w:line="360" w:lineRule="auto"/>
        <w:jc w:val="both"/>
        <w:rPr>
          <w:rFonts w:ascii="Times New Roman" w:eastAsia="Times New Roman" w:hAnsi="Times New Roman" w:cs="Times New Roman"/>
          <w:sz w:val="24"/>
          <w:szCs w:val="24"/>
        </w:rPr>
      </w:pPr>
      <w:r>
        <w:br w:type="page"/>
      </w:r>
    </w:p>
    <w:p w14:paraId="587F70E9" w14:textId="77777777" w:rsidR="00453C1B" w:rsidRDefault="00453C1B">
      <w:pPr>
        <w:spacing w:line="360" w:lineRule="auto"/>
        <w:jc w:val="both"/>
        <w:rPr>
          <w:rFonts w:ascii="Times New Roman" w:eastAsia="Times New Roman" w:hAnsi="Times New Roman" w:cs="Times New Roman"/>
          <w:sz w:val="24"/>
          <w:szCs w:val="24"/>
        </w:rPr>
      </w:pPr>
    </w:p>
    <w:p w14:paraId="2C1B6DD1" w14:textId="77777777" w:rsidR="00453C1B" w:rsidRDefault="00163369">
      <w:pPr>
        <w:spacing w:line="360" w:lineRule="auto"/>
        <w:jc w:val="both"/>
        <w:rPr>
          <w:rFonts w:ascii="Times New Roman" w:eastAsia="Times New Roman" w:hAnsi="Times New Roman" w:cs="Times New Roman"/>
          <w:sz w:val="24"/>
          <w:szCs w:val="24"/>
        </w:rPr>
      </w:pPr>
      <w:commentRangeStart w:id="43"/>
      <w:r>
        <w:rPr>
          <w:rFonts w:ascii="Times New Roman" w:eastAsia="Times New Roman" w:hAnsi="Times New Roman" w:cs="Times New Roman"/>
          <w:b/>
          <w:bCs/>
          <w:sz w:val="24"/>
          <w:szCs w:val="24"/>
        </w:rPr>
        <w:t>REFERENCES:</w:t>
      </w:r>
      <w:commentRangeEnd w:id="43"/>
      <w:r w:rsidR="00974F1D">
        <w:rPr>
          <w:rStyle w:val="CommentReference"/>
        </w:rPr>
        <w:commentReference w:id="43"/>
      </w:r>
    </w:p>
    <w:p w14:paraId="3350B63B" w14:textId="77777777" w:rsidR="00453C1B" w:rsidRDefault="00163369">
      <w:pPr>
        <w:numPr>
          <w:ilvl w:val="0"/>
          <w:numId w:val="1"/>
        </w:numPr>
        <w:spacing w:line="36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Bhatti</w:t>
      </w:r>
      <w:proofErr w:type="spellEnd"/>
      <w:r>
        <w:rPr>
          <w:rFonts w:ascii="Times New Roman" w:eastAsia="Times New Roman" w:hAnsi="Times New Roman" w:cs="Times New Roman"/>
          <w:sz w:val="24"/>
          <w:szCs w:val="24"/>
        </w:rPr>
        <w:t xml:space="preserve"> KS, </w:t>
      </w:r>
      <w:proofErr w:type="spellStart"/>
      <w:r>
        <w:rPr>
          <w:rFonts w:ascii="Times New Roman" w:eastAsia="Times New Roman" w:hAnsi="Times New Roman" w:cs="Times New Roman"/>
          <w:sz w:val="24"/>
          <w:szCs w:val="24"/>
        </w:rPr>
        <w:t>Maheshwary</w:t>
      </w:r>
      <w:proofErr w:type="spellEnd"/>
      <w:r>
        <w:rPr>
          <w:rFonts w:ascii="Times New Roman" w:eastAsia="Times New Roman" w:hAnsi="Times New Roman" w:cs="Times New Roman"/>
          <w:sz w:val="24"/>
          <w:szCs w:val="24"/>
        </w:rPr>
        <w:t xml:space="preserve"> A, Sun CE, et al. Guillain–Barré syndrome (Nursing). In: </w:t>
      </w:r>
      <w:proofErr w:type="spellStart"/>
      <w:r>
        <w:rPr>
          <w:rFonts w:ascii="Times New Roman" w:eastAsia="Times New Roman" w:hAnsi="Times New Roman" w:cs="Times New Roman"/>
          <w:sz w:val="24"/>
          <w:szCs w:val="24"/>
        </w:rPr>
        <w:t>StatPearls</w:t>
      </w:r>
      <w:proofErr w:type="spellEnd"/>
      <w:r>
        <w:rPr>
          <w:rFonts w:ascii="Times New Roman" w:eastAsia="Times New Roman" w:hAnsi="Times New Roman" w:cs="Times New Roman"/>
          <w:sz w:val="24"/>
          <w:szCs w:val="24"/>
        </w:rPr>
        <w:t xml:space="preserve"> [Internet]. Treasure Island (FL): </w:t>
      </w:r>
      <w:proofErr w:type="spellStart"/>
      <w:r>
        <w:rPr>
          <w:rFonts w:ascii="Times New Roman" w:eastAsia="Times New Roman" w:hAnsi="Times New Roman" w:cs="Times New Roman"/>
          <w:sz w:val="24"/>
          <w:szCs w:val="24"/>
        </w:rPr>
        <w:t>StatPearls</w:t>
      </w:r>
      <w:proofErr w:type="spellEnd"/>
      <w:r>
        <w:rPr>
          <w:rFonts w:ascii="Times New Roman" w:eastAsia="Times New Roman" w:hAnsi="Times New Roman" w:cs="Times New Roman"/>
          <w:sz w:val="24"/>
          <w:szCs w:val="24"/>
        </w:rPr>
        <w:t xml:space="preserve"> Publishing; 2026. Available from: </w:t>
      </w:r>
      <w:hyperlink r:id="rId11">
        <w:r w:rsidR="00453C1B">
          <w:rPr>
            <w:rFonts w:ascii="Times New Roman" w:eastAsia="Times New Roman" w:hAnsi="Times New Roman" w:cs="Times New Roman"/>
            <w:color w:val="1155CC"/>
            <w:sz w:val="24"/>
            <w:szCs w:val="24"/>
            <w:u w:val="single"/>
          </w:rPr>
          <w:t>https://www.ncbi.nlm.nih.gov/books/NBK568815/</w:t>
        </w:r>
      </w:hyperlink>
    </w:p>
    <w:p w14:paraId="3A6BBDF7" w14:textId="77777777" w:rsidR="00453C1B" w:rsidRDefault="00163369">
      <w:pPr>
        <w:numPr>
          <w:ilvl w:val="0"/>
          <w:numId w:val="1"/>
        </w:numPr>
        <w:spacing w:line="36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Shahrizaila</w:t>
      </w:r>
      <w:proofErr w:type="spellEnd"/>
      <w:r>
        <w:rPr>
          <w:rFonts w:ascii="Times New Roman" w:eastAsia="Times New Roman" w:hAnsi="Times New Roman" w:cs="Times New Roman"/>
          <w:sz w:val="24"/>
          <w:szCs w:val="24"/>
        </w:rPr>
        <w:t xml:space="preserve"> N, Lehmann HC, Kuwabara S. Guillain–Barré syndrome. Lancet 2021</w:t>
      </w:r>
      <w:proofErr w:type="gramStart"/>
      <w:r>
        <w:rPr>
          <w:rFonts w:ascii="Times New Roman" w:eastAsia="Times New Roman" w:hAnsi="Times New Roman" w:cs="Times New Roman"/>
          <w:sz w:val="24"/>
          <w:szCs w:val="24"/>
        </w:rPr>
        <w:t>;397:1214</w:t>
      </w:r>
      <w:proofErr w:type="gramEnd"/>
      <w:r>
        <w:rPr>
          <w:rFonts w:ascii="Times New Roman" w:eastAsia="Times New Roman" w:hAnsi="Times New Roman" w:cs="Times New Roman"/>
          <w:sz w:val="24"/>
          <w:szCs w:val="24"/>
        </w:rPr>
        <w:t xml:space="preserve">–28. </w:t>
      </w:r>
      <w:hyperlink r:id="rId12">
        <w:r w:rsidR="00453C1B">
          <w:rPr>
            <w:rFonts w:ascii="Times New Roman" w:eastAsia="Times New Roman" w:hAnsi="Times New Roman" w:cs="Times New Roman"/>
            <w:color w:val="1155CC"/>
            <w:sz w:val="24"/>
            <w:szCs w:val="24"/>
            <w:u w:val="single"/>
          </w:rPr>
          <w:t>https://doi.org/10.1016/S0140-6736(21)00517-1</w:t>
        </w:r>
      </w:hyperlink>
      <w:r>
        <w:rPr>
          <w:rFonts w:ascii="Times New Roman" w:eastAsia="Times New Roman" w:hAnsi="Times New Roman" w:cs="Times New Roman"/>
          <w:sz w:val="24"/>
          <w:szCs w:val="24"/>
        </w:rPr>
        <w:t>.</w:t>
      </w:r>
    </w:p>
    <w:p w14:paraId="52637FFA" w14:textId="77777777" w:rsidR="00453C1B" w:rsidRDefault="00163369">
      <w:pPr>
        <w:numPr>
          <w:ilvl w:val="0"/>
          <w:numId w:val="1"/>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Chakraborty T, Kramer CL, </w:t>
      </w:r>
      <w:proofErr w:type="spellStart"/>
      <w:r>
        <w:rPr>
          <w:rFonts w:ascii="Times New Roman" w:eastAsia="Times New Roman" w:hAnsi="Times New Roman" w:cs="Times New Roman"/>
          <w:sz w:val="24"/>
          <w:szCs w:val="24"/>
        </w:rPr>
        <w:t>Wijdicks</w:t>
      </w:r>
      <w:proofErr w:type="spellEnd"/>
      <w:r>
        <w:rPr>
          <w:rFonts w:ascii="Times New Roman" w:eastAsia="Times New Roman" w:hAnsi="Times New Roman" w:cs="Times New Roman"/>
          <w:sz w:val="24"/>
          <w:szCs w:val="24"/>
        </w:rPr>
        <w:t xml:space="preserve"> EFM, </w:t>
      </w:r>
      <w:proofErr w:type="spellStart"/>
      <w:r>
        <w:rPr>
          <w:rFonts w:ascii="Times New Roman" w:eastAsia="Times New Roman" w:hAnsi="Times New Roman" w:cs="Times New Roman"/>
          <w:sz w:val="24"/>
          <w:szCs w:val="24"/>
        </w:rPr>
        <w:t>Rabinstein</w:t>
      </w:r>
      <w:proofErr w:type="spellEnd"/>
      <w:r>
        <w:rPr>
          <w:rFonts w:ascii="Times New Roman" w:eastAsia="Times New Roman" w:hAnsi="Times New Roman" w:cs="Times New Roman"/>
          <w:sz w:val="24"/>
          <w:szCs w:val="24"/>
        </w:rPr>
        <w:t xml:space="preserve"> AA. Dysautonomia in Guillain–Barré syndrome: prevalence, clinical spectrum, and outcomes. </w:t>
      </w:r>
      <w:proofErr w:type="spellStart"/>
      <w:r>
        <w:rPr>
          <w:rFonts w:ascii="Times New Roman" w:eastAsia="Times New Roman" w:hAnsi="Times New Roman" w:cs="Times New Roman"/>
          <w:sz w:val="24"/>
          <w:szCs w:val="24"/>
        </w:rPr>
        <w:t>Neurocrit</w:t>
      </w:r>
      <w:proofErr w:type="spellEnd"/>
      <w:r>
        <w:rPr>
          <w:rFonts w:ascii="Times New Roman" w:eastAsia="Times New Roman" w:hAnsi="Times New Roman" w:cs="Times New Roman"/>
          <w:sz w:val="24"/>
          <w:szCs w:val="24"/>
        </w:rPr>
        <w:t xml:space="preserve"> Care 2020</w:t>
      </w:r>
      <w:proofErr w:type="gramStart"/>
      <w:r>
        <w:rPr>
          <w:rFonts w:ascii="Times New Roman" w:eastAsia="Times New Roman" w:hAnsi="Times New Roman" w:cs="Times New Roman"/>
          <w:sz w:val="24"/>
          <w:szCs w:val="24"/>
        </w:rPr>
        <w:t>;32:113</w:t>
      </w:r>
      <w:proofErr w:type="gramEnd"/>
      <w:r>
        <w:rPr>
          <w:rFonts w:ascii="Times New Roman" w:eastAsia="Times New Roman" w:hAnsi="Times New Roman" w:cs="Times New Roman"/>
          <w:sz w:val="24"/>
          <w:szCs w:val="24"/>
        </w:rPr>
        <w:t xml:space="preserve">–20. </w:t>
      </w:r>
      <w:hyperlink r:id="rId13">
        <w:r w:rsidR="00453C1B">
          <w:rPr>
            <w:rFonts w:ascii="Times New Roman" w:eastAsia="Times New Roman" w:hAnsi="Times New Roman" w:cs="Times New Roman"/>
            <w:color w:val="1155CC"/>
            <w:sz w:val="24"/>
            <w:szCs w:val="24"/>
            <w:u w:val="single"/>
          </w:rPr>
          <w:t>https://doi.org/10.1007/s12028-019-00781-w</w:t>
        </w:r>
      </w:hyperlink>
      <w:r>
        <w:rPr>
          <w:rFonts w:ascii="Times New Roman" w:eastAsia="Times New Roman" w:hAnsi="Times New Roman" w:cs="Times New Roman"/>
          <w:sz w:val="24"/>
          <w:szCs w:val="24"/>
        </w:rPr>
        <w:t>.</w:t>
      </w:r>
    </w:p>
    <w:p w14:paraId="4E316C17" w14:textId="77777777" w:rsidR="00453C1B" w:rsidRDefault="00163369">
      <w:pPr>
        <w:numPr>
          <w:ilvl w:val="0"/>
          <w:numId w:val="1"/>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Zaki HA, Iftikhar H, Najam M, Masood M, Al-</w:t>
      </w:r>
      <w:proofErr w:type="spellStart"/>
      <w:r>
        <w:rPr>
          <w:rFonts w:ascii="Times New Roman" w:eastAsia="Times New Roman" w:hAnsi="Times New Roman" w:cs="Times New Roman"/>
          <w:sz w:val="24"/>
          <w:szCs w:val="24"/>
        </w:rPr>
        <w:t>Marri</w:t>
      </w:r>
      <w:proofErr w:type="spellEnd"/>
      <w:r>
        <w:rPr>
          <w:rFonts w:ascii="Times New Roman" w:eastAsia="Times New Roman" w:hAnsi="Times New Roman" w:cs="Times New Roman"/>
          <w:sz w:val="24"/>
          <w:szCs w:val="24"/>
        </w:rPr>
        <w:t xml:space="preserve"> NDR, </w:t>
      </w:r>
      <w:proofErr w:type="spellStart"/>
      <w:r>
        <w:rPr>
          <w:rFonts w:ascii="Times New Roman" w:eastAsia="Times New Roman" w:hAnsi="Times New Roman" w:cs="Times New Roman"/>
          <w:sz w:val="24"/>
          <w:szCs w:val="24"/>
        </w:rPr>
        <w:t>Elgassim</w:t>
      </w:r>
      <w:proofErr w:type="spellEnd"/>
      <w:r>
        <w:rPr>
          <w:rFonts w:ascii="Times New Roman" w:eastAsia="Times New Roman" w:hAnsi="Times New Roman" w:cs="Times New Roman"/>
          <w:sz w:val="24"/>
          <w:szCs w:val="24"/>
        </w:rPr>
        <w:t xml:space="preserve"> MAM, et al. Plasma exchange (PE) versus intravenous immunoglobulin (IVIG) for the treatment of Guillain–Barré syndrome (GBS) in patients with severe symptoms: a systematic review and meta-analysis. </w:t>
      </w:r>
      <w:proofErr w:type="spellStart"/>
      <w:proofErr w:type="gramStart"/>
      <w:r>
        <w:rPr>
          <w:rFonts w:ascii="Times New Roman" w:eastAsia="Times New Roman" w:hAnsi="Times New Roman" w:cs="Times New Roman"/>
          <w:sz w:val="24"/>
          <w:szCs w:val="24"/>
        </w:rPr>
        <w:t>eNeurologicalSci</w:t>
      </w:r>
      <w:proofErr w:type="spellEnd"/>
      <w:proofErr w:type="gramEnd"/>
      <w:r>
        <w:rPr>
          <w:rFonts w:ascii="Times New Roman" w:eastAsia="Times New Roman" w:hAnsi="Times New Roman" w:cs="Times New Roman"/>
          <w:sz w:val="24"/>
          <w:szCs w:val="24"/>
        </w:rPr>
        <w:t xml:space="preserve"> 2023;31:100468. </w:t>
      </w:r>
      <w:hyperlink r:id="rId14">
        <w:r w:rsidR="00453C1B">
          <w:rPr>
            <w:rFonts w:ascii="Times New Roman" w:eastAsia="Times New Roman" w:hAnsi="Times New Roman" w:cs="Times New Roman"/>
            <w:color w:val="1155CC"/>
            <w:sz w:val="24"/>
            <w:szCs w:val="24"/>
            <w:u w:val="single"/>
          </w:rPr>
          <w:t>https://doi.org/10.1016/j.ensci.2023.100468</w:t>
        </w:r>
      </w:hyperlink>
      <w:r>
        <w:rPr>
          <w:rFonts w:ascii="Times New Roman" w:eastAsia="Times New Roman" w:hAnsi="Times New Roman" w:cs="Times New Roman"/>
          <w:sz w:val="24"/>
          <w:szCs w:val="24"/>
        </w:rPr>
        <w:t>.</w:t>
      </w:r>
    </w:p>
    <w:p w14:paraId="590C9921" w14:textId="77777777" w:rsidR="00453C1B" w:rsidRDefault="00163369">
      <w:pPr>
        <w:numPr>
          <w:ilvl w:val="0"/>
          <w:numId w:val="1"/>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Leonhard SE, </w:t>
      </w:r>
      <w:proofErr w:type="spellStart"/>
      <w:r>
        <w:rPr>
          <w:rFonts w:ascii="Times New Roman" w:eastAsia="Times New Roman" w:hAnsi="Times New Roman" w:cs="Times New Roman"/>
          <w:sz w:val="24"/>
          <w:szCs w:val="24"/>
        </w:rPr>
        <w:t>Mandarakas</w:t>
      </w:r>
      <w:proofErr w:type="spellEnd"/>
      <w:r>
        <w:rPr>
          <w:rFonts w:ascii="Times New Roman" w:eastAsia="Times New Roman" w:hAnsi="Times New Roman" w:cs="Times New Roman"/>
          <w:sz w:val="24"/>
          <w:szCs w:val="24"/>
        </w:rPr>
        <w:t xml:space="preserve"> MR, </w:t>
      </w:r>
      <w:proofErr w:type="spellStart"/>
      <w:r>
        <w:rPr>
          <w:rFonts w:ascii="Times New Roman" w:eastAsia="Times New Roman" w:hAnsi="Times New Roman" w:cs="Times New Roman"/>
          <w:sz w:val="24"/>
          <w:szCs w:val="24"/>
        </w:rPr>
        <w:t>Gondim</w:t>
      </w:r>
      <w:proofErr w:type="spellEnd"/>
      <w:r>
        <w:rPr>
          <w:rFonts w:ascii="Times New Roman" w:eastAsia="Times New Roman" w:hAnsi="Times New Roman" w:cs="Times New Roman"/>
          <w:sz w:val="24"/>
          <w:szCs w:val="24"/>
        </w:rPr>
        <w:t xml:space="preserve"> FAA, Bateman K, Ferreira MLB, </w:t>
      </w:r>
      <w:proofErr w:type="spellStart"/>
      <w:r>
        <w:rPr>
          <w:rFonts w:ascii="Times New Roman" w:eastAsia="Times New Roman" w:hAnsi="Times New Roman" w:cs="Times New Roman"/>
          <w:sz w:val="24"/>
          <w:szCs w:val="24"/>
        </w:rPr>
        <w:t>Cornblath</w:t>
      </w:r>
      <w:proofErr w:type="spellEnd"/>
      <w:r>
        <w:rPr>
          <w:rFonts w:ascii="Times New Roman" w:eastAsia="Times New Roman" w:hAnsi="Times New Roman" w:cs="Times New Roman"/>
          <w:sz w:val="24"/>
          <w:szCs w:val="24"/>
        </w:rPr>
        <w:t xml:space="preserve"> DR, et al. Diagnosis and management of Guillain–Barré syndrome in ten steps. Nat Rev Neurol 2019</w:t>
      </w:r>
      <w:proofErr w:type="gramStart"/>
      <w:r>
        <w:rPr>
          <w:rFonts w:ascii="Times New Roman" w:eastAsia="Times New Roman" w:hAnsi="Times New Roman" w:cs="Times New Roman"/>
          <w:sz w:val="24"/>
          <w:szCs w:val="24"/>
        </w:rPr>
        <w:t>;15:671</w:t>
      </w:r>
      <w:proofErr w:type="gramEnd"/>
      <w:r>
        <w:rPr>
          <w:rFonts w:ascii="Times New Roman" w:eastAsia="Times New Roman" w:hAnsi="Times New Roman" w:cs="Times New Roman"/>
          <w:sz w:val="24"/>
          <w:szCs w:val="24"/>
        </w:rPr>
        <w:t xml:space="preserve">–83. </w:t>
      </w:r>
      <w:hyperlink r:id="rId15">
        <w:r w:rsidR="00453C1B">
          <w:rPr>
            <w:rFonts w:ascii="Times New Roman" w:eastAsia="Times New Roman" w:hAnsi="Times New Roman" w:cs="Times New Roman"/>
            <w:color w:val="1155CC"/>
            <w:sz w:val="24"/>
            <w:szCs w:val="24"/>
            <w:u w:val="single"/>
          </w:rPr>
          <w:t>https://doi.org/10.1038/s41582-019-0250-9</w:t>
        </w:r>
      </w:hyperlink>
      <w:r>
        <w:rPr>
          <w:rFonts w:ascii="Times New Roman" w:eastAsia="Times New Roman" w:hAnsi="Times New Roman" w:cs="Times New Roman"/>
          <w:sz w:val="24"/>
          <w:szCs w:val="24"/>
        </w:rPr>
        <w:t>.</w:t>
      </w:r>
    </w:p>
    <w:p w14:paraId="535B5A9B" w14:textId="77777777" w:rsidR="00453C1B" w:rsidRDefault="00163369">
      <w:pPr>
        <w:numPr>
          <w:ilvl w:val="0"/>
          <w:numId w:val="1"/>
        </w:numPr>
        <w:spacing w:line="36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Bhargava</w:t>
      </w:r>
      <w:proofErr w:type="spellEnd"/>
      <w:r>
        <w:rPr>
          <w:rFonts w:ascii="Times New Roman" w:eastAsia="Times New Roman" w:hAnsi="Times New Roman" w:cs="Times New Roman"/>
          <w:sz w:val="24"/>
          <w:szCs w:val="24"/>
        </w:rPr>
        <w:t xml:space="preserve"> A, </w:t>
      </w:r>
      <w:proofErr w:type="spellStart"/>
      <w:r>
        <w:rPr>
          <w:rFonts w:ascii="Times New Roman" w:eastAsia="Times New Roman" w:hAnsi="Times New Roman" w:cs="Times New Roman"/>
          <w:sz w:val="24"/>
          <w:szCs w:val="24"/>
        </w:rPr>
        <w:t>Banakar</w:t>
      </w:r>
      <w:proofErr w:type="spellEnd"/>
      <w:r>
        <w:rPr>
          <w:rFonts w:ascii="Times New Roman" w:eastAsia="Times New Roman" w:hAnsi="Times New Roman" w:cs="Times New Roman"/>
          <w:sz w:val="24"/>
          <w:szCs w:val="24"/>
        </w:rPr>
        <w:t xml:space="preserve"> BF, </w:t>
      </w:r>
      <w:proofErr w:type="spellStart"/>
      <w:r>
        <w:rPr>
          <w:rFonts w:ascii="Times New Roman" w:eastAsia="Times New Roman" w:hAnsi="Times New Roman" w:cs="Times New Roman"/>
          <w:sz w:val="24"/>
          <w:szCs w:val="24"/>
        </w:rPr>
        <w:t>Pujar</w:t>
      </w:r>
      <w:proofErr w:type="spellEnd"/>
      <w:r>
        <w:rPr>
          <w:rFonts w:ascii="Times New Roman" w:eastAsia="Times New Roman" w:hAnsi="Times New Roman" w:cs="Times New Roman"/>
          <w:sz w:val="24"/>
          <w:szCs w:val="24"/>
        </w:rPr>
        <w:t xml:space="preserve"> GS, </w:t>
      </w:r>
      <w:proofErr w:type="spellStart"/>
      <w:r>
        <w:rPr>
          <w:rFonts w:ascii="Times New Roman" w:eastAsia="Times New Roman" w:hAnsi="Times New Roman" w:cs="Times New Roman"/>
          <w:sz w:val="24"/>
          <w:szCs w:val="24"/>
        </w:rPr>
        <w:t>Khichar</w:t>
      </w:r>
      <w:proofErr w:type="spellEnd"/>
      <w:r>
        <w:rPr>
          <w:rFonts w:ascii="Times New Roman" w:eastAsia="Times New Roman" w:hAnsi="Times New Roman" w:cs="Times New Roman"/>
          <w:sz w:val="24"/>
          <w:szCs w:val="24"/>
        </w:rPr>
        <w:t xml:space="preserve"> S. A study of Guillain–Barré syndrome with reference to cranial neuropathy and its prognostic implication. J </w:t>
      </w:r>
      <w:proofErr w:type="spellStart"/>
      <w:r>
        <w:rPr>
          <w:rFonts w:ascii="Times New Roman" w:eastAsia="Times New Roman" w:hAnsi="Times New Roman" w:cs="Times New Roman"/>
          <w:sz w:val="24"/>
          <w:szCs w:val="24"/>
        </w:rPr>
        <w:t>Neurosci</w:t>
      </w:r>
      <w:proofErr w:type="spellEnd"/>
      <w:r>
        <w:rPr>
          <w:rFonts w:ascii="Times New Roman" w:eastAsia="Times New Roman" w:hAnsi="Times New Roman" w:cs="Times New Roman"/>
          <w:sz w:val="24"/>
          <w:szCs w:val="24"/>
        </w:rPr>
        <w:t xml:space="preserve"> Rural </w:t>
      </w:r>
      <w:proofErr w:type="spellStart"/>
      <w:r>
        <w:rPr>
          <w:rFonts w:ascii="Times New Roman" w:eastAsia="Times New Roman" w:hAnsi="Times New Roman" w:cs="Times New Roman"/>
          <w:sz w:val="24"/>
          <w:szCs w:val="24"/>
        </w:rPr>
        <w:t>Pract</w:t>
      </w:r>
      <w:proofErr w:type="spellEnd"/>
      <w:r>
        <w:rPr>
          <w:rFonts w:ascii="Times New Roman" w:eastAsia="Times New Roman" w:hAnsi="Times New Roman" w:cs="Times New Roman"/>
          <w:sz w:val="24"/>
          <w:szCs w:val="24"/>
        </w:rPr>
        <w:t xml:space="preserve"> 2014</w:t>
      </w:r>
      <w:proofErr w:type="gramStart"/>
      <w:r>
        <w:rPr>
          <w:rFonts w:ascii="Times New Roman" w:eastAsia="Times New Roman" w:hAnsi="Times New Roman" w:cs="Times New Roman"/>
          <w:sz w:val="24"/>
          <w:szCs w:val="24"/>
        </w:rPr>
        <w:t>;5</w:t>
      </w:r>
      <w:proofErr w:type="gramEnd"/>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Suppl</w:t>
      </w:r>
      <w:proofErr w:type="spellEnd"/>
      <w:r>
        <w:rPr>
          <w:rFonts w:ascii="Times New Roman" w:eastAsia="Times New Roman" w:hAnsi="Times New Roman" w:cs="Times New Roman"/>
          <w:sz w:val="24"/>
          <w:szCs w:val="24"/>
        </w:rPr>
        <w:t xml:space="preserve"> 1):S43–47. </w:t>
      </w:r>
      <w:hyperlink r:id="rId16">
        <w:r w:rsidR="00453C1B">
          <w:rPr>
            <w:rFonts w:ascii="Times New Roman" w:eastAsia="Times New Roman" w:hAnsi="Times New Roman" w:cs="Times New Roman"/>
            <w:color w:val="1155CC"/>
            <w:sz w:val="24"/>
            <w:szCs w:val="24"/>
            <w:u w:val="single"/>
          </w:rPr>
          <w:t>https://doi.org/10.4103/0976-3147.145200</w:t>
        </w:r>
      </w:hyperlink>
      <w:r>
        <w:rPr>
          <w:rFonts w:ascii="Times New Roman" w:eastAsia="Times New Roman" w:hAnsi="Times New Roman" w:cs="Times New Roman"/>
          <w:sz w:val="24"/>
          <w:szCs w:val="24"/>
        </w:rPr>
        <w:t>.</w:t>
      </w:r>
    </w:p>
    <w:p w14:paraId="72AFE16B" w14:textId="77777777" w:rsidR="00453C1B" w:rsidRDefault="00163369">
      <w:pPr>
        <w:numPr>
          <w:ilvl w:val="0"/>
          <w:numId w:val="1"/>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Bellanti R, Rinaldi S. Guillain–Barré syndrome: a comprehensive review. Eur J Neurol 2024</w:t>
      </w:r>
      <w:proofErr w:type="gramStart"/>
      <w:r>
        <w:rPr>
          <w:rFonts w:ascii="Times New Roman" w:eastAsia="Times New Roman" w:hAnsi="Times New Roman" w:cs="Times New Roman"/>
          <w:sz w:val="24"/>
          <w:szCs w:val="24"/>
        </w:rPr>
        <w:t>;31:e16365</w:t>
      </w:r>
      <w:proofErr w:type="gramEnd"/>
      <w:r>
        <w:rPr>
          <w:rFonts w:ascii="Times New Roman" w:eastAsia="Times New Roman" w:hAnsi="Times New Roman" w:cs="Times New Roman"/>
          <w:sz w:val="24"/>
          <w:szCs w:val="24"/>
        </w:rPr>
        <w:t xml:space="preserve">. </w:t>
      </w:r>
      <w:hyperlink r:id="rId17">
        <w:r w:rsidR="00453C1B">
          <w:rPr>
            <w:rFonts w:ascii="Times New Roman" w:eastAsia="Times New Roman" w:hAnsi="Times New Roman" w:cs="Times New Roman"/>
            <w:color w:val="1155CC"/>
            <w:sz w:val="24"/>
            <w:szCs w:val="24"/>
            <w:u w:val="single"/>
          </w:rPr>
          <w:t>https://doi.org/10.1111/ene.16365</w:t>
        </w:r>
      </w:hyperlink>
      <w:r>
        <w:rPr>
          <w:rFonts w:ascii="Times New Roman" w:eastAsia="Times New Roman" w:hAnsi="Times New Roman" w:cs="Times New Roman"/>
          <w:sz w:val="24"/>
          <w:szCs w:val="24"/>
        </w:rPr>
        <w:t>.</w:t>
      </w:r>
    </w:p>
    <w:p w14:paraId="6067C266" w14:textId="77777777" w:rsidR="00453C1B" w:rsidRDefault="00163369">
      <w:pPr>
        <w:numPr>
          <w:ilvl w:val="0"/>
          <w:numId w:val="1"/>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Joshi R, </w:t>
      </w:r>
      <w:proofErr w:type="spellStart"/>
      <w:r>
        <w:rPr>
          <w:rFonts w:ascii="Times New Roman" w:eastAsia="Times New Roman" w:hAnsi="Times New Roman" w:cs="Times New Roman"/>
          <w:sz w:val="24"/>
          <w:szCs w:val="24"/>
        </w:rPr>
        <w:t>Mendhe</w:t>
      </w:r>
      <w:proofErr w:type="spellEnd"/>
      <w:r>
        <w:rPr>
          <w:rFonts w:ascii="Times New Roman" w:eastAsia="Times New Roman" w:hAnsi="Times New Roman" w:cs="Times New Roman"/>
          <w:sz w:val="24"/>
          <w:szCs w:val="24"/>
        </w:rPr>
        <w:t xml:space="preserve"> D, </w:t>
      </w:r>
      <w:proofErr w:type="spellStart"/>
      <w:r>
        <w:rPr>
          <w:rFonts w:ascii="Times New Roman" w:eastAsia="Times New Roman" w:hAnsi="Times New Roman" w:cs="Times New Roman"/>
          <w:sz w:val="24"/>
          <w:szCs w:val="24"/>
        </w:rPr>
        <w:t>Wanjari</w:t>
      </w:r>
      <w:proofErr w:type="spellEnd"/>
      <w:r>
        <w:rPr>
          <w:rFonts w:ascii="Times New Roman" w:eastAsia="Times New Roman" w:hAnsi="Times New Roman" w:cs="Times New Roman"/>
          <w:sz w:val="24"/>
          <w:szCs w:val="24"/>
        </w:rPr>
        <w:t xml:space="preserve"> M. Guillain–Barré syndrome: a case report and literature review. J Pharm Res Int 2021</w:t>
      </w:r>
      <w:proofErr w:type="gramStart"/>
      <w:r>
        <w:rPr>
          <w:rFonts w:ascii="Times New Roman" w:eastAsia="Times New Roman" w:hAnsi="Times New Roman" w:cs="Times New Roman"/>
          <w:sz w:val="24"/>
          <w:szCs w:val="24"/>
        </w:rPr>
        <w:t>;33:158</w:t>
      </w:r>
      <w:proofErr w:type="gramEnd"/>
      <w:r>
        <w:rPr>
          <w:rFonts w:ascii="Times New Roman" w:eastAsia="Times New Roman" w:hAnsi="Times New Roman" w:cs="Times New Roman"/>
          <w:sz w:val="24"/>
          <w:szCs w:val="24"/>
        </w:rPr>
        <w:t xml:space="preserve">–61. </w:t>
      </w:r>
      <w:hyperlink r:id="rId18">
        <w:r w:rsidR="00453C1B">
          <w:rPr>
            <w:rFonts w:ascii="Times New Roman" w:eastAsia="Times New Roman" w:hAnsi="Times New Roman" w:cs="Times New Roman"/>
            <w:color w:val="1155CC"/>
            <w:sz w:val="24"/>
            <w:szCs w:val="24"/>
            <w:u w:val="single"/>
          </w:rPr>
          <w:t>https://doi.org/10.9734/jpri/2021/v33i58A34101</w:t>
        </w:r>
      </w:hyperlink>
      <w:r>
        <w:rPr>
          <w:rFonts w:ascii="Times New Roman" w:eastAsia="Times New Roman" w:hAnsi="Times New Roman" w:cs="Times New Roman"/>
          <w:sz w:val="24"/>
          <w:szCs w:val="24"/>
        </w:rPr>
        <w:t>.</w:t>
      </w:r>
    </w:p>
    <w:p w14:paraId="0799BF11" w14:textId="77777777" w:rsidR="00453C1B" w:rsidRDefault="00453C1B">
      <w:pPr>
        <w:spacing w:line="360" w:lineRule="auto"/>
        <w:jc w:val="both"/>
        <w:rPr>
          <w:rFonts w:ascii="Times New Roman" w:eastAsia="Times New Roman" w:hAnsi="Times New Roman" w:cs="Times New Roman"/>
          <w:sz w:val="24"/>
          <w:szCs w:val="24"/>
        </w:rPr>
      </w:pPr>
    </w:p>
    <w:sectPr w:rsidR="00453C1B">
      <w:headerReference w:type="even" r:id="rId19"/>
      <w:headerReference w:type="default" r:id="rId20"/>
      <w:footerReference w:type="even" r:id="rId21"/>
      <w:footerReference w:type="default" r:id="rId22"/>
      <w:headerReference w:type="first" r:id="rId23"/>
      <w:footerReference w:type="first" r:id="rId24"/>
      <w:pgSz w:w="11906" w:h="16838"/>
      <w:pgMar w:top="1440" w:right="1440" w:bottom="1440" w:left="1440" w:header="720" w:footer="720" w:gutter="0"/>
      <w:pgNumType w:start="1"/>
      <w:cols w:space="72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0" w:author="User" w:date="2026-05-07T11:29:00Z" w:initials="U">
    <w:p w14:paraId="5D764F31" w14:textId="6D21F265" w:rsidR="00CF0D3A" w:rsidRDefault="00CF0D3A">
      <w:pPr>
        <w:pStyle w:val="CommentText"/>
      </w:pPr>
      <w:r>
        <w:rPr>
          <w:rStyle w:val="CommentReference"/>
        </w:rPr>
        <w:annotationRef/>
      </w:r>
      <w:r>
        <w:t>Title is appropriate</w:t>
      </w:r>
    </w:p>
  </w:comment>
  <w:comment w:id="1" w:author="User" w:date="2026-05-07T11:31:00Z" w:initials="U">
    <w:p w14:paraId="6B690588" w14:textId="2C69778A" w:rsidR="00CF0D3A" w:rsidRDefault="00CF0D3A">
      <w:pPr>
        <w:pStyle w:val="CommentText"/>
      </w:pPr>
      <w:r>
        <w:rPr>
          <w:rStyle w:val="CommentReference"/>
        </w:rPr>
        <w:annotationRef/>
      </w:r>
      <w:proofErr w:type="gramStart"/>
      <w:r>
        <w:t>if</w:t>
      </w:r>
      <w:proofErr w:type="gramEnd"/>
      <w:r>
        <w:t xml:space="preserve"> specific subtype is included in the title may give a scientific validity</w:t>
      </w:r>
    </w:p>
  </w:comment>
  <w:comment w:id="2" w:author="User" w:date="2026-05-07T11:32:00Z" w:initials="U">
    <w:p w14:paraId="651BA273" w14:textId="02FFFFF4" w:rsidR="00CF0D3A" w:rsidRDefault="00CF0D3A">
      <w:pPr>
        <w:pStyle w:val="CommentText"/>
      </w:pPr>
      <w:r>
        <w:rPr>
          <w:rStyle w:val="CommentReference"/>
        </w:rPr>
        <w:annotationRef/>
      </w:r>
      <w:r>
        <w:t xml:space="preserve">It’s Relevant and concise </w:t>
      </w:r>
    </w:p>
  </w:comment>
  <w:comment w:id="3" w:author="User" w:date="2026-05-07T11:35:00Z" w:initials="U">
    <w:p w14:paraId="618E18E6" w14:textId="69C3778D" w:rsidR="00CF0D3A" w:rsidRDefault="00CF0D3A">
      <w:pPr>
        <w:pStyle w:val="CommentText"/>
      </w:pPr>
      <w:r>
        <w:rPr>
          <w:rStyle w:val="CommentReference"/>
        </w:rPr>
        <w:annotationRef/>
      </w:r>
      <w:r>
        <w:t>It would be very useful to mention elaborately about the successful switch to IVIG</w:t>
      </w:r>
    </w:p>
  </w:comment>
  <w:comment w:id="4" w:author="User" w:date="2026-05-07T11:35:00Z" w:initials="U">
    <w:p w14:paraId="203F8546" w14:textId="6A2823B9" w:rsidR="00CF0D3A" w:rsidRDefault="00CF0D3A" w:rsidP="00CF0D3A">
      <w:r>
        <w:rPr>
          <w:rStyle w:val="CommentReference"/>
        </w:rPr>
        <w:annotationRef/>
      </w:r>
      <w:proofErr w:type="gramStart"/>
      <w:r>
        <w:t>shall</w:t>
      </w:r>
      <w:proofErr w:type="gramEnd"/>
      <w:r>
        <w:t xml:space="preserve"> clarify whether CSF analysis was performed.</w:t>
      </w:r>
    </w:p>
    <w:p w14:paraId="0ACE48A6" w14:textId="26C5B56A" w:rsidR="00CF0D3A" w:rsidRDefault="00CF0D3A">
      <w:pPr>
        <w:pStyle w:val="CommentText"/>
      </w:pPr>
    </w:p>
  </w:comment>
  <w:comment w:id="5" w:author="User" w:date="2026-05-07T12:15:00Z" w:initials="U">
    <w:p w14:paraId="11BF77B5" w14:textId="0A8B4AF7" w:rsidR="00974F1D" w:rsidRDefault="00974F1D">
      <w:pPr>
        <w:pStyle w:val="CommentText"/>
      </w:pPr>
      <w:r>
        <w:rPr>
          <w:rStyle w:val="CommentReference"/>
        </w:rPr>
        <w:annotationRef/>
      </w:r>
      <w:proofErr w:type="gramStart"/>
      <w:r>
        <w:t>capitalization</w:t>
      </w:r>
      <w:proofErr w:type="gramEnd"/>
      <w:r>
        <w:t xml:space="preserve"> inconsistency</w:t>
      </w:r>
    </w:p>
  </w:comment>
  <w:comment w:id="6" w:author="User" w:date="2026-05-07T12:16:00Z" w:initials="U">
    <w:p w14:paraId="1CC78A5F" w14:textId="4C92756C" w:rsidR="00974F1D" w:rsidRDefault="00974F1D">
      <w:pPr>
        <w:pStyle w:val="CommentText"/>
      </w:pPr>
      <w:r>
        <w:rPr>
          <w:rStyle w:val="CommentReference"/>
        </w:rPr>
        <w:annotationRef/>
      </w:r>
      <w:proofErr w:type="gramStart"/>
      <w:r>
        <w:t>punctuation</w:t>
      </w:r>
      <w:proofErr w:type="gramEnd"/>
      <w:r>
        <w:t xml:space="preserve"> issue</w:t>
      </w:r>
      <w:r>
        <w:t xml:space="preserve">. </w:t>
      </w:r>
    </w:p>
  </w:comment>
  <w:comment w:id="7" w:author="User" w:date="2026-05-07T11:36:00Z" w:initials="U">
    <w:p w14:paraId="20EF5C68" w14:textId="2C9FCF84" w:rsidR="00CF0D3A" w:rsidRDefault="00CF0D3A">
      <w:pPr>
        <w:pStyle w:val="CommentText"/>
      </w:pPr>
      <w:r>
        <w:rPr>
          <w:rStyle w:val="CommentReference"/>
        </w:rPr>
        <w:annotationRef/>
      </w:r>
      <w:proofErr w:type="gramStart"/>
      <w:r>
        <w:t>satisfactory</w:t>
      </w:r>
      <w:proofErr w:type="gramEnd"/>
      <w:r>
        <w:t xml:space="preserve"> and adequate</w:t>
      </w:r>
    </w:p>
  </w:comment>
  <w:comment w:id="8" w:author="User" w:date="2026-05-07T11:37:00Z" w:initials="U">
    <w:p w14:paraId="3F4A5A31" w14:textId="35341F18" w:rsidR="00CF0D3A" w:rsidRDefault="00CF0D3A">
      <w:pPr>
        <w:pStyle w:val="CommentText"/>
      </w:pPr>
      <w:r>
        <w:rPr>
          <w:rStyle w:val="CommentReference"/>
        </w:rPr>
        <w:annotationRef/>
      </w:r>
      <w:r>
        <w:t xml:space="preserve">An </w:t>
      </w:r>
      <w:proofErr w:type="gramStart"/>
      <w:r>
        <w:t xml:space="preserve">explanation </w:t>
      </w:r>
      <w:r>
        <w:t>.</w:t>
      </w:r>
      <w:proofErr w:type="gramEnd"/>
      <w:r>
        <w:t xml:space="preserve"> A </w:t>
      </w:r>
      <w:r>
        <w:t xml:space="preserve">about </w:t>
      </w:r>
      <w:r>
        <w:t xml:space="preserve">the frequency and prognostic significance of autonomic dysfunction in GBS </w:t>
      </w:r>
      <w:r>
        <w:t xml:space="preserve">may enhance the </w:t>
      </w:r>
      <w:r>
        <w:t>background section</w:t>
      </w:r>
    </w:p>
  </w:comment>
  <w:comment w:id="9" w:author="User" w:date="2026-05-07T11:38:00Z" w:initials="U">
    <w:p w14:paraId="27B238DA" w14:textId="2EEC8EC4" w:rsidR="00CF0D3A" w:rsidRDefault="00CF0D3A">
      <w:pPr>
        <w:pStyle w:val="CommentText"/>
      </w:pPr>
      <w:r>
        <w:rPr>
          <w:rStyle w:val="CommentReference"/>
        </w:rPr>
        <w:annotationRef/>
      </w:r>
      <w:proofErr w:type="gramStart"/>
      <w:r>
        <w:t>spacing</w:t>
      </w:r>
      <w:proofErr w:type="gramEnd"/>
    </w:p>
  </w:comment>
  <w:comment w:id="10" w:author="User" w:date="2026-05-07T12:18:00Z" w:initials="U">
    <w:p w14:paraId="29AF995C" w14:textId="55F02A47" w:rsidR="00974F1D" w:rsidRDefault="00974F1D">
      <w:pPr>
        <w:pStyle w:val="CommentText"/>
      </w:pPr>
      <w:r>
        <w:rPr>
          <w:rStyle w:val="CommentReference"/>
        </w:rPr>
        <w:annotationRef/>
      </w:r>
      <w:proofErr w:type="gramStart"/>
      <w:r>
        <w:t>vocabulary</w:t>
      </w:r>
      <w:proofErr w:type="gramEnd"/>
      <w:r>
        <w:t xml:space="preserve"> correction . </w:t>
      </w:r>
      <w:proofErr w:type="spellStart"/>
      <w:proofErr w:type="gramStart"/>
      <w:r>
        <w:t>i.e</w:t>
      </w:r>
      <w:proofErr w:type="spellEnd"/>
      <w:proofErr w:type="gramEnd"/>
      <w:r>
        <w:t xml:space="preserve"> complicates both </w:t>
      </w:r>
      <w:r w:rsidRPr="00974F1D">
        <w:rPr>
          <w:b/>
        </w:rPr>
        <w:t xml:space="preserve">the </w:t>
      </w:r>
      <w:r>
        <w:t>disease</w:t>
      </w:r>
    </w:p>
  </w:comment>
  <w:comment w:id="11" w:author="User" w:date="2026-05-07T11:39:00Z" w:initials="U">
    <w:p w14:paraId="442DCEE4" w14:textId="3EF1B821" w:rsidR="00CF0D3A" w:rsidRDefault="00CF0D3A">
      <w:pPr>
        <w:pStyle w:val="CommentText"/>
      </w:pPr>
      <w:r>
        <w:rPr>
          <w:rStyle w:val="CommentReference"/>
        </w:rPr>
        <w:annotationRef/>
      </w:r>
      <w:r>
        <w:t xml:space="preserve">The </w:t>
      </w:r>
      <w:r>
        <w:t>case or clinical history was</w:t>
      </w:r>
      <w:r>
        <w:t xml:space="preserve"> clearly</w:t>
      </w:r>
      <w:r>
        <w:t xml:space="preserve"> </w:t>
      </w:r>
      <w:r>
        <w:t>described</w:t>
      </w:r>
    </w:p>
  </w:comment>
  <w:comment w:id="12" w:author="User" w:date="2026-05-07T11:41:00Z" w:initials="U">
    <w:p w14:paraId="3E23BCDD" w14:textId="3643969D" w:rsidR="00CF0D3A" w:rsidRDefault="00CF0D3A">
      <w:pPr>
        <w:pStyle w:val="CommentText"/>
      </w:pPr>
      <w:r>
        <w:rPr>
          <w:rStyle w:val="CommentReference"/>
        </w:rPr>
        <w:annotationRef/>
      </w:r>
      <w:r>
        <w:t xml:space="preserve">But the </w:t>
      </w:r>
      <w:r>
        <w:t>timelin</w:t>
      </w:r>
      <w:r>
        <w:t xml:space="preserve">e of symptom progression shall be </w:t>
      </w:r>
      <w:r>
        <w:t>presented more systematically.</w:t>
      </w:r>
    </w:p>
  </w:comment>
  <w:comment w:id="13" w:author="User" w:date="2026-05-07T11:43:00Z" w:initials="U">
    <w:p w14:paraId="7063AD41" w14:textId="642116E5" w:rsidR="00CF0D3A" w:rsidRDefault="00CF0D3A" w:rsidP="00CF0D3A">
      <w:r>
        <w:rPr>
          <w:rStyle w:val="CommentReference"/>
        </w:rPr>
        <w:annotationRef/>
      </w:r>
      <w:proofErr w:type="gramStart"/>
      <w:r>
        <w:t>still</w:t>
      </w:r>
      <w:proofErr w:type="gramEnd"/>
      <w:r>
        <w:t xml:space="preserve"> more clarity can be achieved by adding either a </w:t>
      </w:r>
      <w:r>
        <w:t xml:space="preserve">small timeline table or flowchart </w:t>
      </w:r>
      <w:r>
        <w:t xml:space="preserve">which </w:t>
      </w:r>
      <w:r>
        <w:t xml:space="preserve">summarizing onset of gastroenteritis, neurological symptoms, autonomic symptoms, </w:t>
      </w:r>
      <w:proofErr w:type="spellStart"/>
      <w:r>
        <w:t>plasmapheresis</w:t>
      </w:r>
      <w:proofErr w:type="spellEnd"/>
      <w:r>
        <w:t xml:space="preserve"> sessions, and IVIG treatment </w:t>
      </w:r>
    </w:p>
    <w:p w14:paraId="0C8B381C" w14:textId="5C3B777C" w:rsidR="00CF0D3A" w:rsidRDefault="00CF0D3A">
      <w:pPr>
        <w:pStyle w:val="CommentText"/>
      </w:pPr>
    </w:p>
  </w:comment>
  <w:comment w:id="14" w:author="User" w:date="2026-05-07T12:20:00Z" w:initials="U">
    <w:p w14:paraId="7992C121" w14:textId="1D9A5F10" w:rsidR="00974F1D" w:rsidRDefault="00974F1D">
      <w:pPr>
        <w:pStyle w:val="CommentText"/>
      </w:pPr>
      <w:r>
        <w:rPr>
          <w:rStyle w:val="CommentReference"/>
        </w:rPr>
        <w:annotationRef/>
      </w:r>
      <w:r>
        <w:t xml:space="preserve">Grammar mistake it should be sentenced like this </w:t>
      </w:r>
      <w:proofErr w:type="spellStart"/>
      <w:r>
        <w:t>i.e</w:t>
      </w:r>
      <w:proofErr w:type="spellEnd"/>
      <w:r>
        <w:t xml:space="preserve"> n</w:t>
      </w:r>
      <w:r>
        <w:t>o known comorbidities or recent vaccination history, presented with progressive limb weakness</w:t>
      </w:r>
    </w:p>
  </w:comment>
  <w:comment w:id="15" w:author="User" w:date="2026-05-07T12:21:00Z" w:initials="U">
    <w:p w14:paraId="42574AC3" w14:textId="00BB0DDD" w:rsidR="002C68A5" w:rsidRDefault="002C68A5">
      <w:pPr>
        <w:pStyle w:val="CommentText"/>
      </w:pPr>
      <w:r>
        <w:rPr>
          <w:rStyle w:val="CommentReference"/>
        </w:rPr>
        <w:annotationRef/>
      </w:r>
      <w:proofErr w:type="gramStart"/>
      <w:r>
        <w:t>word</w:t>
      </w:r>
      <w:proofErr w:type="gramEnd"/>
      <w:r>
        <w:t xml:space="preserve"> choice error: it shall be outside vendor. As </w:t>
      </w:r>
      <w:r>
        <w:t>External vendor” sounds unnatural in clinical writing</w:t>
      </w:r>
    </w:p>
  </w:comment>
  <w:comment w:id="16" w:author="User" w:date="2026-05-07T12:24:00Z" w:initials="U">
    <w:p w14:paraId="29032D9A" w14:textId="66C4F0BD" w:rsidR="002C68A5" w:rsidRDefault="002C68A5">
      <w:pPr>
        <w:pStyle w:val="CommentText"/>
      </w:pPr>
      <w:r>
        <w:rPr>
          <w:rStyle w:val="CommentReference"/>
        </w:rPr>
        <w:annotationRef/>
      </w:r>
      <w:proofErr w:type="gramStart"/>
      <w:r>
        <w:t>missing</w:t>
      </w:r>
      <w:proofErr w:type="gramEnd"/>
      <w:r>
        <w:t xml:space="preserve"> comma</w:t>
      </w:r>
    </w:p>
  </w:comment>
  <w:comment w:id="17" w:author="User" w:date="2026-05-07T12:25:00Z" w:initials="U">
    <w:p w14:paraId="2C547214" w14:textId="075D9D79" w:rsidR="002C68A5" w:rsidRDefault="002C68A5">
      <w:pPr>
        <w:pStyle w:val="CommentText"/>
      </w:pPr>
      <w:r>
        <w:rPr>
          <w:rStyle w:val="CommentReference"/>
        </w:rPr>
        <w:annotationRef/>
      </w:r>
      <w:r>
        <w:t xml:space="preserve">Redundant wording issue. </w:t>
      </w:r>
      <w:proofErr w:type="gramStart"/>
      <w:r>
        <w:t>repetition</w:t>
      </w:r>
      <w:proofErr w:type="gramEnd"/>
      <w:r>
        <w:t xml:space="preserve"> of tingling</w:t>
      </w:r>
    </w:p>
  </w:comment>
  <w:comment w:id="18" w:author="User" w:date="2026-05-07T12:26:00Z" w:initials="U">
    <w:p w14:paraId="2D6EDC90" w14:textId="5329F207" w:rsidR="002C68A5" w:rsidRDefault="002C68A5">
      <w:pPr>
        <w:pStyle w:val="CommentText"/>
      </w:pPr>
      <w:r>
        <w:rPr>
          <w:rStyle w:val="CommentReference"/>
        </w:rPr>
        <w:annotationRef/>
      </w:r>
      <w:proofErr w:type="gramStart"/>
      <w:r>
        <w:t>shall</w:t>
      </w:r>
      <w:proofErr w:type="gramEnd"/>
      <w:r>
        <w:t xml:space="preserve"> be written as </w:t>
      </w:r>
      <w:r>
        <w:t xml:space="preserve">tongue </w:t>
      </w:r>
      <w:proofErr w:type="spellStart"/>
      <w:r>
        <w:t>paresthesia</w:t>
      </w:r>
      <w:proofErr w:type="spellEnd"/>
    </w:p>
  </w:comment>
  <w:comment w:id="19" w:author="User" w:date="2026-05-07T12:27:00Z" w:initials="U">
    <w:p w14:paraId="0B36C91E" w14:textId="7931880C" w:rsidR="002C68A5" w:rsidRDefault="002C68A5">
      <w:pPr>
        <w:pStyle w:val="CommentText"/>
      </w:pPr>
      <w:r>
        <w:rPr>
          <w:rStyle w:val="CommentReference"/>
        </w:rPr>
        <w:annotationRef/>
      </w:r>
      <w:r>
        <w:t xml:space="preserve">Grammar correction an </w:t>
      </w:r>
      <w:proofErr w:type="spellStart"/>
      <w:proofErr w:type="gramStart"/>
      <w:r>
        <w:t>misssing.i.e</w:t>
      </w:r>
      <w:proofErr w:type="spellEnd"/>
      <w:r>
        <w:t xml:space="preserve">  </w:t>
      </w:r>
      <w:r>
        <w:t>leading</w:t>
      </w:r>
      <w:proofErr w:type="gramEnd"/>
      <w:r>
        <w:t xml:space="preserve"> to an inability to stand</w:t>
      </w:r>
    </w:p>
  </w:comment>
  <w:comment w:id="20" w:author="User" w:date="2026-05-07T12:28:00Z" w:initials="U">
    <w:p w14:paraId="7C3D1F6E" w14:textId="5754AB03" w:rsidR="002C68A5" w:rsidRDefault="002C68A5">
      <w:pPr>
        <w:pStyle w:val="CommentText"/>
      </w:pPr>
      <w:r>
        <w:rPr>
          <w:rStyle w:val="CommentReference"/>
        </w:rPr>
        <w:annotationRef/>
      </w:r>
      <w:proofErr w:type="spellStart"/>
      <w:proofErr w:type="gramStart"/>
      <w:r>
        <w:t>semtence</w:t>
      </w:r>
      <w:proofErr w:type="spellEnd"/>
      <w:proofErr w:type="gramEnd"/>
      <w:r>
        <w:t xml:space="preserve"> framing issue; shall be written as , </w:t>
      </w:r>
      <w:r>
        <w:t xml:space="preserve">where he was clinically diagnosed with </w:t>
      </w:r>
      <w:proofErr w:type="spellStart"/>
      <w:r>
        <w:t>Guillain-Barré</w:t>
      </w:r>
      <w:proofErr w:type="spellEnd"/>
      <w:r>
        <w:t xml:space="preserve"> syndrome</w:t>
      </w:r>
    </w:p>
  </w:comment>
  <w:comment w:id="21" w:author="User" w:date="2026-05-07T12:29:00Z" w:initials="U">
    <w:p w14:paraId="66317358" w14:textId="220E6929" w:rsidR="002C68A5" w:rsidRDefault="002C68A5">
      <w:pPr>
        <w:pStyle w:val="CommentText"/>
      </w:pPr>
      <w:r>
        <w:rPr>
          <w:rStyle w:val="CommentReference"/>
        </w:rPr>
        <w:annotationRef/>
      </w:r>
      <w:r>
        <w:t xml:space="preserve">Vocabulary refinement </w:t>
      </w:r>
      <w:proofErr w:type="gramStart"/>
      <w:r>
        <w:t>needed .</w:t>
      </w:r>
      <w:proofErr w:type="gramEnd"/>
      <w:r>
        <w:t xml:space="preserve"> </w:t>
      </w:r>
      <w:proofErr w:type="gramStart"/>
      <w:r>
        <w:t>scientific</w:t>
      </w:r>
      <w:proofErr w:type="gramEnd"/>
      <w:r>
        <w:t xml:space="preserve"> terminology issue. </w:t>
      </w:r>
      <w:proofErr w:type="gramStart"/>
      <w:r>
        <w:t>shall</w:t>
      </w:r>
      <w:proofErr w:type="gramEnd"/>
      <w:r>
        <w:t xml:space="preserve"> be written as , </w:t>
      </w:r>
      <w:r>
        <w:t>episodes of dyspnea, diaphoresis, and hypotension during therapy</w:t>
      </w:r>
    </w:p>
  </w:comment>
  <w:comment w:id="22" w:author="User" w:date="2026-05-07T11:43:00Z" w:initials="U">
    <w:p w14:paraId="64784401" w14:textId="467494CB" w:rsidR="00CF0D3A" w:rsidRDefault="00CF0D3A">
      <w:pPr>
        <w:pStyle w:val="CommentText"/>
      </w:pPr>
      <w:r>
        <w:rPr>
          <w:rStyle w:val="CommentReference"/>
        </w:rPr>
        <w:annotationRef/>
      </w:r>
      <w:proofErr w:type="gramStart"/>
      <w:r>
        <w:t>spacing</w:t>
      </w:r>
      <w:proofErr w:type="gramEnd"/>
      <w:r>
        <w:t xml:space="preserve"> error</w:t>
      </w:r>
    </w:p>
  </w:comment>
  <w:comment w:id="23" w:author="User" w:date="2026-05-07T12:30:00Z" w:initials="U">
    <w:p w14:paraId="1DE51546" w14:textId="639F9EAD" w:rsidR="002C68A5" w:rsidRDefault="002C68A5">
      <w:pPr>
        <w:pStyle w:val="CommentText"/>
      </w:pPr>
      <w:r>
        <w:rPr>
          <w:rStyle w:val="CommentReference"/>
        </w:rPr>
        <w:annotationRef/>
      </w:r>
      <w:r>
        <w:t>Comma splice error</w:t>
      </w:r>
    </w:p>
  </w:comment>
  <w:comment w:id="24" w:author="User" w:date="2026-05-07T12:31:00Z" w:initials="U">
    <w:p w14:paraId="7D973FB7" w14:textId="6E2D6545" w:rsidR="002C68A5" w:rsidRDefault="002C68A5">
      <w:pPr>
        <w:pStyle w:val="CommentText"/>
      </w:pPr>
      <w:r>
        <w:rPr>
          <w:rStyle w:val="CommentReference"/>
        </w:rPr>
        <w:annotationRef/>
      </w:r>
      <w:r>
        <w:t xml:space="preserve">Grammar issue. </w:t>
      </w:r>
      <w:proofErr w:type="gramStart"/>
      <w:r>
        <w:t>shall</w:t>
      </w:r>
      <w:proofErr w:type="gramEnd"/>
      <w:r>
        <w:t xml:space="preserve"> use active voice, </w:t>
      </w:r>
      <w:proofErr w:type="spellStart"/>
      <w:r>
        <w:t>i.e</w:t>
      </w:r>
      <w:proofErr w:type="spellEnd"/>
      <w:r>
        <w:t xml:space="preserve"> </w:t>
      </w:r>
      <w:r>
        <w:t>The patient did not report significant pain or backache.</w:t>
      </w:r>
    </w:p>
  </w:comment>
  <w:comment w:id="25" w:author="User" w:date="2026-05-07T12:33:00Z" w:initials="U">
    <w:p w14:paraId="65254698" w14:textId="77777777" w:rsidR="00CA2FE7" w:rsidRPr="00CA2FE7" w:rsidRDefault="00CA2FE7" w:rsidP="00CA2FE7">
      <w:pPr>
        <w:numPr>
          <w:ilvl w:val="0"/>
          <w:numId w:val="2"/>
        </w:numPr>
        <w:spacing w:before="100" w:beforeAutospacing="1" w:after="100" w:afterAutospacing="1" w:line="240" w:lineRule="auto"/>
        <w:rPr>
          <w:rFonts w:ascii="Times New Roman" w:eastAsia="Times New Roman" w:hAnsi="Times New Roman" w:cs="Times New Roman"/>
          <w:sz w:val="24"/>
          <w:szCs w:val="24"/>
          <w:lang w:val="en-IN" w:eastAsia="en-IN"/>
        </w:rPr>
      </w:pPr>
      <w:r>
        <w:rPr>
          <w:rStyle w:val="CommentReference"/>
        </w:rPr>
        <w:annotationRef/>
      </w:r>
      <w:r>
        <w:t xml:space="preserve">Sentence inconsistency: </w:t>
      </w:r>
      <w:r w:rsidRPr="00CA2FE7">
        <w:rPr>
          <w:rFonts w:ascii="Times New Roman" w:eastAsia="Times New Roman" w:hAnsi="Times New Roman" w:cs="Times New Roman"/>
          <w:sz w:val="24"/>
          <w:szCs w:val="24"/>
          <w:lang w:val="en-IN" w:eastAsia="en-IN"/>
        </w:rPr>
        <w:t xml:space="preserve">Logically inconsistent asymmetry may require clarification clinically </w:t>
      </w:r>
    </w:p>
    <w:p w14:paraId="6212321F" w14:textId="4B0B077B" w:rsidR="00CA2FE7" w:rsidRPr="00CA2FE7" w:rsidRDefault="00CA2FE7" w:rsidP="00CA2FE7">
      <w:pPr>
        <w:spacing w:before="100" w:beforeAutospacing="1" w:after="100" w:afterAutospacing="1" w:line="240" w:lineRule="auto"/>
        <w:rPr>
          <w:rFonts w:ascii="Times New Roman" w:eastAsia="Times New Roman" w:hAnsi="Times New Roman" w:cs="Times New Roman"/>
          <w:sz w:val="24"/>
          <w:szCs w:val="24"/>
          <w:lang w:val="en-IN" w:eastAsia="en-IN"/>
        </w:rPr>
      </w:pPr>
      <w:r>
        <w:rPr>
          <w:rFonts w:ascii="Times New Roman" w:eastAsia="Times New Roman" w:hAnsi="Times New Roman" w:cs="Times New Roman"/>
          <w:sz w:val="24"/>
          <w:szCs w:val="24"/>
          <w:lang w:val="en-IN" w:eastAsia="en-IN"/>
        </w:rPr>
        <w:t xml:space="preserve">Here the </w:t>
      </w:r>
      <w:r w:rsidRPr="00CA2FE7">
        <w:rPr>
          <w:rFonts w:ascii="Times New Roman" w:eastAsia="Times New Roman" w:hAnsi="Times New Roman" w:cs="Times New Roman"/>
          <w:sz w:val="24"/>
          <w:szCs w:val="24"/>
          <w:lang w:val="en-IN" w:eastAsia="en-IN"/>
        </w:rPr>
        <w:t xml:space="preserve">Grammar acceptable, but clinically unusual </w:t>
      </w:r>
    </w:p>
    <w:p w14:paraId="7367BAA9" w14:textId="3188C887" w:rsidR="00CA2FE7" w:rsidRDefault="00CA2FE7">
      <w:pPr>
        <w:pStyle w:val="CommentText"/>
      </w:pPr>
    </w:p>
  </w:comment>
  <w:comment w:id="26" w:author="User" w:date="2026-05-07T12:34:00Z" w:initials="U">
    <w:p w14:paraId="012ADDDE" w14:textId="414A8471" w:rsidR="00CA2FE7" w:rsidRDefault="00CA2FE7">
      <w:pPr>
        <w:pStyle w:val="CommentText"/>
      </w:pPr>
      <w:r>
        <w:rPr>
          <w:rStyle w:val="CommentReference"/>
        </w:rPr>
        <w:annotationRef/>
      </w:r>
      <w:proofErr w:type="gramStart"/>
      <w:r>
        <w:t>vocabulary</w:t>
      </w:r>
      <w:proofErr w:type="gramEnd"/>
      <w:r>
        <w:t xml:space="preserve"> improvement: shall written as </w:t>
      </w:r>
      <w:r>
        <w:t>despite subjective sensory symptoms</w:t>
      </w:r>
    </w:p>
  </w:comment>
  <w:comment w:id="28" w:author="User" w:date="2026-05-07T12:35:00Z" w:initials="U">
    <w:p w14:paraId="1AC482CC" w14:textId="7EF57149" w:rsidR="00CA2FE7" w:rsidRDefault="00CA2FE7">
      <w:pPr>
        <w:pStyle w:val="CommentText"/>
      </w:pPr>
      <w:r>
        <w:rPr>
          <w:rStyle w:val="CommentReference"/>
        </w:rPr>
        <w:annotationRef/>
      </w:r>
      <w:proofErr w:type="gramStart"/>
      <w:r>
        <w:t>comma</w:t>
      </w:r>
      <w:proofErr w:type="gramEnd"/>
      <w:r>
        <w:t xml:space="preserve"> missing</w:t>
      </w:r>
    </w:p>
  </w:comment>
  <w:comment w:id="27" w:author="User" w:date="2026-05-07T11:48:00Z" w:initials="U">
    <w:p w14:paraId="0ED8D2F7" w14:textId="23D4AE6C" w:rsidR="00CF0D3A" w:rsidRDefault="00CF0D3A" w:rsidP="00CF0D3A">
      <w:r>
        <w:rPr>
          <w:rStyle w:val="CommentReference"/>
        </w:rPr>
        <w:annotationRef/>
      </w:r>
      <w:r>
        <w:t xml:space="preserve">The findings by Nerve conduction study </w:t>
      </w:r>
      <w:r>
        <w:t>require</w:t>
      </w:r>
      <w:r>
        <w:t>s</w:t>
      </w:r>
      <w:r>
        <w:t xml:space="preserve"> more detailed description. </w:t>
      </w:r>
      <w:r>
        <w:t xml:space="preserve">Kindly </w:t>
      </w:r>
      <w:r>
        <w:t xml:space="preserve">include relevant parameters such as conduction velocity, distal latency, F-wave abnormalities, and CMAP </w:t>
      </w:r>
      <w:proofErr w:type="gramStart"/>
      <w:r>
        <w:t xml:space="preserve">amplitudes </w:t>
      </w:r>
      <w:r w:rsidR="008974F5">
        <w:t xml:space="preserve"> as</w:t>
      </w:r>
      <w:proofErr w:type="gramEnd"/>
      <w:r w:rsidR="008974F5">
        <w:t xml:space="preserve"> </w:t>
      </w:r>
      <w:r>
        <w:t>supporting demyelinating neuropathy.</w:t>
      </w:r>
    </w:p>
    <w:p w14:paraId="017D11D5" w14:textId="3621C2F0" w:rsidR="00CF0D3A" w:rsidRDefault="00CF0D3A">
      <w:pPr>
        <w:pStyle w:val="CommentText"/>
      </w:pPr>
    </w:p>
  </w:comment>
  <w:comment w:id="29" w:author="User" w:date="2026-05-07T11:58:00Z" w:initials="U">
    <w:p w14:paraId="2E39DD9B" w14:textId="36D4A276" w:rsidR="008974F5" w:rsidRDefault="008974F5">
      <w:pPr>
        <w:pStyle w:val="CommentText"/>
      </w:pPr>
      <w:r>
        <w:rPr>
          <w:rStyle w:val="CommentReference"/>
        </w:rPr>
        <w:annotationRef/>
      </w:r>
      <w:r>
        <w:t>Table 1 is informative, but formatting may be improved for readability</w:t>
      </w:r>
    </w:p>
  </w:comment>
  <w:comment w:id="30" w:author="User" w:date="2026-05-07T12:35:00Z" w:initials="U">
    <w:p w14:paraId="29080478" w14:textId="22377229" w:rsidR="00CA2FE7" w:rsidRDefault="00CA2FE7">
      <w:pPr>
        <w:pStyle w:val="CommentText"/>
      </w:pPr>
      <w:r>
        <w:rPr>
          <w:rStyle w:val="CommentReference"/>
        </w:rPr>
        <w:annotationRef/>
      </w:r>
      <w:proofErr w:type="gramStart"/>
      <w:r>
        <w:t>spacing</w:t>
      </w:r>
      <w:proofErr w:type="gramEnd"/>
      <w:r>
        <w:t xml:space="preserve"> issue , alignment</w:t>
      </w:r>
    </w:p>
  </w:comment>
  <w:comment w:id="31" w:author="User" w:date="2026-05-07T12:36:00Z" w:initials="U">
    <w:p w14:paraId="4423545A" w14:textId="1F68123A" w:rsidR="00CA2FE7" w:rsidRDefault="00CA2FE7">
      <w:pPr>
        <w:pStyle w:val="CommentText"/>
      </w:pPr>
      <w:r>
        <w:rPr>
          <w:rStyle w:val="CommentReference"/>
        </w:rPr>
        <w:annotationRef/>
      </w:r>
      <w:proofErr w:type="gramStart"/>
      <w:r>
        <w:t>alignment</w:t>
      </w:r>
      <w:proofErr w:type="gramEnd"/>
      <w:r>
        <w:t xml:space="preserve"> and spacing issue</w:t>
      </w:r>
    </w:p>
  </w:comment>
  <w:comment w:id="32" w:author="User" w:date="2026-05-07T11:59:00Z" w:initials="U">
    <w:p w14:paraId="4090B699" w14:textId="24BE0637" w:rsidR="008974F5" w:rsidRDefault="008974F5" w:rsidP="008974F5">
      <w:r>
        <w:rPr>
          <w:rStyle w:val="CommentReference"/>
        </w:rPr>
        <w:annotationRef/>
      </w:r>
      <w:r>
        <w:t xml:space="preserve">MRI </w:t>
      </w:r>
      <w:proofErr w:type="spellStart"/>
      <w:r>
        <w:t>imges</w:t>
      </w:r>
      <w:r>
        <w:t>s</w:t>
      </w:r>
      <w:proofErr w:type="spellEnd"/>
      <w:r>
        <w:t xml:space="preserve"> </w:t>
      </w:r>
      <w:r>
        <w:t xml:space="preserve">are </w:t>
      </w:r>
      <w:proofErr w:type="gramStart"/>
      <w:r>
        <w:t>normal ,</w:t>
      </w:r>
      <w:proofErr w:type="gramEnd"/>
      <w:r>
        <w:t xml:space="preserve"> but had a little </w:t>
      </w:r>
      <w:r>
        <w:t>contribution</w:t>
      </w:r>
      <w:r>
        <w:t xml:space="preserve"> to the manuscript. I</w:t>
      </w:r>
    </w:p>
    <w:p w14:paraId="18B0AB18" w14:textId="4CA066B3" w:rsidR="008974F5" w:rsidRDefault="008974F5">
      <w:pPr>
        <w:pStyle w:val="CommentText"/>
      </w:pPr>
    </w:p>
  </w:comment>
  <w:comment w:id="33" w:author="User" w:date="2026-05-07T11:52:00Z" w:initials="U">
    <w:p w14:paraId="7DB6ADFE" w14:textId="4680951D" w:rsidR="008974F5" w:rsidRDefault="008974F5" w:rsidP="008974F5">
      <w:r>
        <w:rPr>
          <w:rStyle w:val="CommentReference"/>
        </w:rPr>
        <w:annotationRef/>
      </w:r>
      <w:r>
        <w:t xml:space="preserve">The rationale behind the treatment </w:t>
      </w:r>
      <w:proofErr w:type="gramStart"/>
      <w:r>
        <w:t xml:space="preserve">of  </w:t>
      </w:r>
      <w:r>
        <w:t>switching</w:t>
      </w:r>
      <w:proofErr w:type="gramEnd"/>
      <w:r>
        <w:t xml:space="preserve"> from </w:t>
      </w:r>
      <w:proofErr w:type="spellStart"/>
      <w:r>
        <w:t>plasmapheresis</w:t>
      </w:r>
      <w:proofErr w:type="spellEnd"/>
      <w:r>
        <w:t xml:space="preserve"> to IVIG is appropriate a</w:t>
      </w:r>
      <w:r>
        <w:t xml:space="preserve">nd clinically important. Meanwhile shall </w:t>
      </w:r>
      <w:r>
        <w:t>mention whether the patient required ICU monitoring during treatment.</w:t>
      </w:r>
    </w:p>
    <w:p w14:paraId="1AD7BD3A" w14:textId="61831B2E" w:rsidR="008974F5" w:rsidRDefault="008974F5">
      <w:pPr>
        <w:pStyle w:val="CommentText"/>
      </w:pPr>
    </w:p>
  </w:comment>
  <w:comment w:id="34" w:author="User" w:date="2026-05-07T12:10:00Z" w:initials="U">
    <w:p w14:paraId="48238ACF" w14:textId="5F2450F1" w:rsidR="0070072E" w:rsidRDefault="0070072E" w:rsidP="0070072E">
      <w:r>
        <w:rPr>
          <w:rStyle w:val="CommentReference"/>
        </w:rPr>
        <w:annotationRef/>
      </w:r>
      <w:r>
        <w:t xml:space="preserve">. </w:t>
      </w:r>
      <w:proofErr w:type="gramStart"/>
      <w:r>
        <w:t>at</w:t>
      </w:r>
      <w:proofErr w:type="gramEnd"/>
      <w:r>
        <w:t xml:space="preserve"> the end of this kindly </w:t>
      </w:r>
      <w:r>
        <w:t>mention the</w:t>
      </w:r>
      <w:r>
        <w:t xml:space="preserve"> status or condition of  patient </w:t>
      </w:r>
      <w:r>
        <w:t>at discharge and any improvement</w:t>
      </w:r>
      <w:r>
        <w:t>s</w:t>
      </w:r>
      <w:r>
        <w:t xml:space="preserve"> during subsequent follow-up visits.</w:t>
      </w:r>
    </w:p>
    <w:p w14:paraId="44A526EB" w14:textId="0ED2CD88" w:rsidR="0070072E" w:rsidRDefault="0070072E">
      <w:pPr>
        <w:pStyle w:val="CommentText"/>
      </w:pPr>
    </w:p>
  </w:comment>
  <w:comment w:id="35" w:author="User" w:date="2026-05-07T11:56:00Z" w:initials="U">
    <w:p w14:paraId="73B9197B" w14:textId="77777777" w:rsidR="008974F5" w:rsidRDefault="008974F5" w:rsidP="008974F5">
      <w:r>
        <w:rPr>
          <w:rStyle w:val="CommentReference"/>
        </w:rPr>
        <w:annotationRef/>
      </w:r>
      <w:r>
        <w:t xml:space="preserve">As autonomic instability is the key feature of this report, the discussion on </w:t>
      </w:r>
      <w:proofErr w:type="spellStart"/>
      <w:r>
        <w:t>dysautonomia</w:t>
      </w:r>
      <w:proofErr w:type="spellEnd"/>
      <w:r>
        <w:t xml:space="preserve"> shall be explained in detail. </w:t>
      </w:r>
    </w:p>
    <w:p w14:paraId="7DC9621A" w14:textId="31C57C0D" w:rsidR="008974F5" w:rsidRDefault="008974F5">
      <w:pPr>
        <w:pStyle w:val="CommentText"/>
      </w:pPr>
    </w:p>
  </w:comment>
  <w:comment w:id="36" w:author="User" w:date="2026-05-07T12:37:00Z" w:initials="U">
    <w:p w14:paraId="768FF01E" w14:textId="166EC7A3" w:rsidR="00CA2FE7" w:rsidRDefault="00CA2FE7">
      <w:pPr>
        <w:pStyle w:val="CommentText"/>
      </w:pPr>
      <w:r>
        <w:rPr>
          <w:rStyle w:val="CommentReference"/>
        </w:rPr>
        <w:annotationRef/>
      </w:r>
      <w:r>
        <w:t>Grammar issue: rapidly progressive</w:t>
      </w:r>
    </w:p>
  </w:comment>
  <w:comment w:id="37" w:author="User" w:date="2026-05-07T12:40:00Z" w:initials="U">
    <w:p w14:paraId="32ED86E4" w14:textId="2B02F2D4" w:rsidR="00CA2FE7" w:rsidRDefault="00CA2FE7">
      <w:pPr>
        <w:pStyle w:val="CommentText"/>
      </w:pPr>
      <w:r>
        <w:rPr>
          <w:rStyle w:val="CommentReference"/>
        </w:rPr>
        <w:annotationRef/>
      </w:r>
      <w:proofErr w:type="gramStart"/>
      <w:r>
        <w:t>shall</w:t>
      </w:r>
      <w:proofErr w:type="gramEnd"/>
      <w:r>
        <w:t xml:space="preserve"> be written as , </w:t>
      </w:r>
      <w:r>
        <w:t>approximately three days prior to the onset of neurological symptoms is notable</w:t>
      </w:r>
    </w:p>
  </w:comment>
  <w:comment w:id="38" w:author="User" w:date="2026-05-07T11:57:00Z" w:initials="U">
    <w:p w14:paraId="3B675B49" w14:textId="77777777" w:rsidR="008974F5" w:rsidRDefault="008974F5" w:rsidP="008974F5">
      <w:r>
        <w:rPr>
          <w:rStyle w:val="CommentReference"/>
        </w:rPr>
        <w:annotationRef/>
      </w:r>
      <w:r>
        <w:t xml:space="preserve">Shall also discuss regarding the possible mechanisms of sweating and hypertension during </w:t>
      </w:r>
      <w:proofErr w:type="spellStart"/>
      <w:r>
        <w:t>plasmapheresis</w:t>
      </w:r>
      <w:proofErr w:type="spellEnd"/>
      <w:r>
        <w:t>, as well as the importance of cardiac monitoring in such patients.</w:t>
      </w:r>
    </w:p>
    <w:p w14:paraId="6D75D90B" w14:textId="5D145EB9" w:rsidR="008974F5" w:rsidRDefault="008974F5">
      <w:pPr>
        <w:pStyle w:val="CommentText"/>
      </w:pPr>
    </w:p>
  </w:comment>
  <w:comment w:id="39" w:author="User" w:date="2026-05-07T12:42:00Z" w:initials="U">
    <w:p w14:paraId="2B2A6E68" w14:textId="540214FA" w:rsidR="00CA2FE7" w:rsidRDefault="00CA2FE7">
      <w:pPr>
        <w:pStyle w:val="CommentText"/>
      </w:pPr>
      <w:r>
        <w:rPr>
          <w:rStyle w:val="CommentReference"/>
        </w:rPr>
        <w:annotationRef/>
      </w:r>
      <w:r>
        <w:t xml:space="preserve">Sentence framing issue:  shall be written as, </w:t>
      </w:r>
      <w:r>
        <w:t>These manifestations were likely related to autonomic instability</w:t>
      </w:r>
    </w:p>
  </w:comment>
  <w:comment w:id="40" w:author="User" w:date="2026-05-07T12:43:00Z" w:initials="U">
    <w:p w14:paraId="13427FD9" w14:textId="552ABA62" w:rsidR="008720A5" w:rsidRDefault="008720A5">
      <w:pPr>
        <w:pStyle w:val="CommentText"/>
      </w:pPr>
      <w:r>
        <w:rPr>
          <w:rStyle w:val="CommentReference"/>
        </w:rPr>
        <w:annotationRef/>
      </w:r>
      <w:r>
        <w:t xml:space="preserve">Issue repetitive wording: shall be reframed as, </w:t>
      </w:r>
      <w:r>
        <w:t>treatment tolerability may vary among patients</w:t>
      </w:r>
    </w:p>
  </w:comment>
  <w:comment w:id="41" w:author="User" w:date="2026-05-07T12:44:00Z" w:initials="U">
    <w:p w14:paraId="633D2F4B" w14:textId="7FD0D805" w:rsidR="008720A5" w:rsidRDefault="008720A5">
      <w:pPr>
        <w:pStyle w:val="CommentText"/>
      </w:pPr>
      <w:r>
        <w:rPr>
          <w:rStyle w:val="CommentReference"/>
        </w:rPr>
        <w:annotationRef/>
      </w:r>
      <w:r>
        <w:t xml:space="preserve">Grammar issue: </w:t>
      </w:r>
      <w:r>
        <w:t xml:space="preserve">treatment tolerability may vary among </w:t>
      </w:r>
      <w:r>
        <w:t>patients</w:t>
      </w:r>
      <w:bookmarkStart w:id="42" w:name="_GoBack"/>
      <w:bookmarkEnd w:id="42"/>
    </w:p>
  </w:comment>
  <w:comment w:id="43" w:author="User" w:date="2026-05-07T12:11:00Z" w:initials="U">
    <w:p w14:paraId="22E3CB2C" w14:textId="3D8B68DB" w:rsidR="00974F1D" w:rsidRDefault="00974F1D" w:rsidP="00974F1D">
      <w:r>
        <w:rPr>
          <w:rStyle w:val="CommentReference"/>
        </w:rPr>
        <w:annotationRef/>
      </w:r>
      <w:r>
        <w:t>References are updated</w:t>
      </w:r>
      <w:r>
        <w:t xml:space="preserve"> and relevant</w:t>
      </w:r>
      <w:r>
        <w:t xml:space="preserve">. </w:t>
      </w:r>
      <w:proofErr w:type="gramStart"/>
      <w:r>
        <w:t>uniform</w:t>
      </w:r>
      <w:proofErr w:type="gramEnd"/>
      <w:r>
        <w:t xml:space="preserve"> formatting according to journal style requirements</w:t>
      </w:r>
      <w:r>
        <w:t xml:space="preserve"> is missing . </w:t>
      </w:r>
      <w:proofErr w:type="gramStart"/>
      <w:r>
        <w:t>it</w:t>
      </w:r>
      <w:proofErr w:type="gramEnd"/>
      <w:r>
        <w:t xml:space="preserve"> has be ensured.</w:t>
      </w:r>
      <w:r>
        <w:t>.</w:t>
      </w:r>
    </w:p>
    <w:p w14:paraId="437E7560" w14:textId="6569B223" w:rsidR="00974F1D" w:rsidRDefault="00974F1D">
      <w:pPr>
        <w:pStyle w:val="CommentText"/>
      </w:pP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57BEC8B" w14:textId="77777777" w:rsidR="00163369" w:rsidRDefault="00163369">
      <w:pPr>
        <w:spacing w:line="240" w:lineRule="auto"/>
      </w:pPr>
      <w:r>
        <w:separator/>
      </w:r>
    </w:p>
  </w:endnote>
  <w:endnote w:type="continuationSeparator" w:id="0">
    <w:p w14:paraId="360B52E8" w14:textId="77777777" w:rsidR="00163369" w:rsidRDefault="0016336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A6800AA4-51FF-412E-8124-735DC87B38C5}"/>
  </w:font>
  <w:font w:name="Calibri">
    <w:panose1 w:val="020F0502020204030204"/>
    <w:charset w:val="00"/>
    <w:family w:val="swiss"/>
    <w:pitch w:val="variable"/>
    <w:sig w:usb0="E4002EFF" w:usb1="C000247B" w:usb2="00000009" w:usb3="00000000" w:csb0="000001FF" w:csb1="00000000"/>
    <w:embedRegular r:id="rId2" w:fontKey="{AC914F1B-7C59-4424-96A5-C677DA8B5299}"/>
  </w:font>
  <w:font w:name="Cambria">
    <w:panose1 w:val="02040503050406030204"/>
    <w:charset w:val="00"/>
    <w:family w:val="roman"/>
    <w:pitch w:val="variable"/>
    <w:sig w:usb0="E00006FF" w:usb1="420024FF" w:usb2="02000000" w:usb3="00000000" w:csb0="0000019F" w:csb1="00000000"/>
    <w:embedRegular r:id="rId3" w:fontKey="{CDFACA55-0A4B-4667-825F-00FC2749086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D29B90" w14:textId="77777777" w:rsidR="00A24520" w:rsidRDefault="00A2452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FBB842" w14:textId="77777777" w:rsidR="00453C1B" w:rsidRDefault="00453C1B"/>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869871" w14:textId="77777777" w:rsidR="00A24520" w:rsidRDefault="00A2452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37BF499" w14:textId="77777777" w:rsidR="00163369" w:rsidRDefault="00163369">
      <w:pPr>
        <w:spacing w:line="240" w:lineRule="auto"/>
      </w:pPr>
      <w:r>
        <w:separator/>
      </w:r>
    </w:p>
  </w:footnote>
  <w:footnote w:type="continuationSeparator" w:id="0">
    <w:p w14:paraId="0F00A3BC" w14:textId="77777777" w:rsidR="00163369" w:rsidRDefault="00163369">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4734C9" w14:textId="16339F05" w:rsidR="00A24520" w:rsidRDefault="008720A5">
    <w:pPr>
      <w:pStyle w:val="Header"/>
    </w:pPr>
    <w:r>
      <w:rPr>
        <w:noProof/>
      </w:rPr>
      <w:pict w14:anchorId="0ADB32A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18414797" o:spid="_x0000_s2050" type="#_x0000_t136" style="position:absolute;margin-left:0;margin-top:0;width:572.65pt;height:63.6pt;rotation:315;z-index:-251655168;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111111" w14:textId="7CBB83AE" w:rsidR="00453C1B" w:rsidRDefault="008720A5">
    <w:r>
      <w:rPr>
        <w:noProof/>
      </w:rPr>
      <w:pict w14:anchorId="11015F8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18414798" o:spid="_x0000_s2051" type="#_x0000_t136" style="position:absolute;margin-left:0;margin-top:0;width:572.65pt;height:63.6pt;rotation:315;z-index:-251653120;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8BEE33" w14:textId="375FDDF5" w:rsidR="00A24520" w:rsidRDefault="008720A5">
    <w:pPr>
      <w:pStyle w:val="Header"/>
    </w:pPr>
    <w:r>
      <w:rPr>
        <w:noProof/>
      </w:rPr>
      <w:pict w14:anchorId="34C9A8D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18414796" o:spid="_x0000_s2049" type="#_x0000_t136" style="position:absolute;margin-left:0;margin-top:0;width:572.65pt;height:63.6pt;rotation:315;z-index:-251657216;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7B7652"/>
    <w:multiLevelType w:val="multilevel"/>
    <w:tmpl w:val="037644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4BB36CA"/>
    <w:multiLevelType w:val="multilevel"/>
    <w:tmpl w:val="67A0E98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3C1B"/>
    <w:rsid w:val="00083CF1"/>
    <w:rsid w:val="000A1E5D"/>
    <w:rsid w:val="00163369"/>
    <w:rsid w:val="001743D0"/>
    <w:rsid w:val="002C68A5"/>
    <w:rsid w:val="00453C1B"/>
    <w:rsid w:val="005A2245"/>
    <w:rsid w:val="0070072E"/>
    <w:rsid w:val="008653CB"/>
    <w:rsid w:val="008720A5"/>
    <w:rsid w:val="008974F5"/>
    <w:rsid w:val="008D3DA8"/>
    <w:rsid w:val="00974F1D"/>
    <w:rsid w:val="00A24520"/>
    <w:rsid w:val="00BA6B1C"/>
    <w:rsid w:val="00CA2FE7"/>
    <w:rsid w:val="00CF0D3A"/>
    <w:rsid w:val="00CF65B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39F45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paragraph" w:styleId="Header">
    <w:name w:val="header"/>
    <w:basedOn w:val="Normal"/>
    <w:link w:val="HeaderChar"/>
    <w:uiPriority w:val="99"/>
    <w:unhideWhenUsed/>
    <w:rsid w:val="00A24520"/>
    <w:pPr>
      <w:tabs>
        <w:tab w:val="center" w:pos="4680"/>
        <w:tab w:val="right" w:pos="9360"/>
      </w:tabs>
      <w:spacing w:line="240" w:lineRule="auto"/>
    </w:pPr>
  </w:style>
  <w:style w:type="character" w:customStyle="1" w:styleId="HeaderChar">
    <w:name w:val="Header Char"/>
    <w:basedOn w:val="DefaultParagraphFont"/>
    <w:link w:val="Header"/>
    <w:uiPriority w:val="99"/>
    <w:rsid w:val="00A24520"/>
  </w:style>
  <w:style w:type="paragraph" w:styleId="Footer">
    <w:name w:val="footer"/>
    <w:basedOn w:val="Normal"/>
    <w:link w:val="FooterChar"/>
    <w:uiPriority w:val="99"/>
    <w:unhideWhenUsed/>
    <w:rsid w:val="00A24520"/>
    <w:pPr>
      <w:tabs>
        <w:tab w:val="center" w:pos="4680"/>
        <w:tab w:val="right" w:pos="9360"/>
      </w:tabs>
      <w:spacing w:line="240" w:lineRule="auto"/>
    </w:pPr>
  </w:style>
  <w:style w:type="character" w:customStyle="1" w:styleId="FooterChar">
    <w:name w:val="Footer Char"/>
    <w:basedOn w:val="DefaultParagraphFont"/>
    <w:link w:val="Footer"/>
    <w:uiPriority w:val="99"/>
    <w:rsid w:val="00A24520"/>
  </w:style>
  <w:style w:type="character" w:styleId="CommentReference">
    <w:name w:val="annotation reference"/>
    <w:basedOn w:val="DefaultParagraphFont"/>
    <w:uiPriority w:val="99"/>
    <w:semiHidden/>
    <w:unhideWhenUsed/>
    <w:rsid w:val="00CF0D3A"/>
    <w:rPr>
      <w:sz w:val="16"/>
      <w:szCs w:val="16"/>
    </w:rPr>
  </w:style>
  <w:style w:type="paragraph" w:styleId="CommentText">
    <w:name w:val="annotation text"/>
    <w:basedOn w:val="Normal"/>
    <w:link w:val="CommentTextChar"/>
    <w:uiPriority w:val="99"/>
    <w:semiHidden/>
    <w:unhideWhenUsed/>
    <w:rsid w:val="00CF0D3A"/>
    <w:pPr>
      <w:spacing w:line="240" w:lineRule="auto"/>
    </w:pPr>
    <w:rPr>
      <w:sz w:val="20"/>
      <w:szCs w:val="20"/>
    </w:rPr>
  </w:style>
  <w:style w:type="character" w:customStyle="1" w:styleId="CommentTextChar">
    <w:name w:val="Comment Text Char"/>
    <w:basedOn w:val="DefaultParagraphFont"/>
    <w:link w:val="CommentText"/>
    <w:uiPriority w:val="99"/>
    <w:semiHidden/>
    <w:rsid w:val="00CF0D3A"/>
    <w:rPr>
      <w:sz w:val="20"/>
      <w:szCs w:val="20"/>
    </w:rPr>
  </w:style>
  <w:style w:type="paragraph" w:styleId="CommentSubject">
    <w:name w:val="annotation subject"/>
    <w:basedOn w:val="CommentText"/>
    <w:next w:val="CommentText"/>
    <w:link w:val="CommentSubjectChar"/>
    <w:uiPriority w:val="99"/>
    <w:semiHidden/>
    <w:unhideWhenUsed/>
    <w:rsid w:val="00CF0D3A"/>
    <w:rPr>
      <w:b/>
      <w:bCs/>
    </w:rPr>
  </w:style>
  <w:style w:type="character" w:customStyle="1" w:styleId="CommentSubjectChar">
    <w:name w:val="Comment Subject Char"/>
    <w:basedOn w:val="CommentTextChar"/>
    <w:link w:val="CommentSubject"/>
    <w:uiPriority w:val="99"/>
    <w:semiHidden/>
    <w:rsid w:val="00CF0D3A"/>
    <w:rPr>
      <w:b/>
      <w:bCs/>
      <w:sz w:val="20"/>
      <w:szCs w:val="20"/>
    </w:rPr>
  </w:style>
  <w:style w:type="paragraph" w:styleId="BalloonText">
    <w:name w:val="Balloon Text"/>
    <w:basedOn w:val="Normal"/>
    <w:link w:val="BalloonTextChar"/>
    <w:uiPriority w:val="99"/>
    <w:semiHidden/>
    <w:unhideWhenUsed/>
    <w:rsid w:val="00CF0D3A"/>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F0D3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paragraph" w:styleId="Header">
    <w:name w:val="header"/>
    <w:basedOn w:val="Normal"/>
    <w:link w:val="HeaderChar"/>
    <w:uiPriority w:val="99"/>
    <w:unhideWhenUsed/>
    <w:rsid w:val="00A24520"/>
    <w:pPr>
      <w:tabs>
        <w:tab w:val="center" w:pos="4680"/>
        <w:tab w:val="right" w:pos="9360"/>
      </w:tabs>
      <w:spacing w:line="240" w:lineRule="auto"/>
    </w:pPr>
  </w:style>
  <w:style w:type="character" w:customStyle="1" w:styleId="HeaderChar">
    <w:name w:val="Header Char"/>
    <w:basedOn w:val="DefaultParagraphFont"/>
    <w:link w:val="Header"/>
    <w:uiPriority w:val="99"/>
    <w:rsid w:val="00A24520"/>
  </w:style>
  <w:style w:type="paragraph" w:styleId="Footer">
    <w:name w:val="footer"/>
    <w:basedOn w:val="Normal"/>
    <w:link w:val="FooterChar"/>
    <w:uiPriority w:val="99"/>
    <w:unhideWhenUsed/>
    <w:rsid w:val="00A24520"/>
    <w:pPr>
      <w:tabs>
        <w:tab w:val="center" w:pos="4680"/>
        <w:tab w:val="right" w:pos="9360"/>
      </w:tabs>
      <w:spacing w:line="240" w:lineRule="auto"/>
    </w:pPr>
  </w:style>
  <w:style w:type="character" w:customStyle="1" w:styleId="FooterChar">
    <w:name w:val="Footer Char"/>
    <w:basedOn w:val="DefaultParagraphFont"/>
    <w:link w:val="Footer"/>
    <w:uiPriority w:val="99"/>
    <w:rsid w:val="00A24520"/>
  </w:style>
  <w:style w:type="character" w:styleId="CommentReference">
    <w:name w:val="annotation reference"/>
    <w:basedOn w:val="DefaultParagraphFont"/>
    <w:uiPriority w:val="99"/>
    <w:semiHidden/>
    <w:unhideWhenUsed/>
    <w:rsid w:val="00CF0D3A"/>
    <w:rPr>
      <w:sz w:val="16"/>
      <w:szCs w:val="16"/>
    </w:rPr>
  </w:style>
  <w:style w:type="paragraph" w:styleId="CommentText">
    <w:name w:val="annotation text"/>
    <w:basedOn w:val="Normal"/>
    <w:link w:val="CommentTextChar"/>
    <w:uiPriority w:val="99"/>
    <w:semiHidden/>
    <w:unhideWhenUsed/>
    <w:rsid w:val="00CF0D3A"/>
    <w:pPr>
      <w:spacing w:line="240" w:lineRule="auto"/>
    </w:pPr>
    <w:rPr>
      <w:sz w:val="20"/>
      <w:szCs w:val="20"/>
    </w:rPr>
  </w:style>
  <w:style w:type="character" w:customStyle="1" w:styleId="CommentTextChar">
    <w:name w:val="Comment Text Char"/>
    <w:basedOn w:val="DefaultParagraphFont"/>
    <w:link w:val="CommentText"/>
    <w:uiPriority w:val="99"/>
    <w:semiHidden/>
    <w:rsid w:val="00CF0D3A"/>
    <w:rPr>
      <w:sz w:val="20"/>
      <w:szCs w:val="20"/>
    </w:rPr>
  </w:style>
  <w:style w:type="paragraph" w:styleId="CommentSubject">
    <w:name w:val="annotation subject"/>
    <w:basedOn w:val="CommentText"/>
    <w:next w:val="CommentText"/>
    <w:link w:val="CommentSubjectChar"/>
    <w:uiPriority w:val="99"/>
    <w:semiHidden/>
    <w:unhideWhenUsed/>
    <w:rsid w:val="00CF0D3A"/>
    <w:rPr>
      <w:b/>
      <w:bCs/>
    </w:rPr>
  </w:style>
  <w:style w:type="character" w:customStyle="1" w:styleId="CommentSubjectChar">
    <w:name w:val="Comment Subject Char"/>
    <w:basedOn w:val="CommentTextChar"/>
    <w:link w:val="CommentSubject"/>
    <w:uiPriority w:val="99"/>
    <w:semiHidden/>
    <w:rsid w:val="00CF0D3A"/>
    <w:rPr>
      <w:b/>
      <w:bCs/>
      <w:sz w:val="20"/>
      <w:szCs w:val="20"/>
    </w:rPr>
  </w:style>
  <w:style w:type="paragraph" w:styleId="BalloonText">
    <w:name w:val="Balloon Text"/>
    <w:basedOn w:val="Normal"/>
    <w:link w:val="BalloonTextChar"/>
    <w:uiPriority w:val="99"/>
    <w:semiHidden/>
    <w:unhideWhenUsed/>
    <w:rsid w:val="00CF0D3A"/>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F0D3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361815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hyperlink" Target="https://doi.org/10.1007/s12028-019-00781-w" TargetMode="External"/><Relationship Id="rId18" Type="http://schemas.openxmlformats.org/officeDocument/2006/relationships/hyperlink" Target="https://doi.org/10.9734/jpri/2021/v33i58A34101" TargetMode="External"/><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doi.org/10.1016/S0140-6736(21)00517-1" TargetMode="External"/><Relationship Id="rId17" Type="http://schemas.openxmlformats.org/officeDocument/2006/relationships/hyperlink" Target="https://doi.org/10.1111/ene.16365"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doi.org/10.4103/0976-3147.145200" TargetMode="External"/><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www.ncbi.nlm.nih.gov/books/NBK568815/" TargetMode="Externa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s://doi.org/10.1038/s41582-019-0250-9" TargetMode="External"/><Relationship Id="rId23" Type="http://schemas.openxmlformats.org/officeDocument/2006/relationships/header" Target="header3.xml"/><Relationship Id="rId10" Type="http://schemas.openxmlformats.org/officeDocument/2006/relationships/image" Target="media/image2.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doi.org/10.1016/j.ensci.2023.100468" TargetMode="External"/><Relationship Id="rId22"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66</TotalTime>
  <Pages>9</Pages>
  <Words>2080</Words>
  <Characters>11857</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User</cp:lastModifiedBy>
  <cp:revision>8</cp:revision>
  <dcterms:created xsi:type="dcterms:W3CDTF">2026-05-03T15:59:00Z</dcterms:created>
  <dcterms:modified xsi:type="dcterms:W3CDTF">2026-05-07T07:14:00Z</dcterms:modified>
</cp:coreProperties>
</file>