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88767" w14:textId="77777777" w:rsidR="006B47A5" w:rsidRDefault="007F107E">
      <w:pPr>
        <w:jc w:val="center"/>
      </w:pPr>
      <w:r>
        <w:rPr>
          <w:b/>
        </w:rPr>
        <w:t>Long-Term Dynamics of Human–Wildlife Conflict Around Nairobi National Park</w:t>
      </w:r>
      <w:r>
        <w:rPr>
          <w:b/>
        </w:rPr>
        <w:br/>
      </w:r>
    </w:p>
    <w:p w14:paraId="1B775E17" w14:textId="77777777" w:rsidR="00843D78" w:rsidRDefault="00843D78" w:rsidP="008542FD"/>
    <w:p w14:paraId="288FFD16" w14:textId="77777777" w:rsidR="00843D78" w:rsidRDefault="00843D78" w:rsidP="008542FD">
      <w:pPr>
        <w:rPr>
          <w:b/>
          <w:bCs/>
        </w:rPr>
      </w:pPr>
    </w:p>
    <w:p w14:paraId="0ECADF96" w14:textId="4D614B3B" w:rsidR="006B47A5" w:rsidRPr="008542FD" w:rsidRDefault="008542FD" w:rsidP="008542FD">
      <w:pPr>
        <w:rPr>
          <w:b/>
          <w:bCs/>
        </w:rPr>
      </w:pPr>
      <w:r>
        <w:rPr>
          <w:b/>
          <w:bCs/>
        </w:rPr>
        <w:t>1.</w:t>
      </w:r>
      <w:r w:rsidR="007F107E" w:rsidRPr="008542FD">
        <w:rPr>
          <w:b/>
          <w:bCs/>
        </w:rPr>
        <w:t>Abstract</w:t>
      </w:r>
    </w:p>
    <w:p w14:paraId="05D9591B" w14:textId="748BED7F" w:rsidR="004B1907" w:rsidRDefault="004B1907" w:rsidP="004B1907">
      <w:pPr>
        <w:jc w:val="both"/>
      </w:pPr>
      <w:r w:rsidRPr="004B1907">
        <w:t xml:space="preserve">This study examines long-term trends in human–wildlife conflict (HWC) around Nairobi National Park over a 30-year period (1995–2025), with a focus on understanding temporal patterns, spatial distribution, and underlying drivers of conflict. Adopting a longitudinal research design, the study integrates secondary data from Kenya Wildlife Service records, primary data collected through household surveys (n = 210), and spatial datasets analyzed using Geographic Information Systems (GIS). Quantitative techniques, including Analysis of Variance (ANOVA) and multiple regression models, were applied to evaluate trends and determine the influence of land-use and socio-economic variables on conflict </w:t>
      </w:r>
      <w:r w:rsidR="0015461C" w:rsidRPr="004B1907">
        <w:t>incidence. The</w:t>
      </w:r>
      <w:r w:rsidRPr="004B1907">
        <w:t xml:space="preserve"> findings reveal a statistically significant increase in HWC incidents over the study period (F = 18.42, p &lt; 0.001), indicating a consistent upward trend in human–wildlife interactions. Regression results further show that land-use change is a key determinant of conflict intensity (R² = 0.68), with urban expansion, land subdivision, infrastructure development, and fencing contributing to habitat fragmentation and reduced wildlife mobility. Spatial analysis identifies persistent conflict hotspots along the southern dispersal zone of the park, particularly in rapidly urbanizing areas such as Kitengela and Ongata Rongai, where wildlife corridors have been increasingly </w:t>
      </w:r>
      <w:r w:rsidR="0015461C" w:rsidRPr="004B1907">
        <w:t>obstructed. In</w:t>
      </w:r>
      <w:r w:rsidRPr="004B1907">
        <w:t xml:space="preserve"> addition to ecological drivers, the study highlights significant socio-economic impacts, including livestock predation, property damage, and risks to human safety, which undermine local livelihoods and contribute to negative attitudes toward wildlife conservation. The results underscore the urgent need for integrated management approaches that balance conservation and development. Strengthening wildlife corridor protection, enforcing land-use planning regulations, enhancing compensation schemes, and promoting community-based conservation initiatives are recommended as critical strategies for fostering sustainable coexistence between humans and wildlife in urban-adjacent ecosystems.</w:t>
      </w:r>
    </w:p>
    <w:p w14:paraId="6F6A738D" w14:textId="65A3BE6A" w:rsidR="00257973" w:rsidRDefault="00257973" w:rsidP="004B1907">
      <w:pPr>
        <w:jc w:val="both"/>
        <w:rPr>
          <w:b/>
          <w:bCs/>
        </w:rPr>
      </w:pPr>
      <w:r w:rsidRPr="00257973">
        <w:rPr>
          <w:b/>
          <w:bCs/>
        </w:rPr>
        <w:t>Key Words: Human–wildlife conflict; Nairobi National Park; long-term trends; climate variability; rainfall decline; temperature increase; land-use change; habitat fragmentation; wildlife corridors; urban expansion; Southern Dispersal Area; ecological change; socio-economic impacts; conservation management; spatial analysis.</w:t>
      </w:r>
    </w:p>
    <w:p w14:paraId="2D0BEDB4" w14:textId="77777777" w:rsidR="00257973" w:rsidRPr="00257973" w:rsidRDefault="00257973" w:rsidP="004B1907">
      <w:pPr>
        <w:jc w:val="both"/>
        <w:rPr>
          <w:b/>
          <w:bCs/>
        </w:rPr>
      </w:pPr>
    </w:p>
    <w:p w14:paraId="732C1BEE" w14:textId="128436A8" w:rsidR="006B47A5" w:rsidRPr="008542FD" w:rsidRDefault="008542FD" w:rsidP="008542FD">
      <w:pPr>
        <w:rPr>
          <w:b/>
          <w:bCs/>
        </w:rPr>
      </w:pPr>
      <w:r w:rsidRPr="008542FD">
        <w:rPr>
          <w:b/>
          <w:bCs/>
        </w:rPr>
        <w:lastRenderedPageBreak/>
        <w:t>2</w:t>
      </w:r>
      <w:r w:rsidR="007F107E" w:rsidRPr="008542FD">
        <w:rPr>
          <w:b/>
          <w:bCs/>
        </w:rPr>
        <w:t>. Introduction</w:t>
      </w:r>
    </w:p>
    <w:p w14:paraId="6F72C171" w14:textId="610F5B04" w:rsidR="004B1907" w:rsidRPr="004B1907" w:rsidRDefault="004B1907" w:rsidP="004B1907">
      <w:pPr>
        <w:spacing w:line="360" w:lineRule="auto"/>
        <w:jc w:val="both"/>
      </w:pPr>
      <w:r w:rsidRPr="004B1907">
        <w:t xml:space="preserve">Human–wildlife conflict (HWC) has intensified globally due to rapid population growth, urbanization, and habitat fragmentation, which continue to alter ecological systems and reduce the availability of natural habitats for wildlife (United Nations Environment Programme [UNEP], 2023). As human populations expand into wildlife territories, the spatial overlap between people and animals increases, resulting in more frequent and often severe interactions. These conflicts take multiple forms, including crop destruction, livestock predation, property damage, and, in extreme cases, human injury or fatalities. Additionally, climate change has contributed to shifting resource availability, forcing wildlife to migrate beyond protected areas in search of food and water, thereby heightening the likelihood of encounters with human populations (Food and Agriculture Organization </w:t>
      </w:r>
      <w:r w:rsidR="0015461C">
        <w:t>(</w:t>
      </w:r>
      <w:r w:rsidRPr="004B1907">
        <w:t>FAO</w:t>
      </w:r>
      <w:r w:rsidR="0015461C">
        <w:t>)</w:t>
      </w:r>
      <w:r w:rsidRPr="004B1907">
        <w:t>, 2022).</w:t>
      </w:r>
    </w:p>
    <w:p w14:paraId="20740789" w14:textId="022CC596" w:rsidR="004B1907" w:rsidRPr="004B1907" w:rsidRDefault="004B1907" w:rsidP="004B1907">
      <w:pPr>
        <w:spacing w:line="360" w:lineRule="auto"/>
        <w:jc w:val="both"/>
      </w:pPr>
      <w:r w:rsidRPr="004B1907">
        <w:t>In Africa, the challenge of HWC is particularly pronounced due to rapid land-use changes, weak enforcement of land-use planning policies, and high dependence on natural resources for livelihoods. Expansion of agriculture, infrastructure development, and settlement growth have increasingly encroached upon wildlife habitats and migration corridors. As a result, wildlife species are often confined to fragmented landscapes, increasing their interaction with nearby human communities (International Union for Conservation of Nature, 2021). This situation is further compounded by socio-economic factors such as poverty and limited access to alternative livelihoods, which heighten community vulnerability to wildlife-related losses and contribute to negative attitudes toward conservation initiatives</w:t>
      </w:r>
      <w:r w:rsidR="00356591">
        <w:t xml:space="preserve"> (</w:t>
      </w:r>
      <w:r w:rsidR="00356591" w:rsidRPr="00242AAA">
        <w:t>United Nations Environment Programme</w:t>
      </w:r>
      <w:r w:rsidR="00356591">
        <w:t xml:space="preserve">, </w:t>
      </w:r>
      <w:r w:rsidR="00356591" w:rsidRPr="00242AAA">
        <w:t>2022).</w:t>
      </w:r>
    </w:p>
    <w:p w14:paraId="1E51D36F" w14:textId="3AC6D34B" w:rsidR="004B1907" w:rsidRPr="004B1907" w:rsidRDefault="004B1907" w:rsidP="004B1907">
      <w:pPr>
        <w:spacing w:line="360" w:lineRule="auto"/>
        <w:jc w:val="both"/>
      </w:pPr>
      <w:r w:rsidRPr="004B1907">
        <w:t xml:space="preserve">In Kenya, human–wildlife conflict remains a significant conservation and development concern, particularly in areas adjacent to protected ecosystems. Regions surrounding Nairobi National Park are among the most affected due to the park’s unique location bordering a rapidly expanding urban center. The park is fenced on most sides but remains open to the south, allowing wildlife to migrate into community lands within the Athi–Kapiti dispersal area. This ecological connectivity is essential for maintaining biodiversity but also increases the likelihood of conflict, especially with large carnivores </w:t>
      </w:r>
      <w:r w:rsidRPr="004B1907">
        <w:lastRenderedPageBreak/>
        <w:t xml:space="preserve">such as lions (Panthera leo) and spotted hyenas (Crocuta </w:t>
      </w:r>
      <w:r w:rsidR="00356E4F" w:rsidRPr="004B1907">
        <w:t>Crocuta</w:t>
      </w:r>
      <w:r w:rsidRPr="004B1907">
        <w:t>), which frequently prey on livestock (Kenya Wildlife Service, 2024).</w:t>
      </w:r>
    </w:p>
    <w:p w14:paraId="442919CC" w14:textId="77777777" w:rsidR="004B1907" w:rsidRPr="004B1907" w:rsidRDefault="004B1907" w:rsidP="004B1907">
      <w:pPr>
        <w:spacing w:line="360" w:lineRule="auto"/>
        <w:jc w:val="both"/>
      </w:pPr>
      <w:r w:rsidRPr="004B1907">
        <w:t>Over the past three decades, significant expansion of settlements in Kitengela and Ongata Rongai has intensified human–wildlife interactions. Rapid urban growth has led to land subdivision, fencing, and conversion of rangelands into residential and commercial uses, thereby obstructing traditional wildlife corridors. These changes have disrupted wildlife movement patterns, forcing animals into closer proximity with human populations and increasing the frequency of conflict incidents. Empirical evidence indicates a steady rise in livestock losses, property damage, and occasional human injuries in these areas, underscoring the growing scale of the problem (World Bank, 2022).</w:t>
      </w:r>
    </w:p>
    <w:p w14:paraId="77CF8418" w14:textId="77777777" w:rsidR="004B1907" w:rsidRPr="004B1907" w:rsidRDefault="004B1907" w:rsidP="004B1907">
      <w:pPr>
        <w:spacing w:line="360" w:lineRule="auto"/>
        <w:jc w:val="both"/>
      </w:pPr>
      <w:r w:rsidRPr="004B1907">
        <w:t>Overall, the intensification of human–wildlife conflict in Kenya reflects broader global and regional trends driven by anthropogenic pressures on ecosystems. Addressing this challenge requires integrated approaches that combine effective land-use planning, protection of wildlife corridors, community-based conservation strategies, and improved compensation mechanisms. Without such interventions, the sustainability of both human livelihoods and wildlife populations remains at risk.</w:t>
      </w:r>
    </w:p>
    <w:p w14:paraId="5444C719" w14:textId="46997DEB" w:rsidR="006B47A5" w:rsidRPr="008542FD" w:rsidRDefault="008542FD" w:rsidP="008542FD">
      <w:pPr>
        <w:rPr>
          <w:b/>
          <w:bCs/>
        </w:rPr>
      </w:pPr>
      <w:r>
        <w:rPr>
          <w:b/>
          <w:bCs/>
        </w:rPr>
        <w:t>2</w:t>
      </w:r>
      <w:r w:rsidR="007F107E" w:rsidRPr="008542FD">
        <w:rPr>
          <w:b/>
          <w:bCs/>
        </w:rPr>
        <w:t>.1</w:t>
      </w:r>
      <w:r>
        <w:rPr>
          <w:b/>
          <w:bCs/>
        </w:rPr>
        <w:t>.</w:t>
      </w:r>
      <w:r w:rsidR="007F107E" w:rsidRPr="008542FD">
        <w:rPr>
          <w:b/>
          <w:bCs/>
        </w:rPr>
        <w:t xml:space="preserve"> Objective, Scope and Significance</w:t>
      </w:r>
    </w:p>
    <w:p w14:paraId="3681C27C" w14:textId="56718033" w:rsidR="00356E4F" w:rsidRPr="00356E4F" w:rsidRDefault="00356E4F" w:rsidP="00356E4F">
      <w:pPr>
        <w:spacing w:line="360" w:lineRule="auto"/>
        <w:jc w:val="both"/>
      </w:pPr>
      <w:r w:rsidRPr="00356E4F">
        <w:t>The study aimed to analyze long-term human–wildlife conflict (HWC) trends around Nairobi National Park. It focused on understanding how these conflicts had evolved over time in an urban-protected ecosystem. The study further sought to identify the key ecological drivers that had contributed to the occurrence of HWC. These included factors such as habitat fragmentation, wildlife movement patterns, and changes in land use. In addition, it examined socio-economic drivers that had influenced conflict dynamics. This included population growth, settlement expansion, and livelihood dependence on natural resources. The study also assessed the impacts of HWC on local livelihoods. Particular attention was given to crop damage, livestock losses, and human safety concerns. Finally, the study aimed to generate evidence that had informed policy formulation and strengthened sustainable conservation strategies in and around Nairobi National Park.</w:t>
      </w:r>
    </w:p>
    <w:p w14:paraId="51539F2A" w14:textId="61DB07F3" w:rsidR="006B47A5" w:rsidRPr="008542FD" w:rsidRDefault="008542FD" w:rsidP="008542FD">
      <w:pPr>
        <w:rPr>
          <w:b/>
          <w:bCs/>
        </w:rPr>
      </w:pPr>
      <w:r w:rsidRPr="008542FD">
        <w:rPr>
          <w:b/>
          <w:bCs/>
        </w:rPr>
        <w:t>2</w:t>
      </w:r>
      <w:r w:rsidR="007F107E" w:rsidRPr="008542FD">
        <w:rPr>
          <w:b/>
          <w:bCs/>
        </w:rPr>
        <w:t>.2</w:t>
      </w:r>
      <w:r w:rsidRPr="008542FD">
        <w:rPr>
          <w:b/>
          <w:bCs/>
        </w:rPr>
        <w:t>.</w:t>
      </w:r>
      <w:r w:rsidR="007F107E" w:rsidRPr="008542FD">
        <w:rPr>
          <w:b/>
          <w:bCs/>
        </w:rPr>
        <w:t xml:space="preserve"> Statement of the Problem</w:t>
      </w:r>
    </w:p>
    <w:p w14:paraId="54B27A8A" w14:textId="77777777" w:rsidR="00356E4F" w:rsidRPr="00356E4F" w:rsidRDefault="00356E4F" w:rsidP="00356E4F">
      <w:pPr>
        <w:jc w:val="both"/>
      </w:pPr>
      <w:r w:rsidRPr="00356E4F">
        <w:lastRenderedPageBreak/>
        <w:t>Human–wildlife conflict (HWC) around Nairobi National Park has escalated over time despite ongoing conservation and management efforts. The increase in conflict has been largely attributed to rapid urban expansion surrounding the park, which has reduced available wildlife dispersal areas (Ogutu et al., 2016). Land fragmentation has intensified as private development and infrastructure have progressively encroached on traditional wildlife corridors (Western et al., 2019). This has resulted in increased direct encounters between wildlife and surrounding human settlements. Corridor blockage has further restricted the seasonal movement of key species such as elephants and herbivores, pushing them into farmlands and residential areas (KWS, 2020). As a result, incidences of crop raiding, livestock predation, and property damage have increased significantly. Local communities living adjacent to the park have therefore experienced heightened economic and social vulnerability. Despite these growing challenges, long-term quantitative analysis of HWC trends in this area has remained limited. Most existing studies have focused on short-term incident reporting rather than continuous temporal monitoring. This gap has constrained the development of evidence-based mitigation strategies and adaptive conservation planning (UNEP, 2022)</w:t>
      </w:r>
    </w:p>
    <w:p w14:paraId="006B5A4F" w14:textId="618AFAEA" w:rsidR="006B47A5" w:rsidRPr="008542FD" w:rsidRDefault="008542FD" w:rsidP="008542FD">
      <w:pPr>
        <w:rPr>
          <w:b/>
          <w:bCs/>
        </w:rPr>
      </w:pPr>
      <w:r w:rsidRPr="008542FD">
        <w:rPr>
          <w:b/>
          <w:bCs/>
        </w:rPr>
        <w:t>2</w:t>
      </w:r>
      <w:r w:rsidR="007F107E" w:rsidRPr="008542FD">
        <w:rPr>
          <w:b/>
          <w:bCs/>
        </w:rPr>
        <w:t>.3</w:t>
      </w:r>
      <w:r w:rsidRPr="008542FD">
        <w:rPr>
          <w:b/>
          <w:bCs/>
        </w:rPr>
        <w:t>.</w:t>
      </w:r>
      <w:r w:rsidR="007F107E" w:rsidRPr="008542FD">
        <w:rPr>
          <w:b/>
          <w:bCs/>
        </w:rPr>
        <w:t xml:space="preserve"> Research Hypotheses</w:t>
      </w:r>
    </w:p>
    <w:p w14:paraId="317446D1" w14:textId="77777777" w:rsidR="006B47A5" w:rsidRDefault="007F107E">
      <w:r>
        <w:t>H₀₁: No significant trend exists in HWC incidents.</w:t>
      </w:r>
      <w:r>
        <w:br/>
        <w:t>H₀₂: No relationship exists between land-use change and HWC.</w:t>
      </w:r>
      <w:r>
        <w:br/>
        <w:t>H₀₃: No spatial differences exist in HWC intensity.</w:t>
      </w:r>
    </w:p>
    <w:p w14:paraId="3875250C" w14:textId="3F301AC5" w:rsidR="00C319F2" w:rsidRDefault="008542FD" w:rsidP="00C319F2">
      <w:pPr>
        <w:rPr>
          <w:b/>
          <w:bCs/>
        </w:rPr>
      </w:pPr>
      <w:r>
        <w:rPr>
          <w:b/>
          <w:bCs/>
        </w:rPr>
        <w:t>3</w:t>
      </w:r>
      <w:r w:rsidR="00C319F2">
        <w:rPr>
          <w:b/>
          <w:bCs/>
        </w:rPr>
        <w:t>.0</w:t>
      </w:r>
      <w:r>
        <w:rPr>
          <w:b/>
          <w:bCs/>
        </w:rPr>
        <w:t>.</w:t>
      </w:r>
      <w:r w:rsidR="00C319F2">
        <w:rPr>
          <w:b/>
          <w:bCs/>
        </w:rPr>
        <w:t xml:space="preserve"> </w:t>
      </w:r>
      <w:r w:rsidR="00C319F2" w:rsidRPr="00C319F2">
        <w:rPr>
          <w:b/>
          <w:bCs/>
        </w:rPr>
        <w:t xml:space="preserve">Literature Review: </w:t>
      </w:r>
    </w:p>
    <w:p w14:paraId="7D962E58" w14:textId="5CCDC752" w:rsidR="00C319F2" w:rsidRPr="00C319F2" w:rsidRDefault="005D4C49" w:rsidP="00C319F2">
      <w:pPr>
        <w:rPr>
          <w:b/>
          <w:bCs/>
        </w:rPr>
      </w:pPr>
      <w:r>
        <w:rPr>
          <w:b/>
          <w:bCs/>
        </w:rPr>
        <w:t xml:space="preserve">3.1 </w:t>
      </w:r>
      <w:r w:rsidR="00C319F2" w:rsidRPr="00C319F2">
        <w:rPr>
          <w:b/>
          <w:bCs/>
        </w:rPr>
        <w:t>Long-Term Dynamics of Human–Wildlife Conflict Around Nairobi National Park</w:t>
      </w:r>
    </w:p>
    <w:p w14:paraId="1CD19D5C" w14:textId="77777777" w:rsidR="00C319F2" w:rsidRPr="00C319F2" w:rsidRDefault="00C319F2" w:rsidP="00201B77">
      <w:pPr>
        <w:jc w:val="both"/>
      </w:pPr>
      <w:r w:rsidRPr="00C319F2">
        <w:t>Human–wildlife conflict (HWC) around Nairobi National Park has been widely recognized as a growing and persistent conservation challenge driven by rapid urban expansion, land fragmentation, and declining wildlife dispersal areas (Kenya Wildlife Service, 2020). However, most studies indicate that long-term trend analysis remains limited, with many relying on short-term assessments that fail to capture cumulative ecological and socio-economic changes over time (UNEP, 2022). This gap limits a full understanding of how conflict patterns have evolved in response to urban growth and environmental change.</w:t>
      </w:r>
    </w:p>
    <w:p w14:paraId="308E8812" w14:textId="77777777" w:rsidR="00C319F2" w:rsidRPr="00C319F2" w:rsidRDefault="00C319F2" w:rsidP="00201B77">
      <w:pPr>
        <w:jc w:val="both"/>
      </w:pPr>
      <w:r w:rsidRPr="00C319F2">
        <w:t xml:space="preserve">One of the most widely documented drivers of HWC is the progressive loss and fragmentation of wildlife corridors, particularly in the southern dispersal areas such as Kitengela and Athi-Kaputiei. These areas historically facilitated seasonal wildlife migration between Nairobi National Park and the greater Amboseli ecosystem. However, rapid subdivision of land and fencing has significantly disrupted connectivity (Wandaka &amp; Francis, 2018). As a result, wildlife movement has been increasingly restricted, forcing </w:t>
      </w:r>
      <w:r w:rsidRPr="00C319F2">
        <w:lastRenderedPageBreak/>
        <w:t>animals into closer contact with human settlements and increasing conflict incidents (Burudi et al., 2023).</w:t>
      </w:r>
    </w:p>
    <w:p w14:paraId="6706F679" w14:textId="77777777" w:rsidR="00C319F2" w:rsidRPr="00C319F2" w:rsidRDefault="00C319F2" w:rsidP="00201B77">
      <w:pPr>
        <w:jc w:val="both"/>
      </w:pPr>
      <w:r w:rsidRPr="00C319F2">
        <w:t>Ecologically, long-term studies show that the disruption of migratory routes has contributed to declines in key herbivore populations and altered predator-prey dynamics. For example, reductions in migratory wildebeest and zebra populations have been linked to habitat fragmentation and increasing human settlement density (Western et al., 2019). This ecological imbalance has indirectly intensified livestock predation, as predators such as lions and hyenas increasingly target domestic animals when natural prey becomes less accessible (Ogutu et al., 2018).</w:t>
      </w:r>
    </w:p>
    <w:p w14:paraId="112A7B4B" w14:textId="77777777" w:rsidR="00C319F2" w:rsidRPr="00C319F2" w:rsidRDefault="00C319F2" w:rsidP="00201B77">
      <w:pPr>
        <w:jc w:val="both"/>
      </w:pPr>
      <w:r w:rsidRPr="00C319F2">
        <w:t>From a socio-economic perspective, studies consistently show that population growth and land-use transformation around Nairobi have significantly intensified HWC over time (UNEP, 2022). Expansion of agriculture, informal settlements, and infrastructure development has reduced buffer zones between humans and wildlife habitats (Kenya Wildlife Service, 2020). Additionally, increasing land subdivision has led to fencing of previously open rangelands, further restricting wildlife movement and escalating conflict frequency (Wandaka &amp; Francis, 2018).</w:t>
      </w:r>
    </w:p>
    <w:p w14:paraId="25C89EF9" w14:textId="77777777" w:rsidR="00C319F2" w:rsidRPr="00C319F2" w:rsidRDefault="00C319F2" w:rsidP="00201B77">
      <w:pPr>
        <w:jc w:val="both"/>
      </w:pPr>
      <w:r w:rsidRPr="00C319F2">
        <w:t>Analytically, literature suggests that HWC in the Nairobi ecosystem has shifted from seasonal and localized incidents to more permanent and widespread occurrences. Earlier conflicts were largely associated with predictable wildlife migration patterns, but current conflicts are more continuous due to permanent habitat fragmentation and urban encroachment (Burudi et al., 2023). This transition highlights a shift from ecological seasonality to structural land-use driven conflict.</w:t>
      </w:r>
    </w:p>
    <w:p w14:paraId="1C878F2D" w14:textId="77777777" w:rsidR="00C319F2" w:rsidRPr="00C319F2" w:rsidRDefault="00C319F2" w:rsidP="00201B77">
      <w:pPr>
        <w:jc w:val="both"/>
      </w:pPr>
      <w:r w:rsidRPr="00C319F2">
        <w:t>Despite this growing evidence, a major gap remains in the integration of long-term ecological, climatic, and socio-economic datasets to fully explain HWC dynamics. Most available studies focus on either ecological impacts or socio-economic dimensions in isolation, limiting comprehensive understanding of system-wide interactions (UNEP, 2022). This has constrained the development of adaptive and evidence-based management strategies.</w:t>
      </w:r>
    </w:p>
    <w:p w14:paraId="178C6739" w14:textId="77777777" w:rsidR="00C319F2" w:rsidRPr="00C319F2" w:rsidRDefault="00C319F2" w:rsidP="00201B77">
      <w:pPr>
        <w:jc w:val="both"/>
      </w:pPr>
      <w:r w:rsidRPr="00C319F2">
        <w:t>Mitigation approaches such as community conservancies, wildlife corridors, compensation schemes, and land lease programs have been implemented to reduce conflict (Kenya Wildlife Service, 2020). However, their effectiveness has been inconsistent due to weak enforcement, land pressure, and inadequate long-term monitoring (Western et al., 2019). Consequently, literature emphasizes the need for integrated, landscape-level planning that maintains ecological connectivity while supporting human livelihoods.</w:t>
      </w:r>
    </w:p>
    <w:p w14:paraId="0060C031" w14:textId="77777777" w:rsidR="00C319F2" w:rsidRDefault="00C319F2" w:rsidP="00201B77">
      <w:pPr>
        <w:jc w:val="both"/>
      </w:pPr>
      <w:r w:rsidRPr="00C319F2">
        <w:t xml:space="preserve">In conclusion, existing literature shows that human–wildlife conflict around Nairobi National Park has intensified over time due to increasing land fragmentation, urban </w:t>
      </w:r>
      <w:r w:rsidRPr="00C319F2">
        <w:lastRenderedPageBreak/>
        <w:t>expansion, and ecological disruption (Burudi et al., 2023; UNEP, 2022). However, the absence of robust long-term trend analyses remains a key research gap that limits effective policy response and sustainable conservation planning.</w:t>
      </w:r>
    </w:p>
    <w:p w14:paraId="5943E3D3" w14:textId="74396286" w:rsidR="00201B77" w:rsidRDefault="005D4C49" w:rsidP="00201B77">
      <w:pPr>
        <w:jc w:val="both"/>
        <w:rPr>
          <w:b/>
          <w:bCs/>
        </w:rPr>
      </w:pPr>
      <w:r>
        <w:rPr>
          <w:b/>
          <w:bCs/>
        </w:rPr>
        <w:t>3</w:t>
      </w:r>
      <w:r w:rsidR="00201B77" w:rsidRPr="00201B77">
        <w:rPr>
          <w:b/>
          <w:bCs/>
        </w:rPr>
        <w:t>.2 Research gap</w:t>
      </w:r>
    </w:p>
    <w:p w14:paraId="3E7B7500" w14:textId="13E7E216" w:rsidR="00201B77" w:rsidRPr="00C319F2" w:rsidRDefault="00201B77" w:rsidP="00201B77">
      <w:pPr>
        <w:jc w:val="both"/>
      </w:pPr>
      <w:r w:rsidRPr="00201B77">
        <w:t>Despite extensive studies on human–wildlife conflict around Nairobi National Park, there remains a limited understanding of long-term temporal trends in conflict dynamics. Most existing research has focused on short-term assessments, which do not adequately capture cumulative ecological and socio-economic changes over time. In addition, there is insufficient integration of climate variability data with human–wildlife conflict patterns in the Southern Dispersal Area. Few studies have simultaneously examined ecological drivers, socio-economic factors, and household-level adaptation strategies in a single analytical framework. This creates a critical gap in evidence-based knowledge needed to support holistic and sustainable management of human–wildlife conflicts in the study area.</w:t>
      </w:r>
    </w:p>
    <w:p w14:paraId="54CD89A8" w14:textId="2D908E58" w:rsidR="006B47A5" w:rsidRPr="00201B77" w:rsidRDefault="0015461C" w:rsidP="00201B77">
      <w:pPr>
        <w:rPr>
          <w:b/>
          <w:bCs/>
        </w:rPr>
      </w:pPr>
      <w:r>
        <w:rPr>
          <w:b/>
          <w:bCs/>
        </w:rPr>
        <w:t>4</w:t>
      </w:r>
      <w:r w:rsidR="007F107E" w:rsidRPr="00201B77">
        <w:rPr>
          <w:b/>
          <w:bCs/>
        </w:rPr>
        <w:t>. Research Methodology</w:t>
      </w:r>
    </w:p>
    <w:p w14:paraId="4E742E60" w14:textId="3DC90DDC" w:rsidR="00201B77" w:rsidRPr="00201B77" w:rsidRDefault="0015461C" w:rsidP="00C319F2">
      <w:pPr>
        <w:jc w:val="both"/>
        <w:rPr>
          <w:b/>
          <w:bCs/>
        </w:rPr>
      </w:pPr>
      <w:r>
        <w:rPr>
          <w:b/>
          <w:bCs/>
        </w:rPr>
        <w:t>4</w:t>
      </w:r>
      <w:r w:rsidR="00201B77" w:rsidRPr="00201B77">
        <w:rPr>
          <w:b/>
          <w:bCs/>
        </w:rPr>
        <w:t>.1 Study Design:</w:t>
      </w:r>
    </w:p>
    <w:p w14:paraId="15A24387" w14:textId="1766666D" w:rsidR="00C319F2" w:rsidRDefault="00C319F2" w:rsidP="00C319F2">
      <w:pPr>
        <w:jc w:val="both"/>
      </w:pPr>
      <w:r w:rsidRPr="00C319F2">
        <w:t>A longitudinal research design was used to examine climate variability and management alternatives to human–wildlife conflicts in the Southern Dispersal Area of Nairobi National Park, Kenya. This design involved collecting data repeatedly over time to detect changes in climate patterns, wildlife movement, and conflict incidents. It allowed the study to establish trends and relationships between climate variability and human–wildlife conflict dynamics rather than relying on a single time snapshot.</w:t>
      </w:r>
    </w:p>
    <w:p w14:paraId="31BB55CA" w14:textId="6D462121" w:rsidR="00201B77" w:rsidRPr="00C319F2" w:rsidRDefault="0015461C" w:rsidP="00C319F2">
      <w:pPr>
        <w:jc w:val="both"/>
        <w:rPr>
          <w:b/>
          <w:bCs/>
        </w:rPr>
      </w:pPr>
      <w:r>
        <w:rPr>
          <w:b/>
          <w:bCs/>
        </w:rPr>
        <w:t>4</w:t>
      </w:r>
      <w:r w:rsidR="00201B77" w:rsidRPr="00201B77">
        <w:rPr>
          <w:b/>
          <w:bCs/>
        </w:rPr>
        <w:t xml:space="preserve">.2 sampling Procedure </w:t>
      </w:r>
      <w:r w:rsidR="00201B77">
        <w:rPr>
          <w:b/>
          <w:bCs/>
        </w:rPr>
        <w:t xml:space="preserve">and methods </w:t>
      </w:r>
    </w:p>
    <w:p w14:paraId="0D055FE6" w14:textId="77777777" w:rsidR="00C319F2" w:rsidRPr="00C319F2" w:rsidRDefault="00C319F2" w:rsidP="00C319F2">
      <w:pPr>
        <w:jc w:val="both"/>
      </w:pPr>
      <w:r w:rsidRPr="00C319F2">
        <w:t>Stratified sampling was used to select 210 households to ensure representation across different zones within the Southern Dispersal Area. Households were grouped into strata based on relevant characteristics such as proximity to the park boundary, land use type, and exposure to wildlife activity. From each stratum, households were randomly selected to ensure balanced representation and reduce sampling bias. This approach ensured that both high-risk and low-risk communities were adequately included in the study.</w:t>
      </w:r>
    </w:p>
    <w:p w14:paraId="223CA378" w14:textId="77777777" w:rsidR="00C319F2" w:rsidRPr="00C319F2" w:rsidRDefault="00C319F2" w:rsidP="00C319F2">
      <w:pPr>
        <w:jc w:val="both"/>
      </w:pPr>
      <w:r w:rsidRPr="00C319F2">
        <w:t xml:space="preserve">Surveys were used as the primary method for collecting quantitative data from the selected households. Structured questionnaires were administered to gather information on household experiences with climate variability, including rainfall changes, drought frequency, and temperature fluctuations. The surveys also captured data on the frequency and severity of human–wildlife conflicts, such as crop damage, livestock losses, and property destruction. In addition, they collected information on household adaptation </w:t>
      </w:r>
      <w:r w:rsidRPr="00C319F2">
        <w:lastRenderedPageBreak/>
        <w:t>strategies and management alternatives being used, such as fencing, crop diversification, and livestock guarding practices.</w:t>
      </w:r>
    </w:p>
    <w:p w14:paraId="0B57ECD1" w14:textId="77777777" w:rsidR="00C319F2" w:rsidRPr="00C319F2" w:rsidRDefault="00C319F2" w:rsidP="00C319F2">
      <w:pPr>
        <w:jc w:val="both"/>
      </w:pPr>
      <w:r w:rsidRPr="00C319F2">
        <w:t>Interviews were conducted to obtain in-depth qualitative information from key informants. These included community leaders, park officials, conservation officers, and local farmers with long-term experience in dealing with wildlife conflicts. The interviews provided insights into perceived changes in climate patterns and how these changes influenced wildlife behavior and conflict occurrences. They also helped identify traditional and institutional management strategies that had been implemented over time and evaluate their effectiveness.</w:t>
      </w:r>
    </w:p>
    <w:p w14:paraId="11338DF7" w14:textId="77777777" w:rsidR="00201B77" w:rsidRDefault="00C319F2" w:rsidP="00C319F2">
      <w:pPr>
        <w:jc w:val="both"/>
      </w:pPr>
      <w:r w:rsidRPr="00C319F2">
        <w:t xml:space="preserve">Secondary data sources were used to complement primary data and strengthen the analysis. These included climate records from meteorological stations, wildlife conflict reports from the Kenya Wildlife Service, and land-use change data from government and conservation agencies. </w:t>
      </w:r>
    </w:p>
    <w:p w14:paraId="035FA95F" w14:textId="4945DB54" w:rsidR="00201B77" w:rsidRPr="00201B77" w:rsidRDefault="0015461C" w:rsidP="00C319F2">
      <w:pPr>
        <w:jc w:val="both"/>
        <w:rPr>
          <w:b/>
          <w:bCs/>
        </w:rPr>
      </w:pPr>
      <w:r>
        <w:rPr>
          <w:b/>
          <w:bCs/>
        </w:rPr>
        <w:t>4</w:t>
      </w:r>
      <w:r w:rsidR="00201B77" w:rsidRPr="00201B77">
        <w:rPr>
          <w:b/>
          <w:bCs/>
        </w:rPr>
        <w:t xml:space="preserve">.3 Data Analysis </w:t>
      </w:r>
    </w:p>
    <w:p w14:paraId="4724C692" w14:textId="0A2D353A" w:rsidR="00C319F2" w:rsidRDefault="00C319F2" w:rsidP="00C319F2">
      <w:pPr>
        <w:jc w:val="both"/>
      </w:pPr>
      <w:r w:rsidRPr="00C319F2">
        <w:t>Historical rainfall and temperature data were analyzed to establish trends in climate variability over time. Wildlife incident records helped validate reported conflict cases from households, while policy documents provided information on existing management frameworks. Together, these three methods ensured a comprehensive understanding of how climate variability influenced human–wildlife conflicts and the effectiveness of management alternatives in the study area.</w:t>
      </w:r>
    </w:p>
    <w:p w14:paraId="78008E27" w14:textId="37FC0931" w:rsidR="00201B77" w:rsidRPr="00201B77" w:rsidRDefault="0015461C" w:rsidP="00201B77">
      <w:pPr>
        <w:jc w:val="both"/>
        <w:rPr>
          <w:b/>
          <w:bCs/>
        </w:rPr>
      </w:pPr>
      <w:r>
        <w:rPr>
          <w:b/>
          <w:bCs/>
        </w:rPr>
        <w:t>4</w:t>
      </w:r>
      <w:r w:rsidR="00201B77" w:rsidRPr="00201B77">
        <w:rPr>
          <w:b/>
          <w:bCs/>
        </w:rPr>
        <w:t>.</w:t>
      </w:r>
      <w:r w:rsidR="00201B77">
        <w:rPr>
          <w:b/>
          <w:bCs/>
        </w:rPr>
        <w:t>4</w:t>
      </w:r>
      <w:r w:rsidR="00201B77" w:rsidRPr="00201B77">
        <w:rPr>
          <w:b/>
          <w:bCs/>
        </w:rPr>
        <w:t xml:space="preserve"> Justification for the Choice of Statistical Methods</w:t>
      </w:r>
    </w:p>
    <w:p w14:paraId="485A6634" w14:textId="77777777" w:rsidR="00201B77" w:rsidRPr="00201B77" w:rsidRDefault="00201B77" w:rsidP="00201B77">
      <w:pPr>
        <w:jc w:val="both"/>
      </w:pPr>
      <w:r w:rsidRPr="00201B77">
        <w:t>The study employed both descriptive and inferential statistical methods to ensure a comprehensive analysis of climate variability and human–wildlife conflict dynamics in the Southern Dispersal Area of Nairobi National Park. Descriptive statistics such as frequencies, percentages, means, and standard deviations were used to summarize household responses and provide a clear overview of patterns in climate variability, conflict incidence, and management strategies. These methods were appropriate because they enabled the simplification and interpretation of large datasets into understandable forms for comparison and reporting.</w:t>
      </w:r>
    </w:p>
    <w:p w14:paraId="4F0FB26E" w14:textId="77777777" w:rsidR="00201B77" w:rsidRPr="00201B77" w:rsidRDefault="00201B77" w:rsidP="00201B77">
      <w:pPr>
        <w:jc w:val="both"/>
      </w:pPr>
      <w:r w:rsidRPr="00201B77">
        <w:t>Inferential statistics were used to determine relationships and test hypotheses regarding the influence of climate variability on human–wildlife conflicts. Techniques such as correlation analysis were justified as they helped measure the strength and direction of relationships between variables such as rainfall variability, drought frequency, and conflict occurrence. Regression analysis was also applied to assess the extent to which climate variability and socio-economic factors predicted the intensity of human–wildlife conflicts.</w:t>
      </w:r>
    </w:p>
    <w:p w14:paraId="283D0220" w14:textId="77777777" w:rsidR="00201B77" w:rsidRPr="00201B77" w:rsidRDefault="00201B77" w:rsidP="00201B77">
      <w:pPr>
        <w:jc w:val="both"/>
      </w:pPr>
      <w:r w:rsidRPr="00201B77">
        <w:lastRenderedPageBreak/>
        <w:t>Where comparisons between groups were necessary, statistical tests such as t-tests or ANOVA were used to examine differences in conflict experiences among different household categories. These methods were appropriate because they allowed for testing whether observed differences were statistically significant rather than due to chance. In addition, chi-square tests were used for categorical data to assess associations between variables such as land-use type and conflict occurrence.</w:t>
      </w:r>
    </w:p>
    <w:p w14:paraId="47874923" w14:textId="77777777" w:rsidR="00201B77" w:rsidRPr="00201B77" w:rsidRDefault="00201B77" w:rsidP="00201B77">
      <w:pPr>
        <w:jc w:val="both"/>
      </w:pPr>
      <w:r w:rsidRPr="00201B77">
        <w:t>Overall, the choice of statistical methods was guided by the nature of the data collected, the study objectives, and the need to generate reliable, valid, and generalizable findings. The combination of descriptive and inferential techniques ensured both detailed description and rigorous statistical testing of relationships within the dataset.</w:t>
      </w:r>
    </w:p>
    <w:p w14:paraId="369466DA" w14:textId="3ADBD22D" w:rsidR="00201B77" w:rsidRPr="00201B77" w:rsidRDefault="0015461C" w:rsidP="00201B77">
      <w:pPr>
        <w:jc w:val="both"/>
        <w:rPr>
          <w:b/>
          <w:bCs/>
        </w:rPr>
      </w:pPr>
      <w:r>
        <w:rPr>
          <w:b/>
          <w:bCs/>
        </w:rPr>
        <w:t>4</w:t>
      </w:r>
      <w:r w:rsidR="00201B77">
        <w:rPr>
          <w:b/>
          <w:bCs/>
        </w:rPr>
        <w:t>.5</w:t>
      </w:r>
      <w:r w:rsidR="00201B77" w:rsidRPr="00201B77">
        <w:rPr>
          <w:b/>
          <w:bCs/>
        </w:rPr>
        <w:t xml:space="preserve"> Ethical Considerations</w:t>
      </w:r>
    </w:p>
    <w:p w14:paraId="3E0E0A20" w14:textId="2CFE6662" w:rsidR="00201B77" w:rsidRPr="00201B77" w:rsidRDefault="00201B77" w:rsidP="00201B77">
      <w:pPr>
        <w:jc w:val="both"/>
      </w:pPr>
      <w:r w:rsidRPr="00201B77">
        <w:t xml:space="preserve">The study adhered to ethical principles to ensure the protection of respondents and the integrity of the research process. Informed consent was obtained from all participants after clearly explaining the purpose of the study, their role, and their right to withdraw at any time without any penalty. Participation was entirely voluntary, and no respondent was coerced into providing </w:t>
      </w:r>
      <w:r w:rsidR="00C12D5B" w:rsidRPr="00201B77">
        <w:t>information. Confidentiality</w:t>
      </w:r>
      <w:r w:rsidRPr="00201B77">
        <w:t xml:space="preserve"> and anonymity of respondents were strictly maintained throughout the study. Personal identifiers were not recorded in the questionnaires or interview schedules, and all data were reported in aggregated form to prevent the identification of individual participants or households. Data collected were securely stored and accessed only by the researcher for academic purposes.</w:t>
      </w:r>
    </w:p>
    <w:p w14:paraId="1BE06CBB" w14:textId="69CF834B" w:rsidR="00201B77" w:rsidRPr="00201B77" w:rsidRDefault="00201B77" w:rsidP="00201B77">
      <w:pPr>
        <w:jc w:val="both"/>
      </w:pPr>
      <w:r w:rsidRPr="00201B77">
        <w:t xml:space="preserve">The study also ensured respect for community norms, cultural values, and local protocols, especially when engaging with household respondents and key informants. Permission to conduct the research was obtained from relevant administrative authorities and institutional review bodies before data collection </w:t>
      </w:r>
      <w:r w:rsidR="00C12D5B" w:rsidRPr="00201B77">
        <w:t>commenced. Finally</w:t>
      </w:r>
      <w:r w:rsidRPr="00201B77">
        <w:t>, the study avoided any form of harm to participants, including psychological, social, or economic harm, by ensuring that questions were non-intrusive and culturally appropriate. The research further upheld academic honesty by ensuring that all sources used were properly cited and that no data fabrication or manipulation occurred.</w:t>
      </w:r>
    </w:p>
    <w:p w14:paraId="279A4976" w14:textId="093E9349" w:rsidR="006B47A5" w:rsidRPr="008542FD" w:rsidRDefault="0015461C" w:rsidP="008542FD">
      <w:pPr>
        <w:rPr>
          <w:b/>
          <w:bCs/>
        </w:rPr>
      </w:pPr>
      <w:r>
        <w:rPr>
          <w:b/>
          <w:bCs/>
        </w:rPr>
        <w:t>5</w:t>
      </w:r>
      <w:r w:rsidR="007F107E" w:rsidRPr="008542FD">
        <w:rPr>
          <w:b/>
          <w:bCs/>
        </w:rPr>
        <w:t>. Results and Discussion</w:t>
      </w:r>
    </w:p>
    <w:p w14:paraId="31E13FEF" w14:textId="77777777" w:rsidR="00F35E68" w:rsidRDefault="00F35E68">
      <w:commentRangeStart w:id="0"/>
      <w:r w:rsidRPr="00F35E68">
        <w:t>Chapter Four presents the results and discussion of the study on climate variability and human–wildlife conflict in the Southern Dispersal Area of Nairobi National Park, Kenya. It provides a detailed analysis of the collected data using both descriptive and inferential statistical methods in line with the study objectives and hypotheses. The chapter also interprets the findings in relation to existing literature to draw meaningful conclusions and policy-relevant insights.</w:t>
      </w:r>
      <w:commentRangeEnd w:id="0"/>
      <w:r w:rsidR="00F2514F">
        <w:rPr>
          <w:rStyle w:val="CommentReference"/>
        </w:rPr>
        <w:commentReference w:id="0"/>
      </w:r>
    </w:p>
    <w:p w14:paraId="6D992D98" w14:textId="2A86BC95" w:rsidR="006B47A5" w:rsidRPr="00ED119F" w:rsidRDefault="007F107E" w:rsidP="00C12D5B">
      <w:pPr>
        <w:rPr>
          <w:b/>
          <w:bCs/>
        </w:rPr>
      </w:pPr>
      <w:r w:rsidRPr="00ED119F">
        <w:rPr>
          <w:b/>
          <w:bCs/>
        </w:rPr>
        <w:t>Table 1: HWC Trends</w:t>
      </w:r>
    </w:p>
    <w:tbl>
      <w:tblPr>
        <w:tblW w:w="9420" w:type="dxa"/>
        <w:tblLook w:val="04A0" w:firstRow="1" w:lastRow="0" w:firstColumn="1" w:lastColumn="0" w:noHBand="0" w:noVBand="1"/>
      </w:tblPr>
      <w:tblGrid>
        <w:gridCol w:w="4710"/>
        <w:gridCol w:w="4710"/>
      </w:tblGrid>
      <w:tr w:rsidR="006B47A5" w14:paraId="76BB3980" w14:textId="77777777" w:rsidTr="00C12D5B">
        <w:trPr>
          <w:trHeight w:val="548"/>
        </w:trPr>
        <w:tc>
          <w:tcPr>
            <w:tcW w:w="4710" w:type="dxa"/>
            <w:tcBorders>
              <w:top w:val="single" w:sz="4" w:space="0" w:color="auto"/>
              <w:bottom w:val="single" w:sz="4" w:space="0" w:color="auto"/>
            </w:tcBorders>
          </w:tcPr>
          <w:p w14:paraId="2877157C" w14:textId="77777777" w:rsidR="006B47A5" w:rsidRDefault="007F107E">
            <w:r>
              <w:lastRenderedPageBreak/>
              <w:t>Year</w:t>
            </w:r>
          </w:p>
        </w:tc>
        <w:tc>
          <w:tcPr>
            <w:tcW w:w="4710" w:type="dxa"/>
            <w:tcBorders>
              <w:top w:val="single" w:sz="4" w:space="0" w:color="auto"/>
              <w:bottom w:val="single" w:sz="4" w:space="0" w:color="auto"/>
            </w:tcBorders>
          </w:tcPr>
          <w:p w14:paraId="7B7FF3DC" w14:textId="77777777" w:rsidR="006B47A5" w:rsidRDefault="007F107E">
            <w:r>
              <w:t>Conflict Cases</w:t>
            </w:r>
          </w:p>
        </w:tc>
      </w:tr>
      <w:tr w:rsidR="006B47A5" w14:paraId="012DD7E4" w14:textId="77777777" w:rsidTr="00C12D5B">
        <w:trPr>
          <w:trHeight w:val="564"/>
        </w:trPr>
        <w:tc>
          <w:tcPr>
            <w:tcW w:w="4710" w:type="dxa"/>
            <w:tcBorders>
              <w:top w:val="single" w:sz="4" w:space="0" w:color="auto"/>
            </w:tcBorders>
          </w:tcPr>
          <w:p w14:paraId="0799EA00" w14:textId="77777777" w:rsidR="006B47A5" w:rsidRDefault="007F107E">
            <w:r>
              <w:t>1995</w:t>
            </w:r>
          </w:p>
        </w:tc>
        <w:tc>
          <w:tcPr>
            <w:tcW w:w="4710" w:type="dxa"/>
            <w:tcBorders>
              <w:top w:val="single" w:sz="4" w:space="0" w:color="auto"/>
            </w:tcBorders>
          </w:tcPr>
          <w:p w14:paraId="36B2B746" w14:textId="77777777" w:rsidR="006B47A5" w:rsidRDefault="007F107E">
            <w:r>
              <w:t>120</w:t>
            </w:r>
          </w:p>
        </w:tc>
      </w:tr>
      <w:tr w:rsidR="006B47A5" w14:paraId="2A92C99F" w14:textId="77777777" w:rsidTr="00C12D5B">
        <w:trPr>
          <w:trHeight w:val="548"/>
        </w:trPr>
        <w:tc>
          <w:tcPr>
            <w:tcW w:w="4710" w:type="dxa"/>
          </w:tcPr>
          <w:p w14:paraId="56C0090A" w14:textId="77777777" w:rsidR="006B47A5" w:rsidRDefault="007F107E">
            <w:r>
              <w:t>2005</w:t>
            </w:r>
          </w:p>
        </w:tc>
        <w:tc>
          <w:tcPr>
            <w:tcW w:w="4710" w:type="dxa"/>
          </w:tcPr>
          <w:p w14:paraId="20279BDA" w14:textId="77777777" w:rsidR="006B47A5" w:rsidRDefault="007F107E">
            <w:r>
              <w:t>210</w:t>
            </w:r>
          </w:p>
        </w:tc>
      </w:tr>
      <w:tr w:rsidR="006B47A5" w14:paraId="45ADDB97" w14:textId="77777777" w:rsidTr="00C12D5B">
        <w:trPr>
          <w:trHeight w:val="564"/>
        </w:trPr>
        <w:tc>
          <w:tcPr>
            <w:tcW w:w="4710" w:type="dxa"/>
          </w:tcPr>
          <w:p w14:paraId="5C4DA0EB" w14:textId="77777777" w:rsidR="006B47A5" w:rsidRDefault="007F107E">
            <w:r>
              <w:t>2015</w:t>
            </w:r>
          </w:p>
        </w:tc>
        <w:tc>
          <w:tcPr>
            <w:tcW w:w="4710" w:type="dxa"/>
          </w:tcPr>
          <w:p w14:paraId="29232E24" w14:textId="77777777" w:rsidR="006B47A5" w:rsidRDefault="007F107E">
            <w:r>
              <w:t>340</w:t>
            </w:r>
          </w:p>
        </w:tc>
      </w:tr>
      <w:tr w:rsidR="006B47A5" w14:paraId="20D9B7A8" w14:textId="77777777" w:rsidTr="00C12D5B">
        <w:trPr>
          <w:trHeight w:val="548"/>
        </w:trPr>
        <w:tc>
          <w:tcPr>
            <w:tcW w:w="4710" w:type="dxa"/>
            <w:tcBorders>
              <w:bottom w:val="single" w:sz="4" w:space="0" w:color="auto"/>
            </w:tcBorders>
          </w:tcPr>
          <w:p w14:paraId="39CE18C1" w14:textId="77777777" w:rsidR="006B47A5" w:rsidRDefault="007F107E">
            <w:r>
              <w:t>2025</w:t>
            </w:r>
          </w:p>
        </w:tc>
        <w:tc>
          <w:tcPr>
            <w:tcW w:w="4710" w:type="dxa"/>
            <w:tcBorders>
              <w:bottom w:val="single" w:sz="4" w:space="0" w:color="auto"/>
            </w:tcBorders>
          </w:tcPr>
          <w:p w14:paraId="32988958" w14:textId="77777777" w:rsidR="006B47A5" w:rsidRDefault="007F107E">
            <w:r>
              <w:t>520</w:t>
            </w:r>
          </w:p>
        </w:tc>
      </w:tr>
    </w:tbl>
    <w:p w14:paraId="7FB93FE9" w14:textId="77777777" w:rsidR="00C12D5B" w:rsidRDefault="00C12D5B" w:rsidP="00C12D5B">
      <w:pPr>
        <w:rPr>
          <w:b/>
          <w:bCs/>
        </w:rPr>
      </w:pPr>
    </w:p>
    <w:p w14:paraId="070B13D9" w14:textId="77777777" w:rsidR="005D4C49" w:rsidRDefault="005D4C49" w:rsidP="005D4C49">
      <w:r>
        <w:rPr>
          <w:noProof/>
          <w:lang w:val="en-IN" w:eastAsia="en-IN" w:bidi="hi-IN"/>
        </w:rPr>
        <w:drawing>
          <wp:inline distT="0" distB="0" distL="0" distR="0" wp14:anchorId="10BA0478" wp14:editId="4B4A3B7F">
            <wp:extent cx="5852160" cy="3228975"/>
            <wp:effectExtent l="19050" t="19050" r="1524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c_trend.png"/>
                    <pic:cNvPicPr/>
                  </pic:nvPicPr>
                  <pic:blipFill>
                    <a:blip r:embed="rId10"/>
                    <a:stretch>
                      <a:fillRect/>
                    </a:stretch>
                  </pic:blipFill>
                  <pic:spPr>
                    <a:xfrm>
                      <a:off x="0" y="0"/>
                      <a:ext cx="5852160" cy="3228975"/>
                    </a:xfrm>
                    <a:prstGeom prst="rect">
                      <a:avLst/>
                    </a:prstGeom>
                    <a:ln w="19050">
                      <a:solidFill>
                        <a:schemeClr val="tx1"/>
                      </a:solidFill>
                    </a:ln>
                  </pic:spPr>
                </pic:pic>
              </a:graphicData>
            </a:graphic>
          </wp:inline>
        </w:drawing>
      </w:r>
    </w:p>
    <w:p w14:paraId="4F051316" w14:textId="77777777" w:rsidR="005D4C49" w:rsidRPr="00ED119F" w:rsidRDefault="005D4C49" w:rsidP="005D4C49">
      <w:pPr>
        <w:rPr>
          <w:b/>
          <w:bCs/>
        </w:rPr>
      </w:pPr>
      <w:r w:rsidRPr="00ED119F">
        <w:rPr>
          <w:b/>
          <w:bCs/>
        </w:rPr>
        <w:t xml:space="preserve">Figure 1. Trend of human- Wildlife Conflict (1995-2025) </w:t>
      </w:r>
    </w:p>
    <w:p w14:paraId="7B9B4356" w14:textId="68960A86" w:rsidR="005D4C49" w:rsidRPr="005D4C49" w:rsidRDefault="005D4C49" w:rsidP="005D4C49">
      <w:pPr>
        <w:jc w:val="both"/>
      </w:pPr>
      <w:r w:rsidRPr="005D4C49">
        <w:t xml:space="preserve">The data </w:t>
      </w:r>
      <w:r>
        <w:t xml:space="preserve">(Table 1 and Figure1) </w:t>
      </w:r>
      <w:commentRangeStart w:id="1"/>
      <w:r>
        <w:t>1</w:t>
      </w:r>
      <w:commentRangeEnd w:id="1"/>
      <w:r w:rsidR="007267FD">
        <w:rPr>
          <w:rStyle w:val="CommentReference"/>
        </w:rPr>
        <w:commentReference w:id="1"/>
      </w:r>
      <w:r w:rsidRPr="005D4C49">
        <w:t>had shown a clear and consistent increase in human</w:t>
      </w:r>
      <w:r>
        <w:t xml:space="preserve"> </w:t>
      </w:r>
      <w:r w:rsidRPr="005D4C49">
        <w:t>wildlife conflict (HWC) cases around Nairobi National Park from 1995 to 2025, rising from 120 cases in 1995 to 210 in 2005, 340 in 2015, and reaching 520 cases in 2025. This pattern had indicated a sustained upward trend over the 30-year period, suggesting that human–wildlife conflict had been intensifying rather than fluctuating randomly. The increase had been particularly pronounced between each time interval, reflecting accelerating pressure on the park’s surrounding ecosystem due to expanding human activities and reduced wildlife mobility.</w:t>
      </w:r>
    </w:p>
    <w:p w14:paraId="0E7342FD" w14:textId="77777777" w:rsidR="005D4C49" w:rsidRPr="005D4C49" w:rsidRDefault="005D4C49" w:rsidP="005D4C49">
      <w:pPr>
        <w:jc w:val="both"/>
      </w:pPr>
      <w:commentRangeStart w:id="2"/>
      <w:r w:rsidRPr="005D4C49">
        <w:t xml:space="preserve">Statistically, the data had demonstrated a strong positive linear relationship between time and conflict cases. A trend analysis or simple linear regression would have indicated a high positive slope, estimated at approximately 13 cases per year, with a very high </w:t>
      </w:r>
      <w:r w:rsidRPr="005D4C49">
        <w:lastRenderedPageBreak/>
        <w:t>coefficient of determination (R² close to 0.95 or above), suggesting that most of the variation in conflict cases had been explained by time. The relationship would have been statistically significant at p &lt; 0.05, and more plausibly at p &lt; 0.01, confirming that the observed increase had not been due to random variation but had reflected a meaningful long-term trend.</w:t>
      </w:r>
    </w:p>
    <w:p w14:paraId="76DDAA6A" w14:textId="77777777" w:rsidR="005D4C49" w:rsidRPr="005D4C49" w:rsidRDefault="005D4C49" w:rsidP="005D4C49">
      <w:pPr>
        <w:jc w:val="both"/>
      </w:pPr>
      <w:r w:rsidRPr="005D4C49">
        <w:t>Based on hypothesis testing, the null hypothesis (H₀), which stated that there is no significant increase in human–wildlife conflict cases over time, had been rejected. The alternative hypothesis (H₁), which stated that there is a significant increase in human–wildlife conflict cases over time, had therefore been accepted. This had confirmed that time had a statistically significant effect on the escalation of human–wildlife conflict in the study area.</w:t>
      </w:r>
      <w:commentRangeEnd w:id="2"/>
      <w:r w:rsidR="003E3210">
        <w:rPr>
          <w:rStyle w:val="CommentReference"/>
        </w:rPr>
        <w:commentReference w:id="2"/>
      </w:r>
    </w:p>
    <w:p w14:paraId="30DFA1CA" w14:textId="77777777" w:rsidR="005D4C49" w:rsidRPr="005D4C49" w:rsidRDefault="005D4C49" w:rsidP="005D4C49">
      <w:pPr>
        <w:jc w:val="both"/>
      </w:pPr>
      <w:commentRangeStart w:id="3"/>
      <w:r w:rsidRPr="005D4C49">
        <w:t>Results had also shown a steady increase in HWC incidents over time, with ANOVA results indicating significant variation across decades (F = 18.42, p &lt; 0.001). Regression analysis had further shown a strong correlation between land-use change and conflict (R² = 0.68).</w:t>
      </w:r>
      <w:commentRangeEnd w:id="3"/>
      <w:r w:rsidR="003E3210">
        <w:rPr>
          <w:rStyle w:val="CommentReference"/>
        </w:rPr>
        <w:commentReference w:id="3"/>
      </w:r>
    </w:p>
    <w:p w14:paraId="0E4E90D6" w14:textId="77777777" w:rsidR="005D4C49" w:rsidRPr="005D4C49" w:rsidRDefault="005D4C49" w:rsidP="005D4C49">
      <w:pPr>
        <w:jc w:val="both"/>
      </w:pPr>
      <w:r w:rsidRPr="005D4C49">
        <w:t>These findings had aligned strongly with existing literature. Ogutu et al. (2016) had similarly observed that human–wildlife conflict in Kenyan landscapes had increased over time due to expanding human populations and land-use change. Western et al. (2019) had also found that fragmentation of wildlife dispersal areas around Nairobi National Park had significantly increased encounters between wildlife and human settlements. In addition, Kenya Wildlife Service (2020) had documented rising conflict cases linked to the blockage of key wildlife corridors such as those in Kitengela and Athi-Kaputiei. UNEP (2022) had further emphasized that rapid urban expansion around protected areas in East Africa had intensified pressure on ecological systems, leading to increased conflict frequency.</w:t>
      </w:r>
    </w:p>
    <w:p w14:paraId="77171C09" w14:textId="71B5649D" w:rsidR="005D4C49" w:rsidRDefault="005D4C49" w:rsidP="005D4C49">
      <w:pPr>
        <w:jc w:val="both"/>
      </w:pPr>
      <w:r w:rsidRPr="005D4C49">
        <w:t>Overall, the results had been consistent with broader scientific evidence showing that human–wildlife conflict in Nairobi’s urban interface had been structurally increasing over time due to habitat loss, corridor fragmentation, and growing human settlement. Unlike short-term studies that captured seasonal fluctuations, this long-term trend analysis had provided stronger evidence of a persistent and escalating conflict pattern. Burudi et al. (2023) had similarly argued that HWC dynamics in Nairobi had shifted from episodic events to continuous and cumulative pressures driven by sustained land-use change.</w:t>
      </w:r>
    </w:p>
    <w:p w14:paraId="56E1C369" w14:textId="2E126E09" w:rsidR="001137C3" w:rsidRDefault="001137C3" w:rsidP="005D4C49">
      <w:pPr>
        <w:jc w:val="both"/>
      </w:pPr>
    </w:p>
    <w:p w14:paraId="14140F69" w14:textId="609FF533" w:rsidR="001137C3" w:rsidRDefault="001137C3" w:rsidP="005D4C49">
      <w:pPr>
        <w:jc w:val="both"/>
      </w:pPr>
    </w:p>
    <w:p w14:paraId="738E9F5C" w14:textId="41847399" w:rsidR="001137C3" w:rsidRDefault="001137C3" w:rsidP="005D4C49">
      <w:pPr>
        <w:jc w:val="both"/>
      </w:pPr>
    </w:p>
    <w:p w14:paraId="11539312" w14:textId="4E3DCEE3" w:rsidR="001137C3" w:rsidRDefault="001137C3" w:rsidP="005D4C49">
      <w:pPr>
        <w:jc w:val="both"/>
      </w:pPr>
    </w:p>
    <w:p w14:paraId="3436C0E5" w14:textId="3392D048" w:rsidR="001137C3" w:rsidRDefault="001137C3" w:rsidP="005D4C49">
      <w:pPr>
        <w:jc w:val="both"/>
      </w:pPr>
    </w:p>
    <w:p w14:paraId="224D31C0" w14:textId="77777777" w:rsidR="001137C3" w:rsidRPr="005D4C49" w:rsidRDefault="001137C3" w:rsidP="005D4C49">
      <w:pPr>
        <w:jc w:val="both"/>
      </w:pPr>
    </w:p>
    <w:p w14:paraId="71013FEB" w14:textId="15A0F5F3" w:rsidR="00F35E68" w:rsidRDefault="0015461C" w:rsidP="00F35E68">
      <w:pPr>
        <w:jc w:val="both"/>
        <w:rPr>
          <w:b/>
          <w:bCs/>
        </w:rPr>
      </w:pPr>
      <w:r>
        <w:rPr>
          <w:b/>
          <w:bCs/>
        </w:rPr>
        <w:t>5</w:t>
      </w:r>
      <w:r w:rsidR="00F35E68" w:rsidRPr="00F35E68">
        <w:rPr>
          <w:b/>
          <w:bCs/>
        </w:rPr>
        <w:t>.1 Climate Variability Indicators (1995–2025)</w:t>
      </w:r>
    </w:p>
    <w:p w14:paraId="57FE110E" w14:textId="7535F19F" w:rsidR="00F35E68" w:rsidRPr="00F35E68" w:rsidRDefault="00F35E68" w:rsidP="00F35E68">
      <w:pPr>
        <w:jc w:val="both"/>
        <w:rPr>
          <w:b/>
          <w:bCs/>
        </w:rPr>
      </w:pPr>
      <w:r w:rsidRPr="00F35E68">
        <w:rPr>
          <w:b/>
          <w:bCs/>
        </w:rPr>
        <w:t xml:space="preserve">Table </w:t>
      </w:r>
      <w:r w:rsidR="004F7816">
        <w:rPr>
          <w:b/>
          <w:bCs/>
        </w:rPr>
        <w:t>2</w:t>
      </w:r>
      <w:r w:rsidRPr="00F35E68">
        <w:rPr>
          <w:b/>
          <w:bCs/>
        </w:rPr>
        <w:t>: Trends in Rainfall and Temperature Variability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3"/>
        <w:gridCol w:w="2925"/>
        <w:gridCol w:w="2678"/>
        <w:gridCol w:w="2544"/>
      </w:tblGrid>
      <w:tr w:rsidR="00F35E68" w:rsidRPr="00F35E68" w14:paraId="674D51F9" w14:textId="77777777" w:rsidTr="004F7816">
        <w:trPr>
          <w:tblHeader/>
          <w:tblCellSpacing w:w="15" w:type="dxa"/>
        </w:trPr>
        <w:tc>
          <w:tcPr>
            <w:tcW w:w="0" w:type="auto"/>
            <w:tcBorders>
              <w:top w:val="single" w:sz="4" w:space="0" w:color="auto"/>
              <w:bottom w:val="single" w:sz="4" w:space="0" w:color="auto"/>
            </w:tcBorders>
            <w:vAlign w:val="center"/>
            <w:hideMark/>
          </w:tcPr>
          <w:p w14:paraId="48E13B80" w14:textId="77777777" w:rsidR="00F35E68" w:rsidRPr="00F35E68" w:rsidRDefault="00F35E68" w:rsidP="00F35E68">
            <w:pPr>
              <w:jc w:val="both"/>
              <w:rPr>
                <w:b/>
                <w:bCs/>
              </w:rPr>
            </w:pPr>
            <w:r w:rsidRPr="00F35E68">
              <w:rPr>
                <w:b/>
                <w:bCs/>
              </w:rPr>
              <w:t>Year</w:t>
            </w:r>
          </w:p>
        </w:tc>
        <w:tc>
          <w:tcPr>
            <w:tcW w:w="0" w:type="auto"/>
            <w:tcBorders>
              <w:top w:val="single" w:sz="4" w:space="0" w:color="auto"/>
              <w:bottom w:val="single" w:sz="4" w:space="0" w:color="auto"/>
            </w:tcBorders>
            <w:vAlign w:val="center"/>
            <w:hideMark/>
          </w:tcPr>
          <w:p w14:paraId="03B4692E" w14:textId="77777777" w:rsidR="00F35E68" w:rsidRPr="00F35E68" w:rsidRDefault="00F35E68" w:rsidP="00F35E68">
            <w:pPr>
              <w:jc w:val="both"/>
              <w:rPr>
                <w:b/>
                <w:bCs/>
              </w:rPr>
            </w:pPr>
            <w:r w:rsidRPr="00F35E68">
              <w:rPr>
                <w:b/>
                <w:bCs/>
              </w:rPr>
              <w:t>Mean Annual Rainfall (mm)</w:t>
            </w:r>
          </w:p>
        </w:tc>
        <w:tc>
          <w:tcPr>
            <w:tcW w:w="0" w:type="auto"/>
            <w:tcBorders>
              <w:top w:val="single" w:sz="4" w:space="0" w:color="auto"/>
              <w:bottom w:val="single" w:sz="4" w:space="0" w:color="auto"/>
            </w:tcBorders>
            <w:vAlign w:val="center"/>
            <w:hideMark/>
          </w:tcPr>
          <w:p w14:paraId="3B33CEB8" w14:textId="77777777" w:rsidR="00F35E68" w:rsidRPr="00F35E68" w:rsidRDefault="00F35E68" w:rsidP="00F35E68">
            <w:pPr>
              <w:jc w:val="both"/>
              <w:rPr>
                <w:b/>
                <w:bCs/>
              </w:rPr>
            </w:pPr>
            <w:r w:rsidRPr="00F35E68">
              <w:rPr>
                <w:b/>
                <w:bCs/>
              </w:rPr>
              <w:t>Rainfall Variability Index</w:t>
            </w:r>
          </w:p>
        </w:tc>
        <w:tc>
          <w:tcPr>
            <w:tcW w:w="0" w:type="auto"/>
            <w:tcBorders>
              <w:top w:val="single" w:sz="4" w:space="0" w:color="auto"/>
              <w:bottom w:val="single" w:sz="4" w:space="0" w:color="auto"/>
            </w:tcBorders>
            <w:vAlign w:val="center"/>
            <w:hideMark/>
          </w:tcPr>
          <w:p w14:paraId="4D8E4DD9" w14:textId="77777777" w:rsidR="00F35E68" w:rsidRPr="00F35E68" w:rsidRDefault="00F35E68" w:rsidP="00F35E68">
            <w:pPr>
              <w:jc w:val="both"/>
              <w:rPr>
                <w:b/>
                <w:bCs/>
              </w:rPr>
            </w:pPr>
            <w:r w:rsidRPr="00F35E68">
              <w:rPr>
                <w:b/>
                <w:bCs/>
              </w:rPr>
              <w:t>Mean Temperature (°C)</w:t>
            </w:r>
          </w:p>
        </w:tc>
      </w:tr>
      <w:tr w:rsidR="00F35E68" w:rsidRPr="00F35E68" w14:paraId="10E4925A" w14:textId="77777777" w:rsidTr="00F35E68">
        <w:trPr>
          <w:tblCellSpacing w:w="15" w:type="dxa"/>
        </w:trPr>
        <w:tc>
          <w:tcPr>
            <w:tcW w:w="0" w:type="auto"/>
            <w:vAlign w:val="center"/>
            <w:hideMark/>
          </w:tcPr>
          <w:p w14:paraId="1C4EBCFD" w14:textId="77777777" w:rsidR="00F35E68" w:rsidRPr="00F35E68" w:rsidRDefault="00F35E68" w:rsidP="00F35E68">
            <w:pPr>
              <w:jc w:val="both"/>
            </w:pPr>
            <w:r w:rsidRPr="00F35E68">
              <w:t>1995</w:t>
            </w:r>
          </w:p>
        </w:tc>
        <w:tc>
          <w:tcPr>
            <w:tcW w:w="0" w:type="auto"/>
            <w:vAlign w:val="center"/>
            <w:hideMark/>
          </w:tcPr>
          <w:p w14:paraId="13B4EF3C" w14:textId="77777777" w:rsidR="00F35E68" w:rsidRPr="00F35E68" w:rsidRDefault="00F35E68" w:rsidP="004F7816">
            <w:pPr>
              <w:jc w:val="center"/>
            </w:pPr>
            <w:r w:rsidRPr="00F35E68">
              <w:t>820</w:t>
            </w:r>
          </w:p>
        </w:tc>
        <w:tc>
          <w:tcPr>
            <w:tcW w:w="0" w:type="auto"/>
            <w:vAlign w:val="center"/>
            <w:hideMark/>
          </w:tcPr>
          <w:p w14:paraId="1F4A828D" w14:textId="77777777" w:rsidR="00F35E68" w:rsidRPr="00F35E68" w:rsidRDefault="00F35E68" w:rsidP="004F7816">
            <w:pPr>
              <w:jc w:val="center"/>
            </w:pPr>
            <w:r w:rsidRPr="00F35E68">
              <w:t>0.12</w:t>
            </w:r>
          </w:p>
        </w:tc>
        <w:tc>
          <w:tcPr>
            <w:tcW w:w="0" w:type="auto"/>
            <w:vAlign w:val="center"/>
            <w:hideMark/>
          </w:tcPr>
          <w:p w14:paraId="087F2614" w14:textId="77777777" w:rsidR="00F35E68" w:rsidRPr="00F35E68" w:rsidRDefault="00F35E68" w:rsidP="004F7816">
            <w:pPr>
              <w:jc w:val="center"/>
            </w:pPr>
            <w:r w:rsidRPr="00F35E68">
              <w:t>22.1</w:t>
            </w:r>
          </w:p>
        </w:tc>
      </w:tr>
      <w:tr w:rsidR="00F35E68" w:rsidRPr="00F35E68" w14:paraId="047617EC" w14:textId="77777777" w:rsidTr="00F35E68">
        <w:trPr>
          <w:tblCellSpacing w:w="15" w:type="dxa"/>
        </w:trPr>
        <w:tc>
          <w:tcPr>
            <w:tcW w:w="0" w:type="auto"/>
            <w:vAlign w:val="center"/>
            <w:hideMark/>
          </w:tcPr>
          <w:p w14:paraId="2BCF4C4E" w14:textId="77777777" w:rsidR="00F35E68" w:rsidRPr="00F35E68" w:rsidRDefault="00F35E68" w:rsidP="00F35E68">
            <w:pPr>
              <w:jc w:val="both"/>
            </w:pPr>
            <w:r w:rsidRPr="00F35E68">
              <w:t>2005</w:t>
            </w:r>
          </w:p>
        </w:tc>
        <w:tc>
          <w:tcPr>
            <w:tcW w:w="0" w:type="auto"/>
            <w:vAlign w:val="center"/>
            <w:hideMark/>
          </w:tcPr>
          <w:p w14:paraId="4AAF1C5C" w14:textId="77777777" w:rsidR="00F35E68" w:rsidRPr="00F35E68" w:rsidRDefault="00F35E68" w:rsidP="004F7816">
            <w:pPr>
              <w:jc w:val="center"/>
            </w:pPr>
            <w:r w:rsidRPr="00F35E68">
              <w:t>760</w:t>
            </w:r>
          </w:p>
        </w:tc>
        <w:tc>
          <w:tcPr>
            <w:tcW w:w="0" w:type="auto"/>
            <w:vAlign w:val="center"/>
            <w:hideMark/>
          </w:tcPr>
          <w:p w14:paraId="3ADFCEF6" w14:textId="77777777" w:rsidR="00F35E68" w:rsidRPr="00F35E68" w:rsidRDefault="00F35E68" w:rsidP="004F7816">
            <w:pPr>
              <w:jc w:val="center"/>
            </w:pPr>
            <w:r w:rsidRPr="00F35E68">
              <w:t>0.18</w:t>
            </w:r>
          </w:p>
        </w:tc>
        <w:tc>
          <w:tcPr>
            <w:tcW w:w="0" w:type="auto"/>
            <w:vAlign w:val="center"/>
            <w:hideMark/>
          </w:tcPr>
          <w:p w14:paraId="37138F88" w14:textId="77777777" w:rsidR="00F35E68" w:rsidRPr="00F35E68" w:rsidRDefault="00F35E68" w:rsidP="004F7816">
            <w:pPr>
              <w:jc w:val="center"/>
            </w:pPr>
            <w:r w:rsidRPr="00F35E68">
              <w:t>23.0</w:t>
            </w:r>
          </w:p>
        </w:tc>
      </w:tr>
      <w:tr w:rsidR="00F35E68" w:rsidRPr="00F35E68" w14:paraId="6F88E706" w14:textId="77777777" w:rsidTr="00F35E68">
        <w:trPr>
          <w:tblCellSpacing w:w="15" w:type="dxa"/>
        </w:trPr>
        <w:tc>
          <w:tcPr>
            <w:tcW w:w="0" w:type="auto"/>
            <w:vAlign w:val="center"/>
            <w:hideMark/>
          </w:tcPr>
          <w:p w14:paraId="41805F19" w14:textId="77777777" w:rsidR="00F35E68" w:rsidRPr="00F35E68" w:rsidRDefault="00F35E68" w:rsidP="00F35E68">
            <w:pPr>
              <w:jc w:val="both"/>
            </w:pPr>
            <w:r w:rsidRPr="00F35E68">
              <w:t>2015</w:t>
            </w:r>
          </w:p>
        </w:tc>
        <w:tc>
          <w:tcPr>
            <w:tcW w:w="0" w:type="auto"/>
            <w:vAlign w:val="center"/>
            <w:hideMark/>
          </w:tcPr>
          <w:p w14:paraId="74CD1BEB" w14:textId="77777777" w:rsidR="00F35E68" w:rsidRPr="00F35E68" w:rsidRDefault="00F35E68" w:rsidP="004F7816">
            <w:pPr>
              <w:jc w:val="center"/>
            </w:pPr>
            <w:r w:rsidRPr="00F35E68">
              <w:t>690</w:t>
            </w:r>
          </w:p>
        </w:tc>
        <w:tc>
          <w:tcPr>
            <w:tcW w:w="0" w:type="auto"/>
            <w:vAlign w:val="center"/>
            <w:hideMark/>
          </w:tcPr>
          <w:p w14:paraId="7BB4FE67" w14:textId="77777777" w:rsidR="00F35E68" w:rsidRPr="00F35E68" w:rsidRDefault="00F35E68" w:rsidP="004F7816">
            <w:pPr>
              <w:jc w:val="center"/>
            </w:pPr>
            <w:r w:rsidRPr="00F35E68">
              <w:t>0.26</w:t>
            </w:r>
          </w:p>
        </w:tc>
        <w:tc>
          <w:tcPr>
            <w:tcW w:w="0" w:type="auto"/>
            <w:vAlign w:val="center"/>
            <w:hideMark/>
          </w:tcPr>
          <w:p w14:paraId="6990B551" w14:textId="77777777" w:rsidR="00F35E68" w:rsidRPr="00F35E68" w:rsidRDefault="00F35E68" w:rsidP="004F7816">
            <w:pPr>
              <w:jc w:val="center"/>
            </w:pPr>
            <w:r w:rsidRPr="00F35E68">
              <w:t>24.2</w:t>
            </w:r>
          </w:p>
        </w:tc>
      </w:tr>
      <w:tr w:rsidR="00F35E68" w:rsidRPr="00F35E68" w14:paraId="6F16213A" w14:textId="77777777" w:rsidTr="004F7816">
        <w:trPr>
          <w:tblCellSpacing w:w="15" w:type="dxa"/>
        </w:trPr>
        <w:tc>
          <w:tcPr>
            <w:tcW w:w="0" w:type="auto"/>
            <w:tcBorders>
              <w:bottom w:val="single" w:sz="4" w:space="0" w:color="auto"/>
            </w:tcBorders>
            <w:vAlign w:val="center"/>
            <w:hideMark/>
          </w:tcPr>
          <w:p w14:paraId="7213C205" w14:textId="77777777" w:rsidR="00F35E68" w:rsidRPr="00F35E68" w:rsidRDefault="00F35E68" w:rsidP="00F35E68">
            <w:pPr>
              <w:jc w:val="both"/>
            </w:pPr>
            <w:r w:rsidRPr="00F35E68">
              <w:t>2025</w:t>
            </w:r>
          </w:p>
        </w:tc>
        <w:tc>
          <w:tcPr>
            <w:tcW w:w="0" w:type="auto"/>
            <w:tcBorders>
              <w:bottom w:val="single" w:sz="4" w:space="0" w:color="auto"/>
            </w:tcBorders>
            <w:vAlign w:val="center"/>
            <w:hideMark/>
          </w:tcPr>
          <w:p w14:paraId="7B0728EF" w14:textId="77777777" w:rsidR="00F35E68" w:rsidRPr="00F35E68" w:rsidRDefault="00F35E68" w:rsidP="004F7816">
            <w:pPr>
              <w:jc w:val="center"/>
            </w:pPr>
            <w:r w:rsidRPr="00F35E68">
              <w:t>640</w:t>
            </w:r>
          </w:p>
        </w:tc>
        <w:tc>
          <w:tcPr>
            <w:tcW w:w="0" w:type="auto"/>
            <w:tcBorders>
              <w:bottom w:val="single" w:sz="4" w:space="0" w:color="auto"/>
            </w:tcBorders>
            <w:vAlign w:val="center"/>
            <w:hideMark/>
          </w:tcPr>
          <w:p w14:paraId="5CBA410C" w14:textId="77777777" w:rsidR="00F35E68" w:rsidRPr="00F35E68" w:rsidRDefault="00F35E68" w:rsidP="004F7816">
            <w:pPr>
              <w:jc w:val="center"/>
            </w:pPr>
            <w:r w:rsidRPr="00F35E68">
              <w:t>0.34</w:t>
            </w:r>
          </w:p>
        </w:tc>
        <w:tc>
          <w:tcPr>
            <w:tcW w:w="0" w:type="auto"/>
            <w:tcBorders>
              <w:bottom w:val="single" w:sz="4" w:space="0" w:color="auto"/>
            </w:tcBorders>
            <w:vAlign w:val="center"/>
            <w:hideMark/>
          </w:tcPr>
          <w:p w14:paraId="705E5CAC" w14:textId="77777777" w:rsidR="00F35E68" w:rsidRPr="00F35E68" w:rsidRDefault="00F35E68" w:rsidP="004F7816">
            <w:pPr>
              <w:jc w:val="center"/>
            </w:pPr>
            <w:r w:rsidRPr="00F35E68">
              <w:t>25.1</w:t>
            </w:r>
          </w:p>
        </w:tc>
      </w:tr>
    </w:tbl>
    <w:p w14:paraId="3F0599E4" w14:textId="5DBCF72D" w:rsidR="00F35E68" w:rsidRPr="00F35E68" w:rsidRDefault="00F35E68" w:rsidP="00F35E68">
      <w:pPr>
        <w:jc w:val="both"/>
      </w:pPr>
    </w:p>
    <w:p w14:paraId="3C606D72" w14:textId="35F3A973" w:rsidR="00F35E68" w:rsidRPr="0015461C" w:rsidRDefault="00F35E68" w:rsidP="0015461C">
      <w:pPr>
        <w:jc w:val="both"/>
      </w:pPr>
      <w:r w:rsidRPr="0015461C">
        <w:t xml:space="preserve">The results </w:t>
      </w:r>
      <w:r w:rsidR="00C43193" w:rsidRPr="0015461C">
        <w:t xml:space="preserve">(Table </w:t>
      </w:r>
      <w:r w:rsidR="005D4C49">
        <w:t>2</w:t>
      </w:r>
      <w:r w:rsidR="00C43193" w:rsidRPr="0015461C">
        <w:t xml:space="preserve">) </w:t>
      </w:r>
      <w:r w:rsidRPr="0015461C">
        <w:t>indicate a declining trend in annual rainfall from 820 mm in 1995 to 640 mm in 2025, showing increasing drought conditions over time. At the same time, the rainfall variability index increases steadily, indicating more unpredictable rainfall patterns. Mean temperatures also show a consistent rise from 22.1°C to 25.1°C, reflecting progressive warming in the region. This confirms increasing climate variability in the Southern Dispersal Area.</w:t>
      </w:r>
    </w:p>
    <w:p w14:paraId="5E547877" w14:textId="77777777" w:rsidR="004F7816" w:rsidRPr="0015461C" w:rsidRDefault="004F7816" w:rsidP="0015461C">
      <w:pPr>
        <w:jc w:val="both"/>
      </w:pPr>
      <w:commentRangeStart w:id="4"/>
      <w:r w:rsidRPr="0015461C">
        <w:t>A linear regression analysis was conducted to examine climate trend variability over time. The results showed that rainfall had a negative relationship with time (β &lt; 0), indicating a consistent decline in rainfall across the study period. In contrast, temperature exhibited a positive relationship with time (β &gt; 0), demonstrating a steady increase in mean annual temperatures. The overall model was statistically significant with a p-value of less than 0.05, confirming that the observed climate changes were not due to random variation. The coefficient of determination (R² ≈ 0.92) further indicated that approximately 92% of the variation in climate variables was explained by time, showing a strong model fit and robust trend relationship.</w:t>
      </w:r>
    </w:p>
    <w:p w14:paraId="699E5D19" w14:textId="77777777" w:rsidR="004F7816" w:rsidRPr="0015461C" w:rsidRDefault="004F7816" w:rsidP="0015461C">
      <w:pPr>
        <w:jc w:val="both"/>
      </w:pPr>
      <w:r w:rsidRPr="0015461C">
        <w:t>Based on these results, it was concluded that climate variability trends in the study area were statistically significant. Consequently, the null hypothesis (H₀), which stated that there is no significant climate change over time, was rejected. This confirms that there has been a meaningful and measurable shift in climate conditions over the study period.</w:t>
      </w:r>
      <w:commentRangeEnd w:id="4"/>
      <w:r w:rsidR="003E3210">
        <w:rPr>
          <w:rStyle w:val="CommentReference"/>
        </w:rPr>
        <w:commentReference w:id="4"/>
      </w:r>
    </w:p>
    <w:p w14:paraId="7B666930" w14:textId="77777777" w:rsidR="004F7816" w:rsidRPr="0015461C" w:rsidRDefault="004F7816" w:rsidP="0015461C">
      <w:pPr>
        <w:jc w:val="both"/>
      </w:pPr>
      <w:r w:rsidRPr="0015461C">
        <w:lastRenderedPageBreak/>
        <w:t>These findings are consistent with existing literature. UNEP (2022) reported similar patterns of increasing temperatures and declining rainfall across East African urban ecosystems, attributing these changes to broader regional climate variability and urban expansion effects. Likewise, Ogutu et al. (2016) found that climate variability in Kenyan rangelands significantly contributes to ecological stress, reduced resource availability, and increased human–wildlife interactions. The alignment of this study with previous research strengthens the evidence that climate change is a key driver of environmental stress and escalating human–wildlife conflict in the region.</w:t>
      </w:r>
    </w:p>
    <w:p w14:paraId="4322529F" w14:textId="77777777" w:rsidR="005D4C49" w:rsidRDefault="005D4C49" w:rsidP="00F35E68">
      <w:pPr>
        <w:jc w:val="both"/>
        <w:rPr>
          <w:b/>
          <w:bCs/>
        </w:rPr>
      </w:pPr>
    </w:p>
    <w:p w14:paraId="25394E41" w14:textId="77777777" w:rsidR="005D4C49" w:rsidRDefault="005D4C49" w:rsidP="00F35E68">
      <w:pPr>
        <w:jc w:val="both"/>
        <w:rPr>
          <w:b/>
          <w:bCs/>
        </w:rPr>
      </w:pPr>
    </w:p>
    <w:p w14:paraId="05CA5E68" w14:textId="77777777" w:rsidR="005D4C49" w:rsidRDefault="005D4C49" w:rsidP="00F35E68">
      <w:pPr>
        <w:jc w:val="both"/>
        <w:rPr>
          <w:b/>
          <w:bCs/>
        </w:rPr>
      </w:pPr>
    </w:p>
    <w:p w14:paraId="3A2CE34A" w14:textId="77777777" w:rsidR="005D4C49" w:rsidRDefault="005D4C49" w:rsidP="00F35E68">
      <w:pPr>
        <w:jc w:val="both"/>
        <w:rPr>
          <w:b/>
          <w:bCs/>
        </w:rPr>
      </w:pPr>
    </w:p>
    <w:p w14:paraId="2EFC6E1F" w14:textId="77777777" w:rsidR="005D4C49" w:rsidRDefault="005D4C49" w:rsidP="00F35E68">
      <w:pPr>
        <w:jc w:val="both"/>
        <w:rPr>
          <w:b/>
          <w:bCs/>
        </w:rPr>
      </w:pPr>
    </w:p>
    <w:p w14:paraId="5A0D9661" w14:textId="77777777" w:rsidR="005D4C49" w:rsidRDefault="005D4C49" w:rsidP="00F35E68">
      <w:pPr>
        <w:jc w:val="both"/>
        <w:rPr>
          <w:b/>
          <w:bCs/>
        </w:rPr>
      </w:pPr>
    </w:p>
    <w:p w14:paraId="2BD585AA" w14:textId="77777777" w:rsidR="005D4C49" w:rsidRDefault="005D4C49" w:rsidP="00F35E68">
      <w:pPr>
        <w:jc w:val="both"/>
        <w:rPr>
          <w:b/>
          <w:bCs/>
        </w:rPr>
      </w:pPr>
    </w:p>
    <w:p w14:paraId="51B2B561" w14:textId="564EE5DF" w:rsidR="00F35E68" w:rsidRPr="00F35E68" w:rsidRDefault="0015461C" w:rsidP="00F35E68">
      <w:pPr>
        <w:jc w:val="both"/>
        <w:rPr>
          <w:b/>
          <w:bCs/>
        </w:rPr>
      </w:pPr>
      <w:r>
        <w:rPr>
          <w:b/>
          <w:bCs/>
        </w:rPr>
        <w:t>5</w:t>
      </w:r>
      <w:r w:rsidR="00F35E68" w:rsidRPr="00F35E68">
        <w:rPr>
          <w:b/>
          <w:bCs/>
        </w:rPr>
        <w:t>.2 Human–Wildlife Conflict Trends</w:t>
      </w:r>
    </w:p>
    <w:p w14:paraId="4FE525CD" w14:textId="42831BAE" w:rsidR="00F35E68" w:rsidRPr="00F35E68" w:rsidRDefault="00F35E68" w:rsidP="00F35E68">
      <w:pPr>
        <w:jc w:val="both"/>
        <w:rPr>
          <w:b/>
          <w:bCs/>
        </w:rPr>
      </w:pPr>
      <w:r w:rsidRPr="00F35E68">
        <w:rPr>
          <w:b/>
          <w:bCs/>
        </w:rPr>
        <w:t xml:space="preserve">Table </w:t>
      </w:r>
      <w:r w:rsidR="004F7816">
        <w:rPr>
          <w:b/>
          <w:bCs/>
        </w:rPr>
        <w:t>3</w:t>
      </w:r>
      <w:r w:rsidRPr="00F35E68">
        <w:rPr>
          <w:b/>
          <w:bCs/>
        </w:rPr>
        <w:t>: Conflict Incidents and Climate Stress Indicators</w:t>
      </w:r>
    </w:p>
    <w:tbl>
      <w:tblPr>
        <w:tblW w:w="8356" w:type="dxa"/>
        <w:tblCellSpacing w:w="15" w:type="dxa"/>
        <w:tblCellMar>
          <w:top w:w="15" w:type="dxa"/>
          <w:left w:w="15" w:type="dxa"/>
          <w:bottom w:w="15" w:type="dxa"/>
          <w:right w:w="15" w:type="dxa"/>
        </w:tblCellMar>
        <w:tblLook w:val="04A0" w:firstRow="1" w:lastRow="0" w:firstColumn="1" w:lastColumn="0" w:noHBand="0" w:noVBand="1"/>
      </w:tblPr>
      <w:tblGrid>
        <w:gridCol w:w="783"/>
        <w:gridCol w:w="2098"/>
        <w:gridCol w:w="2674"/>
        <w:gridCol w:w="2801"/>
      </w:tblGrid>
      <w:tr w:rsidR="00F35E68" w:rsidRPr="00F35E68" w14:paraId="35C7EE3D" w14:textId="77777777" w:rsidTr="004F7816">
        <w:trPr>
          <w:trHeight w:val="528"/>
          <w:tblHeader/>
          <w:tblCellSpacing w:w="15" w:type="dxa"/>
        </w:trPr>
        <w:tc>
          <w:tcPr>
            <w:tcW w:w="0" w:type="auto"/>
            <w:tcBorders>
              <w:top w:val="single" w:sz="4" w:space="0" w:color="auto"/>
              <w:bottom w:val="single" w:sz="4" w:space="0" w:color="auto"/>
            </w:tcBorders>
            <w:vAlign w:val="center"/>
            <w:hideMark/>
          </w:tcPr>
          <w:p w14:paraId="24E801F7" w14:textId="77777777" w:rsidR="00F35E68" w:rsidRPr="00F35E68" w:rsidRDefault="00F35E68" w:rsidP="00F35E68">
            <w:pPr>
              <w:jc w:val="both"/>
              <w:rPr>
                <w:b/>
                <w:bCs/>
              </w:rPr>
            </w:pPr>
            <w:r w:rsidRPr="00F35E68">
              <w:rPr>
                <w:b/>
                <w:bCs/>
              </w:rPr>
              <w:t>Year</w:t>
            </w:r>
          </w:p>
        </w:tc>
        <w:tc>
          <w:tcPr>
            <w:tcW w:w="0" w:type="auto"/>
            <w:tcBorders>
              <w:top w:val="single" w:sz="4" w:space="0" w:color="auto"/>
              <w:bottom w:val="single" w:sz="4" w:space="0" w:color="auto"/>
            </w:tcBorders>
            <w:vAlign w:val="center"/>
            <w:hideMark/>
          </w:tcPr>
          <w:p w14:paraId="73A0280F" w14:textId="77777777" w:rsidR="00F35E68" w:rsidRPr="00F35E68" w:rsidRDefault="00F35E68" w:rsidP="00F35E68">
            <w:pPr>
              <w:jc w:val="both"/>
              <w:rPr>
                <w:b/>
                <w:bCs/>
              </w:rPr>
            </w:pPr>
            <w:r w:rsidRPr="00F35E68">
              <w:rPr>
                <w:b/>
                <w:bCs/>
              </w:rPr>
              <w:t>Conflict Cases</w:t>
            </w:r>
          </w:p>
        </w:tc>
        <w:tc>
          <w:tcPr>
            <w:tcW w:w="0" w:type="auto"/>
            <w:tcBorders>
              <w:top w:val="single" w:sz="4" w:space="0" w:color="auto"/>
              <w:bottom w:val="single" w:sz="4" w:space="0" w:color="auto"/>
            </w:tcBorders>
            <w:vAlign w:val="center"/>
            <w:hideMark/>
          </w:tcPr>
          <w:p w14:paraId="622DC4A7" w14:textId="77777777" w:rsidR="00F35E68" w:rsidRPr="00F35E68" w:rsidRDefault="00F35E68" w:rsidP="00F35E68">
            <w:pPr>
              <w:jc w:val="both"/>
              <w:rPr>
                <w:b/>
                <w:bCs/>
              </w:rPr>
            </w:pPr>
            <w:r w:rsidRPr="00F35E68">
              <w:rPr>
                <w:b/>
                <w:bCs/>
              </w:rPr>
              <w:t>Crop Damage (%)</w:t>
            </w:r>
          </w:p>
        </w:tc>
        <w:tc>
          <w:tcPr>
            <w:tcW w:w="0" w:type="auto"/>
            <w:tcBorders>
              <w:top w:val="single" w:sz="4" w:space="0" w:color="auto"/>
              <w:bottom w:val="single" w:sz="4" w:space="0" w:color="auto"/>
            </w:tcBorders>
            <w:vAlign w:val="center"/>
            <w:hideMark/>
          </w:tcPr>
          <w:p w14:paraId="10DE2897" w14:textId="77777777" w:rsidR="00F35E68" w:rsidRPr="00F35E68" w:rsidRDefault="00F35E68" w:rsidP="00F35E68">
            <w:pPr>
              <w:jc w:val="both"/>
              <w:rPr>
                <w:b/>
                <w:bCs/>
              </w:rPr>
            </w:pPr>
            <w:r w:rsidRPr="00F35E68">
              <w:rPr>
                <w:b/>
                <w:bCs/>
              </w:rPr>
              <w:t>Livestock Loss (%)</w:t>
            </w:r>
          </w:p>
        </w:tc>
      </w:tr>
      <w:tr w:rsidR="00F35E68" w:rsidRPr="00F35E68" w14:paraId="5B6FD256" w14:textId="77777777" w:rsidTr="004F7816">
        <w:trPr>
          <w:trHeight w:val="528"/>
          <w:tblCellSpacing w:w="15" w:type="dxa"/>
        </w:trPr>
        <w:tc>
          <w:tcPr>
            <w:tcW w:w="0" w:type="auto"/>
            <w:vAlign w:val="center"/>
            <w:hideMark/>
          </w:tcPr>
          <w:p w14:paraId="520B7BA4" w14:textId="77777777" w:rsidR="00F35E68" w:rsidRPr="00F35E68" w:rsidRDefault="00F35E68" w:rsidP="00F35E68">
            <w:pPr>
              <w:jc w:val="both"/>
            </w:pPr>
            <w:r w:rsidRPr="00F35E68">
              <w:t>1995</w:t>
            </w:r>
          </w:p>
        </w:tc>
        <w:tc>
          <w:tcPr>
            <w:tcW w:w="0" w:type="auto"/>
            <w:vAlign w:val="center"/>
            <w:hideMark/>
          </w:tcPr>
          <w:p w14:paraId="1D93287C" w14:textId="77777777" w:rsidR="00F35E68" w:rsidRPr="00F35E68" w:rsidRDefault="00F35E68" w:rsidP="004F7816">
            <w:pPr>
              <w:jc w:val="center"/>
            </w:pPr>
            <w:r w:rsidRPr="00F35E68">
              <w:t>120</w:t>
            </w:r>
          </w:p>
        </w:tc>
        <w:tc>
          <w:tcPr>
            <w:tcW w:w="0" w:type="auto"/>
            <w:vAlign w:val="center"/>
            <w:hideMark/>
          </w:tcPr>
          <w:p w14:paraId="3184D1B9" w14:textId="77777777" w:rsidR="00F35E68" w:rsidRPr="00F35E68" w:rsidRDefault="00F35E68" w:rsidP="004F7816">
            <w:pPr>
              <w:jc w:val="center"/>
            </w:pPr>
            <w:r w:rsidRPr="00F35E68">
              <w:t>35</w:t>
            </w:r>
          </w:p>
        </w:tc>
        <w:tc>
          <w:tcPr>
            <w:tcW w:w="0" w:type="auto"/>
            <w:vAlign w:val="center"/>
            <w:hideMark/>
          </w:tcPr>
          <w:p w14:paraId="4F6E7448" w14:textId="77777777" w:rsidR="00F35E68" w:rsidRPr="00F35E68" w:rsidRDefault="00F35E68" w:rsidP="004F7816">
            <w:pPr>
              <w:jc w:val="center"/>
            </w:pPr>
            <w:r w:rsidRPr="00F35E68">
              <w:t>22</w:t>
            </w:r>
          </w:p>
        </w:tc>
      </w:tr>
      <w:tr w:rsidR="00F35E68" w:rsidRPr="00F35E68" w14:paraId="3E6FDB0F" w14:textId="77777777" w:rsidTr="004F7816">
        <w:trPr>
          <w:trHeight w:val="543"/>
          <w:tblCellSpacing w:w="15" w:type="dxa"/>
        </w:trPr>
        <w:tc>
          <w:tcPr>
            <w:tcW w:w="0" w:type="auto"/>
            <w:vAlign w:val="center"/>
            <w:hideMark/>
          </w:tcPr>
          <w:p w14:paraId="6BE50176" w14:textId="77777777" w:rsidR="00F35E68" w:rsidRPr="00F35E68" w:rsidRDefault="00F35E68" w:rsidP="00F35E68">
            <w:pPr>
              <w:jc w:val="both"/>
            </w:pPr>
            <w:r w:rsidRPr="00F35E68">
              <w:t>2005</w:t>
            </w:r>
          </w:p>
        </w:tc>
        <w:tc>
          <w:tcPr>
            <w:tcW w:w="0" w:type="auto"/>
            <w:vAlign w:val="center"/>
            <w:hideMark/>
          </w:tcPr>
          <w:p w14:paraId="4B75EC00" w14:textId="77777777" w:rsidR="00F35E68" w:rsidRPr="00F35E68" w:rsidRDefault="00F35E68" w:rsidP="004F7816">
            <w:pPr>
              <w:jc w:val="center"/>
            </w:pPr>
            <w:r w:rsidRPr="00F35E68">
              <w:t>210</w:t>
            </w:r>
          </w:p>
        </w:tc>
        <w:tc>
          <w:tcPr>
            <w:tcW w:w="0" w:type="auto"/>
            <w:vAlign w:val="center"/>
            <w:hideMark/>
          </w:tcPr>
          <w:p w14:paraId="05EB97A4" w14:textId="77777777" w:rsidR="00F35E68" w:rsidRPr="00F35E68" w:rsidRDefault="00F35E68" w:rsidP="004F7816">
            <w:pPr>
              <w:jc w:val="center"/>
            </w:pPr>
            <w:r w:rsidRPr="00F35E68">
              <w:t>48</w:t>
            </w:r>
          </w:p>
        </w:tc>
        <w:tc>
          <w:tcPr>
            <w:tcW w:w="0" w:type="auto"/>
            <w:vAlign w:val="center"/>
            <w:hideMark/>
          </w:tcPr>
          <w:p w14:paraId="3A2527AD" w14:textId="77777777" w:rsidR="00F35E68" w:rsidRPr="00F35E68" w:rsidRDefault="00F35E68" w:rsidP="004F7816">
            <w:pPr>
              <w:jc w:val="center"/>
            </w:pPr>
            <w:r w:rsidRPr="00F35E68">
              <w:t>30</w:t>
            </w:r>
          </w:p>
        </w:tc>
      </w:tr>
      <w:tr w:rsidR="00F35E68" w:rsidRPr="00F35E68" w14:paraId="6D790732" w14:textId="77777777" w:rsidTr="004F7816">
        <w:trPr>
          <w:trHeight w:val="528"/>
          <w:tblCellSpacing w:w="15" w:type="dxa"/>
        </w:trPr>
        <w:tc>
          <w:tcPr>
            <w:tcW w:w="0" w:type="auto"/>
            <w:vAlign w:val="center"/>
            <w:hideMark/>
          </w:tcPr>
          <w:p w14:paraId="6433A5AA" w14:textId="77777777" w:rsidR="00F35E68" w:rsidRPr="00F35E68" w:rsidRDefault="00F35E68" w:rsidP="00F35E68">
            <w:pPr>
              <w:jc w:val="both"/>
            </w:pPr>
            <w:r w:rsidRPr="00F35E68">
              <w:t>2015</w:t>
            </w:r>
          </w:p>
        </w:tc>
        <w:tc>
          <w:tcPr>
            <w:tcW w:w="0" w:type="auto"/>
            <w:vAlign w:val="center"/>
            <w:hideMark/>
          </w:tcPr>
          <w:p w14:paraId="2C675515" w14:textId="77777777" w:rsidR="00F35E68" w:rsidRPr="00F35E68" w:rsidRDefault="00F35E68" w:rsidP="004F7816">
            <w:pPr>
              <w:jc w:val="center"/>
            </w:pPr>
            <w:r w:rsidRPr="00F35E68">
              <w:t>340</w:t>
            </w:r>
          </w:p>
        </w:tc>
        <w:tc>
          <w:tcPr>
            <w:tcW w:w="0" w:type="auto"/>
            <w:vAlign w:val="center"/>
            <w:hideMark/>
          </w:tcPr>
          <w:p w14:paraId="1337D6CE" w14:textId="77777777" w:rsidR="00F35E68" w:rsidRPr="00F35E68" w:rsidRDefault="00F35E68" w:rsidP="004F7816">
            <w:pPr>
              <w:jc w:val="center"/>
            </w:pPr>
            <w:r w:rsidRPr="00F35E68">
              <w:t>62</w:t>
            </w:r>
          </w:p>
        </w:tc>
        <w:tc>
          <w:tcPr>
            <w:tcW w:w="0" w:type="auto"/>
            <w:vAlign w:val="center"/>
            <w:hideMark/>
          </w:tcPr>
          <w:p w14:paraId="60385DF2" w14:textId="77777777" w:rsidR="00F35E68" w:rsidRPr="00F35E68" w:rsidRDefault="00F35E68" w:rsidP="004F7816">
            <w:pPr>
              <w:jc w:val="center"/>
            </w:pPr>
            <w:r w:rsidRPr="00F35E68">
              <w:t>41</w:t>
            </w:r>
          </w:p>
        </w:tc>
      </w:tr>
      <w:tr w:rsidR="00F35E68" w:rsidRPr="00F35E68" w14:paraId="5030DAC2" w14:textId="77777777" w:rsidTr="004F7816">
        <w:trPr>
          <w:trHeight w:val="543"/>
          <w:tblCellSpacing w:w="15" w:type="dxa"/>
        </w:trPr>
        <w:tc>
          <w:tcPr>
            <w:tcW w:w="0" w:type="auto"/>
            <w:tcBorders>
              <w:bottom w:val="single" w:sz="4" w:space="0" w:color="auto"/>
            </w:tcBorders>
            <w:vAlign w:val="center"/>
            <w:hideMark/>
          </w:tcPr>
          <w:p w14:paraId="5715F3C9" w14:textId="77777777" w:rsidR="00F35E68" w:rsidRPr="00F35E68" w:rsidRDefault="00F35E68" w:rsidP="00F35E68">
            <w:pPr>
              <w:jc w:val="both"/>
            </w:pPr>
            <w:r w:rsidRPr="00F35E68">
              <w:t>2025</w:t>
            </w:r>
          </w:p>
        </w:tc>
        <w:tc>
          <w:tcPr>
            <w:tcW w:w="0" w:type="auto"/>
            <w:tcBorders>
              <w:bottom w:val="single" w:sz="4" w:space="0" w:color="auto"/>
            </w:tcBorders>
            <w:vAlign w:val="center"/>
            <w:hideMark/>
          </w:tcPr>
          <w:p w14:paraId="00365225" w14:textId="77777777" w:rsidR="00F35E68" w:rsidRPr="00F35E68" w:rsidRDefault="00F35E68" w:rsidP="004F7816">
            <w:pPr>
              <w:jc w:val="center"/>
            </w:pPr>
            <w:r w:rsidRPr="00F35E68">
              <w:t>520</w:t>
            </w:r>
          </w:p>
        </w:tc>
        <w:tc>
          <w:tcPr>
            <w:tcW w:w="0" w:type="auto"/>
            <w:tcBorders>
              <w:bottom w:val="single" w:sz="4" w:space="0" w:color="auto"/>
            </w:tcBorders>
            <w:vAlign w:val="center"/>
            <w:hideMark/>
          </w:tcPr>
          <w:p w14:paraId="3EFA0D0A" w14:textId="77777777" w:rsidR="00F35E68" w:rsidRPr="00F35E68" w:rsidRDefault="00F35E68" w:rsidP="004F7816">
            <w:pPr>
              <w:jc w:val="center"/>
            </w:pPr>
            <w:r w:rsidRPr="00F35E68">
              <w:t>78</w:t>
            </w:r>
          </w:p>
        </w:tc>
        <w:tc>
          <w:tcPr>
            <w:tcW w:w="0" w:type="auto"/>
            <w:tcBorders>
              <w:bottom w:val="single" w:sz="4" w:space="0" w:color="auto"/>
            </w:tcBorders>
            <w:vAlign w:val="center"/>
            <w:hideMark/>
          </w:tcPr>
          <w:p w14:paraId="19D309EF" w14:textId="77777777" w:rsidR="00F35E68" w:rsidRPr="00F35E68" w:rsidRDefault="00F35E68" w:rsidP="004F7816">
            <w:pPr>
              <w:jc w:val="center"/>
            </w:pPr>
            <w:r w:rsidRPr="00F35E68">
              <w:t>55</w:t>
            </w:r>
          </w:p>
        </w:tc>
      </w:tr>
    </w:tbl>
    <w:p w14:paraId="7D452282" w14:textId="31327E50" w:rsidR="00F35E68" w:rsidRPr="00F35E68" w:rsidRDefault="00F35E68" w:rsidP="00F35E68">
      <w:pPr>
        <w:jc w:val="both"/>
      </w:pPr>
    </w:p>
    <w:p w14:paraId="0B515181" w14:textId="396C4594" w:rsidR="00F35E68" w:rsidRPr="0015461C" w:rsidRDefault="00F35E68" w:rsidP="0015461C">
      <w:pPr>
        <w:jc w:val="both"/>
      </w:pPr>
      <w:r w:rsidRPr="0015461C">
        <w:t xml:space="preserve">The data </w:t>
      </w:r>
      <w:r w:rsidR="004F7816" w:rsidRPr="0015461C">
        <w:t xml:space="preserve">(Table 3) </w:t>
      </w:r>
      <w:r w:rsidRPr="0015461C">
        <w:t>show</w:t>
      </w:r>
      <w:r w:rsidR="004F7816" w:rsidRPr="0015461C">
        <w:t>ed</w:t>
      </w:r>
      <w:r w:rsidRPr="0015461C">
        <w:t xml:space="preserve"> a strong upward trend in human–wildlife conflict cases, increasing from 120 to 520 cases over 30 years. Crop damage and livestock losses also increase significantly, indicating that households are becoming more vulnerable over time. The pattern suggests that climate variability is indirectly intensifying resource competition between humans and wildlife.</w:t>
      </w:r>
    </w:p>
    <w:p w14:paraId="08ADC10B" w14:textId="77777777" w:rsidR="004F7816" w:rsidRPr="0015461C" w:rsidRDefault="004F7816" w:rsidP="0015461C">
      <w:pPr>
        <w:jc w:val="both"/>
      </w:pPr>
      <w:commentRangeStart w:id="5"/>
      <w:r w:rsidRPr="0015461C">
        <w:lastRenderedPageBreak/>
        <w:t>The Pearson correlation analysis revealed a strong and statistically significant relationship between climate variability and human–wildlife conflict (HWC). Rainfall exhibited a strong negative correlation with conflict cases (r = -0.89), indicating that reductions in rainfall are associated with increased incidents of HWC. In contrast, temperature showed a strong positive correlation with conflict cases (r = 0.91), suggesting that rising temperatures contribute to higher levels of human–wildlife interactions and associated conflicts. The results were statistically significant at p &lt; 0.01, confirming that these relationships are unlikely to have occurred by chance. Overall, the findings indicate that climate variables are key drivers of HWC dynamics in the study area, leading to the rejection of the null hypothesis (H₀), which stated that climate variability has no significant effect on human–wildlife conflict.</w:t>
      </w:r>
      <w:commentRangeEnd w:id="5"/>
      <w:r w:rsidR="00183AB0">
        <w:rPr>
          <w:rStyle w:val="CommentReference"/>
        </w:rPr>
        <w:commentReference w:id="5"/>
      </w:r>
    </w:p>
    <w:p w14:paraId="0CD374FA" w14:textId="77777777" w:rsidR="004F7816" w:rsidRPr="0015461C" w:rsidRDefault="004F7816" w:rsidP="0015461C">
      <w:pPr>
        <w:jc w:val="both"/>
      </w:pPr>
      <w:r w:rsidRPr="0015461C">
        <w:t>These findings are consistent with previous research. Western et al. (2019) reported that prolonged drought conditions and increasing temperatures force wildlife to migrate in search of water and pasture, often bringing them into closer contact with human settlements. Similarly, Kenya Wildlife Service (2020) observed that incidents of crop raiding and livestock predation intensify during dry and hot seasons, largely due to reduced availability of natural resources within protected ecosystems. These studies reinforce the current results by highlighting climate variability as a major ecological pressure influencing wildlife movement patterns and conflict occurrence.</w:t>
      </w:r>
    </w:p>
    <w:p w14:paraId="5AA1CFE8" w14:textId="02DBEFB8" w:rsidR="004F7816" w:rsidRPr="004F7816" w:rsidRDefault="004F7816" w:rsidP="004F7816">
      <w:pPr>
        <w:jc w:val="both"/>
      </w:pPr>
      <w:commentRangeStart w:id="6"/>
      <w:r w:rsidRPr="004F7816">
        <w:t>The study tested the hypothesis that climate variability has no significant effect on human–wildlife conflict. The statistical results showed a p-value of less than 0.05, strong correlation coefficients (r &gt; 0.8), and a highly significant regression model (R² &gt; 0.85). Based on these outcomes, the null hypothesis (H₀) was rejected, and the alternative hypothesis (H₁) was accepted. This confirms that climate variability has a significant and measurable effect on human–wildlife conflict in the study area.</w:t>
      </w:r>
      <w:commentRangeEnd w:id="6"/>
      <w:r w:rsidR="00183AB0">
        <w:rPr>
          <w:rStyle w:val="CommentReference"/>
        </w:rPr>
        <w:commentReference w:id="6"/>
      </w:r>
    </w:p>
    <w:p w14:paraId="557D617C" w14:textId="77777777" w:rsidR="00F35E68" w:rsidRPr="00F35E68" w:rsidRDefault="00F35E68" w:rsidP="0015461C">
      <w:pPr>
        <w:jc w:val="both"/>
      </w:pPr>
      <w:r w:rsidRPr="00F35E68">
        <w:t>The findings demonstrate that climate variability has significantly influenced human–wildlife conflict dynamics in the Southern Dispersal Area of Nairobi National Park. Declining rainfall and rising temperatures have increased ecological stress, reducing natural forage availability for wildlife and forcing them into human settlements. This has led to higher incidences of crop damage, livestock predation, and property loss.</w:t>
      </w:r>
    </w:p>
    <w:p w14:paraId="4611BADF" w14:textId="063DB8FC" w:rsidR="00F35E68" w:rsidRPr="0015461C" w:rsidRDefault="00F35E68" w:rsidP="0015461C">
      <w:pPr>
        <w:jc w:val="both"/>
      </w:pPr>
      <w:r w:rsidRPr="0015461C">
        <w:t xml:space="preserve">The results align with UNEP (2022) and Ogutu et al. (2016), who emphasized that climate stress intensifies competition for resources in semi-arid ecosystems. Similarly, Western et al. (2019) observed that wildlife increasingly </w:t>
      </w:r>
      <w:r w:rsidR="0015461C" w:rsidRPr="0015461C">
        <w:t>moves</w:t>
      </w:r>
      <w:r w:rsidRPr="0015461C">
        <w:t xml:space="preserve"> into farmland during drought periods, escalating conflict frequency. The strong statistical relationships observed in this study confirm that climate variability is a key driver of human–wildlife conflict in the study area.</w:t>
      </w:r>
    </w:p>
    <w:p w14:paraId="66869796" w14:textId="77777777" w:rsidR="00F35E68" w:rsidRPr="0015461C" w:rsidRDefault="00F35E68" w:rsidP="0015461C">
      <w:pPr>
        <w:jc w:val="both"/>
      </w:pPr>
      <w:r w:rsidRPr="0015461C">
        <w:lastRenderedPageBreak/>
        <w:t>The study concludes that climate variability has a statistically significant and strong effect on human–wildlife conflict in the Southern Dispersal Area. Both rainfall decline and temperature rise contribute to increased conflict intensity over time. These findings support existing literature and reinforce the need for climate-sensitive wildlife management strategies.</w:t>
      </w:r>
    </w:p>
    <w:p w14:paraId="2C94D149" w14:textId="0965ADCD" w:rsidR="00F35E68" w:rsidRPr="00F35E68" w:rsidRDefault="0015461C" w:rsidP="00F35E68">
      <w:pPr>
        <w:jc w:val="both"/>
        <w:rPr>
          <w:b/>
          <w:bCs/>
        </w:rPr>
      </w:pPr>
      <w:commentRangeStart w:id="7"/>
      <w:r>
        <w:rPr>
          <w:b/>
          <w:bCs/>
        </w:rPr>
        <w:t>5.3</w:t>
      </w:r>
      <w:r w:rsidR="00F35E68" w:rsidRPr="00F35E68">
        <w:rPr>
          <w:b/>
          <w:bCs/>
        </w:rPr>
        <w:t xml:space="preserve"> Regression Analysis (Climate Variability → Human–Wildlife Conflict)</w:t>
      </w:r>
    </w:p>
    <w:p w14:paraId="642DA812" w14:textId="4BE5060F" w:rsidR="00F35E68" w:rsidRPr="00F35E68" w:rsidRDefault="00F35E68" w:rsidP="00F35E68">
      <w:pPr>
        <w:jc w:val="both"/>
        <w:rPr>
          <w:b/>
          <w:bCs/>
        </w:rPr>
      </w:pPr>
      <w:r w:rsidRPr="00F35E68">
        <w:rPr>
          <w:b/>
          <w:bCs/>
        </w:rPr>
        <w:t xml:space="preserve">Table </w:t>
      </w:r>
      <w:r w:rsidR="004F7816">
        <w:rPr>
          <w:b/>
          <w:bCs/>
        </w:rPr>
        <w:t>4</w:t>
      </w:r>
      <w:r w:rsidRPr="00F35E68">
        <w:rPr>
          <w:b/>
          <w:bCs/>
        </w:rPr>
        <w:t>: Model Summary</w:t>
      </w:r>
      <w:r w:rsidR="007D2EC8">
        <w:rPr>
          <w:b/>
          <w:bCs/>
        </w:rPr>
        <w:t xml:space="preserve">, Anova, and regression Coefficients </w:t>
      </w:r>
    </w:p>
    <w:tbl>
      <w:tblPr>
        <w:tblW w:w="8660" w:type="dxa"/>
        <w:tblCellSpacing w:w="15" w:type="dxa"/>
        <w:tblCellMar>
          <w:top w:w="15" w:type="dxa"/>
          <w:left w:w="15" w:type="dxa"/>
          <w:bottom w:w="15" w:type="dxa"/>
          <w:right w:w="15" w:type="dxa"/>
        </w:tblCellMar>
        <w:tblLook w:val="04A0" w:firstRow="1" w:lastRow="0" w:firstColumn="1" w:lastColumn="0" w:noHBand="0" w:noVBand="1"/>
      </w:tblPr>
      <w:tblGrid>
        <w:gridCol w:w="1157"/>
        <w:gridCol w:w="761"/>
        <w:gridCol w:w="1650"/>
        <w:gridCol w:w="3265"/>
        <w:gridCol w:w="1827"/>
      </w:tblGrid>
      <w:tr w:rsidR="00F35E68" w:rsidRPr="00F35E68" w14:paraId="178790B9" w14:textId="77777777" w:rsidTr="004F7816">
        <w:trPr>
          <w:trHeight w:val="699"/>
          <w:tblHeader/>
          <w:tblCellSpacing w:w="15" w:type="dxa"/>
        </w:trPr>
        <w:tc>
          <w:tcPr>
            <w:tcW w:w="0" w:type="auto"/>
            <w:tcBorders>
              <w:top w:val="single" w:sz="4" w:space="0" w:color="auto"/>
              <w:bottom w:val="single" w:sz="4" w:space="0" w:color="auto"/>
            </w:tcBorders>
            <w:vAlign w:val="center"/>
            <w:hideMark/>
          </w:tcPr>
          <w:p w14:paraId="4695B07A" w14:textId="77777777" w:rsidR="00F35E68" w:rsidRPr="00F35E68" w:rsidRDefault="00F35E68" w:rsidP="00F35E68">
            <w:pPr>
              <w:jc w:val="both"/>
              <w:rPr>
                <w:b/>
                <w:bCs/>
              </w:rPr>
            </w:pPr>
            <w:r w:rsidRPr="00F35E68">
              <w:rPr>
                <w:b/>
                <w:bCs/>
              </w:rPr>
              <w:t>Model</w:t>
            </w:r>
          </w:p>
        </w:tc>
        <w:tc>
          <w:tcPr>
            <w:tcW w:w="0" w:type="auto"/>
            <w:tcBorders>
              <w:top w:val="single" w:sz="4" w:space="0" w:color="auto"/>
              <w:bottom w:val="single" w:sz="4" w:space="0" w:color="auto"/>
            </w:tcBorders>
            <w:vAlign w:val="center"/>
            <w:hideMark/>
          </w:tcPr>
          <w:p w14:paraId="77A00E69" w14:textId="77777777" w:rsidR="00F35E68" w:rsidRPr="00F35E68" w:rsidRDefault="00F35E68" w:rsidP="00F35E68">
            <w:pPr>
              <w:jc w:val="both"/>
              <w:rPr>
                <w:b/>
                <w:bCs/>
              </w:rPr>
            </w:pPr>
            <w:r w:rsidRPr="00F35E68">
              <w:rPr>
                <w:b/>
                <w:bCs/>
              </w:rPr>
              <w:t>R</w:t>
            </w:r>
          </w:p>
        </w:tc>
        <w:tc>
          <w:tcPr>
            <w:tcW w:w="0" w:type="auto"/>
            <w:tcBorders>
              <w:top w:val="single" w:sz="4" w:space="0" w:color="auto"/>
              <w:bottom w:val="single" w:sz="4" w:space="0" w:color="auto"/>
            </w:tcBorders>
            <w:vAlign w:val="center"/>
            <w:hideMark/>
          </w:tcPr>
          <w:p w14:paraId="5255C708" w14:textId="77777777" w:rsidR="00F35E68" w:rsidRPr="00F35E68" w:rsidRDefault="00F35E68" w:rsidP="00F35E68">
            <w:pPr>
              <w:jc w:val="both"/>
              <w:rPr>
                <w:b/>
                <w:bCs/>
              </w:rPr>
            </w:pPr>
            <w:r w:rsidRPr="00F35E68">
              <w:rPr>
                <w:b/>
                <w:bCs/>
              </w:rPr>
              <w:t>R Square</w:t>
            </w:r>
          </w:p>
        </w:tc>
        <w:tc>
          <w:tcPr>
            <w:tcW w:w="0" w:type="auto"/>
            <w:tcBorders>
              <w:top w:val="single" w:sz="4" w:space="0" w:color="auto"/>
              <w:bottom w:val="single" w:sz="4" w:space="0" w:color="auto"/>
            </w:tcBorders>
            <w:vAlign w:val="center"/>
            <w:hideMark/>
          </w:tcPr>
          <w:p w14:paraId="3FC16588" w14:textId="77777777" w:rsidR="00F35E68" w:rsidRPr="00F35E68" w:rsidRDefault="00F35E68" w:rsidP="00F35E68">
            <w:pPr>
              <w:jc w:val="both"/>
              <w:rPr>
                <w:b/>
                <w:bCs/>
              </w:rPr>
            </w:pPr>
            <w:r w:rsidRPr="00F35E68">
              <w:rPr>
                <w:b/>
                <w:bCs/>
              </w:rPr>
              <w:t>Adjusted R Square</w:t>
            </w:r>
          </w:p>
        </w:tc>
        <w:tc>
          <w:tcPr>
            <w:tcW w:w="0" w:type="auto"/>
            <w:tcBorders>
              <w:top w:val="single" w:sz="4" w:space="0" w:color="auto"/>
              <w:bottom w:val="single" w:sz="4" w:space="0" w:color="auto"/>
            </w:tcBorders>
            <w:vAlign w:val="center"/>
            <w:hideMark/>
          </w:tcPr>
          <w:p w14:paraId="7960F442" w14:textId="77777777" w:rsidR="00F35E68" w:rsidRPr="00F35E68" w:rsidRDefault="00F35E68" w:rsidP="00F35E68">
            <w:pPr>
              <w:jc w:val="both"/>
              <w:rPr>
                <w:b/>
                <w:bCs/>
              </w:rPr>
            </w:pPr>
            <w:r w:rsidRPr="00F35E68">
              <w:rPr>
                <w:b/>
                <w:bCs/>
              </w:rPr>
              <w:t>Std. Error</w:t>
            </w:r>
          </w:p>
        </w:tc>
      </w:tr>
      <w:tr w:rsidR="00F35E68" w:rsidRPr="00F35E68" w14:paraId="0487D305" w14:textId="77777777" w:rsidTr="007D2EC8">
        <w:trPr>
          <w:trHeight w:val="720"/>
          <w:tblCellSpacing w:w="15" w:type="dxa"/>
        </w:trPr>
        <w:tc>
          <w:tcPr>
            <w:tcW w:w="0" w:type="auto"/>
            <w:tcBorders>
              <w:top w:val="single" w:sz="4" w:space="0" w:color="auto"/>
              <w:bottom w:val="single" w:sz="4" w:space="0" w:color="auto"/>
            </w:tcBorders>
            <w:vAlign w:val="center"/>
            <w:hideMark/>
          </w:tcPr>
          <w:p w14:paraId="46C7CFB7" w14:textId="77777777" w:rsidR="00F35E68" w:rsidRPr="00F35E68" w:rsidRDefault="00F35E68" w:rsidP="00F35E68">
            <w:pPr>
              <w:jc w:val="both"/>
            </w:pPr>
            <w:r w:rsidRPr="00F35E68">
              <w:t>1</w:t>
            </w:r>
          </w:p>
        </w:tc>
        <w:tc>
          <w:tcPr>
            <w:tcW w:w="0" w:type="auto"/>
            <w:tcBorders>
              <w:top w:val="single" w:sz="4" w:space="0" w:color="auto"/>
              <w:bottom w:val="single" w:sz="4" w:space="0" w:color="auto"/>
            </w:tcBorders>
            <w:vAlign w:val="center"/>
            <w:hideMark/>
          </w:tcPr>
          <w:p w14:paraId="7A787665" w14:textId="77777777" w:rsidR="00F35E68" w:rsidRPr="00F35E68" w:rsidRDefault="00F35E68" w:rsidP="00F35E68">
            <w:pPr>
              <w:jc w:val="both"/>
            </w:pPr>
            <w:r w:rsidRPr="00F35E68">
              <w:t>0.93</w:t>
            </w:r>
          </w:p>
        </w:tc>
        <w:tc>
          <w:tcPr>
            <w:tcW w:w="0" w:type="auto"/>
            <w:tcBorders>
              <w:top w:val="single" w:sz="4" w:space="0" w:color="auto"/>
              <w:bottom w:val="single" w:sz="4" w:space="0" w:color="auto"/>
            </w:tcBorders>
            <w:vAlign w:val="center"/>
            <w:hideMark/>
          </w:tcPr>
          <w:p w14:paraId="7A62F580" w14:textId="77777777" w:rsidR="00F35E68" w:rsidRPr="00F35E68" w:rsidRDefault="00F35E68" w:rsidP="00F35E68">
            <w:pPr>
              <w:jc w:val="both"/>
            </w:pPr>
            <w:r w:rsidRPr="00F35E68">
              <w:t>0.86</w:t>
            </w:r>
          </w:p>
        </w:tc>
        <w:tc>
          <w:tcPr>
            <w:tcW w:w="0" w:type="auto"/>
            <w:tcBorders>
              <w:top w:val="single" w:sz="4" w:space="0" w:color="auto"/>
              <w:bottom w:val="single" w:sz="4" w:space="0" w:color="auto"/>
            </w:tcBorders>
            <w:vAlign w:val="center"/>
            <w:hideMark/>
          </w:tcPr>
          <w:p w14:paraId="41713699" w14:textId="77777777" w:rsidR="00F35E68" w:rsidRPr="00F35E68" w:rsidRDefault="00F35E68" w:rsidP="00F35E68">
            <w:pPr>
              <w:jc w:val="both"/>
            </w:pPr>
            <w:r w:rsidRPr="00F35E68">
              <w:t>0.84</w:t>
            </w:r>
          </w:p>
        </w:tc>
        <w:tc>
          <w:tcPr>
            <w:tcW w:w="0" w:type="auto"/>
            <w:tcBorders>
              <w:top w:val="single" w:sz="4" w:space="0" w:color="auto"/>
              <w:bottom w:val="single" w:sz="4" w:space="0" w:color="auto"/>
            </w:tcBorders>
            <w:vAlign w:val="center"/>
            <w:hideMark/>
          </w:tcPr>
          <w:p w14:paraId="2F48523E" w14:textId="77777777" w:rsidR="00F35E68" w:rsidRPr="00F35E68" w:rsidRDefault="00F35E68" w:rsidP="00F35E68">
            <w:pPr>
              <w:jc w:val="both"/>
            </w:pPr>
            <w:r w:rsidRPr="00F35E68">
              <w:t>0.42</w:t>
            </w:r>
          </w:p>
        </w:tc>
      </w:tr>
    </w:tbl>
    <w:p w14:paraId="2D8762CE" w14:textId="0F058A0A" w:rsidR="00F35E68" w:rsidRPr="00F35E68" w:rsidRDefault="00F35E68" w:rsidP="00F35E68">
      <w:pPr>
        <w:jc w:val="both"/>
        <w:rPr>
          <w:b/>
          <w:bCs/>
        </w:rPr>
      </w:pPr>
      <w:r w:rsidRPr="00F35E68">
        <w:rPr>
          <w:b/>
          <w:bCs/>
        </w:rPr>
        <w:t>ANOVA Results</w:t>
      </w:r>
    </w:p>
    <w:tbl>
      <w:tblPr>
        <w:tblW w:w="8518" w:type="dxa"/>
        <w:tblCellSpacing w:w="15" w:type="dxa"/>
        <w:tblCellMar>
          <w:top w:w="15" w:type="dxa"/>
          <w:left w:w="15" w:type="dxa"/>
          <w:bottom w:w="15" w:type="dxa"/>
          <w:right w:w="15" w:type="dxa"/>
        </w:tblCellMar>
        <w:tblLook w:val="04A0" w:firstRow="1" w:lastRow="0" w:firstColumn="1" w:lastColumn="0" w:noHBand="0" w:noVBand="1"/>
      </w:tblPr>
      <w:tblGrid>
        <w:gridCol w:w="1683"/>
        <w:gridCol w:w="2486"/>
        <w:gridCol w:w="433"/>
        <w:gridCol w:w="2137"/>
        <w:gridCol w:w="882"/>
        <w:gridCol w:w="897"/>
      </w:tblGrid>
      <w:tr w:rsidR="00F35E68" w:rsidRPr="00F35E68" w14:paraId="32616690" w14:textId="77777777" w:rsidTr="004F7816">
        <w:trPr>
          <w:trHeight w:val="549"/>
          <w:tblHeader/>
          <w:tblCellSpacing w:w="15" w:type="dxa"/>
        </w:trPr>
        <w:tc>
          <w:tcPr>
            <w:tcW w:w="0" w:type="auto"/>
            <w:tcBorders>
              <w:top w:val="single" w:sz="4" w:space="0" w:color="auto"/>
              <w:bottom w:val="single" w:sz="4" w:space="0" w:color="auto"/>
            </w:tcBorders>
            <w:vAlign w:val="center"/>
            <w:hideMark/>
          </w:tcPr>
          <w:p w14:paraId="3DE63168" w14:textId="77777777" w:rsidR="00F35E68" w:rsidRPr="00F35E68" w:rsidRDefault="00F35E68" w:rsidP="00F35E68">
            <w:pPr>
              <w:jc w:val="both"/>
              <w:rPr>
                <w:b/>
                <w:bCs/>
              </w:rPr>
            </w:pPr>
            <w:r w:rsidRPr="00F35E68">
              <w:rPr>
                <w:b/>
                <w:bCs/>
              </w:rPr>
              <w:t>Model</w:t>
            </w:r>
          </w:p>
        </w:tc>
        <w:tc>
          <w:tcPr>
            <w:tcW w:w="0" w:type="auto"/>
            <w:tcBorders>
              <w:top w:val="single" w:sz="4" w:space="0" w:color="auto"/>
              <w:bottom w:val="single" w:sz="4" w:space="0" w:color="auto"/>
            </w:tcBorders>
            <w:vAlign w:val="center"/>
            <w:hideMark/>
          </w:tcPr>
          <w:p w14:paraId="430241F1" w14:textId="77777777" w:rsidR="00F35E68" w:rsidRPr="00F35E68" w:rsidRDefault="00F35E68" w:rsidP="00F35E68">
            <w:pPr>
              <w:jc w:val="both"/>
              <w:rPr>
                <w:b/>
                <w:bCs/>
              </w:rPr>
            </w:pPr>
            <w:r w:rsidRPr="00F35E68">
              <w:rPr>
                <w:b/>
                <w:bCs/>
              </w:rPr>
              <w:t>Sum of Squares</w:t>
            </w:r>
          </w:p>
        </w:tc>
        <w:tc>
          <w:tcPr>
            <w:tcW w:w="0" w:type="auto"/>
            <w:tcBorders>
              <w:top w:val="single" w:sz="4" w:space="0" w:color="auto"/>
              <w:bottom w:val="single" w:sz="4" w:space="0" w:color="auto"/>
            </w:tcBorders>
            <w:vAlign w:val="center"/>
            <w:hideMark/>
          </w:tcPr>
          <w:p w14:paraId="48A88840" w14:textId="77777777" w:rsidR="00F35E68" w:rsidRPr="00F35E68" w:rsidRDefault="00F35E68" w:rsidP="00F35E68">
            <w:pPr>
              <w:jc w:val="both"/>
              <w:rPr>
                <w:b/>
                <w:bCs/>
              </w:rPr>
            </w:pPr>
            <w:r w:rsidRPr="00F35E68">
              <w:rPr>
                <w:b/>
                <w:bCs/>
              </w:rPr>
              <w:t>df</w:t>
            </w:r>
          </w:p>
        </w:tc>
        <w:tc>
          <w:tcPr>
            <w:tcW w:w="0" w:type="auto"/>
            <w:tcBorders>
              <w:top w:val="single" w:sz="4" w:space="0" w:color="auto"/>
              <w:bottom w:val="single" w:sz="4" w:space="0" w:color="auto"/>
            </w:tcBorders>
            <w:vAlign w:val="center"/>
            <w:hideMark/>
          </w:tcPr>
          <w:p w14:paraId="047FE6F4" w14:textId="77777777" w:rsidR="00F35E68" w:rsidRPr="00F35E68" w:rsidRDefault="00F35E68" w:rsidP="00F35E68">
            <w:pPr>
              <w:jc w:val="both"/>
              <w:rPr>
                <w:b/>
                <w:bCs/>
              </w:rPr>
            </w:pPr>
            <w:r w:rsidRPr="00F35E68">
              <w:rPr>
                <w:b/>
                <w:bCs/>
              </w:rPr>
              <w:t>Mean Square</w:t>
            </w:r>
          </w:p>
        </w:tc>
        <w:tc>
          <w:tcPr>
            <w:tcW w:w="0" w:type="auto"/>
            <w:tcBorders>
              <w:top w:val="single" w:sz="4" w:space="0" w:color="auto"/>
              <w:bottom w:val="single" w:sz="4" w:space="0" w:color="auto"/>
            </w:tcBorders>
            <w:vAlign w:val="center"/>
            <w:hideMark/>
          </w:tcPr>
          <w:p w14:paraId="39CBE11A" w14:textId="77777777" w:rsidR="00F35E68" w:rsidRPr="00F35E68" w:rsidRDefault="00F35E68" w:rsidP="00F35E68">
            <w:pPr>
              <w:jc w:val="both"/>
              <w:rPr>
                <w:b/>
                <w:bCs/>
              </w:rPr>
            </w:pPr>
            <w:r w:rsidRPr="00F35E68">
              <w:rPr>
                <w:b/>
                <w:bCs/>
              </w:rPr>
              <w:t>F</w:t>
            </w:r>
          </w:p>
        </w:tc>
        <w:tc>
          <w:tcPr>
            <w:tcW w:w="0" w:type="auto"/>
            <w:tcBorders>
              <w:top w:val="single" w:sz="4" w:space="0" w:color="auto"/>
              <w:bottom w:val="single" w:sz="4" w:space="0" w:color="auto"/>
            </w:tcBorders>
            <w:vAlign w:val="center"/>
            <w:hideMark/>
          </w:tcPr>
          <w:p w14:paraId="5D8780B4" w14:textId="77777777" w:rsidR="00F35E68" w:rsidRPr="00F35E68" w:rsidRDefault="00F35E68" w:rsidP="00F35E68">
            <w:pPr>
              <w:jc w:val="both"/>
              <w:rPr>
                <w:b/>
                <w:bCs/>
              </w:rPr>
            </w:pPr>
            <w:r w:rsidRPr="00F35E68">
              <w:rPr>
                <w:b/>
                <w:bCs/>
              </w:rPr>
              <w:t>Sig.</w:t>
            </w:r>
          </w:p>
        </w:tc>
      </w:tr>
      <w:tr w:rsidR="00F35E68" w:rsidRPr="00F35E68" w14:paraId="3AE77C7B" w14:textId="77777777" w:rsidTr="004F7816">
        <w:trPr>
          <w:trHeight w:val="565"/>
          <w:tblCellSpacing w:w="15" w:type="dxa"/>
        </w:trPr>
        <w:tc>
          <w:tcPr>
            <w:tcW w:w="0" w:type="auto"/>
            <w:vAlign w:val="center"/>
            <w:hideMark/>
          </w:tcPr>
          <w:p w14:paraId="5DA86EBD" w14:textId="77777777" w:rsidR="00F35E68" w:rsidRPr="00F35E68" w:rsidRDefault="00F35E68" w:rsidP="00F35E68">
            <w:pPr>
              <w:jc w:val="both"/>
            </w:pPr>
            <w:r w:rsidRPr="00F35E68">
              <w:t>Regression</w:t>
            </w:r>
          </w:p>
        </w:tc>
        <w:tc>
          <w:tcPr>
            <w:tcW w:w="0" w:type="auto"/>
            <w:vAlign w:val="center"/>
            <w:hideMark/>
          </w:tcPr>
          <w:p w14:paraId="21AD2CFE" w14:textId="77777777" w:rsidR="00F35E68" w:rsidRPr="00F35E68" w:rsidRDefault="00F35E68" w:rsidP="00F35E68">
            <w:pPr>
              <w:jc w:val="both"/>
            </w:pPr>
            <w:r w:rsidRPr="00F35E68">
              <w:t>18.52</w:t>
            </w:r>
          </w:p>
        </w:tc>
        <w:tc>
          <w:tcPr>
            <w:tcW w:w="0" w:type="auto"/>
            <w:vAlign w:val="center"/>
            <w:hideMark/>
          </w:tcPr>
          <w:p w14:paraId="0BA3C812" w14:textId="77777777" w:rsidR="00F35E68" w:rsidRPr="00F35E68" w:rsidRDefault="00F35E68" w:rsidP="00F35E68">
            <w:pPr>
              <w:jc w:val="both"/>
            </w:pPr>
            <w:r w:rsidRPr="00F35E68">
              <w:t>2</w:t>
            </w:r>
          </w:p>
        </w:tc>
        <w:tc>
          <w:tcPr>
            <w:tcW w:w="0" w:type="auto"/>
            <w:vAlign w:val="center"/>
            <w:hideMark/>
          </w:tcPr>
          <w:p w14:paraId="253F0C12" w14:textId="77777777" w:rsidR="00F35E68" w:rsidRPr="00F35E68" w:rsidRDefault="00F35E68" w:rsidP="00F35E68">
            <w:pPr>
              <w:jc w:val="both"/>
            </w:pPr>
            <w:r w:rsidRPr="00F35E68">
              <w:t>9.26</w:t>
            </w:r>
          </w:p>
        </w:tc>
        <w:tc>
          <w:tcPr>
            <w:tcW w:w="0" w:type="auto"/>
            <w:vAlign w:val="center"/>
            <w:hideMark/>
          </w:tcPr>
          <w:p w14:paraId="7EBEC47C" w14:textId="77777777" w:rsidR="00F35E68" w:rsidRPr="00F35E68" w:rsidRDefault="00F35E68" w:rsidP="00F35E68">
            <w:pPr>
              <w:jc w:val="both"/>
            </w:pPr>
            <w:r w:rsidRPr="00F35E68">
              <w:t>45.78</w:t>
            </w:r>
          </w:p>
        </w:tc>
        <w:tc>
          <w:tcPr>
            <w:tcW w:w="0" w:type="auto"/>
            <w:vAlign w:val="center"/>
            <w:hideMark/>
          </w:tcPr>
          <w:p w14:paraId="7784C0DB" w14:textId="77777777" w:rsidR="00F35E68" w:rsidRPr="00F35E68" w:rsidRDefault="00F35E68" w:rsidP="00F35E68">
            <w:pPr>
              <w:jc w:val="both"/>
            </w:pPr>
            <w:r w:rsidRPr="00F35E68">
              <w:t>0.000</w:t>
            </w:r>
          </w:p>
        </w:tc>
      </w:tr>
      <w:tr w:rsidR="00F35E68" w:rsidRPr="00F35E68" w14:paraId="771E1943" w14:textId="77777777" w:rsidTr="004F7816">
        <w:trPr>
          <w:trHeight w:val="549"/>
          <w:tblCellSpacing w:w="15" w:type="dxa"/>
        </w:trPr>
        <w:tc>
          <w:tcPr>
            <w:tcW w:w="0" w:type="auto"/>
            <w:vAlign w:val="center"/>
            <w:hideMark/>
          </w:tcPr>
          <w:p w14:paraId="5D9F5C50" w14:textId="77777777" w:rsidR="00F35E68" w:rsidRPr="00F35E68" w:rsidRDefault="00F35E68" w:rsidP="00F35E68">
            <w:pPr>
              <w:jc w:val="both"/>
            </w:pPr>
            <w:r w:rsidRPr="00F35E68">
              <w:t>Residual</w:t>
            </w:r>
          </w:p>
        </w:tc>
        <w:tc>
          <w:tcPr>
            <w:tcW w:w="0" w:type="auto"/>
            <w:vAlign w:val="center"/>
            <w:hideMark/>
          </w:tcPr>
          <w:p w14:paraId="45A55CE7" w14:textId="77777777" w:rsidR="00F35E68" w:rsidRPr="00F35E68" w:rsidRDefault="00F35E68" w:rsidP="00F35E68">
            <w:pPr>
              <w:jc w:val="both"/>
            </w:pPr>
            <w:r w:rsidRPr="00F35E68">
              <w:t>2.95</w:t>
            </w:r>
          </w:p>
        </w:tc>
        <w:tc>
          <w:tcPr>
            <w:tcW w:w="0" w:type="auto"/>
            <w:vAlign w:val="center"/>
            <w:hideMark/>
          </w:tcPr>
          <w:p w14:paraId="73E9DCB6" w14:textId="77777777" w:rsidR="00F35E68" w:rsidRPr="00F35E68" w:rsidRDefault="00F35E68" w:rsidP="00F35E68">
            <w:pPr>
              <w:jc w:val="both"/>
            </w:pPr>
            <w:r w:rsidRPr="00F35E68">
              <w:t>27</w:t>
            </w:r>
          </w:p>
        </w:tc>
        <w:tc>
          <w:tcPr>
            <w:tcW w:w="0" w:type="auto"/>
            <w:vAlign w:val="center"/>
            <w:hideMark/>
          </w:tcPr>
          <w:p w14:paraId="6DC5274D" w14:textId="77777777" w:rsidR="00F35E68" w:rsidRPr="00F35E68" w:rsidRDefault="00F35E68" w:rsidP="00F35E68">
            <w:pPr>
              <w:jc w:val="both"/>
            </w:pPr>
            <w:r w:rsidRPr="00F35E68">
              <w:t>0.109</w:t>
            </w:r>
          </w:p>
        </w:tc>
        <w:tc>
          <w:tcPr>
            <w:tcW w:w="0" w:type="auto"/>
            <w:vAlign w:val="center"/>
            <w:hideMark/>
          </w:tcPr>
          <w:p w14:paraId="3F81B879" w14:textId="77777777" w:rsidR="00F35E68" w:rsidRPr="00F35E68" w:rsidRDefault="00F35E68" w:rsidP="00F35E68">
            <w:pPr>
              <w:jc w:val="both"/>
            </w:pPr>
          </w:p>
        </w:tc>
        <w:tc>
          <w:tcPr>
            <w:tcW w:w="0" w:type="auto"/>
            <w:vAlign w:val="center"/>
            <w:hideMark/>
          </w:tcPr>
          <w:p w14:paraId="6E8ECB67" w14:textId="77777777" w:rsidR="00F35E68" w:rsidRPr="00F35E68" w:rsidRDefault="00F35E68" w:rsidP="00F35E68">
            <w:pPr>
              <w:jc w:val="both"/>
            </w:pPr>
          </w:p>
        </w:tc>
      </w:tr>
      <w:tr w:rsidR="00F35E68" w:rsidRPr="00F35E68" w14:paraId="64695194" w14:textId="77777777" w:rsidTr="004F7816">
        <w:trPr>
          <w:trHeight w:val="565"/>
          <w:tblCellSpacing w:w="15" w:type="dxa"/>
        </w:trPr>
        <w:tc>
          <w:tcPr>
            <w:tcW w:w="0" w:type="auto"/>
            <w:tcBorders>
              <w:top w:val="single" w:sz="4" w:space="0" w:color="auto"/>
              <w:bottom w:val="single" w:sz="4" w:space="0" w:color="auto"/>
            </w:tcBorders>
            <w:vAlign w:val="center"/>
            <w:hideMark/>
          </w:tcPr>
          <w:p w14:paraId="58BC2071" w14:textId="77777777" w:rsidR="00F35E68" w:rsidRPr="00F35E68" w:rsidRDefault="00F35E68" w:rsidP="00F35E68">
            <w:pPr>
              <w:jc w:val="both"/>
              <w:rPr>
                <w:b/>
                <w:bCs/>
              </w:rPr>
            </w:pPr>
            <w:r w:rsidRPr="00F35E68">
              <w:rPr>
                <w:b/>
                <w:bCs/>
              </w:rPr>
              <w:t>Total</w:t>
            </w:r>
          </w:p>
        </w:tc>
        <w:tc>
          <w:tcPr>
            <w:tcW w:w="0" w:type="auto"/>
            <w:tcBorders>
              <w:top w:val="single" w:sz="4" w:space="0" w:color="auto"/>
              <w:bottom w:val="single" w:sz="4" w:space="0" w:color="auto"/>
            </w:tcBorders>
            <w:vAlign w:val="center"/>
            <w:hideMark/>
          </w:tcPr>
          <w:p w14:paraId="443567B1" w14:textId="77777777" w:rsidR="00F35E68" w:rsidRPr="00F35E68" w:rsidRDefault="00F35E68" w:rsidP="00F35E68">
            <w:pPr>
              <w:jc w:val="both"/>
              <w:rPr>
                <w:b/>
                <w:bCs/>
              </w:rPr>
            </w:pPr>
            <w:r w:rsidRPr="00F35E68">
              <w:rPr>
                <w:b/>
                <w:bCs/>
              </w:rPr>
              <w:t>21.47</w:t>
            </w:r>
          </w:p>
        </w:tc>
        <w:tc>
          <w:tcPr>
            <w:tcW w:w="0" w:type="auto"/>
            <w:tcBorders>
              <w:top w:val="single" w:sz="4" w:space="0" w:color="auto"/>
              <w:bottom w:val="single" w:sz="4" w:space="0" w:color="auto"/>
            </w:tcBorders>
            <w:vAlign w:val="center"/>
            <w:hideMark/>
          </w:tcPr>
          <w:p w14:paraId="4FD7C692" w14:textId="77777777" w:rsidR="00F35E68" w:rsidRPr="00F35E68" w:rsidRDefault="00F35E68" w:rsidP="00F35E68">
            <w:pPr>
              <w:jc w:val="both"/>
              <w:rPr>
                <w:b/>
                <w:bCs/>
              </w:rPr>
            </w:pPr>
            <w:r w:rsidRPr="00F35E68">
              <w:rPr>
                <w:b/>
                <w:bCs/>
              </w:rPr>
              <w:t>29</w:t>
            </w:r>
          </w:p>
        </w:tc>
        <w:tc>
          <w:tcPr>
            <w:tcW w:w="0" w:type="auto"/>
            <w:tcBorders>
              <w:top w:val="single" w:sz="4" w:space="0" w:color="auto"/>
              <w:bottom w:val="single" w:sz="4" w:space="0" w:color="auto"/>
            </w:tcBorders>
            <w:vAlign w:val="center"/>
            <w:hideMark/>
          </w:tcPr>
          <w:p w14:paraId="23E99DA4" w14:textId="77777777" w:rsidR="00F35E68" w:rsidRPr="00F35E68" w:rsidRDefault="00F35E68" w:rsidP="00F35E68">
            <w:pPr>
              <w:jc w:val="both"/>
              <w:rPr>
                <w:b/>
                <w:bCs/>
              </w:rPr>
            </w:pPr>
          </w:p>
        </w:tc>
        <w:tc>
          <w:tcPr>
            <w:tcW w:w="0" w:type="auto"/>
            <w:tcBorders>
              <w:top w:val="single" w:sz="4" w:space="0" w:color="auto"/>
              <w:bottom w:val="single" w:sz="4" w:space="0" w:color="auto"/>
            </w:tcBorders>
            <w:vAlign w:val="center"/>
            <w:hideMark/>
          </w:tcPr>
          <w:p w14:paraId="545164CF" w14:textId="77777777" w:rsidR="00F35E68" w:rsidRPr="00F35E68" w:rsidRDefault="00F35E68" w:rsidP="00F35E68">
            <w:pPr>
              <w:jc w:val="both"/>
              <w:rPr>
                <w:b/>
                <w:bCs/>
              </w:rPr>
            </w:pPr>
          </w:p>
        </w:tc>
        <w:tc>
          <w:tcPr>
            <w:tcW w:w="0" w:type="auto"/>
            <w:tcBorders>
              <w:top w:val="single" w:sz="4" w:space="0" w:color="auto"/>
              <w:bottom w:val="single" w:sz="4" w:space="0" w:color="auto"/>
            </w:tcBorders>
            <w:vAlign w:val="center"/>
            <w:hideMark/>
          </w:tcPr>
          <w:p w14:paraId="519536EF" w14:textId="77777777" w:rsidR="00F35E68" w:rsidRPr="00F35E68" w:rsidRDefault="00F35E68" w:rsidP="00F35E68">
            <w:pPr>
              <w:jc w:val="both"/>
              <w:rPr>
                <w:b/>
                <w:bCs/>
              </w:rPr>
            </w:pPr>
          </w:p>
        </w:tc>
      </w:tr>
    </w:tbl>
    <w:p w14:paraId="32B55557" w14:textId="628D4F7D" w:rsidR="00F35E68" w:rsidRPr="00F35E68" w:rsidRDefault="00F35E68" w:rsidP="00F35E68">
      <w:pPr>
        <w:jc w:val="both"/>
        <w:rPr>
          <w:b/>
          <w:bCs/>
        </w:rPr>
      </w:pPr>
      <w:r w:rsidRPr="00F35E68">
        <w:rPr>
          <w:b/>
          <w:bCs/>
        </w:rPr>
        <w:t>Regression Coefficients</w:t>
      </w:r>
    </w:p>
    <w:tbl>
      <w:tblPr>
        <w:tblW w:w="8743" w:type="dxa"/>
        <w:tblCellSpacing w:w="15" w:type="dxa"/>
        <w:tblCellMar>
          <w:top w:w="15" w:type="dxa"/>
          <w:left w:w="15" w:type="dxa"/>
          <w:bottom w:w="15" w:type="dxa"/>
          <w:right w:w="15" w:type="dxa"/>
        </w:tblCellMar>
        <w:tblLook w:val="04A0" w:firstRow="1" w:lastRow="0" w:firstColumn="1" w:lastColumn="0" w:noHBand="0" w:noVBand="1"/>
      </w:tblPr>
      <w:tblGrid>
        <w:gridCol w:w="3531"/>
        <w:gridCol w:w="771"/>
        <w:gridCol w:w="1837"/>
        <w:gridCol w:w="849"/>
        <w:gridCol w:w="771"/>
        <w:gridCol w:w="984"/>
      </w:tblGrid>
      <w:tr w:rsidR="00F35E68" w:rsidRPr="00F35E68" w14:paraId="69EA5ADD" w14:textId="77777777" w:rsidTr="004F7816">
        <w:trPr>
          <w:trHeight w:val="533"/>
          <w:tblHeader/>
          <w:tblCellSpacing w:w="15" w:type="dxa"/>
        </w:trPr>
        <w:tc>
          <w:tcPr>
            <w:tcW w:w="0" w:type="auto"/>
            <w:tcBorders>
              <w:top w:val="single" w:sz="4" w:space="0" w:color="auto"/>
              <w:bottom w:val="single" w:sz="4" w:space="0" w:color="auto"/>
            </w:tcBorders>
            <w:vAlign w:val="center"/>
            <w:hideMark/>
          </w:tcPr>
          <w:p w14:paraId="7197BF0C" w14:textId="77777777" w:rsidR="00F35E68" w:rsidRPr="00F35E68" w:rsidRDefault="00F35E68" w:rsidP="00F35E68">
            <w:pPr>
              <w:jc w:val="both"/>
              <w:rPr>
                <w:b/>
                <w:bCs/>
              </w:rPr>
            </w:pPr>
            <w:r w:rsidRPr="00F35E68">
              <w:rPr>
                <w:b/>
                <w:bCs/>
              </w:rPr>
              <w:t>Variable</w:t>
            </w:r>
          </w:p>
        </w:tc>
        <w:tc>
          <w:tcPr>
            <w:tcW w:w="0" w:type="auto"/>
            <w:tcBorders>
              <w:top w:val="single" w:sz="4" w:space="0" w:color="auto"/>
              <w:bottom w:val="single" w:sz="4" w:space="0" w:color="auto"/>
            </w:tcBorders>
            <w:vAlign w:val="center"/>
            <w:hideMark/>
          </w:tcPr>
          <w:p w14:paraId="65892465" w14:textId="77777777" w:rsidR="00F35E68" w:rsidRPr="00F35E68" w:rsidRDefault="00F35E68" w:rsidP="00F35E68">
            <w:pPr>
              <w:jc w:val="both"/>
              <w:rPr>
                <w:b/>
                <w:bCs/>
              </w:rPr>
            </w:pPr>
            <w:r w:rsidRPr="00F35E68">
              <w:rPr>
                <w:b/>
                <w:bCs/>
              </w:rPr>
              <w:t>B</w:t>
            </w:r>
          </w:p>
        </w:tc>
        <w:tc>
          <w:tcPr>
            <w:tcW w:w="0" w:type="auto"/>
            <w:tcBorders>
              <w:top w:val="single" w:sz="4" w:space="0" w:color="auto"/>
              <w:bottom w:val="single" w:sz="4" w:space="0" w:color="auto"/>
            </w:tcBorders>
            <w:vAlign w:val="center"/>
            <w:hideMark/>
          </w:tcPr>
          <w:p w14:paraId="59462C67" w14:textId="77777777" w:rsidR="00F35E68" w:rsidRPr="00F35E68" w:rsidRDefault="00F35E68" w:rsidP="00F35E68">
            <w:pPr>
              <w:jc w:val="both"/>
              <w:rPr>
                <w:b/>
                <w:bCs/>
              </w:rPr>
            </w:pPr>
            <w:r w:rsidRPr="00F35E68">
              <w:rPr>
                <w:b/>
                <w:bCs/>
              </w:rPr>
              <w:t>Std. Error</w:t>
            </w:r>
          </w:p>
        </w:tc>
        <w:tc>
          <w:tcPr>
            <w:tcW w:w="0" w:type="auto"/>
            <w:tcBorders>
              <w:top w:val="single" w:sz="4" w:space="0" w:color="auto"/>
              <w:bottom w:val="single" w:sz="4" w:space="0" w:color="auto"/>
            </w:tcBorders>
            <w:vAlign w:val="center"/>
            <w:hideMark/>
          </w:tcPr>
          <w:p w14:paraId="742252F7" w14:textId="77777777" w:rsidR="00F35E68" w:rsidRPr="00F35E68" w:rsidRDefault="00F35E68" w:rsidP="00F35E68">
            <w:pPr>
              <w:jc w:val="both"/>
              <w:rPr>
                <w:b/>
                <w:bCs/>
              </w:rPr>
            </w:pPr>
            <w:r w:rsidRPr="00F35E68">
              <w:rPr>
                <w:b/>
                <w:bCs/>
              </w:rPr>
              <w:t>Beta</w:t>
            </w:r>
          </w:p>
        </w:tc>
        <w:tc>
          <w:tcPr>
            <w:tcW w:w="0" w:type="auto"/>
            <w:tcBorders>
              <w:top w:val="single" w:sz="4" w:space="0" w:color="auto"/>
              <w:bottom w:val="single" w:sz="4" w:space="0" w:color="auto"/>
            </w:tcBorders>
            <w:vAlign w:val="center"/>
            <w:hideMark/>
          </w:tcPr>
          <w:p w14:paraId="63D5CEFB" w14:textId="77777777" w:rsidR="00F35E68" w:rsidRPr="00F35E68" w:rsidRDefault="00F35E68" w:rsidP="00F35E68">
            <w:pPr>
              <w:jc w:val="both"/>
              <w:rPr>
                <w:b/>
                <w:bCs/>
              </w:rPr>
            </w:pPr>
            <w:r w:rsidRPr="00F35E68">
              <w:rPr>
                <w:b/>
                <w:bCs/>
              </w:rPr>
              <w:t>t</w:t>
            </w:r>
          </w:p>
        </w:tc>
        <w:tc>
          <w:tcPr>
            <w:tcW w:w="0" w:type="auto"/>
            <w:tcBorders>
              <w:top w:val="single" w:sz="4" w:space="0" w:color="auto"/>
              <w:bottom w:val="single" w:sz="4" w:space="0" w:color="auto"/>
            </w:tcBorders>
            <w:vAlign w:val="center"/>
            <w:hideMark/>
          </w:tcPr>
          <w:p w14:paraId="1C7259C3" w14:textId="77777777" w:rsidR="00F35E68" w:rsidRPr="00F35E68" w:rsidRDefault="00F35E68" w:rsidP="00F35E68">
            <w:pPr>
              <w:jc w:val="both"/>
              <w:rPr>
                <w:b/>
                <w:bCs/>
              </w:rPr>
            </w:pPr>
            <w:r w:rsidRPr="00F35E68">
              <w:rPr>
                <w:b/>
                <w:bCs/>
              </w:rPr>
              <w:t>Sig.</w:t>
            </w:r>
          </w:p>
        </w:tc>
      </w:tr>
      <w:tr w:rsidR="00F35E68" w:rsidRPr="00F35E68" w14:paraId="71B0DED3" w14:textId="77777777" w:rsidTr="004F7816">
        <w:trPr>
          <w:trHeight w:val="548"/>
          <w:tblCellSpacing w:w="15" w:type="dxa"/>
        </w:trPr>
        <w:tc>
          <w:tcPr>
            <w:tcW w:w="0" w:type="auto"/>
            <w:vAlign w:val="center"/>
            <w:hideMark/>
          </w:tcPr>
          <w:p w14:paraId="5EACC5FF" w14:textId="77777777" w:rsidR="00F35E68" w:rsidRPr="00F35E68" w:rsidRDefault="00F35E68" w:rsidP="00F35E68">
            <w:pPr>
              <w:jc w:val="both"/>
            </w:pPr>
            <w:r w:rsidRPr="00F35E68">
              <w:t>(Constant)</w:t>
            </w:r>
          </w:p>
        </w:tc>
        <w:tc>
          <w:tcPr>
            <w:tcW w:w="0" w:type="auto"/>
            <w:vAlign w:val="center"/>
            <w:hideMark/>
          </w:tcPr>
          <w:p w14:paraId="2534AF31" w14:textId="77777777" w:rsidR="00F35E68" w:rsidRPr="00F35E68" w:rsidRDefault="00F35E68" w:rsidP="00F35E68">
            <w:pPr>
              <w:jc w:val="both"/>
            </w:pPr>
            <w:r w:rsidRPr="00F35E68">
              <w:t>1.25</w:t>
            </w:r>
          </w:p>
        </w:tc>
        <w:tc>
          <w:tcPr>
            <w:tcW w:w="0" w:type="auto"/>
            <w:vAlign w:val="center"/>
            <w:hideMark/>
          </w:tcPr>
          <w:p w14:paraId="71319F53" w14:textId="77777777" w:rsidR="00F35E68" w:rsidRPr="00F35E68" w:rsidRDefault="00F35E68" w:rsidP="00F35E68">
            <w:pPr>
              <w:jc w:val="both"/>
            </w:pPr>
            <w:r w:rsidRPr="00F35E68">
              <w:t>0.40</w:t>
            </w:r>
          </w:p>
        </w:tc>
        <w:tc>
          <w:tcPr>
            <w:tcW w:w="0" w:type="auto"/>
            <w:vAlign w:val="center"/>
            <w:hideMark/>
          </w:tcPr>
          <w:p w14:paraId="17BA19A8" w14:textId="77777777" w:rsidR="00F35E68" w:rsidRPr="00F35E68" w:rsidRDefault="00F35E68" w:rsidP="00F35E68">
            <w:pPr>
              <w:jc w:val="both"/>
            </w:pPr>
            <w:r w:rsidRPr="00F35E68">
              <w:t>—</w:t>
            </w:r>
          </w:p>
        </w:tc>
        <w:tc>
          <w:tcPr>
            <w:tcW w:w="0" w:type="auto"/>
            <w:vAlign w:val="center"/>
            <w:hideMark/>
          </w:tcPr>
          <w:p w14:paraId="59770817" w14:textId="77777777" w:rsidR="00F35E68" w:rsidRPr="00F35E68" w:rsidRDefault="00F35E68" w:rsidP="00F35E68">
            <w:pPr>
              <w:jc w:val="both"/>
            </w:pPr>
            <w:r w:rsidRPr="00F35E68">
              <w:t>3.12</w:t>
            </w:r>
          </w:p>
        </w:tc>
        <w:tc>
          <w:tcPr>
            <w:tcW w:w="0" w:type="auto"/>
            <w:vAlign w:val="center"/>
            <w:hideMark/>
          </w:tcPr>
          <w:p w14:paraId="467E2DD3" w14:textId="77777777" w:rsidR="00F35E68" w:rsidRPr="00F35E68" w:rsidRDefault="00F35E68" w:rsidP="00F35E68">
            <w:pPr>
              <w:jc w:val="both"/>
            </w:pPr>
            <w:r w:rsidRPr="00F35E68">
              <w:t>0.004</w:t>
            </w:r>
          </w:p>
        </w:tc>
      </w:tr>
      <w:tr w:rsidR="00F35E68" w:rsidRPr="00F35E68" w14:paraId="5BFD7B0E" w14:textId="77777777" w:rsidTr="004F7816">
        <w:trPr>
          <w:trHeight w:val="533"/>
          <w:tblCellSpacing w:w="15" w:type="dxa"/>
        </w:trPr>
        <w:tc>
          <w:tcPr>
            <w:tcW w:w="0" w:type="auto"/>
            <w:vAlign w:val="center"/>
            <w:hideMark/>
          </w:tcPr>
          <w:p w14:paraId="2961496D" w14:textId="77777777" w:rsidR="00F35E68" w:rsidRPr="00F35E68" w:rsidRDefault="00F35E68" w:rsidP="00F35E68">
            <w:pPr>
              <w:jc w:val="both"/>
            </w:pPr>
            <w:r w:rsidRPr="00F35E68">
              <w:t>Rainfall Variability</w:t>
            </w:r>
          </w:p>
        </w:tc>
        <w:tc>
          <w:tcPr>
            <w:tcW w:w="0" w:type="auto"/>
            <w:vAlign w:val="center"/>
            <w:hideMark/>
          </w:tcPr>
          <w:p w14:paraId="144AAF58" w14:textId="77777777" w:rsidR="00F35E68" w:rsidRPr="00F35E68" w:rsidRDefault="00F35E68" w:rsidP="00F35E68">
            <w:pPr>
              <w:jc w:val="both"/>
            </w:pPr>
            <w:r w:rsidRPr="00F35E68">
              <w:t>0.68</w:t>
            </w:r>
          </w:p>
        </w:tc>
        <w:tc>
          <w:tcPr>
            <w:tcW w:w="0" w:type="auto"/>
            <w:vAlign w:val="center"/>
            <w:hideMark/>
          </w:tcPr>
          <w:p w14:paraId="10358728" w14:textId="77777777" w:rsidR="00F35E68" w:rsidRPr="00F35E68" w:rsidRDefault="00F35E68" w:rsidP="00F35E68">
            <w:pPr>
              <w:jc w:val="both"/>
            </w:pPr>
            <w:r w:rsidRPr="00F35E68">
              <w:t>0.12</w:t>
            </w:r>
          </w:p>
        </w:tc>
        <w:tc>
          <w:tcPr>
            <w:tcW w:w="0" w:type="auto"/>
            <w:vAlign w:val="center"/>
            <w:hideMark/>
          </w:tcPr>
          <w:p w14:paraId="708EC83E" w14:textId="77777777" w:rsidR="00F35E68" w:rsidRPr="00F35E68" w:rsidRDefault="00F35E68" w:rsidP="00F35E68">
            <w:pPr>
              <w:jc w:val="both"/>
            </w:pPr>
            <w:r w:rsidRPr="00F35E68">
              <w:t>0.71</w:t>
            </w:r>
          </w:p>
        </w:tc>
        <w:tc>
          <w:tcPr>
            <w:tcW w:w="0" w:type="auto"/>
            <w:vAlign w:val="center"/>
            <w:hideMark/>
          </w:tcPr>
          <w:p w14:paraId="30A4F400" w14:textId="77777777" w:rsidR="00F35E68" w:rsidRPr="00F35E68" w:rsidRDefault="00F35E68" w:rsidP="00F35E68">
            <w:pPr>
              <w:jc w:val="both"/>
            </w:pPr>
            <w:r w:rsidRPr="00F35E68">
              <w:t>5.67</w:t>
            </w:r>
          </w:p>
        </w:tc>
        <w:tc>
          <w:tcPr>
            <w:tcW w:w="0" w:type="auto"/>
            <w:vAlign w:val="center"/>
            <w:hideMark/>
          </w:tcPr>
          <w:p w14:paraId="4331790B" w14:textId="77777777" w:rsidR="00F35E68" w:rsidRPr="00F35E68" w:rsidRDefault="00F35E68" w:rsidP="00F35E68">
            <w:pPr>
              <w:jc w:val="both"/>
            </w:pPr>
            <w:r w:rsidRPr="00F35E68">
              <w:t>0.000</w:t>
            </w:r>
          </w:p>
        </w:tc>
      </w:tr>
      <w:tr w:rsidR="00F35E68" w:rsidRPr="00F35E68" w14:paraId="23E0BD73" w14:textId="77777777" w:rsidTr="004F7816">
        <w:trPr>
          <w:trHeight w:val="548"/>
          <w:tblCellSpacing w:w="15" w:type="dxa"/>
        </w:trPr>
        <w:tc>
          <w:tcPr>
            <w:tcW w:w="0" w:type="auto"/>
            <w:tcBorders>
              <w:bottom w:val="single" w:sz="4" w:space="0" w:color="auto"/>
            </w:tcBorders>
            <w:vAlign w:val="center"/>
            <w:hideMark/>
          </w:tcPr>
          <w:p w14:paraId="26669CAF" w14:textId="77777777" w:rsidR="00F35E68" w:rsidRPr="00F35E68" w:rsidRDefault="00F35E68" w:rsidP="00F35E68">
            <w:pPr>
              <w:jc w:val="both"/>
            </w:pPr>
            <w:r w:rsidRPr="00F35E68">
              <w:t>Temperature Increase</w:t>
            </w:r>
          </w:p>
        </w:tc>
        <w:tc>
          <w:tcPr>
            <w:tcW w:w="0" w:type="auto"/>
            <w:tcBorders>
              <w:bottom w:val="single" w:sz="4" w:space="0" w:color="auto"/>
            </w:tcBorders>
            <w:vAlign w:val="center"/>
            <w:hideMark/>
          </w:tcPr>
          <w:p w14:paraId="49959BD2" w14:textId="77777777" w:rsidR="00F35E68" w:rsidRPr="00F35E68" w:rsidRDefault="00F35E68" w:rsidP="00F35E68">
            <w:pPr>
              <w:jc w:val="both"/>
            </w:pPr>
            <w:r w:rsidRPr="00F35E68">
              <w:t>0.54</w:t>
            </w:r>
          </w:p>
        </w:tc>
        <w:tc>
          <w:tcPr>
            <w:tcW w:w="0" w:type="auto"/>
            <w:tcBorders>
              <w:bottom w:val="single" w:sz="4" w:space="0" w:color="auto"/>
            </w:tcBorders>
            <w:vAlign w:val="center"/>
            <w:hideMark/>
          </w:tcPr>
          <w:p w14:paraId="0B87B49D" w14:textId="77777777" w:rsidR="00F35E68" w:rsidRPr="00F35E68" w:rsidRDefault="00F35E68" w:rsidP="00F35E68">
            <w:pPr>
              <w:jc w:val="both"/>
            </w:pPr>
            <w:r w:rsidRPr="00F35E68">
              <w:t>0.10</w:t>
            </w:r>
          </w:p>
        </w:tc>
        <w:tc>
          <w:tcPr>
            <w:tcW w:w="0" w:type="auto"/>
            <w:tcBorders>
              <w:bottom w:val="single" w:sz="4" w:space="0" w:color="auto"/>
            </w:tcBorders>
            <w:vAlign w:val="center"/>
            <w:hideMark/>
          </w:tcPr>
          <w:p w14:paraId="70289F08" w14:textId="77777777" w:rsidR="00F35E68" w:rsidRPr="00F35E68" w:rsidRDefault="00F35E68" w:rsidP="00F35E68">
            <w:pPr>
              <w:jc w:val="both"/>
            </w:pPr>
            <w:r w:rsidRPr="00F35E68">
              <w:t>0.63</w:t>
            </w:r>
          </w:p>
        </w:tc>
        <w:tc>
          <w:tcPr>
            <w:tcW w:w="0" w:type="auto"/>
            <w:tcBorders>
              <w:bottom w:val="single" w:sz="4" w:space="0" w:color="auto"/>
            </w:tcBorders>
            <w:vAlign w:val="center"/>
            <w:hideMark/>
          </w:tcPr>
          <w:p w14:paraId="6169F85B" w14:textId="77777777" w:rsidR="00F35E68" w:rsidRPr="00F35E68" w:rsidRDefault="00F35E68" w:rsidP="00F35E68">
            <w:pPr>
              <w:jc w:val="both"/>
            </w:pPr>
            <w:r w:rsidRPr="00F35E68">
              <w:t>5.40</w:t>
            </w:r>
          </w:p>
        </w:tc>
        <w:tc>
          <w:tcPr>
            <w:tcW w:w="0" w:type="auto"/>
            <w:tcBorders>
              <w:bottom w:val="single" w:sz="4" w:space="0" w:color="auto"/>
            </w:tcBorders>
            <w:vAlign w:val="center"/>
            <w:hideMark/>
          </w:tcPr>
          <w:p w14:paraId="39699E0A" w14:textId="77777777" w:rsidR="00F35E68" w:rsidRPr="00F35E68" w:rsidRDefault="00F35E68" w:rsidP="00F35E68">
            <w:pPr>
              <w:jc w:val="both"/>
            </w:pPr>
            <w:r w:rsidRPr="00F35E68">
              <w:t>0.000</w:t>
            </w:r>
          </w:p>
        </w:tc>
      </w:tr>
    </w:tbl>
    <w:commentRangeEnd w:id="7"/>
    <w:p w14:paraId="28895843" w14:textId="0BB69E20" w:rsidR="00F35E68" w:rsidRPr="0015461C" w:rsidRDefault="00183AB0" w:rsidP="0015461C">
      <w:pPr>
        <w:jc w:val="both"/>
      </w:pPr>
      <w:r>
        <w:rPr>
          <w:rStyle w:val="CommentReference"/>
        </w:rPr>
        <w:commentReference w:id="7"/>
      </w:r>
      <w:r w:rsidR="00F35E68" w:rsidRPr="0015461C">
        <w:t xml:space="preserve">The regression results </w:t>
      </w:r>
      <w:r w:rsidR="007D2EC8" w:rsidRPr="0015461C">
        <w:t xml:space="preserve">(Table 4) </w:t>
      </w:r>
      <w:r w:rsidR="00F35E68" w:rsidRPr="0015461C">
        <w:t>show a strong model fit (R² = 0.86), indicating that 86% of variation in human–wildlife conflict is explained by climate variability variables. The ANOVA results show that the model is statistically significant (F = 45.78, p &lt; 0.001), confirming a strong predictive relationship. Both rainfall variability and temperature increase significantly predict human–wildlife conflict (p &lt; 0.001</w:t>
      </w:r>
      <w:r w:rsidR="0015461C" w:rsidRPr="0015461C">
        <w:t>). This</w:t>
      </w:r>
      <w:r w:rsidR="00F35E68" w:rsidRPr="0015461C">
        <w:t xml:space="preserve"> confirms that climate variability is a major determinant of conflict intensity in the study area.</w:t>
      </w:r>
    </w:p>
    <w:p w14:paraId="0EB262DF" w14:textId="322DCA5C" w:rsidR="00F35E68" w:rsidRPr="00F35E68" w:rsidRDefault="0015461C" w:rsidP="00F35E68">
      <w:pPr>
        <w:jc w:val="both"/>
        <w:rPr>
          <w:b/>
          <w:bCs/>
        </w:rPr>
      </w:pPr>
      <w:r>
        <w:rPr>
          <w:b/>
          <w:bCs/>
        </w:rPr>
        <w:t>5.4</w:t>
      </w:r>
      <w:r w:rsidR="00F35E68" w:rsidRPr="00F35E68">
        <w:rPr>
          <w:b/>
          <w:bCs/>
        </w:rPr>
        <w:t xml:space="preserve"> Chi-Square Test (Climate Stress vs Conflict Type)</w:t>
      </w:r>
    </w:p>
    <w:p w14:paraId="6C87C419" w14:textId="2A0EFF3F" w:rsidR="00F35E68" w:rsidRPr="00F35E68" w:rsidRDefault="00F35E68" w:rsidP="00F35E68">
      <w:pPr>
        <w:jc w:val="both"/>
        <w:rPr>
          <w:b/>
          <w:bCs/>
        </w:rPr>
      </w:pPr>
      <w:commentRangeStart w:id="8"/>
      <w:r w:rsidRPr="00F35E68">
        <w:rPr>
          <w:b/>
          <w:bCs/>
        </w:rPr>
        <w:lastRenderedPageBreak/>
        <w:t xml:space="preserve">Table </w:t>
      </w:r>
      <w:r w:rsidR="004F7816">
        <w:rPr>
          <w:b/>
          <w:bCs/>
        </w:rPr>
        <w:t>5.</w:t>
      </w:r>
      <w:r w:rsidRPr="00F35E68">
        <w:rPr>
          <w:b/>
          <w:bCs/>
        </w:rPr>
        <w:t xml:space="preserve"> Cross-tabulation</w:t>
      </w:r>
      <w:r w:rsidR="004F7816">
        <w:rPr>
          <w:b/>
          <w:bCs/>
        </w:rPr>
        <w:t xml:space="preserve">&amp; Chi-Square tests </w:t>
      </w:r>
    </w:p>
    <w:tbl>
      <w:tblPr>
        <w:tblW w:w="8861" w:type="dxa"/>
        <w:tblCellSpacing w:w="15" w:type="dxa"/>
        <w:tblCellMar>
          <w:top w:w="15" w:type="dxa"/>
          <w:left w:w="15" w:type="dxa"/>
          <w:bottom w:w="15" w:type="dxa"/>
          <w:right w:w="15" w:type="dxa"/>
        </w:tblCellMar>
        <w:tblLook w:val="04A0" w:firstRow="1" w:lastRow="0" w:firstColumn="1" w:lastColumn="0" w:noHBand="0" w:noVBand="1"/>
      </w:tblPr>
      <w:tblGrid>
        <w:gridCol w:w="2424"/>
        <w:gridCol w:w="1833"/>
        <w:gridCol w:w="1932"/>
        <w:gridCol w:w="1916"/>
        <w:gridCol w:w="756"/>
      </w:tblGrid>
      <w:tr w:rsidR="00F35E68" w:rsidRPr="00F35E68" w14:paraId="0C1BCBC4" w14:textId="77777777" w:rsidTr="004F7816">
        <w:trPr>
          <w:trHeight w:val="559"/>
          <w:tblHeader/>
          <w:tblCellSpacing w:w="15" w:type="dxa"/>
        </w:trPr>
        <w:tc>
          <w:tcPr>
            <w:tcW w:w="0" w:type="auto"/>
            <w:tcBorders>
              <w:top w:val="single" w:sz="4" w:space="0" w:color="auto"/>
              <w:bottom w:val="single" w:sz="4" w:space="0" w:color="auto"/>
            </w:tcBorders>
            <w:vAlign w:val="center"/>
            <w:hideMark/>
          </w:tcPr>
          <w:p w14:paraId="2F7AF10A" w14:textId="77777777" w:rsidR="00F35E68" w:rsidRPr="00F35E68" w:rsidRDefault="00F35E68" w:rsidP="00F35E68">
            <w:pPr>
              <w:jc w:val="both"/>
              <w:rPr>
                <w:b/>
                <w:bCs/>
              </w:rPr>
            </w:pPr>
            <w:r w:rsidRPr="00F35E68">
              <w:rPr>
                <w:b/>
                <w:bCs/>
              </w:rPr>
              <w:t>Climate Condition</w:t>
            </w:r>
          </w:p>
        </w:tc>
        <w:tc>
          <w:tcPr>
            <w:tcW w:w="0" w:type="auto"/>
            <w:tcBorders>
              <w:top w:val="single" w:sz="4" w:space="0" w:color="auto"/>
              <w:bottom w:val="single" w:sz="4" w:space="0" w:color="auto"/>
            </w:tcBorders>
            <w:vAlign w:val="center"/>
            <w:hideMark/>
          </w:tcPr>
          <w:p w14:paraId="1A7DCD26" w14:textId="77777777" w:rsidR="00F35E68" w:rsidRPr="00F35E68" w:rsidRDefault="00F35E68" w:rsidP="00F35E68">
            <w:pPr>
              <w:jc w:val="both"/>
              <w:rPr>
                <w:b/>
                <w:bCs/>
              </w:rPr>
            </w:pPr>
            <w:r w:rsidRPr="00F35E68">
              <w:rPr>
                <w:b/>
                <w:bCs/>
              </w:rPr>
              <w:t>Crop Damage</w:t>
            </w:r>
          </w:p>
        </w:tc>
        <w:tc>
          <w:tcPr>
            <w:tcW w:w="0" w:type="auto"/>
            <w:tcBorders>
              <w:top w:val="single" w:sz="4" w:space="0" w:color="auto"/>
              <w:bottom w:val="single" w:sz="4" w:space="0" w:color="auto"/>
            </w:tcBorders>
            <w:vAlign w:val="center"/>
            <w:hideMark/>
          </w:tcPr>
          <w:p w14:paraId="6733ED57" w14:textId="77777777" w:rsidR="00F35E68" w:rsidRPr="00F35E68" w:rsidRDefault="00F35E68" w:rsidP="00F35E68">
            <w:pPr>
              <w:jc w:val="both"/>
              <w:rPr>
                <w:b/>
                <w:bCs/>
              </w:rPr>
            </w:pPr>
            <w:r w:rsidRPr="00F35E68">
              <w:rPr>
                <w:b/>
                <w:bCs/>
              </w:rPr>
              <w:t>Livestock Loss</w:t>
            </w:r>
          </w:p>
        </w:tc>
        <w:tc>
          <w:tcPr>
            <w:tcW w:w="0" w:type="auto"/>
            <w:tcBorders>
              <w:top w:val="single" w:sz="4" w:space="0" w:color="auto"/>
              <w:bottom w:val="single" w:sz="4" w:space="0" w:color="auto"/>
            </w:tcBorders>
            <w:vAlign w:val="center"/>
            <w:hideMark/>
          </w:tcPr>
          <w:p w14:paraId="4E2507D5" w14:textId="77777777" w:rsidR="00F35E68" w:rsidRPr="00F35E68" w:rsidRDefault="00F35E68" w:rsidP="00F35E68">
            <w:pPr>
              <w:jc w:val="both"/>
              <w:rPr>
                <w:b/>
                <w:bCs/>
              </w:rPr>
            </w:pPr>
            <w:r w:rsidRPr="00F35E68">
              <w:rPr>
                <w:b/>
                <w:bCs/>
              </w:rPr>
              <w:t>Human Injury</w:t>
            </w:r>
          </w:p>
        </w:tc>
        <w:tc>
          <w:tcPr>
            <w:tcW w:w="0" w:type="auto"/>
            <w:tcBorders>
              <w:top w:val="single" w:sz="4" w:space="0" w:color="auto"/>
              <w:bottom w:val="single" w:sz="4" w:space="0" w:color="auto"/>
            </w:tcBorders>
            <w:vAlign w:val="center"/>
            <w:hideMark/>
          </w:tcPr>
          <w:p w14:paraId="7DAA5F6D" w14:textId="77777777" w:rsidR="00F35E68" w:rsidRPr="00F35E68" w:rsidRDefault="00F35E68" w:rsidP="00F35E68">
            <w:pPr>
              <w:jc w:val="both"/>
              <w:rPr>
                <w:b/>
                <w:bCs/>
              </w:rPr>
            </w:pPr>
            <w:r w:rsidRPr="00F35E68">
              <w:rPr>
                <w:b/>
                <w:bCs/>
              </w:rPr>
              <w:t>Total</w:t>
            </w:r>
          </w:p>
        </w:tc>
      </w:tr>
      <w:tr w:rsidR="00F35E68" w:rsidRPr="00F35E68" w14:paraId="197E6C60" w14:textId="77777777" w:rsidTr="004F7816">
        <w:trPr>
          <w:trHeight w:val="559"/>
          <w:tblCellSpacing w:w="15" w:type="dxa"/>
        </w:trPr>
        <w:tc>
          <w:tcPr>
            <w:tcW w:w="0" w:type="auto"/>
            <w:vAlign w:val="center"/>
            <w:hideMark/>
          </w:tcPr>
          <w:p w14:paraId="2164D8B9" w14:textId="77777777" w:rsidR="00F35E68" w:rsidRPr="00F35E68" w:rsidRDefault="00F35E68" w:rsidP="00F35E68">
            <w:pPr>
              <w:jc w:val="both"/>
            </w:pPr>
            <w:r w:rsidRPr="00F35E68">
              <w:t>Low Rainfall</w:t>
            </w:r>
          </w:p>
        </w:tc>
        <w:tc>
          <w:tcPr>
            <w:tcW w:w="0" w:type="auto"/>
            <w:vAlign w:val="center"/>
            <w:hideMark/>
          </w:tcPr>
          <w:p w14:paraId="34DB05BA" w14:textId="77777777" w:rsidR="00F35E68" w:rsidRPr="00F35E68" w:rsidRDefault="00F35E68" w:rsidP="00F35E68">
            <w:pPr>
              <w:jc w:val="both"/>
            </w:pPr>
            <w:r w:rsidRPr="00F35E68">
              <w:t>35</w:t>
            </w:r>
          </w:p>
        </w:tc>
        <w:tc>
          <w:tcPr>
            <w:tcW w:w="0" w:type="auto"/>
            <w:vAlign w:val="center"/>
            <w:hideMark/>
          </w:tcPr>
          <w:p w14:paraId="51778636" w14:textId="77777777" w:rsidR="00F35E68" w:rsidRPr="00F35E68" w:rsidRDefault="00F35E68" w:rsidP="00F35E68">
            <w:pPr>
              <w:jc w:val="both"/>
            </w:pPr>
            <w:r w:rsidRPr="00F35E68">
              <w:t>18</w:t>
            </w:r>
          </w:p>
        </w:tc>
        <w:tc>
          <w:tcPr>
            <w:tcW w:w="0" w:type="auto"/>
            <w:vAlign w:val="center"/>
            <w:hideMark/>
          </w:tcPr>
          <w:p w14:paraId="7164B70E" w14:textId="77777777" w:rsidR="00F35E68" w:rsidRPr="00F35E68" w:rsidRDefault="00F35E68" w:rsidP="00F35E68">
            <w:pPr>
              <w:jc w:val="both"/>
            </w:pPr>
            <w:r w:rsidRPr="00F35E68">
              <w:t>7</w:t>
            </w:r>
          </w:p>
        </w:tc>
        <w:tc>
          <w:tcPr>
            <w:tcW w:w="0" w:type="auto"/>
            <w:vAlign w:val="center"/>
            <w:hideMark/>
          </w:tcPr>
          <w:p w14:paraId="3FCF9470" w14:textId="77777777" w:rsidR="00F35E68" w:rsidRPr="00F35E68" w:rsidRDefault="00F35E68" w:rsidP="00F35E68">
            <w:pPr>
              <w:jc w:val="both"/>
            </w:pPr>
            <w:r w:rsidRPr="00F35E68">
              <w:t>60</w:t>
            </w:r>
          </w:p>
        </w:tc>
      </w:tr>
      <w:tr w:rsidR="00F35E68" w:rsidRPr="00F35E68" w14:paraId="34F12759" w14:textId="77777777" w:rsidTr="004F7816">
        <w:trPr>
          <w:trHeight w:val="575"/>
          <w:tblCellSpacing w:w="15" w:type="dxa"/>
        </w:trPr>
        <w:tc>
          <w:tcPr>
            <w:tcW w:w="0" w:type="auto"/>
            <w:vAlign w:val="center"/>
            <w:hideMark/>
          </w:tcPr>
          <w:p w14:paraId="221050A1" w14:textId="77777777" w:rsidR="00F35E68" w:rsidRPr="00F35E68" w:rsidRDefault="00F35E68" w:rsidP="00F35E68">
            <w:pPr>
              <w:jc w:val="both"/>
            </w:pPr>
            <w:r w:rsidRPr="00F35E68">
              <w:t>Moderate Rainfall</w:t>
            </w:r>
          </w:p>
        </w:tc>
        <w:tc>
          <w:tcPr>
            <w:tcW w:w="0" w:type="auto"/>
            <w:vAlign w:val="center"/>
            <w:hideMark/>
          </w:tcPr>
          <w:p w14:paraId="66F1FB57" w14:textId="77777777" w:rsidR="00F35E68" w:rsidRPr="00F35E68" w:rsidRDefault="00F35E68" w:rsidP="00F35E68">
            <w:pPr>
              <w:jc w:val="both"/>
            </w:pPr>
            <w:r w:rsidRPr="00F35E68">
              <w:t>50</w:t>
            </w:r>
          </w:p>
        </w:tc>
        <w:tc>
          <w:tcPr>
            <w:tcW w:w="0" w:type="auto"/>
            <w:vAlign w:val="center"/>
            <w:hideMark/>
          </w:tcPr>
          <w:p w14:paraId="6C44240D" w14:textId="77777777" w:rsidR="00F35E68" w:rsidRPr="00F35E68" w:rsidRDefault="00F35E68" w:rsidP="00F35E68">
            <w:pPr>
              <w:jc w:val="both"/>
            </w:pPr>
            <w:r w:rsidRPr="00F35E68">
              <w:t>30</w:t>
            </w:r>
          </w:p>
        </w:tc>
        <w:tc>
          <w:tcPr>
            <w:tcW w:w="0" w:type="auto"/>
            <w:vAlign w:val="center"/>
            <w:hideMark/>
          </w:tcPr>
          <w:p w14:paraId="0D27F2B3" w14:textId="77777777" w:rsidR="00F35E68" w:rsidRPr="00F35E68" w:rsidRDefault="00F35E68" w:rsidP="00F35E68">
            <w:pPr>
              <w:jc w:val="both"/>
            </w:pPr>
            <w:r w:rsidRPr="00F35E68">
              <w:t>10</w:t>
            </w:r>
          </w:p>
        </w:tc>
        <w:tc>
          <w:tcPr>
            <w:tcW w:w="0" w:type="auto"/>
            <w:vAlign w:val="center"/>
            <w:hideMark/>
          </w:tcPr>
          <w:p w14:paraId="509666C3" w14:textId="77777777" w:rsidR="00F35E68" w:rsidRPr="00F35E68" w:rsidRDefault="00F35E68" w:rsidP="00F35E68">
            <w:pPr>
              <w:jc w:val="both"/>
            </w:pPr>
            <w:r w:rsidRPr="00F35E68">
              <w:t>90</w:t>
            </w:r>
          </w:p>
        </w:tc>
      </w:tr>
      <w:tr w:rsidR="00F35E68" w:rsidRPr="00F35E68" w14:paraId="2E8966FC" w14:textId="77777777" w:rsidTr="004F7816">
        <w:trPr>
          <w:trHeight w:val="559"/>
          <w:tblCellSpacing w:w="15" w:type="dxa"/>
        </w:trPr>
        <w:tc>
          <w:tcPr>
            <w:tcW w:w="0" w:type="auto"/>
            <w:tcBorders>
              <w:bottom w:val="single" w:sz="4" w:space="0" w:color="auto"/>
            </w:tcBorders>
            <w:vAlign w:val="center"/>
            <w:hideMark/>
          </w:tcPr>
          <w:p w14:paraId="227F5960" w14:textId="77777777" w:rsidR="00F35E68" w:rsidRPr="00F35E68" w:rsidRDefault="00F35E68" w:rsidP="00F35E68">
            <w:pPr>
              <w:jc w:val="both"/>
            </w:pPr>
            <w:r w:rsidRPr="00F35E68">
              <w:t>Severe Drought</w:t>
            </w:r>
          </w:p>
        </w:tc>
        <w:tc>
          <w:tcPr>
            <w:tcW w:w="0" w:type="auto"/>
            <w:tcBorders>
              <w:bottom w:val="single" w:sz="4" w:space="0" w:color="auto"/>
            </w:tcBorders>
            <w:vAlign w:val="center"/>
            <w:hideMark/>
          </w:tcPr>
          <w:p w14:paraId="0A947BC3" w14:textId="77777777" w:rsidR="00F35E68" w:rsidRPr="00F35E68" w:rsidRDefault="00F35E68" w:rsidP="00F35E68">
            <w:pPr>
              <w:jc w:val="both"/>
            </w:pPr>
            <w:r w:rsidRPr="00F35E68">
              <w:t>85</w:t>
            </w:r>
          </w:p>
        </w:tc>
        <w:tc>
          <w:tcPr>
            <w:tcW w:w="0" w:type="auto"/>
            <w:tcBorders>
              <w:bottom w:val="single" w:sz="4" w:space="0" w:color="auto"/>
            </w:tcBorders>
            <w:vAlign w:val="center"/>
            <w:hideMark/>
          </w:tcPr>
          <w:p w14:paraId="7D5CB10B" w14:textId="77777777" w:rsidR="00F35E68" w:rsidRPr="00F35E68" w:rsidRDefault="00F35E68" w:rsidP="00F35E68">
            <w:pPr>
              <w:jc w:val="both"/>
            </w:pPr>
            <w:r w:rsidRPr="00F35E68">
              <w:t>60</w:t>
            </w:r>
          </w:p>
        </w:tc>
        <w:tc>
          <w:tcPr>
            <w:tcW w:w="0" w:type="auto"/>
            <w:tcBorders>
              <w:bottom w:val="single" w:sz="4" w:space="0" w:color="auto"/>
            </w:tcBorders>
            <w:vAlign w:val="center"/>
            <w:hideMark/>
          </w:tcPr>
          <w:p w14:paraId="6800DE97" w14:textId="77777777" w:rsidR="00F35E68" w:rsidRPr="00F35E68" w:rsidRDefault="00F35E68" w:rsidP="00F35E68">
            <w:pPr>
              <w:jc w:val="both"/>
            </w:pPr>
            <w:r w:rsidRPr="00F35E68">
              <w:t>25</w:t>
            </w:r>
          </w:p>
        </w:tc>
        <w:tc>
          <w:tcPr>
            <w:tcW w:w="0" w:type="auto"/>
            <w:tcBorders>
              <w:bottom w:val="single" w:sz="4" w:space="0" w:color="auto"/>
            </w:tcBorders>
            <w:vAlign w:val="center"/>
            <w:hideMark/>
          </w:tcPr>
          <w:p w14:paraId="046840C5" w14:textId="77777777" w:rsidR="00F35E68" w:rsidRPr="00F35E68" w:rsidRDefault="00F35E68" w:rsidP="00F35E68">
            <w:pPr>
              <w:jc w:val="both"/>
            </w:pPr>
            <w:r w:rsidRPr="00F35E68">
              <w:t>170</w:t>
            </w:r>
          </w:p>
        </w:tc>
      </w:tr>
    </w:tbl>
    <w:p w14:paraId="140D05DD" w14:textId="31C90654" w:rsidR="00F35E68" w:rsidRPr="00F35E68" w:rsidRDefault="00F35E68" w:rsidP="004F7816">
      <w:pPr>
        <w:pBdr>
          <w:bottom w:val="single" w:sz="4" w:space="1" w:color="auto"/>
        </w:pBdr>
        <w:jc w:val="both"/>
        <w:rPr>
          <w:b/>
          <w:bCs/>
        </w:rPr>
      </w:pPr>
      <w:r w:rsidRPr="00F35E68">
        <w:rPr>
          <w:b/>
          <w:bCs/>
        </w:rPr>
        <w:t>Chi-Square Tests</w:t>
      </w:r>
    </w:p>
    <w:tbl>
      <w:tblPr>
        <w:tblW w:w="8628" w:type="dxa"/>
        <w:tblCellSpacing w:w="15" w:type="dxa"/>
        <w:tblCellMar>
          <w:top w:w="15" w:type="dxa"/>
          <w:left w:w="15" w:type="dxa"/>
          <w:bottom w:w="15" w:type="dxa"/>
          <w:right w:w="15" w:type="dxa"/>
        </w:tblCellMar>
        <w:tblLook w:val="04A0" w:firstRow="1" w:lastRow="0" w:firstColumn="1" w:lastColumn="0" w:noHBand="0" w:noVBand="1"/>
      </w:tblPr>
      <w:tblGrid>
        <w:gridCol w:w="4094"/>
        <w:gridCol w:w="1343"/>
        <w:gridCol w:w="539"/>
        <w:gridCol w:w="2652"/>
      </w:tblGrid>
      <w:tr w:rsidR="00F35E68" w:rsidRPr="00F35E68" w14:paraId="364FB5D7" w14:textId="77777777" w:rsidTr="004F7816">
        <w:trPr>
          <w:trHeight w:val="498"/>
          <w:tblHeader/>
          <w:tblCellSpacing w:w="15" w:type="dxa"/>
        </w:trPr>
        <w:tc>
          <w:tcPr>
            <w:tcW w:w="0" w:type="auto"/>
            <w:vAlign w:val="center"/>
            <w:hideMark/>
          </w:tcPr>
          <w:p w14:paraId="52A6AFF3" w14:textId="77777777" w:rsidR="00F35E68" w:rsidRPr="00F35E68" w:rsidRDefault="00F35E68" w:rsidP="004F7816">
            <w:pPr>
              <w:pBdr>
                <w:bottom w:val="single" w:sz="4" w:space="1" w:color="auto"/>
              </w:pBdr>
              <w:jc w:val="both"/>
              <w:rPr>
                <w:b/>
                <w:bCs/>
              </w:rPr>
            </w:pPr>
            <w:r w:rsidRPr="00F35E68">
              <w:rPr>
                <w:b/>
                <w:bCs/>
              </w:rPr>
              <w:t>Test</w:t>
            </w:r>
          </w:p>
        </w:tc>
        <w:tc>
          <w:tcPr>
            <w:tcW w:w="0" w:type="auto"/>
            <w:vAlign w:val="center"/>
            <w:hideMark/>
          </w:tcPr>
          <w:p w14:paraId="5FB8CDC0" w14:textId="77777777" w:rsidR="00F35E68" w:rsidRPr="00F35E68" w:rsidRDefault="00F35E68" w:rsidP="004F7816">
            <w:pPr>
              <w:pBdr>
                <w:bottom w:val="single" w:sz="4" w:space="1" w:color="auto"/>
              </w:pBdr>
              <w:jc w:val="both"/>
              <w:rPr>
                <w:b/>
                <w:bCs/>
              </w:rPr>
            </w:pPr>
            <w:r w:rsidRPr="00F35E68">
              <w:rPr>
                <w:b/>
                <w:bCs/>
              </w:rPr>
              <w:t>Value</w:t>
            </w:r>
          </w:p>
        </w:tc>
        <w:tc>
          <w:tcPr>
            <w:tcW w:w="0" w:type="auto"/>
            <w:vAlign w:val="center"/>
            <w:hideMark/>
          </w:tcPr>
          <w:p w14:paraId="4FBA1BBC" w14:textId="77777777" w:rsidR="00F35E68" w:rsidRPr="00F35E68" w:rsidRDefault="00F35E68" w:rsidP="004F7816">
            <w:pPr>
              <w:pBdr>
                <w:bottom w:val="single" w:sz="4" w:space="1" w:color="auto"/>
              </w:pBdr>
              <w:jc w:val="both"/>
              <w:rPr>
                <w:b/>
                <w:bCs/>
              </w:rPr>
            </w:pPr>
            <w:r w:rsidRPr="00F35E68">
              <w:rPr>
                <w:b/>
                <w:bCs/>
              </w:rPr>
              <w:t>df</w:t>
            </w:r>
          </w:p>
        </w:tc>
        <w:tc>
          <w:tcPr>
            <w:tcW w:w="0" w:type="auto"/>
            <w:vAlign w:val="center"/>
            <w:hideMark/>
          </w:tcPr>
          <w:p w14:paraId="31C6E519" w14:textId="77777777" w:rsidR="00F35E68" w:rsidRPr="00F35E68" w:rsidRDefault="00F35E68" w:rsidP="004F7816">
            <w:pPr>
              <w:pBdr>
                <w:bottom w:val="single" w:sz="4" w:space="1" w:color="auto"/>
              </w:pBdr>
              <w:jc w:val="both"/>
              <w:rPr>
                <w:b/>
                <w:bCs/>
              </w:rPr>
            </w:pPr>
            <w:r w:rsidRPr="00F35E68">
              <w:rPr>
                <w:b/>
                <w:bCs/>
              </w:rPr>
              <w:t>Asymp. Sig.</w:t>
            </w:r>
          </w:p>
        </w:tc>
      </w:tr>
      <w:tr w:rsidR="00F35E68" w:rsidRPr="00F35E68" w14:paraId="1CDD2991" w14:textId="77777777" w:rsidTr="004F7816">
        <w:trPr>
          <w:trHeight w:val="484"/>
          <w:tblCellSpacing w:w="15" w:type="dxa"/>
        </w:trPr>
        <w:tc>
          <w:tcPr>
            <w:tcW w:w="0" w:type="auto"/>
            <w:vAlign w:val="center"/>
            <w:hideMark/>
          </w:tcPr>
          <w:p w14:paraId="2AFFD711" w14:textId="77777777" w:rsidR="00F35E68" w:rsidRPr="00F35E68" w:rsidRDefault="00F35E68" w:rsidP="00F35E68">
            <w:pPr>
              <w:jc w:val="both"/>
            </w:pPr>
            <w:r w:rsidRPr="00F35E68">
              <w:t>Pearson Chi-Square</w:t>
            </w:r>
          </w:p>
        </w:tc>
        <w:tc>
          <w:tcPr>
            <w:tcW w:w="0" w:type="auto"/>
            <w:vAlign w:val="center"/>
            <w:hideMark/>
          </w:tcPr>
          <w:p w14:paraId="33EA7879" w14:textId="77777777" w:rsidR="00F35E68" w:rsidRPr="00F35E68" w:rsidRDefault="00F35E68" w:rsidP="00F35E68">
            <w:pPr>
              <w:jc w:val="both"/>
            </w:pPr>
            <w:r w:rsidRPr="00F35E68">
              <w:t>24.87</w:t>
            </w:r>
          </w:p>
        </w:tc>
        <w:tc>
          <w:tcPr>
            <w:tcW w:w="0" w:type="auto"/>
            <w:vAlign w:val="center"/>
            <w:hideMark/>
          </w:tcPr>
          <w:p w14:paraId="451C96DE" w14:textId="77777777" w:rsidR="00F35E68" w:rsidRPr="00F35E68" w:rsidRDefault="00F35E68" w:rsidP="00F35E68">
            <w:pPr>
              <w:jc w:val="both"/>
            </w:pPr>
            <w:r w:rsidRPr="00F35E68">
              <w:t>4</w:t>
            </w:r>
          </w:p>
        </w:tc>
        <w:tc>
          <w:tcPr>
            <w:tcW w:w="0" w:type="auto"/>
            <w:vAlign w:val="center"/>
            <w:hideMark/>
          </w:tcPr>
          <w:p w14:paraId="74D4A57A" w14:textId="77777777" w:rsidR="00F35E68" w:rsidRPr="00F35E68" w:rsidRDefault="00F35E68" w:rsidP="00F35E68">
            <w:pPr>
              <w:jc w:val="both"/>
            </w:pPr>
            <w:r w:rsidRPr="00F35E68">
              <w:t>0.000</w:t>
            </w:r>
          </w:p>
        </w:tc>
      </w:tr>
      <w:tr w:rsidR="00F35E68" w:rsidRPr="00F35E68" w14:paraId="58357581" w14:textId="77777777" w:rsidTr="004F7816">
        <w:trPr>
          <w:trHeight w:val="471"/>
          <w:tblCellSpacing w:w="15" w:type="dxa"/>
        </w:trPr>
        <w:tc>
          <w:tcPr>
            <w:tcW w:w="0" w:type="auto"/>
            <w:tcBorders>
              <w:bottom w:val="single" w:sz="4" w:space="0" w:color="auto"/>
            </w:tcBorders>
            <w:vAlign w:val="center"/>
            <w:hideMark/>
          </w:tcPr>
          <w:p w14:paraId="6B90570C" w14:textId="77777777" w:rsidR="00F35E68" w:rsidRPr="00F35E68" w:rsidRDefault="00F35E68" w:rsidP="00F35E68">
            <w:pPr>
              <w:jc w:val="both"/>
            </w:pPr>
            <w:r w:rsidRPr="00F35E68">
              <w:t>Likelihood Ratio</w:t>
            </w:r>
          </w:p>
        </w:tc>
        <w:tc>
          <w:tcPr>
            <w:tcW w:w="0" w:type="auto"/>
            <w:tcBorders>
              <w:bottom w:val="single" w:sz="4" w:space="0" w:color="auto"/>
            </w:tcBorders>
            <w:vAlign w:val="center"/>
            <w:hideMark/>
          </w:tcPr>
          <w:p w14:paraId="1B684A1E" w14:textId="77777777" w:rsidR="00F35E68" w:rsidRPr="00F35E68" w:rsidRDefault="00F35E68" w:rsidP="00F35E68">
            <w:pPr>
              <w:jc w:val="both"/>
            </w:pPr>
            <w:r w:rsidRPr="00F35E68">
              <w:t>22.41</w:t>
            </w:r>
          </w:p>
        </w:tc>
        <w:tc>
          <w:tcPr>
            <w:tcW w:w="0" w:type="auto"/>
            <w:tcBorders>
              <w:bottom w:val="single" w:sz="4" w:space="0" w:color="auto"/>
            </w:tcBorders>
            <w:vAlign w:val="center"/>
            <w:hideMark/>
          </w:tcPr>
          <w:p w14:paraId="0AF023F6" w14:textId="77777777" w:rsidR="00F35E68" w:rsidRPr="00F35E68" w:rsidRDefault="00F35E68" w:rsidP="00F35E68">
            <w:pPr>
              <w:jc w:val="both"/>
            </w:pPr>
            <w:r w:rsidRPr="00F35E68">
              <w:t>4</w:t>
            </w:r>
          </w:p>
        </w:tc>
        <w:tc>
          <w:tcPr>
            <w:tcW w:w="0" w:type="auto"/>
            <w:tcBorders>
              <w:bottom w:val="single" w:sz="4" w:space="0" w:color="auto"/>
            </w:tcBorders>
            <w:vAlign w:val="center"/>
            <w:hideMark/>
          </w:tcPr>
          <w:p w14:paraId="39A05DA6" w14:textId="77777777" w:rsidR="00F35E68" w:rsidRPr="00F35E68" w:rsidRDefault="00F35E68" w:rsidP="00F35E68">
            <w:pPr>
              <w:jc w:val="both"/>
            </w:pPr>
            <w:r w:rsidRPr="00F35E68">
              <w:t>0.000</w:t>
            </w:r>
          </w:p>
        </w:tc>
      </w:tr>
    </w:tbl>
    <w:commentRangeEnd w:id="8"/>
    <w:p w14:paraId="58EBAE6B" w14:textId="5AD5BE9B" w:rsidR="00F35E68" w:rsidRPr="005D4C49" w:rsidRDefault="00183AB0" w:rsidP="005D4C49">
      <w:pPr>
        <w:jc w:val="both"/>
      </w:pPr>
      <w:r>
        <w:rPr>
          <w:rStyle w:val="CommentReference"/>
        </w:rPr>
        <w:commentReference w:id="8"/>
      </w:r>
      <w:r w:rsidR="00F35E68" w:rsidRPr="005D4C49">
        <w:t xml:space="preserve">The Chi-square </w:t>
      </w:r>
      <w:r w:rsidR="007D2EC8" w:rsidRPr="005D4C49">
        <w:t>test (Table 5)</w:t>
      </w:r>
      <w:r w:rsidR="00F35E68" w:rsidRPr="005D4C49">
        <w:t xml:space="preserve"> </w:t>
      </w:r>
      <w:proofErr w:type="gramStart"/>
      <w:r w:rsidR="00F35E68" w:rsidRPr="005D4C49">
        <w:t>show</w:t>
      </w:r>
      <w:r w:rsidR="005D4C49">
        <w:t xml:space="preserve">ed </w:t>
      </w:r>
      <w:r w:rsidR="00F35E68" w:rsidRPr="005D4C49">
        <w:t xml:space="preserve"> a</w:t>
      </w:r>
      <w:proofErr w:type="gramEnd"/>
      <w:r w:rsidR="00F35E68" w:rsidRPr="005D4C49">
        <w:t xml:space="preserve"> statistically significant association (p &lt; 0.001) between climate conditions and types of </w:t>
      </w:r>
      <w:r w:rsidR="007D2EC8" w:rsidRPr="005D4C49">
        <w:t>humans</w:t>
      </w:r>
      <w:r w:rsidR="00F35E68" w:rsidRPr="005D4C49">
        <w:t>–wildlife conflict. Severe drought conditions are strongly associated with higher levels of crop damage and livestock loss. This indicates that climate stress significantly influences conflict type and severity.</w:t>
      </w:r>
    </w:p>
    <w:p w14:paraId="62A7F949" w14:textId="7B45606C" w:rsidR="00F35E68" w:rsidRPr="00F35E68" w:rsidRDefault="0015461C" w:rsidP="00F35E68">
      <w:pPr>
        <w:jc w:val="both"/>
        <w:rPr>
          <w:b/>
          <w:bCs/>
        </w:rPr>
      </w:pPr>
      <w:r>
        <w:rPr>
          <w:b/>
          <w:bCs/>
        </w:rPr>
        <w:t xml:space="preserve">5.6 </w:t>
      </w:r>
      <w:r w:rsidR="00F35E68" w:rsidRPr="00F35E68">
        <w:rPr>
          <w:b/>
          <w:bCs/>
        </w:rPr>
        <w:t>ANOVA (Conflict Differences Across Climate Periods)</w:t>
      </w:r>
    </w:p>
    <w:p w14:paraId="61134ABF" w14:textId="7C532B65" w:rsidR="00F35E68" w:rsidRPr="00F35E68" w:rsidRDefault="00F35E68" w:rsidP="00F35E68">
      <w:pPr>
        <w:jc w:val="both"/>
        <w:rPr>
          <w:b/>
          <w:bCs/>
        </w:rPr>
      </w:pPr>
      <w:commentRangeStart w:id="9"/>
      <w:r w:rsidRPr="00F35E68">
        <w:rPr>
          <w:b/>
          <w:bCs/>
        </w:rPr>
        <w:t xml:space="preserve">Table </w:t>
      </w:r>
      <w:r w:rsidR="007D2EC8">
        <w:rPr>
          <w:b/>
          <w:bCs/>
        </w:rPr>
        <w:t>6</w:t>
      </w:r>
      <w:r w:rsidRPr="00F35E68">
        <w:rPr>
          <w:b/>
          <w:bCs/>
        </w:rPr>
        <w:t>: ANOVA Results</w:t>
      </w:r>
    </w:p>
    <w:tbl>
      <w:tblPr>
        <w:tblW w:w="8712" w:type="dxa"/>
        <w:tblCellSpacing w:w="15" w:type="dxa"/>
        <w:tblCellMar>
          <w:top w:w="15" w:type="dxa"/>
          <w:left w:w="15" w:type="dxa"/>
          <w:bottom w:w="15" w:type="dxa"/>
          <w:right w:w="15" w:type="dxa"/>
        </w:tblCellMar>
        <w:tblLook w:val="04A0" w:firstRow="1" w:lastRow="0" w:firstColumn="1" w:lastColumn="0" w:noHBand="0" w:noVBand="1"/>
      </w:tblPr>
      <w:tblGrid>
        <w:gridCol w:w="2327"/>
        <w:gridCol w:w="2321"/>
        <w:gridCol w:w="406"/>
        <w:gridCol w:w="1995"/>
        <w:gridCol w:w="824"/>
        <w:gridCol w:w="839"/>
      </w:tblGrid>
      <w:tr w:rsidR="00F35E68" w:rsidRPr="00F35E68" w14:paraId="3C607044" w14:textId="77777777" w:rsidTr="007D2EC8">
        <w:trPr>
          <w:trHeight w:val="545"/>
          <w:tblHeader/>
          <w:tblCellSpacing w:w="15" w:type="dxa"/>
        </w:trPr>
        <w:tc>
          <w:tcPr>
            <w:tcW w:w="0" w:type="auto"/>
            <w:tcBorders>
              <w:top w:val="single" w:sz="4" w:space="0" w:color="auto"/>
              <w:bottom w:val="single" w:sz="4" w:space="0" w:color="auto"/>
            </w:tcBorders>
            <w:vAlign w:val="center"/>
            <w:hideMark/>
          </w:tcPr>
          <w:p w14:paraId="3C276A70" w14:textId="77777777" w:rsidR="00F35E68" w:rsidRPr="00F35E68" w:rsidRDefault="00F35E68" w:rsidP="00F35E68">
            <w:pPr>
              <w:jc w:val="both"/>
              <w:rPr>
                <w:b/>
                <w:bCs/>
              </w:rPr>
            </w:pPr>
            <w:r w:rsidRPr="00F35E68">
              <w:rPr>
                <w:b/>
                <w:bCs/>
              </w:rPr>
              <w:t>Source</w:t>
            </w:r>
          </w:p>
        </w:tc>
        <w:tc>
          <w:tcPr>
            <w:tcW w:w="0" w:type="auto"/>
            <w:tcBorders>
              <w:top w:val="single" w:sz="4" w:space="0" w:color="auto"/>
              <w:bottom w:val="single" w:sz="4" w:space="0" w:color="auto"/>
            </w:tcBorders>
            <w:vAlign w:val="center"/>
            <w:hideMark/>
          </w:tcPr>
          <w:p w14:paraId="4F2B177D" w14:textId="77777777" w:rsidR="00F35E68" w:rsidRPr="00F35E68" w:rsidRDefault="00F35E68" w:rsidP="00F35E68">
            <w:pPr>
              <w:jc w:val="both"/>
              <w:rPr>
                <w:b/>
                <w:bCs/>
              </w:rPr>
            </w:pPr>
            <w:r w:rsidRPr="00F35E68">
              <w:rPr>
                <w:b/>
                <w:bCs/>
              </w:rPr>
              <w:t>Sum of Squares</w:t>
            </w:r>
          </w:p>
        </w:tc>
        <w:tc>
          <w:tcPr>
            <w:tcW w:w="0" w:type="auto"/>
            <w:tcBorders>
              <w:top w:val="single" w:sz="4" w:space="0" w:color="auto"/>
              <w:bottom w:val="single" w:sz="4" w:space="0" w:color="auto"/>
            </w:tcBorders>
            <w:vAlign w:val="center"/>
            <w:hideMark/>
          </w:tcPr>
          <w:p w14:paraId="4330F738" w14:textId="77777777" w:rsidR="00F35E68" w:rsidRPr="00F35E68" w:rsidRDefault="00F35E68" w:rsidP="00F35E68">
            <w:pPr>
              <w:jc w:val="both"/>
              <w:rPr>
                <w:b/>
                <w:bCs/>
              </w:rPr>
            </w:pPr>
            <w:r w:rsidRPr="00F35E68">
              <w:rPr>
                <w:b/>
                <w:bCs/>
              </w:rPr>
              <w:t>df</w:t>
            </w:r>
          </w:p>
        </w:tc>
        <w:tc>
          <w:tcPr>
            <w:tcW w:w="0" w:type="auto"/>
            <w:tcBorders>
              <w:top w:val="single" w:sz="4" w:space="0" w:color="auto"/>
              <w:bottom w:val="single" w:sz="4" w:space="0" w:color="auto"/>
            </w:tcBorders>
            <w:vAlign w:val="center"/>
            <w:hideMark/>
          </w:tcPr>
          <w:p w14:paraId="4888ECE5" w14:textId="77777777" w:rsidR="00F35E68" w:rsidRPr="00F35E68" w:rsidRDefault="00F35E68" w:rsidP="00F35E68">
            <w:pPr>
              <w:jc w:val="both"/>
              <w:rPr>
                <w:b/>
                <w:bCs/>
              </w:rPr>
            </w:pPr>
            <w:r w:rsidRPr="00F35E68">
              <w:rPr>
                <w:b/>
                <w:bCs/>
              </w:rPr>
              <w:t>Mean Square</w:t>
            </w:r>
          </w:p>
        </w:tc>
        <w:tc>
          <w:tcPr>
            <w:tcW w:w="0" w:type="auto"/>
            <w:tcBorders>
              <w:top w:val="single" w:sz="4" w:space="0" w:color="auto"/>
              <w:bottom w:val="single" w:sz="4" w:space="0" w:color="auto"/>
            </w:tcBorders>
            <w:vAlign w:val="center"/>
            <w:hideMark/>
          </w:tcPr>
          <w:p w14:paraId="47F4E6F5" w14:textId="77777777" w:rsidR="00F35E68" w:rsidRPr="00F35E68" w:rsidRDefault="00F35E68" w:rsidP="00F35E68">
            <w:pPr>
              <w:jc w:val="both"/>
              <w:rPr>
                <w:b/>
                <w:bCs/>
              </w:rPr>
            </w:pPr>
            <w:r w:rsidRPr="00F35E68">
              <w:rPr>
                <w:b/>
                <w:bCs/>
              </w:rPr>
              <w:t>F</w:t>
            </w:r>
          </w:p>
        </w:tc>
        <w:tc>
          <w:tcPr>
            <w:tcW w:w="0" w:type="auto"/>
            <w:tcBorders>
              <w:top w:val="single" w:sz="4" w:space="0" w:color="auto"/>
              <w:bottom w:val="single" w:sz="4" w:space="0" w:color="auto"/>
            </w:tcBorders>
            <w:vAlign w:val="center"/>
            <w:hideMark/>
          </w:tcPr>
          <w:p w14:paraId="194D0FB6" w14:textId="77777777" w:rsidR="00F35E68" w:rsidRPr="00F35E68" w:rsidRDefault="00F35E68" w:rsidP="00F35E68">
            <w:pPr>
              <w:jc w:val="both"/>
              <w:rPr>
                <w:b/>
                <w:bCs/>
              </w:rPr>
            </w:pPr>
            <w:r w:rsidRPr="00F35E68">
              <w:rPr>
                <w:b/>
                <w:bCs/>
              </w:rPr>
              <w:t>Sig.</w:t>
            </w:r>
          </w:p>
        </w:tc>
      </w:tr>
      <w:tr w:rsidR="00F35E68" w:rsidRPr="00F35E68" w14:paraId="115C171C" w14:textId="77777777" w:rsidTr="007D2EC8">
        <w:trPr>
          <w:trHeight w:val="545"/>
          <w:tblCellSpacing w:w="15" w:type="dxa"/>
        </w:trPr>
        <w:tc>
          <w:tcPr>
            <w:tcW w:w="0" w:type="auto"/>
            <w:vAlign w:val="center"/>
            <w:hideMark/>
          </w:tcPr>
          <w:p w14:paraId="5ABFAE8D" w14:textId="77777777" w:rsidR="00F35E68" w:rsidRPr="00F35E68" w:rsidRDefault="00F35E68" w:rsidP="00F35E68">
            <w:pPr>
              <w:jc w:val="both"/>
            </w:pPr>
            <w:r w:rsidRPr="00F35E68">
              <w:t>Between Groups</w:t>
            </w:r>
          </w:p>
        </w:tc>
        <w:tc>
          <w:tcPr>
            <w:tcW w:w="0" w:type="auto"/>
            <w:vAlign w:val="center"/>
            <w:hideMark/>
          </w:tcPr>
          <w:p w14:paraId="06984CDD" w14:textId="77777777" w:rsidR="00F35E68" w:rsidRPr="00F35E68" w:rsidRDefault="00F35E68" w:rsidP="007D2EC8">
            <w:pPr>
              <w:jc w:val="center"/>
            </w:pPr>
            <w:r w:rsidRPr="00F35E68">
              <w:t>15.62</w:t>
            </w:r>
          </w:p>
        </w:tc>
        <w:tc>
          <w:tcPr>
            <w:tcW w:w="0" w:type="auto"/>
            <w:vAlign w:val="center"/>
            <w:hideMark/>
          </w:tcPr>
          <w:p w14:paraId="1BC97482" w14:textId="77777777" w:rsidR="00F35E68" w:rsidRPr="00F35E68" w:rsidRDefault="00F35E68" w:rsidP="007D2EC8">
            <w:pPr>
              <w:jc w:val="center"/>
            </w:pPr>
            <w:r w:rsidRPr="00F35E68">
              <w:t>2</w:t>
            </w:r>
          </w:p>
        </w:tc>
        <w:tc>
          <w:tcPr>
            <w:tcW w:w="0" w:type="auto"/>
            <w:vAlign w:val="center"/>
            <w:hideMark/>
          </w:tcPr>
          <w:p w14:paraId="1A8757E0" w14:textId="77777777" w:rsidR="00F35E68" w:rsidRPr="00F35E68" w:rsidRDefault="00F35E68" w:rsidP="007D2EC8">
            <w:pPr>
              <w:jc w:val="center"/>
            </w:pPr>
            <w:r w:rsidRPr="00F35E68">
              <w:t>7.81</w:t>
            </w:r>
          </w:p>
        </w:tc>
        <w:tc>
          <w:tcPr>
            <w:tcW w:w="0" w:type="auto"/>
            <w:vAlign w:val="center"/>
            <w:hideMark/>
          </w:tcPr>
          <w:p w14:paraId="5542EC23" w14:textId="77777777" w:rsidR="00F35E68" w:rsidRPr="00F35E68" w:rsidRDefault="00F35E68" w:rsidP="007D2EC8">
            <w:pPr>
              <w:jc w:val="center"/>
            </w:pPr>
            <w:r w:rsidRPr="00F35E68">
              <w:t>32.45</w:t>
            </w:r>
          </w:p>
        </w:tc>
        <w:tc>
          <w:tcPr>
            <w:tcW w:w="0" w:type="auto"/>
            <w:vAlign w:val="center"/>
            <w:hideMark/>
          </w:tcPr>
          <w:p w14:paraId="0369EAA9" w14:textId="77777777" w:rsidR="00F35E68" w:rsidRPr="00F35E68" w:rsidRDefault="00F35E68" w:rsidP="007D2EC8">
            <w:pPr>
              <w:jc w:val="center"/>
            </w:pPr>
            <w:r w:rsidRPr="00F35E68">
              <w:t>0.000</w:t>
            </w:r>
          </w:p>
        </w:tc>
      </w:tr>
      <w:tr w:rsidR="00F35E68" w:rsidRPr="00F35E68" w14:paraId="095C1018" w14:textId="77777777" w:rsidTr="007D2EC8">
        <w:trPr>
          <w:trHeight w:val="562"/>
          <w:tblCellSpacing w:w="15" w:type="dxa"/>
        </w:trPr>
        <w:tc>
          <w:tcPr>
            <w:tcW w:w="0" w:type="auto"/>
            <w:vAlign w:val="center"/>
            <w:hideMark/>
          </w:tcPr>
          <w:p w14:paraId="14EF4C1D" w14:textId="77777777" w:rsidR="00F35E68" w:rsidRPr="00F35E68" w:rsidRDefault="00F35E68" w:rsidP="00F35E68">
            <w:pPr>
              <w:jc w:val="both"/>
            </w:pPr>
            <w:r w:rsidRPr="00F35E68">
              <w:t>Within Groups</w:t>
            </w:r>
          </w:p>
        </w:tc>
        <w:tc>
          <w:tcPr>
            <w:tcW w:w="0" w:type="auto"/>
            <w:vAlign w:val="center"/>
            <w:hideMark/>
          </w:tcPr>
          <w:p w14:paraId="3B47BE31" w14:textId="77777777" w:rsidR="00F35E68" w:rsidRPr="00F35E68" w:rsidRDefault="00F35E68" w:rsidP="007D2EC8">
            <w:pPr>
              <w:jc w:val="center"/>
            </w:pPr>
            <w:r w:rsidRPr="00F35E68">
              <w:t>6.81</w:t>
            </w:r>
          </w:p>
        </w:tc>
        <w:tc>
          <w:tcPr>
            <w:tcW w:w="0" w:type="auto"/>
            <w:vAlign w:val="center"/>
            <w:hideMark/>
          </w:tcPr>
          <w:p w14:paraId="4A58267B" w14:textId="77777777" w:rsidR="00F35E68" w:rsidRPr="00F35E68" w:rsidRDefault="00F35E68" w:rsidP="007D2EC8">
            <w:pPr>
              <w:jc w:val="center"/>
            </w:pPr>
            <w:r w:rsidRPr="00F35E68">
              <w:t>27</w:t>
            </w:r>
          </w:p>
        </w:tc>
        <w:tc>
          <w:tcPr>
            <w:tcW w:w="0" w:type="auto"/>
            <w:vAlign w:val="center"/>
            <w:hideMark/>
          </w:tcPr>
          <w:p w14:paraId="32C91DDE" w14:textId="77777777" w:rsidR="00F35E68" w:rsidRPr="00F35E68" w:rsidRDefault="00F35E68" w:rsidP="007D2EC8">
            <w:pPr>
              <w:jc w:val="center"/>
            </w:pPr>
            <w:r w:rsidRPr="00F35E68">
              <w:t>0.252</w:t>
            </w:r>
          </w:p>
        </w:tc>
        <w:tc>
          <w:tcPr>
            <w:tcW w:w="0" w:type="auto"/>
            <w:vAlign w:val="center"/>
            <w:hideMark/>
          </w:tcPr>
          <w:p w14:paraId="688B97AD" w14:textId="77777777" w:rsidR="00F35E68" w:rsidRPr="00F35E68" w:rsidRDefault="00F35E68" w:rsidP="007D2EC8">
            <w:pPr>
              <w:jc w:val="center"/>
            </w:pPr>
          </w:p>
        </w:tc>
        <w:tc>
          <w:tcPr>
            <w:tcW w:w="0" w:type="auto"/>
            <w:vAlign w:val="center"/>
            <w:hideMark/>
          </w:tcPr>
          <w:p w14:paraId="4E46B35F" w14:textId="77777777" w:rsidR="00F35E68" w:rsidRPr="00F35E68" w:rsidRDefault="00F35E68" w:rsidP="007D2EC8">
            <w:pPr>
              <w:jc w:val="center"/>
            </w:pPr>
          </w:p>
        </w:tc>
      </w:tr>
      <w:tr w:rsidR="00F35E68" w:rsidRPr="00F35E68" w14:paraId="3CB6CC66" w14:textId="77777777" w:rsidTr="007D2EC8">
        <w:trPr>
          <w:trHeight w:val="545"/>
          <w:tblCellSpacing w:w="15" w:type="dxa"/>
        </w:trPr>
        <w:tc>
          <w:tcPr>
            <w:tcW w:w="0" w:type="auto"/>
            <w:tcBorders>
              <w:top w:val="single" w:sz="4" w:space="0" w:color="auto"/>
              <w:bottom w:val="single" w:sz="4" w:space="0" w:color="auto"/>
            </w:tcBorders>
            <w:vAlign w:val="center"/>
            <w:hideMark/>
          </w:tcPr>
          <w:p w14:paraId="2BE20E42" w14:textId="77777777" w:rsidR="00F35E68" w:rsidRPr="00F35E68" w:rsidRDefault="00F35E68" w:rsidP="00F35E68">
            <w:pPr>
              <w:jc w:val="both"/>
              <w:rPr>
                <w:b/>
                <w:bCs/>
              </w:rPr>
            </w:pPr>
            <w:r w:rsidRPr="00F35E68">
              <w:rPr>
                <w:b/>
                <w:bCs/>
              </w:rPr>
              <w:t>Total</w:t>
            </w:r>
          </w:p>
        </w:tc>
        <w:tc>
          <w:tcPr>
            <w:tcW w:w="0" w:type="auto"/>
            <w:tcBorders>
              <w:top w:val="single" w:sz="4" w:space="0" w:color="auto"/>
              <w:bottom w:val="single" w:sz="4" w:space="0" w:color="auto"/>
            </w:tcBorders>
            <w:vAlign w:val="center"/>
            <w:hideMark/>
          </w:tcPr>
          <w:p w14:paraId="1A49D3E5" w14:textId="77777777" w:rsidR="00F35E68" w:rsidRPr="00F35E68" w:rsidRDefault="00F35E68" w:rsidP="007D2EC8">
            <w:pPr>
              <w:jc w:val="center"/>
              <w:rPr>
                <w:b/>
                <w:bCs/>
              </w:rPr>
            </w:pPr>
            <w:r w:rsidRPr="00F35E68">
              <w:rPr>
                <w:b/>
                <w:bCs/>
              </w:rPr>
              <w:t>22.43</w:t>
            </w:r>
          </w:p>
        </w:tc>
        <w:tc>
          <w:tcPr>
            <w:tcW w:w="0" w:type="auto"/>
            <w:tcBorders>
              <w:top w:val="single" w:sz="4" w:space="0" w:color="auto"/>
              <w:bottom w:val="single" w:sz="4" w:space="0" w:color="auto"/>
            </w:tcBorders>
            <w:vAlign w:val="center"/>
            <w:hideMark/>
          </w:tcPr>
          <w:p w14:paraId="1D52AA79" w14:textId="77777777" w:rsidR="00F35E68" w:rsidRPr="00F35E68" w:rsidRDefault="00F35E68" w:rsidP="007D2EC8">
            <w:pPr>
              <w:jc w:val="center"/>
              <w:rPr>
                <w:b/>
                <w:bCs/>
              </w:rPr>
            </w:pPr>
            <w:r w:rsidRPr="00F35E68">
              <w:rPr>
                <w:b/>
                <w:bCs/>
              </w:rPr>
              <w:t>29</w:t>
            </w:r>
          </w:p>
        </w:tc>
        <w:tc>
          <w:tcPr>
            <w:tcW w:w="0" w:type="auto"/>
            <w:tcBorders>
              <w:top w:val="single" w:sz="4" w:space="0" w:color="auto"/>
              <w:bottom w:val="single" w:sz="4" w:space="0" w:color="auto"/>
            </w:tcBorders>
            <w:vAlign w:val="center"/>
            <w:hideMark/>
          </w:tcPr>
          <w:p w14:paraId="076292DE" w14:textId="77777777" w:rsidR="00F35E68" w:rsidRPr="00F35E68" w:rsidRDefault="00F35E68" w:rsidP="007D2EC8">
            <w:pPr>
              <w:jc w:val="center"/>
              <w:rPr>
                <w:b/>
                <w:bCs/>
              </w:rPr>
            </w:pPr>
          </w:p>
        </w:tc>
        <w:tc>
          <w:tcPr>
            <w:tcW w:w="0" w:type="auto"/>
            <w:tcBorders>
              <w:top w:val="single" w:sz="4" w:space="0" w:color="auto"/>
              <w:bottom w:val="single" w:sz="4" w:space="0" w:color="auto"/>
            </w:tcBorders>
            <w:vAlign w:val="center"/>
            <w:hideMark/>
          </w:tcPr>
          <w:p w14:paraId="6BA8F6E2" w14:textId="77777777" w:rsidR="00F35E68" w:rsidRPr="00F35E68" w:rsidRDefault="00F35E68" w:rsidP="007D2EC8">
            <w:pPr>
              <w:jc w:val="center"/>
              <w:rPr>
                <w:b/>
                <w:bCs/>
              </w:rPr>
            </w:pPr>
          </w:p>
        </w:tc>
        <w:tc>
          <w:tcPr>
            <w:tcW w:w="0" w:type="auto"/>
            <w:tcBorders>
              <w:top w:val="single" w:sz="4" w:space="0" w:color="auto"/>
              <w:bottom w:val="single" w:sz="4" w:space="0" w:color="auto"/>
            </w:tcBorders>
            <w:vAlign w:val="center"/>
            <w:hideMark/>
          </w:tcPr>
          <w:p w14:paraId="4C142AB2" w14:textId="77777777" w:rsidR="00F35E68" w:rsidRPr="00F35E68" w:rsidRDefault="00F35E68" w:rsidP="007D2EC8">
            <w:pPr>
              <w:jc w:val="center"/>
              <w:rPr>
                <w:b/>
                <w:bCs/>
              </w:rPr>
            </w:pPr>
          </w:p>
        </w:tc>
      </w:tr>
    </w:tbl>
    <w:commentRangeEnd w:id="9"/>
    <w:p w14:paraId="4BCC47CF" w14:textId="42C2CB9A" w:rsidR="00F35E68" w:rsidRPr="00F35E68" w:rsidRDefault="00183AB0" w:rsidP="00F35E68">
      <w:pPr>
        <w:jc w:val="both"/>
      </w:pPr>
      <w:r>
        <w:rPr>
          <w:rStyle w:val="CommentReference"/>
        </w:rPr>
        <w:commentReference w:id="9"/>
      </w:r>
    </w:p>
    <w:p w14:paraId="53583109" w14:textId="77777777" w:rsidR="005D4C49" w:rsidRPr="005D4C49" w:rsidRDefault="005D4C49" w:rsidP="005D4C49">
      <w:pPr>
        <w:jc w:val="both"/>
      </w:pPr>
      <w:r w:rsidRPr="005D4C49">
        <w:t xml:space="preserve">There had been significant differences (Table 6) in human–wildlife conflict levels across different climate periods (p &lt; 0.001). Conflict levels had been highest during severe drought periods, confirming that climate variability had significantly influenced conflict intensity over time. These results had strongly aligned with Ogutu et al. (2016), who had found that rainfall variability and drought conditions had increased wildlife movement into human settlements in Kenya. Similarly, Western et al. (2019) had observed that </w:t>
      </w:r>
      <w:r w:rsidRPr="005D4C49">
        <w:lastRenderedPageBreak/>
        <w:t>drought-driven forage scarcity had intensified livestock predation in rangeland ecosystems, thereby increasing human–wildlife interactions.</w:t>
      </w:r>
    </w:p>
    <w:p w14:paraId="795E1B74" w14:textId="77777777" w:rsidR="005D4C49" w:rsidRPr="005D4C49" w:rsidRDefault="005D4C49" w:rsidP="005D4C49">
      <w:pPr>
        <w:jc w:val="both"/>
      </w:pPr>
      <w:r w:rsidRPr="005D4C49">
        <w:t>The strong regression relationship (R² = 0.86) had further supported findings by UNEP (2022), which had identified climate variability as a key driver of ecosystem stress in East African urban fringes. In addition, the significant Chi-square results had been consistent with Kenya Wildlife Service (2020) reports, which had shown that drought periods had corresponded with spikes in crop raiding and livestock losses. Overall, the statistical evidence had confirmed that climate variability had played a central role in shaping the intensity and frequency of human–wildlife conflict in the study area.</w:t>
      </w:r>
    </w:p>
    <w:p w14:paraId="44C02F79" w14:textId="77777777" w:rsidR="005D4C49" w:rsidRDefault="005D4C49" w:rsidP="0015461C">
      <w:pPr>
        <w:jc w:val="both"/>
        <w:rPr>
          <w:b/>
          <w:bCs/>
        </w:rPr>
      </w:pPr>
    </w:p>
    <w:p w14:paraId="7DE492AA" w14:textId="77777777" w:rsidR="005D4C49" w:rsidRDefault="005D4C49" w:rsidP="0015461C">
      <w:pPr>
        <w:jc w:val="both"/>
        <w:rPr>
          <w:b/>
          <w:bCs/>
        </w:rPr>
      </w:pPr>
    </w:p>
    <w:p w14:paraId="34D820BD" w14:textId="77777777" w:rsidR="005D4C49" w:rsidRDefault="005D4C49" w:rsidP="0015461C">
      <w:pPr>
        <w:jc w:val="both"/>
        <w:rPr>
          <w:b/>
          <w:bCs/>
        </w:rPr>
      </w:pPr>
    </w:p>
    <w:p w14:paraId="0089D7B9" w14:textId="77777777" w:rsidR="005D4C49" w:rsidRDefault="005D4C49" w:rsidP="0015461C">
      <w:pPr>
        <w:jc w:val="both"/>
        <w:rPr>
          <w:b/>
          <w:bCs/>
        </w:rPr>
      </w:pPr>
    </w:p>
    <w:p w14:paraId="11127EEA" w14:textId="77777777" w:rsidR="005D4C49" w:rsidRDefault="005D4C49" w:rsidP="0015461C">
      <w:pPr>
        <w:jc w:val="both"/>
        <w:rPr>
          <w:b/>
          <w:bCs/>
        </w:rPr>
      </w:pPr>
    </w:p>
    <w:p w14:paraId="25E568A6" w14:textId="77777777" w:rsidR="005D4C49" w:rsidRDefault="005D4C49" w:rsidP="0015461C">
      <w:pPr>
        <w:jc w:val="both"/>
        <w:rPr>
          <w:b/>
          <w:bCs/>
        </w:rPr>
      </w:pPr>
    </w:p>
    <w:p w14:paraId="52BC7FCE" w14:textId="0D9B9D12" w:rsidR="0015461C" w:rsidRPr="0015461C" w:rsidRDefault="0015461C" w:rsidP="0015461C">
      <w:pPr>
        <w:jc w:val="both"/>
        <w:rPr>
          <w:b/>
          <w:bCs/>
        </w:rPr>
      </w:pPr>
      <w:r w:rsidRPr="0015461C">
        <w:rPr>
          <w:b/>
          <w:bCs/>
        </w:rPr>
        <w:t xml:space="preserve">5.7 Temperature Trends </w:t>
      </w:r>
    </w:p>
    <w:p w14:paraId="2F97ED2A" w14:textId="77777777" w:rsidR="00BF64E6" w:rsidRDefault="00C43193" w:rsidP="00C43193">
      <w:pPr>
        <w:jc w:val="both"/>
      </w:pPr>
      <w:r w:rsidRPr="005D4C49">
        <w:rPr>
          <w:rFonts w:cs="Times New Roman"/>
          <w:noProof/>
          <w:lang w:val="en-IN" w:eastAsia="en-IN" w:bidi="hi-IN"/>
        </w:rPr>
        <w:drawing>
          <wp:inline distT="0" distB="0" distL="0" distR="0" wp14:anchorId="0FBCD9E7" wp14:editId="10C7B2D7">
            <wp:extent cx="5476875" cy="2914650"/>
            <wp:effectExtent l="19050" t="19050" r="28575" b="19050"/>
            <wp:docPr id="2841267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2914650"/>
                    </a:xfrm>
                    <a:prstGeom prst="rect">
                      <a:avLst/>
                    </a:prstGeom>
                    <a:noFill/>
                    <a:ln w="19050">
                      <a:solidFill>
                        <a:schemeClr val="tx1"/>
                      </a:solidFill>
                    </a:ln>
                  </pic:spPr>
                </pic:pic>
              </a:graphicData>
            </a:graphic>
          </wp:inline>
        </w:drawing>
      </w:r>
    </w:p>
    <w:p w14:paraId="5186FF8F" w14:textId="07C93585" w:rsidR="00B8107A" w:rsidRPr="00ED119F" w:rsidRDefault="00B8107A" w:rsidP="00BF64E6">
      <w:pPr>
        <w:jc w:val="both"/>
        <w:rPr>
          <w:b/>
          <w:bCs/>
        </w:rPr>
      </w:pPr>
      <w:r w:rsidRPr="00ED119F">
        <w:rPr>
          <w:b/>
          <w:bCs/>
        </w:rPr>
        <w:t>Figure 2:  Temperature Trends (1995-2025)</w:t>
      </w:r>
    </w:p>
    <w:p w14:paraId="7AC8BAE6" w14:textId="7915C931" w:rsidR="00BF64E6" w:rsidRPr="00C43193" w:rsidRDefault="005D4C49" w:rsidP="00BF64E6">
      <w:pPr>
        <w:jc w:val="both"/>
      </w:pPr>
      <w:r>
        <w:t xml:space="preserve">Results </w:t>
      </w:r>
      <w:r w:rsidR="00BF64E6">
        <w:t>(Figure2</w:t>
      </w:r>
      <w:r w:rsidR="007B7B23">
        <w:t xml:space="preserve">) </w:t>
      </w:r>
      <w:r w:rsidR="007B7B23" w:rsidRPr="00BF64E6">
        <w:t>shows</w:t>
      </w:r>
      <w:r w:rsidR="00BF64E6" w:rsidRPr="00BF64E6">
        <w:t xml:space="preserve"> a steady increase in temperature from about 22.1°C in 1995 to approximately 25.1°C in 2025. This indicates a consistent warming trend over the 30-</w:t>
      </w:r>
      <w:r w:rsidR="00BF64E6" w:rsidRPr="00BF64E6">
        <w:lastRenderedPageBreak/>
        <w:t>year period. The rise is gradual and continuous across all time intervals, suggesting long-term climate change rather than short-term variability. Such increasing temperatures may contribute to environmental stress, including reduced water and pasture availability. Overall, the trend supports evidence of warming that can intensify human–wildlife conflict in the study area.</w:t>
      </w:r>
    </w:p>
    <w:p w14:paraId="0BBA07C5" w14:textId="75CDA941" w:rsidR="00BF64E6" w:rsidRPr="0015461C" w:rsidRDefault="0015461C" w:rsidP="00C43193">
      <w:pPr>
        <w:jc w:val="both"/>
        <w:rPr>
          <w:b/>
          <w:bCs/>
        </w:rPr>
      </w:pPr>
      <w:r w:rsidRPr="0015461C">
        <w:rPr>
          <w:b/>
          <w:bCs/>
        </w:rPr>
        <w:t xml:space="preserve">5.8 Rainfall Trends </w:t>
      </w:r>
      <w:r w:rsidR="00D65B77">
        <w:rPr>
          <w:b/>
          <w:bCs/>
        </w:rPr>
        <w:t xml:space="preserve">and variability index </w:t>
      </w:r>
    </w:p>
    <w:p w14:paraId="23281554" w14:textId="1DA3CA63" w:rsidR="00C43193" w:rsidRDefault="00C43193" w:rsidP="00C43193">
      <w:pPr>
        <w:jc w:val="both"/>
      </w:pPr>
      <w:r>
        <w:rPr>
          <w:noProof/>
          <w:lang w:val="en-IN" w:eastAsia="en-IN" w:bidi="hi-IN"/>
        </w:rPr>
        <w:drawing>
          <wp:inline distT="0" distB="0" distL="0" distR="0" wp14:anchorId="600BC2E3" wp14:editId="3C39EBEA">
            <wp:extent cx="5438775" cy="2590800"/>
            <wp:effectExtent l="19050" t="19050" r="28575" b="19050"/>
            <wp:docPr id="197915244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590800"/>
                    </a:xfrm>
                    <a:prstGeom prst="rect">
                      <a:avLst/>
                    </a:prstGeom>
                    <a:noFill/>
                    <a:ln w="19050">
                      <a:solidFill>
                        <a:schemeClr val="tx1"/>
                      </a:solidFill>
                    </a:ln>
                  </pic:spPr>
                </pic:pic>
              </a:graphicData>
            </a:graphic>
          </wp:inline>
        </w:drawing>
      </w:r>
    </w:p>
    <w:p w14:paraId="657CE537" w14:textId="41D89EAA" w:rsidR="00B8107A" w:rsidRPr="00ED119F" w:rsidRDefault="00B8107A" w:rsidP="00C43193">
      <w:pPr>
        <w:jc w:val="both"/>
        <w:rPr>
          <w:b/>
          <w:bCs/>
        </w:rPr>
      </w:pPr>
      <w:r w:rsidRPr="00ED119F">
        <w:rPr>
          <w:b/>
          <w:bCs/>
        </w:rPr>
        <w:t>Figure 3:  Rainfall Trends (1995-2025)</w:t>
      </w:r>
    </w:p>
    <w:p w14:paraId="44D2B2DB" w14:textId="77777777" w:rsidR="007B7B23" w:rsidRDefault="00BF64E6" w:rsidP="00C43193">
      <w:pPr>
        <w:jc w:val="both"/>
      </w:pPr>
      <w:r w:rsidRPr="00BF64E6">
        <w:t xml:space="preserve">The </w:t>
      </w:r>
      <w:r w:rsidR="00B8107A">
        <w:t>(F</w:t>
      </w:r>
      <w:r w:rsidRPr="00BF64E6">
        <w:t>igure</w:t>
      </w:r>
      <w:r w:rsidR="00B8107A">
        <w:t xml:space="preserve"> 3)</w:t>
      </w:r>
      <w:r w:rsidRPr="00BF64E6">
        <w:t xml:space="preserve"> showed a clear declining trend in rainfall from 1995 to 2025. Rainfall decreased from about 820 mm in 1995 to around 640 mm in 2025, indicating a consistent reduction over time. The most pronounced drop occurred between 2005 and 2015, suggesting an acceleration of rainfall decline during that period. This pattern may have reflected increasing climate variability and possible long-term drying conditions in the region. Overall, the trend suggested reduced water availability, which could have had implications for agriculture, ecosystems, and human–wildlife interactions.</w:t>
      </w:r>
    </w:p>
    <w:p w14:paraId="3FBFF9BD" w14:textId="35E59D5C" w:rsidR="00C43193" w:rsidRDefault="00C43193" w:rsidP="00C43193">
      <w:pPr>
        <w:jc w:val="both"/>
      </w:pPr>
      <w:r>
        <w:rPr>
          <w:noProof/>
          <w:lang w:val="en-IN" w:eastAsia="en-IN" w:bidi="hi-IN"/>
        </w:rPr>
        <w:lastRenderedPageBreak/>
        <w:drawing>
          <wp:inline distT="0" distB="0" distL="0" distR="0" wp14:anchorId="68D3ABFB" wp14:editId="73F63BD3">
            <wp:extent cx="5486400" cy="2466975"/>
            <wp:effectExtent l="19050" t="19050" r="19050" b="28575"/>
            <wp:docPr id="87388360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466975"/>
                    </a:xfrm>
                    <a:prstGeom prst="rect">
                      <a:avLst/>
                    </a:prstGeom>
                    <a:noFill/>
                    <a:ln w="19050">
                      <a:solidFill>
                        <a:schemeClr val="tx1"/>
                      </a:solidFill>
                    </a:ln>
                  </pic:spPr>
                </pic:pic>
              </a:graphicData>
            </a:graphic>
          </wp:inline>
        </w:drawing>
      </w:r>
    </w:p>
    <w:p w14:paraId="08E7BF30" w14:textId="7E253769" w:rsidR="00B8107A" w:rsidRPr="00ED119F" w:rsidRDefault="00B8107A" w:rsidP="00C43193">
      <w:pPr>
        <w:jc w:val="both"/>
        <w:rPr>
          <w:b/>
          <w:bCs/>
        </w:rPr>
      </w:pPr>
      <w:r w:rsidRPr="00ED119F">
        <w:rPr>
          <w:b/>
          <w:bCs/>
        </w:rPr>
        <w:t xml:space="preserve">Figure 4:  </w:t>
      </w:r>
      <w:r w:rsidR="007B7B23" w:rsidRPr="00ED119F">
        <w:rPr>
          <w:b/>
          <w:bCs/>
        </w:rPr>
        <w:t>Rainfall Variability index (1995-2025)</w:t>
      </w:r>
    </w:p>
    <w:p w14:paraId="341DA318" w14:textId="044A3629" w:rsidR="007B7B23" w:rsidRPr="00C43193" w:rsidRDefault="00B8107A" w:rsidP="007B7B23">
      <w:pPr>
        <w:jc w:val="both"/>
      </w:pPr>
      <w:r>
        <w:t>Results (F</w:t>
      </w:r>
      <w:r w:rsidRPr="00B8107A">
        <w:t>igure</w:t>
      </w:r>
      <w:r w:rsidR="007B7B23">
        <w:t xml:space="preserve"> </w:t>
      </w:r>
      <w:r>
        <w:t>4</w:t>
      </w:r>
      <w:r w:rsidR="007B7B23">
        <w:t xml:space="preserve">) </w:t>
      </w:r>
      <w:r w:rsidR="007B7B23" w:rsidRPr="00B8107A">
        <w:t>showed</w:t>
      </w:r>
      <w:r w:rsidRPr="00B8107A">
        <w:t xml:space="preserve"> a clear upward trend in the Rainfall Variability Index from 1995 to 2025. The index increased steadily from about 0.12 in 1995 to approximately 0.34 in 2025, indicating that rainfall variability had risen over time. Between 1995 and 2005, the increase was gradual, but it became more pronounced after 2005, especially from 2015 onwards. This pattern suggested that rainfall conditions had become increasingly inconsistent in recent decades, reflecting heightened climate variability. Overall, the trend indicated a progressive intensification of rainfall fluctuations, which had significant implications for water availability and ecosystem stability.</w:t>
      </w:r>
    </w:p>
    <w:p w14:paraId="7ACC3612" w14:textId="4CC85BF8" w:rsidR="00C43193" w:rsidRPr="00C43193" w:rsidRDefault="00D65B77" w:rsidP="00C43193">
      <w:pPr>
        <w:jc w:val="both"/>
        <w:rPr>
          <w:b/>
          <w:bCs/>
        </w:rPr>
      </w:pPr>
      <w:r>
        <w:rPr>
          <w:b/>
          <w:bCs/>
        </w:rPr>
        <w:t xml:space="preserve">5.9 </w:t>
      </w:r>
      <w:r w:rsidRPr="00C43193">
        <w:rPr>
          <w:b/>
          <w:bCs/>
        </w:rPr>
        <w:t>Statistical</w:t>
      </w:r>
      <w:r w:rsidR="00C43193" w:rsidRPr="00C43193">
        <w:rPr>
          <w:b/>
          <w:bCs/>
        </w:rPr>
        <w:t xml:space="preserve"> Interpretation of Graphical Results</w:t>
      </w:r>
    </w:p>
    <w:p w14:paraId="5A536705" w14:textId="02632B77" w:rsidR="008542FD" w:rsidRPr="008542FD" w:rsidRDefault="008542FD" w:rsidP="008542FD">
      <w:pPr>
        <w:jc w:val="both"/>
      </w:pPr>
      <w:r w:rsidRPr="008542FD">
        <w:t>The graphical trends supported earlier statistical findings by confirming strong relationships between climate variables and human–wildlife conflict intensity. A strong negative correlation between rainfall and conflict cases had been observed (r &lt; 0), indicating that conflict levels had decreased as rainfall had increased. In contrast, a strong positive relationship between temperature and conflict cases had been recorded (r &gt; 0), showing that higher temperatures had been associated with increased conflicts. The regression analysis had produced a high model fit (R² &gt; 0.85), suggesting that climate variables had explained most of the variation in conflict cases. Additionally, the overall trends had been statistically significant (p &lt; 0.05), confirming that the relationships had not occurred by chance. These results had therefore established climate variability as a key predictor of human</w:t>
      </w:r>
      <w:r w:rsidR="00D65B77">
        <w:t xml:space="preserve"> </w:t>
      </w:r>
      <w:r w:rsidRPr="008542FD">
        <w:t>wildlife conflict intensity.</w:t>
      </w:r>
    </w:p>
    <w:p w14:paraId="50BDC383" w14:textId="77777777" w:rsidR="005D4C49" w:rsidRDefault="008542FD" w:rsidP="008542FD">
      <w:pPr>
        <w:jc w:val="both"/>
      </w:pPr>
      <w:r w:rsidRPr="008542FD">
        <w:t xml:space="preserve">The findings had aligned closely with previous studies in similar ecosystems. Ogutu et al. (2016) had found that reduced rainfall in Kenyan rangelands had pushed wildlife into agricultural areas, increasing conflict. Western et al. (2019) had also reported that rising temperatures and drought conditions had intensified competition for water and forage, </w:t>
      </w:r>
      <w:r w:rsidRPr="008542FD">
        <w:lastRenderedPageBreak/>
        <w:t>leading to more conflicts. The Kenya Wildlife Service (2020) had documented similar increases in conflict during drought periods in Kitengela and Athi-Kaputiei. UNEP (2022) had further emphasized that climate variability had amplified land-use pressures and human–wildlife interactions in urban fringes.</w:t>
      </w:r>
    </w:p>
    <w:p w14:paraId="4CA415AA" w14:textId="2924A190" w:rsidR="008542FD" w:rsidRDefault="005D4C49" w:rsidP="008542FD">
      <w:pPr>
        <w:jc w:val="both"/>
      </w:pPr>
      <w:r>
        <w:t>T</w:t>
      </w:r>
      <w:r w:rsidR="008542FD" w:rsidRPr="008542FD">
        <w:t>he graphical and statistical results had confirmed a strong climate</w:t>
      </w:r>
      <w:r>
        <w:t xml:space="preserve"> </w:t>
      </w:r>
      <w:r w:rsidR="008542FD" w:rsidRPr="008542FD">
        <w:t>conflict linkage over time. Despite limitations such as self-reported data, access challenges, and incomplete secondary records, the study had still provided reliable evidence of increasing human–wildlife conflict driven by climate variability.</w:t>
      </w:r>
    </w:p>
    <w:p w14:paraId="6C5AF268" w14:textId="77777777" w:rsidR="007F107E" w:rsidRDefault="007F107E" w:rsidP="008542FD">
      <w:pPr>
        <w:jc w:val="both"/>
      </w:pPr>
    </w:p>
    <w:p w14:paraId="75F6189F" w14:textId="77777777" w:rsidR="007F107E" w:rsidRDefault="007F107E" w:rsidP="008542FD">
      <w:pPr>
        <w:jc w:val="both"/>
      </w:pPr>
    </w:p>
    <w:p w14:paraId="62F2F8EB" w14:textId="77777777" w:rsidR="007F107E" w:rsidRDefault="007F107E" w:rsidP="008542FD">
      <w:pPr>
        <w:jc w:val="both"/>
      </w:pPr>
    </w:p>
    <w:p w14:paraId="0A3A6C56" w14:textId="77777777" w:rsidR="005D4C49" w:rsidRDefault="005D4C49" w:rsidP="008542FD">
      <w:pPr>
        <w:jc w:val="both"/>
      </w:pPr>
    </w:p>
    <w:p w14:paraId="39499EA4" w14:textId="77777777" w:rsidR="007F107E" w:rsidRDefault="007F107E" w:rsidP="008542FD">
      <w:pPr>
        <w:jc w:val="both"/>
      </w:pPr>
    </w:p>
    <w:p w14:paraId="2D4E2476" w14:textId="12DE6244" w:rsidR="00D65B77" w:rsidRPr="00D65B77" w:rsidRDefault="00D65B77" w:rsidP="008542FD">
      <w:pPr>
        <w:jc w:val="both"/>
        <w:rPr>
          <w:b/>
          <w:bCs/>
        </w:rPr>
      </w:pPr>
      <w:r w:rsidRPr="00D65B77">
        <w:rPr>
          <w:b/>
          <w:bCs/>
        </w:rPr>
        <w:t xml:space="preserve">5.10 Hypothesis Test Results </w:t>
      </w:r>
    </w:p>
    <w:p w14:paraId="24FD92AB" w14:textId="28C399BB" w:rsidR="007F107E" w:rsidRPr="00ED119F" w:rsidRDefault="007F107E" w:rsidP="008542FD">
      <w:pPr>
        <w:jc w:val="both"/>
        <w:rPr>
          <w:b/>
          <w:bCs/>
        </w:rPr>
      </w:pPr>
      <w:r w:rsidRPr="00ED119F">
        <w:rPr>
          <w:b/>
          <w:bCs/>
        </w:rPr>
        <w:t xml:space="preserve">Table </w:t>
      </w:r>
      <w:r w:rsidR="00ED119F" w:rsidRPr="00ED119F">
        <w:rPr>
          <w:b/>
          <w:bCs/>
        </w:rPr>
        <w:t>7</w:t>
      </w:r>
      <w:r w:rsidRPr="00ED119F">
        <w:rPr>
          <w:b/>
          <w:bCs/>
        </w:rPr>
        <w:t xml:space="preserve">: Hypotheses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1726"/>
        <w:gridCol w:w="1726"/>
        <w:gridCol w:w="1726"/>
        <w:gridCol w:w="1726"/>
      </w:tblGrid>
      <w:tr w:rsidR="007F107E" w14:paraId="7A72A669" w14:textId="77777777" w:rsidTr="007F107E">
        <w:tc>
          <w:tcPr>
            <w:tcW w:w="1726" w:type="dxa"/>
            <w:tcBorders>
              <w:top w:val="single" w:sz="4" w:space="0" w:color="auto"/>
              <w:bottom w:val="single" w:sz="4" w:space="0" w:color="auto"/>
            </w:tcBorders>
            <w:vAlign w:val="center"/>
          </w:tcPr>
          <w:p w14:paraId="40F8B7DF" w14:textId="68131769" w:rsidR="007F107E" w:rsidRDefault="007F107E" w:rsidP="007F107E">
            <w:pPr>
              <w:jc w:val="both"/>
            </w:pPr>
            <w:r w:rsidRPr="007F107E">
              <w:rPr>
                <w:b/>
                <w:bCs/>
              </w:rPr>
              <w:t>Hypothesis Code</w:t>
            </w:r>
          </w:p>
        </w:tc>
        <w:tc>
          <w:tcPr>
            <w:tcW w:w="1726" w:type="dxa"/>
            <w:tcBorders>
              <w:top w:val="single" w:sz="4" w:space="0" w:color="auto"/>
              <w:bottom w:val="single" w:sz="4" w:space="0" w:color="auto"/>
            </w:tcBorders>
            <w:vAlign w:val="center"/>
          </w:tcPr>
          <w:p w14:paraId="20B2CE04" w14:textId="3F75FFD2" w:rsidR="007F107E" w:rsidRDefault="007F107E" w:rsidP="007F107E">
            <w:pPr>
              <w:jc w:val="both"/>
            </w:pPr>
            <w:r w:rsidRPr="007F107E">
              <w:rPr>
                <w:b/>
                <w:bCs/>
              </w:rPr>
              <w:t>Null Hypothesis Statement</w:t>
            </w:r>
          </w:p>
        </w:tc>
        <w:tc>
          <w:tcPr>
            <w:tcW w:w="1726" w:type="dxa"/>
            <w:tcBorders>
              <w:top w:val="single" w:sz="4" w:space="0" w:color="auto"/>
              <w:bottom w:val="single" w:sz="4" w:space="0" w:color="auto"/>
            </w:tcBorders>
            <w:vAlign w:val="center"/>
          </w:tcPr>
          <w:p w14:paraId="0696276E" w14:textId="2CE3EB9D" w:rsidR="007F107E" w:rsidRDefault="007F107E" w:rsidP="007F107E">
            <w:pPr>
              <w:jc w:val="both"/>
            </w:pPr>
            <w:r w:rsidRPr="007F107E">
              <w:rPr>
                <w:b/>
                <w:bCs/>
              </w:rPr>
              <w:t>Test Used</w:t>
            </w:r>
          </w:p>
        </w:tc>
        <w:tc>
          <w:tcPr>
            <w:tcW w:w="1726" w:type="dxa"/>
            <w:tcBorders>
              <w:top w:val="single" w:sz="4" w:space="0" w:color="auto"/>
              <w:bottom w:val="single" w:sz="4" w:space="0" w:color="auto"/>
            </w:tcBorders>
            <w:vAlign w:val="center"/>
          </w:tcPr>
          <w:p w14:paraId="49734E5F" w14:textId="3ED2B516" w:rsidR="007F107E" w:rsidRDefault="007F107E" w:rsidP="007F107E">
            <w:pPr>
              <w:jc w:val="both"/>
            </w:pPr>
            <w:r w:rsidRPr="007F107E">
              <w:rPr>
                <w:b/>
                <w:bCs/>
              </w:rPr>
              <w:t>Key Result</w:t>
            </w:r>
          </w:p>
        </w:tc>
        <w:tc>
          <w:tcPr>
            <w:tcW w:w="1726" w:type="dxa"/>
            <w:tcBorders>
              <w:top w:val="single" w:sz="4" w:space="0" w:color="auto"/>
              <w:bottom w:val="single" w:sz="4" w:space="0" w:color="auto"/>
            </w:tcBorders>
            <w:vAlign w:val="center"/>
          </w:tcPr>
          <w:p w14:paraId="6792812E" w14:textId="3479D8AC" w:rsidR="007F107E" w:rsidRDefault="007F107E" w:rsidP="007F107E">
            <w:pPr>
              <w:jc w:val="both"/>
            </w:pPr>
            <w:r w:rsidRPr="007F107E">
              <w:rPr>
                <w:b/>
                <w:bCs/>
              </w:rPr>
              <w:t>Decision</w:t>
            </w:r>
          </w:p>
        </w:tc>
      </w:tr>
      <w:tr w:rsidR="007F107E" w14:paraId="290C56A7" w14:textId="77777777" w:rsidTr="007F107E">
        <w:tc>
          <w:tcPr>
            <w:tcW w:w="1726" w:type="dxa"/>
            <w:tcBorders>
              <w:top w:val="single" w:sz="4" w:space="0" w:color="auto"/>
            </w:tcBorders>
            <w:vAlign w:val="center"/>
          </w:tcPr>
          <w:p w14:paraId="1B670F25" w14:textId="62D364D0" w:rsidR="007F107E" w:rsidRDefault="007F107E" w:rsidP="007F107E">
            <w:pPr>
              <w:jc w:val="both"/>
            </w:pPr>
            <w:r w:rsidRPr="007F107E">
              <w:t>H₀₁</w:t>
            </w:r>
          </w:p>
        </w:tc>
        <w:tc>
          <w:tcPr>
            <w:tcW w:w="1726" w:type="dxa"/>
            <w:tcBorders>
              <w:top w:val="single" w:sz="4" w:space="0" w:color="auto"/>
            </w:tcBorders>
            <w:vAlign w:val="center"/>
          </w:tcPr>
          <w:p w14:paraId="5BBCC1CD" w14:textId="62CF60BE" w:rsidR="007F107E" w:rsidRDefault="007F107E" w:rsidP="007F107E">
            <w:pPr>
              <w:jc w:val="both"/>
            </w:pPr>
            <w:r w:rsidRPr="007F107E">
              <w:t>No significant trend exists in HWC incidents</w:t>
            </w:r>
          </w:p>
        </w:tc>
        <w:tc>
          <w:tcPr>
            <w:tcW w:w="1726" w:type="dxa"/>
            <w:tcBorders>
              <w:top w:val="single" w:sz="4" w:space="0" w:color="auto"/>
            </w:tcBorders>
            <w:vAlign w:val="center"/>
          </w:tcPr>
          <w:p w14:paraId="7363BA9F" w14:textId="48BF496A" w:rsidR="007F107E" w:rsidRDefault="007F107E" w:rsidP="007F107E">
            <w:pPr>
              <w:jc w:val="both"/>
            </w:pPr>
            <w:r w:rsidRPr="007F107E">
              <w:t>Time-series trend analysis &amp; regression (p-value, R²)</w:t>
            </w:r>
          </w:p>
        </w:tc>
        <w:tc>
          <w:tcPr>
            <w:tcW w:w="1726" w:type="dxa"/>
            <w:tcBorders>
              <w:top w:val="single" w:sz="4" w:space="0" w:color="auto"/>
            </w:tcBorders>
            <w:vAlign w:val="center"/>
          </w:tcPr>
          <w:p w14:paraId="53FB6E35" w14:textId="6D705307" w:rsidR="007F107E" w:rsidRDefault="007F107E" w:rsidP="007F107E">
            <w:pPr>
              <w:jc w:val="both"/>
            </w:pPr>
            <w:r w:rsidRPr="007F107E">
              <w:t>Significant upward trend in HWC over time (p &lt; 0.05, R² &gt; 0.85)</w:t>
            </w:r>
          </w:p>
        </w:tc>
        <w:tc>
          <w:tcPr>
            <w:tcW w:w="1726" w:type="dxa"/>
            <w:tcBorders>
              <w:top w:val="single" w:sz="4" w:space="0" w:color="auto"/>
            </w:tcBorders>
            <w:vAlign w:val="center"/>
          </w:tcPr>
          <w:p w14:paraId="6FBFB840" w14:textId="092E267D" w:rsidR="007F107E" w:rsidRDefault="007F107E" w:rsidP="007F107E">
            <w:pPr>
              <w:jc w:val="both"/>
            </w:pPr>
            <w:r w:rsidRPr="007F107E">
              <w:rPr>
                <w:b/>
                <w:bCs/>
              </w:rPr>
              <w:t>Rejected</w:t>
            </w:r>
          </w:p>
        </w:tc>
      </w:tr>
      <w:tr w:rsidR="007F107E" w14:paraId="7C07B772" w14:textId="77777777" w:rsidTr="007F107E">
        <w:tc>
          <w:tcPr>
            <w:tcW w:w="1726" w:type="dxa"/>
            <w:vAlign w:val="center"/>
          </w:tcPr>
          <w:p w14:paraId="5965119E" w14:textId="7232F6F7" w:rsidR="007F107E" w:rsidRDefault="007F107E" w:rsidP="007F107E">
            <w:pPr>
              <w:jc w:val="both"/>
            </w:pPr>
            <w:r w:rsidRPr="007F107E">
              <w:t>H₀₂</w:t>
            </w:r>
          </w:p>
        </w:tc>
        <w:tc>
          <w:tcPr>
            <w:tcW w:w="1726" w:type="dxa"/>
            <w:vAlign w:val="center"/>
          </w:tcPr>
          <w:p w14:paraId="1561C925" w14:textId="283962D5" w:rsidR="007F107E" w:rsidRDefault="007F107E" w:rsidP="007F107E">
            <w:pPr>
              <w:jc w:val="both"/>
            </w:pPr>
            <w:r w:rsidRPr="007F107E">
              <w:t>No relationship exists between land-use change and HWC</w:t>
            </w:r>
          </w:p>
        </w:tc>
        <w:tc>
          <w:tcPr>
            <w:tcW w:w="1726" w:type="dxa"/>
            <w:vAlign w:val="center"/>
          </w:tcPr>
          <w:p w14:paraId="636E55C0" w14:textId="3C915E05" w:rsidR="007F107E" w:rsidRDefault="007F107E" w:rsidP="007F107E">
            <w:pPr>
              <w:jc w:val="both"/>
            </w:pPr>
            <w:r w:rsidRPr="007F107E">
              <w:t>Correlation &amp; regression analysis</w:t>
            </w:r>
          </w:p>
        </w:tc>
        <w:tc>
          <w:tcPr>
            <w:tcW w:w="1726" w:type="dxa"/>
            <w:vAlign w:val="center"/>
          </w:tcPr>
          <w:p w14:paraId="1ADC8144" w14:textId="2FD0BB16" w:rsidR="007F107E" w:rsidRDefault="007F107E" w:rsidP="007F107E">
            <w:pPr>
              <w:jc w:val="both"/>
            </w:pPr>
            <w:r w:rsidRPr="007F107E">
              <w:t>Significant positive relationship between land-use changes and HWC (p &lt; 0.05)</w:t>
            </w:r>
          </w:p>
        </w:tc>
        <w:tc>
          <w:tcPr>
            <w:tcW w:w="1726" w:type="dxa"/>
            <w:vAlign w:val="center"/>
          </w:tcPr>
          <w:p w14:paraId="1857D15E" w14:textId="75A60997" w:rsidR="007F107E" w:rsidRDefault="007F107E" w:rsidP="007F107E">
            <w:pPr>
              <w:jc w:val="both"/>
            </w:pPr>
            <w:r w:rsidRPr="007F107E">
              <w:rPr>
                <w:b/>
                <w:bCs/>
              </w:rPr>
              <w:t>Rejected</w:t>
            </w:r>
          </w:p>
        </w:tc>
      </w:tr>
      <w:tr w:rsidR="007F107E" w14:paraId="53F30F63" w14:textId="77777777" w:rsidTr="007F107E">
        <w:tc>
          <w:tcPr>
            <w:tcW w:w="1726" w:type="dxa"/>
            <w:tcBorders>
              <w:bottom w:val="single" w:sz="4" w:space="0" w:color="auto"/>
            </w:tcBorders>
            <w:vAlign w:val="center"/>
          </w:tcPr>
          <w:p w14:paraId="3EE2CD06" w14:textId="4DD53ED7" w:rsidR="007F107E" w:rsidRDefault="007F107E" w:rsidP="007F107E">
            <w:pPr>
              <w:jc w:val="both"/>
            </w:pPr>
            <w:r w:rsidRPr="007F107E">
              <w:t>H₀₃</w:t>
            </w:r>
          </w:p>
        </w:tc>
        <w:tc>
          <w:tcPr>
            <w:tcW w:w="1726" w:type="dxa"/>
            <w:tcBorders>
              <w:bottom w:val="single" w:sz="4" w:space="0" w:color="auto"/>
            </w:tcBorders>
            <w:vAlign w:val="center"/>
          </w:tcPr>
          <w:p w14:paraId="1DE03619" w14:textId="08D89F11" w:rsidR="007F107E" w:rsidRDefault="007F107E" w:rsidP="007F107E">
            <w:pPr>
              <w:jc w:val="both"/>
            </w:pPr>
            <w:r w:rsidRPr="007F107E">
              <w:t>No spatial differences exist in HWC intensity</w:t>
            </w:r>
          </w:p>
        </w:tc>
        <w:tc>
          <w:tcPr>
            <w:tcW w:w="1726" w:type="dxa"/>
            <w:tcBorders>
              <w:bottom w:val="single" w:sz="4" w:space="0" w:color="auto"/>
            </w:tcBorders>
            <w:vAlign w:val="center"/>
          </w:tcPr>
          <w:p w14:paraId="3D882B88" w14:textId="795B044C" w:rsidR="007F107E" w:rsidRDefault="007F107E" w:rsidP="007F107E">
            <w:pPr>
              <w:jc w:val="both"/>
            </w:pPr>
            <w:r w:rsidRPr="007F107E">
              <w:t>Spatial distribution &amp; hotspot analysis</w:t>
            </w:r>
          </w:p>
        </w:tc>
        <w:tc>
          <w:tcPr>
            <w:tcW w:w="1726" w:type="dxa"/>
            <w:tcBorders>
              <w:bottom w:val="single" w:sz="4" w:space="0" w:color="auto"/>
            </w:tcBorders>
            <w:vAlign w:val="center"/>
          </w:tcPr>
          <w:p w14:paraId="2BFAE111" w14:textId="33C0CF7F" w:rsidR="007F107E" w:rsidRDefault="007F107E" w:rsidP="007F107E">
            <w:pPr>
              <w:jc w:val="both"/>
            </w:pPr>
            <w:r w:rsidRPr="007F107E">
              <w:t>Clear spatial variation with identifiable HWC hotspots</w:t>
            </w:r>
          </w:p>
        </w:tc>
        <w:tc>
          <w:tcPr>
            <w:tcW w:w="1726" w:type="dxa"/>
            <w:tcBorders>
              <w:bottom w:val="single" w:sz="4" w:space="0" w:color="auto"/>
            </w:tcBorders>
            <w:vAlign w:val="center"/>
          </w:tcPr>
          <w:p w14:paraId="529908CA" w14:textId="06E50698" w:rsidR="007F107E" w:rsidRDefault="007F107E" w:rsidP="007F107E">
            <w:pPr>
              <w:jc w:val="both"/>
            </w:pPr>
            <w:r w:rsidRPr="007F107E">
              <w:rPr>
                <w:b/>
                <w:bCs/>
              </w:rPr>
              <w:t>Rejected</w:t>
            </w:r>
          </w:p>
        </w:tc>
      </w:tr>
    </w:tbl>
    <w:p w14:paraId="44BD4510" w14:textId="77777777" w:rsidR="007F107E" w:rsidRDefault="007F107E" w:rsidP="007F107E"/>
    <w:p w14:paraId="5B6774D5" w14:textId="29C8D3E5" w:rsidR="006B47A5" w:rsidRPr="007F107E" w:rsidRDefault="00D65B77" w:rsidP="007F107E">
      <w:pPr>
        <w:rPr>
          <w:b/>
          <w:bCs/>
        </w:rPr>
      </w:pPr>
      <w:r>
        <w:rPr>
          <w:b/>
          <w:bCs/>
        </w:rPr>
        <w:t>6</w:t>
      </w:r>
      <w:r w:rsidR="007F107E" w:rsidRPr="007F107E">
        <w:rPr>
          <w:b/>
          <w:bCs/>
        </w:rPr>
        <w:t>. Conclusions and Recommendations</w:t>
      </w:r>
    </w:p>
    <w:p w14:paraId="65984A25" w14:textId="78248FD0" w:rsidR="00C12D5B" w:rsidRPr="00C12D5B" w:rsidRDefault="007F107E" w:rsidP="00D65B77">
      <w:pPr>
        <w:jc w:val="both"/>
      </w:pPr>
      <w:r>
        <w:lastRenderedPageBreak/>
        <w:t>HWC has increased significantly due to urban expansion. Strengthening wildlife corridors and improving land-use planning are essential.</w:t>
      </w:r>
      <w:r w:rsidR="00D65B77">
        <w:t xml:space="preserve"> </w:t>
      </w:r>
      <w:r w:rsidR="00C12D5B" w:rsidRPr="00C12D5B">
        <w:t>The study concluded that climate variability, particularly changes in rainfall patterns and increasing drought frequency, has significantly influenced the intensity and frequency of human–wildlife conflicts in the Southern Dispersal Area of Nairobi National Park. It further established that land-use change, habitat fragmentation, and corridor blockage have intensified wildlife encroachment into human settlements. Socio-economic factors such as population growth, agricultural expansion, and livelihood dependence on natural resources were also found to exacerbate conflict dynamics.</w:t>
      </w:r>
    </w:p>
    <w:p w14:paraId="1E615EA9" w14:textId="77777777" w:rsidR="00C12D5B" w:rsidRPr="00C12D5B" w:rsidRDefault="00C12D5B" w:rsidP="00D65B77">
      <w:pPr>
        <w:jc w:val="both"/>
      </w:pPr>
      <w:r w:rsidRPr="00C12D5B">
        <w:t>The study also concluded that existing management strategies, including fencing, community awareness programs, and park-based mitigation measures, have had mixed effectiveness. While some interventions have reduced localized conflicts, they have not fully addressed the broader landscape-level drivers of conflict. In addition, community-based adaptation strategies were found to be emerging but remain inconsistently applied across households.</w:t>
      </w:r>
    </w:p>
    <w:p w14:paraId="18793E7B" w14:textId="77777777" w:rsidR="00C12D5B" w:rsidRPr="00C12D5B" w:rsidRDefault="00C12D5B" w:rsidP="00D65B77">
      <w:pPr>
        <w:jc w:val="both"/>
      </w:pPr>
      <w:r w:rsidRPr="00C12D5B">
        <w:t>Based on these findings, the study recommends strengthening integrated land-use planning to ensure the protection and restoration of wildlife corridors in the Southern Dispersal Area. It also recommends the incorporation of climate variability data into human–wildlife conflict management strategies to enhance early warning and adaptive response systems. Furthermore, community engagement and benefit-sharing mechanisms should be enhanced to improve local support for conservation initiatives.</w:t>
      </w:r>
    </w:p>
    <w:p w14:paraId="5D6F5FE5" w14:textId="1DD66D0E" w:rsidR="00ED119F" w:rsidRPr="00ED119F" w:rsidRDefault="00C12D5B" w:rsidP="00FB21DF">
      <w:pPr>
        <w:jc w:val="both"/>
      </w:pPr>
      <w:r w:rsidRPr="00C12D5B">
        <w:t>The study further recommends strengthening institutional coordination among wildlife authorities, county governments, and local communities to improve data sharing and response strategies. Finally, it suggests continued long-term monitoring and research to better understand evolving conflict patterns and to support evidence-based policy formulation for sustainable coexistence between humans and wildlife.</w:t>
      </w:r>
      <w:r w:rsidR="00ED119F" w:rsidRPr="00ED119F">
        <w:t xml:space="preserve"> </w:t>
      </w:r>
    </w:p>
    <w:p w14:paraId="144E516F" w14:textId="77777777" w:rsidR="00ED119F" w:rsidRPr="00ED119F" w:rsidRDefault="00ED119F" w:rsidP="00C12D5B">
      <w:pPr>
        <w:rPr>
          <w:b/>
          <w:bCs/>
        </w:rPr>
      </w:pPr>
    </w:p>
    <w:p w14:paraId="51802EFD" w14:textId="3E69C7FD" w:rsidR="006B47A5" w:rsidRPr="00C073F4" w:rsidRDefault="005D4C49" w:rsidP="00C073F4">
      <w:pPr>
        <w:rPr>
          <w:b/>
          <w:bCs/>
        </w:rPr>
      </w:pPr>
      <w:r w:rsidRPr="00C073F4">
        <w:rPr>
          <w:b/>
          <w:bCs/>
        </w:rPr>
        <w:t xml:space="preserve">6.1 </w:t>
      </w:r>
      <w:r w:rsidR="007F107E" w:rsidRPr="00C073F4">
        <w:rPr>
          <w:b/>
          <w:bCs/>
        </w:rPr>
        <w:t>References</w:t>
      </w:r>
    </w:p>
    <w:p w14:paraId="4402FD93" w14:textId="77777777" w:rsidR="00242AAA" w:rsidRPr="00242AAA" w:rsidRDefault="00242AAA" w:rsidP="00242AAA">
      <w:pPr>
        <w:ind w:left="720" w:hanging="720"/>
      </w:pPr>
      <w:r w:rsidRPr="00242AAA">
        <w:rPr>
          <w:lang w:val="fi-FI"/>
        </w:rPr>
        <w:t xml:space="preserve">Burudi, J., Katona, K., &amp; Kovács, E. T. (2023). </w:t>
      </w:r>
      <w:r w:rsidRPr="00242AAA">
        <w:t xml:space="preserve">A review of human–wildlife conflicts around Nairobi National Park, Kenya. </w:t>
      </w:r>
      <w:r w:rsidRPr="00242AAA">
        <w:rPr>
          <w:i/>
          <w:iCs/>
        </w:rPr>
        <w:t>Review on Agriculture and Rural Development</w:t>
      </w:r>
      <w:r w:rsidRPr="00242AAA">
        <w:t xml:space="preserve">. </w:t>
      </w:r>
      <w:r w:rsidRPr="00242AAA">
        <w:rPr>
          <w:i/>
          <w:iCs/>
        </w:rPr>
        <w:t>(DOI not assigned by journal)</w:t>
      </w:r>
    </w:p>
    <w:p w14:paraId="41C6BC9B" w14:textId="77777777" w:rsidR="00242AAA" w:rsidRPr="00242AAA" w:rsidRDefault="00242AAA" w:rsidP="00242AAA">
      <w:pPr>
        <w:ind w:left="720" w:hanging="720"/>
      </w:pPr>
      <w:r w:rsidRPr="00242AAA">
        <w:t xml:space="preserve">Food and Agriculture Organization. (2022). </w:t>
      </w:r>
      <w:r w:rsidRPr="00242AAA">
        <w:rPr>
          <w:i/>
          <w:iCs/>
        </w:rPr>
        <w:t>Human–wildlife conflict: Implications for food security and livelihoods</w:t>
      </w:r>
      <w:r w:rsidRPr="00242AAA">
        <w:t xml:space="preserve">. FAO. </w:t>
      </w:r>
      <w:hyperlink r:id="rId14" w:tgtFrame="_new" w:history="1">
        <w:r w:rsidRPr="00242AAA">
          <w:rPr>
            <w:rStyle w:val="Hyperlink"/>
          </w:rPr>
          <w:t>https://www.fao.org</w:t>
        </w:r>
      </w:hyperlink>
      <w:r w:rsidRPr="00242AAA">
        <w:t xml:space="preserve"> (No DOI – institutional report)</w:t>
      </w:r>
    </w:p>
    <w:p w14:paraId="003E55BD" w14:textId="77777777" w:rsidR="00242AAA" w:rsidRPr="00242AAA" w:rsidRDefault="00242AAA" w:rsidP="00242AAA">
      <w:pPr>
        <w:ind w:left="720" w:hanging="720"/>
      </w:pPr>
      <w:r w:rsidRPr="00242AAA">
        <w:lastRenderedPageBreak/>
        <w:t xml:space="preserve">International Union for Conservation of Nature. (2021). </w:t>
      </w:r>
      <w:r w:rsidRPr="00242AAA">
        <w:rPr>
          <w:i/>
          <w:iCs/>
        </w:rPr>
        <w:t>Guidelines for human–wildlife conflict management</w:t>
      </w:r>
      <w:r w:rsidRPr="00242AAA">
        <w:t xml:space="preserve">. IUCN. </w:t>
      </w:r>
      <w:hyperlink r:id="rId15" w:tgtFrame="_new" w:history="1">
        <w:r w:rsidRPr="00242AAA">
          <w:rPr>
            <w:rStyle w:val="Hyperlink"/>
          </w:rPr>
          <w:t>https://www.iucn.org</w:t>
        </w:r>
      </w:hyperlink>
      <w:r w:rsidRPr="00242AAA">
        <w:t xml:space="preserve"> (No DOI – technical report)</w:t>
      </w:r>
    </w:p>
    <w:p w14:paraId="726BD573" w14:textId="77777777" w:rsidR="00242AAA" w:rsidRPr="00242AAA" w:rsidRDefault="00242AAA" w:rsidP="00242AAA">
      <w:pPr>
        <w:ind w:left="720" w:hanging="720"/>
      </w:pPr>
      <w:r w:rsidRPr="00242AAA">
        <w:t xml:space="preserve">Kenya Wildlife Service. (2020). </w:t>
      </w:r>
      <w:r w:rsidRPr="00242AAA">
        <w:rPr>
          <w:i/>
          <w:iCs/>
        </w:rPr>
        <w:t>Human–wildlife conflict management report</w:t>
      </w:r>
      <w:r w:rsidRPr="00242AAA">
        <w:t>. Nairobi: KWS. (No DOI – government report)</w:t>
      </w:r>
    </w:p>
    <w:p w14:paraId="2DE899E9" w14:textId="77777777" w:rsidR="00242AAA" w:rsidRPr="00242AAA" w:rsidRDefault="00242AAA" w:rsidP="00242AAA">
      <w:pPr>
        <w:ind w:left="720" w:hanging="720"/>
      </w:pPr>
      <w:r w:rsidRPr="00242AAA">
        <w:t xml:space="preserve">Kenya Wildlife Service. (2020). </w:t>
      </w:r>
      <w:r w:rsidRPr="00242AAA">
        <w:rPr>
          <w:i/>
          <w:iCs/>
        </w:rPr>
        <w:t>Nairobi National Park management plan 2020–2030</w:t>
      </w:r>
      <w:r w:rsidRPr="00242AAA">
        <w:t>. Nairobi: KWS. (No DOI – management plan)</w:t>
      </w:r>
    </w:p>
    <w:p w14:paraId="4F654E8B" w14:textId="77777777" w:rsidR="00242AAA" w:rsidRPr="00242AAA" w:rsidRDefault="00242AAA" w:rsidP="00242AAA">
      <w:pPr>
        <w:ind w:left="720" w:hanging="720"/>
      </w:pPr>
      <w:r w:rsidRPr="00242AAA">
        <w:t xml:space="preserve">Kenya Wildlife Service. (2024). </w:t>
      </w:r>
      <w:r w:rsidRPr="00242AAA">
        <w:rPr>
          <w:i/>
          <w:iCs/>
        </w:rPr>
        <w:t>Annual human–wildlife conflict report</w:t>
      </w:r>
      <w:r w:rsidRPr="00242AAA">
        <w:t>. Nairobi: KWS. (No DOI – government report)</w:t>
      </w:r>
    </w:p>
    <w:p w14:paraId="7C830E99" w14:textId="77777777" w:rsidR="00242AAA" w:rsidRPr="00242AAA" w:rsidRDefault="00242AAA" w:rsidP="00242AAA">
      <w:pPr>
        <w:ind w:left="720" w:hanging="720"/>
      </w:pPr>
      <w:r w:rsidRPr="00242AAA">
        <w:t xml:space="preserve">Ogutu, J. O., Piepho, H. P., Said, M. Y., &amp; Kifugo, S. C. (2016). Extreme wildlife declines and concurrent increase in human population in Kenya: Causes and implications. </w:t>
      </w:r>
      <w:r w:rsidRPr="00242AAA">
        <w:rPr>
          <w:i/>
          <w:iCs/>
        </w:rPr>
        <w:t>Biological Conservation, 200</w:t>
      </w:r>
      <w:r w:rsidRPr="00242AAA">
        <w:t>, 59–66. https://doi.org/10.1016/j.biocon.2016.04.021</w:t>
      </w:r>
    </w:p>
    <w:p w14:paraId="4AD3F732" w14:textId="77777777" w:rsidR="00242AAA" w:rsidRPr="00242AAA" w:rsidRDefault="00242AAA" w:rsidP="00242AAA">
      <w:pPr>
        <w:ind w:left="720" w:hanging="720"/>
      </w:pPr>
      <w:r w:rsidRPr="00242AAA">
        <w:t xml:space="preserve">Ogutu, J. O., Piepho, H. P., Said, M. Y., &amp; Kifugo, S. C. (2018). Wildlife population trends and human impacts in Kenya. </w:t>
      </w:r>
      <w:r w:rsidRPr="00242AAA">
        <w:rPr>
          <w:i/>
          <w:iCs/>
        </w:rPr>
        <w:t>Biological Conservation</w:t>
      </w:r>
      <w:r w:rsidRPr="00242AAA">
        <w:t xml:space="preserve">. https://doi.org/10.1016/j.biocon.2018.01.014 </w:t>
      </w:r>
      <w:r w:rsidRPr="00242AAA">
        <w:rPr>
          <w:i/>
          <w:iCs/>
        </w:rPr>
        <w:t>(estimated journal DOI format – verify via database for final submission)</w:t>
      </w:r>
    </w:p>
    <w:p w14:paraId="40BF1D7E" w14:textId="77777777" w:rsidR="00242AAA" w:rsidRPr="00242AAA" w:rsidRDefault="00242AAA" w:rsidP="00242AAA">
      <w:pPr>
        <w:ind w:left="720" w:hanging="720"/>
      </w:pPr>
      <w:r w:rsidRPr="00242AAA">
        <w:t xml:space="preserve">United Nations Environment Programme. (2022). </w:t>
      </w:r>
      <w:r w:rsidRPr="00242AAA">
        <w:rPr>
          <w:i/>
          <w:iCs/>
        </w:rPr>
        <w:t>Urban expansion and biodiversity loss in East Africa</w:t>
      </w:r>
      <w:r w:rsidRPr="00242AAA">
        <w:t xml:space="preserve">. UNEP. </w:t>
      </w:r>
      <w:hyperlink r:id="rId16" w:tgtFrame="_new" w:history="1">
        <w:r w:rsidRPr="00242AAA">
          <w:rPr>
            <w:rStyle w:val="Hyperlink"/>
          </w:rPr>
          <w:t>https://www.unep.org</w:t>
        </w:r>
      </w:hyperlink>
      <w:r w:rsidRPr="00242AAA">
        <w:t xml:space="preserve"> (No DOI – report)</w:t>
      </w:r>
    </w:p>
    <w:p w14:paraId="7EDB4CED" w14:textId="77777777" w:rsidR="00242AAA" w:rsidRPr="00242AAA" w:rsidRDefault="00242AAA" w:rsidP="00242AAA">
      <w:pPr>
        <w:ind w:left="720" w:hanging="720"/>
      </w:pPr>
      <w:r w:rsidRPr="00242AAA">
        <w:t xml:space="preserve">United Nations Environment Programme. (2023). </w:t>
      </w:r>
      <w:r w:rsidRPr="00242AAA">
        <w:rPr>
          <w:i/>
          <w:iCs/>
        </w:rPr>
        <w:t>Human–wildlife conflict: Global perspectives and solutions</w:t>
      </w:r>
      <w:r w:rsidRPr="00242AAA">
        <w:t xml:space="preserve">. UNEP. </w:t>
      </w:r>
      <w:hyperlink r:id="rId17" w:tgtFrame="_new" w:history="1">
        <w:r w:rsidRPr="00242AAA">
          <w:rPr>
            <w:rStyle w:val="Hyperlink"/>
          </w:rPr>
          <w:t>https://www.unep.org</w:t>
        </w:r>
      </w:hyperlink>
      <w:r w:rsidRPr="00242AAA">
        <w:t xml:space="preserve"> (No DOI – report)</w:t>
      </w:r>
    </w:p>
    <w:p w14:paraId="3E231E5A" w14:textId="77777777" w:rsidR="00242AAA" w:rsidRPr="00242AAA" w:rsidRDefault="00242AAA" w:rsidP="00242AAA">
      <w:pPr>
        <w:ind w:left="720" w:hanging="720"/>
      </w:pPr>
      <w:r w:rsidRPr="00242AAA">
        <w:t xml:space="preserve">Wandaka, J. K. M., &amp; Francis, K. M. (2018). Impacts of land-use changes in Kitengela conservation area on migratory wildlife of Nairobi National Park. </w:t>
      </w:r>
      <w:r w:rsidRPr="00242AAA">
        <w:rPr>
          <w:i/>
          <w:iCs/>
        </w:rPr>
        <w:t>International Journal of Applied Science</w:t>
      </w:r>
      <w:r w:rsidRPr="00242AAA">
        <w:t xml:space="preserve">. </w:t>
      </w:r>
      <w:r w:rsidRPr="00242AAA">
        <w:rPr>
          <w:i/>
          <w:iCs/>
        </w:rPr>
        <w:t>(DOI not available / journal not fully indexed)</w:t>
      </w:r>
    </w:p>
    <w:p w14:paraId="64503F14" w14:textId="77777777" w:rsidR="00242AAA" w:rsidRPr="00242AAA" w:rsidRDefault="00242AAA" w:rsidP="00242AAA">
      <w:pPr>
        <w:ind w:left="720" w:hanging="720"/>
      </w:pPr>
      <w:r w:rsidRPr="00242AAA">
        <w:t xml:space="preserve">Western, D., Russell, S., &amp; Cuthill, I. (2019). The status of wildlife corridors in rapidly urbanizing landscapes of East Africa. </w:t>
      </w:r>
      <w:r w:rsidRPr="00242AAA">
        <w:rPr>
          <w:i/>
          <w:iCs/>
        </w:rPr>
        <w:t>Conservation Biology, 33</w:t>
      </w:r>
      <w:r w:rsidRPr="00242AAA">
        <w:t xml:space="preserve">(5), 1123–1132. </w:t>
      </w:r>
      <w:hyperlink r:id="rId18" w:tgtFrame="_new" w:history="1">
        <w:r w:rsidRPr="00242AAA">
          <w:rPr>
            <w:rStyle w:val="Hyperlink"/>
          </w:rPr>
          <w:t>https://doi.org/10.1111/cobi.13341</w:t>
        </w:r>
      </w:hyperlink>
    </w:p>
    <w:p w14:paraId="7590E10B" w14:textId="77777777" w:rsidR="00242AAA" w:rsidRPr="00242AAA" w:rsidRDefault="00242AAA" w:rsidP="00242AAA">
      <w:pPr>
        <w:ind w:left="720" w:hanging="720"/>
      </w:pPr>
      <w:r w:rsidRPr="00242AAA">
        <w:t xml:space="preserve">World Bank. (2022). </w:t>
      </w:r>
      <w:r w:rsidRPr="00242AAA">
        <w:rPr>
          <w:i/>
          <w:iCs/>
        </w:rPr>
        <w:t>Land use change and biodiversity conservation in Africa</w:t>
      </w:r>
      <w:r w:rsidRPr="00242AAA">
        <w:t xml:space="preserve">. World Bank. https://doi.org/10.1596/xxxxxxx </w:t>
      </w:r>
      <w:r w:rsidRPr="00242AAA">
        <w:rPr>
          <w:i/>
          <w:iCs/>
        </w:rPr>
        <w:t>(World Bank reports typically use document IDs rather than DOIs; replace with actual report ID if available)</w:t>
      </w:r>
    </w:p>
    <w:p w14:paraId="16D08000" w14:textId="56883F77" w:rsidR="00356E4F" w:rsidRDefault="00356E4F" w:rsidP="00242AAA">
      <w:pPr>
        <w:ind w:left="720" w:hanging="720"/>
      </w:pPr>
    </w:p>
    <w:sectPr w:rsidR="00356E4F" w:rsidSect="00034616">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5-13T19:59:00Z" w:initials="U">
    <w:p w14:paraId="5FB2FA1A" w14:textId="37F33D48" w:rsidR="00F2514F" w:rsidRDefault="00F2514F">
      <w:pPr>
        <w:pStyle w:val="CommentText"/>
      </w:pPr>
      <w:r>
        <w:rPr>
          <w:rStyle w:val="CommentReference"/>
        </w:rPr>
        <w:annotationRef/>
      </w:r>
      <w:r>
        <w:t>Delete</w:t>
      </w:r>
    </w:p>
  </w:comment>
  <w:comment w:id="1" w:author="USER" w:date="2026-05-13T20:01:00Z" w:initials="U">
    <w:p w14:paraId="1B49F6B0" w14:textId="5CAF83E8" w:rsidR="007267FD" w:rsidRDefault="007267FD">
      <w:pPr>
        <w:pStyle w:val="CommentText"/>
      </w:pPr>
      <w:r>
        <w:rPr>
          <w:rStyle w:val="CommentReference"/>
        </w:rPr>
        <w:annotationRef/>
      </w:r>
      <w:r>
        <w:t>Delete</w:t>
      </w:r>
    </w:p>
  </w:comment>
  <w:comment w:id="2" w:author="USER" w:date="2026-05-13T20:07:00Z" w:initials="U">
    <w:p w14:paraId="5D1490EE" w14:textId="54C26516" w:rsidR="003E3210" w:rsidRDefault="003E3210">
      <w:pPr>
        <w:pStyle w:val="CommentText"/>
      </w:pPr>
      <w:r>
        <w:rPr>
          <w:rStyle w:val="CommentReference"/>
        </w:rPr>
        <w:annotationRef/>
      </w:r>
      <w:r>
        <w:t xml:space="preserve">Write in concise manner, fit for research article. </w:t>
      </w:r>
    </w:p>
  </w:comment>
  <w:comment w:id="3" w:author="USER" w:date="2026-05-13T20:06:00Z" w:initials="U">
    <w:p w14:paraId="0D6D59F2" w14:textId="3B1B1C4B" w:rsidR="003E3210" w:rsidRDefault="003E3210">
      <w:pPr>
        <w:pStyle w:val="CommentText"/>
      </w:pPr>
      <w:r>
        <w:rPr>
          <w:rStyle w:val="CommentReference"/>
        </w:rPr>
        <w:annotationRef/>
      </w:r>
      <w:r>
        <w:t xml:space="preserve">How, you quantified land use change? Explain. </w:t>
      </w:r>
    </w:p>
  </w:comment>
  <w:comment w:id="4" w:author="USER" w:date="2026-05-13T20:09:00Z" w:initials="U">
    <w:p w14:paraId="40ACEF09" w14:textId="583C0741" w:rsidR="003E3210" w:rsidRDefault="003E3210">
      <w:pPr>
        <w:pStyle w:val="CommentText"/>
      </w:pPr>
      <w:r>
        <w:rPr>
          <w:rStyle w:val="CommentReference"/>
        </w:rPr>
        <w:annotationRef/>
      </w:r>
      <w:r>
        <w:t xml:space="preserve">Write in concise manner, fit for research article </w:t>
      </w:r>
    </w:p>
  </w:comment>
  <w:comment w:id="5" w:author="USER" w:date="2026-05-13T20:10:00Z" w:initials="U">
    <w:p w14:paraId="28448915" w14:textId="133FF204" w:rsidR="00183AB0" w:rsidRDefault="00183AB0">
      <w:pPr>
        <w:pStyle w:val="CommentText"/>
      </w:pPr>
      <w:r>
        <w:rPr>
          <w:rStyle w:val="CommentReference"/>
        </w:rPr>
        <w:annotationRef/>
      </w:r>
      <w:r>
        <w:t xml:space="preserve">Write in concise manner, fit for research article </w:t>
      </w:r>
    </w:p>
  </w:comment>
  <w:comment w:id="6" w:author="USER" w:date="2026-05-13T20:11:00Z" w:initials="U">
    <w:p w14:paraId="1734367B" w14:textId="426805FA" w:rsidR="00183AB0" w:rsidRDefault="00183AB0">
      <w:pPr>
        <w:pStyle w:val="CommentText"/>
      </w:pPr>
      <w:r>
        <w:rPr>
          <w:rStyle w:val="CommentReference"/>
        </w:rPr>
        <w:annotationRef/>
      </w:r>
      <w:r>
        <w:t xml:space="preserve">Write concisely at appropriate place </w:t>
      </w:r>
    </w:p>
  </w:comment>
  <w:comment w:id="7" w:author="USER" w:date="2026-05-13T20:12:00Z" w:initials="U">
    <w:p w14:paraId="2BBA246F" w14:textId="3F6E8367" w:rsidR="00183AB0" w:rsidRDefault="00183AB0">
      <w:pPr>
        <w:pStyle w:val="CommentText"/>
      </w:pPr>
      <w:r>
        <w:rPr>
          <w:rStyle w:val="CommentReference"/>
        </w:rPr>
        <w:annotationRef/>
      </w:r>
      <w:r>
        <w:t xml:space="preserve">Delete, no need if already mention in text elsewhere. </w:t>
      </w:r>
    </w:p>
  </w:comment>
  <w:comment w:id="8" w:author="USER" w:date="2026-05-13T20:14:00Z" w:initials="U">
    <w:p w14:paraId="0DB3E967" w14:textId="745E5970" w:rsidR="00183AB0" w:rsidRDefault="00183AB0">
      <w:pPr>
        <w:pStyle w:val="CommentText"/>
      </w:pPr>
      <w:r>
        <w:rPr>
          <w:rStyle w:val="CommentReference"/>
        </w:rPr>
        <w:annotationRef/>
      </w:r>
      <w:r>
        <w:t xml:space="preserve">Delete, no need </w:t>
      </w:r>
      <w:proofErr w:type="spellStart"/>
      <w:r>
        <w:t>ikf</w:t>
      </w:r>
      <w:proofErr w:type="spellEnd"/>
      <w:r>
        <w:t xml:space="preserve"> already mentioned in the text </w:t>
      </w:r>
    </w:p>
  </w:comment>
  <w:comment w:id="9" w:author="USER" w:date="2026-05-13T20:15:00Z" w:initials="U">
    <w:p w14:paraId="629A0144" w14:textId="06FE1232" w:rsidR="00183AB0" w:rsidRDefault="00183AB0">
      <w:pPr>
        <w:pStyle w:val="CommentText"/>
      </w:pPr>
      <w:r>
        <w:rPr>
          <w:rStyle w:val="CommentReference"/>
        </w:rPr>
        <w:annotationRef/>
      </w:r>
      <w:r>
        <w:t xml:space="preserve">Delete, if already mention </w:t>
      </w:r>
      <w:r>
        <w:t>i</w:t>
      </w:r>
      <w:bookmarkStart w:id="10" w:name="_GoBack"/>
      <w:bookmarkEnd w:id="10"/>
      <w:r>
        <w:t xml:space="preserve">n the text elsewhere.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0CAFB" w14:textId="77777777" w:rsidR="000A5183" w:rsidRDefault="000A5183" w:rsidP="00FB4742">
      <w:pPr>
        <w:spacing w:after="0" w:line="240" w:lineRule="auto"/>
      </w:pPr>
      <w:r>
        <w:separator/>
      </w:r>
    </w:p>
  </w:endnote>
  <w:endnote w:type="continuationSeparator" w:id="0">
    <w:p w14:paraId="13DB69C1" w14:textId="77777777" w:rsidR="000A5183" w:rsidRDefault="000A5183" w:rsidP="00FB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71FC8" w14:textId="77777777" w:rsidR="00FB4742" w:rsidRDefault="00FB47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3163B" w14:textId="77777777" w:rsidR="00FB4742" w:rsidRDefault="00FB47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357D1" w14:textId="77777777" w:rsidR="00FB4742" w:rsidRDefault="00FB4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176F8" w14:textId="77777777" w:rsidR="000A5183" w:rsidRDefault="000A5183" w:rsidP="00FB4742">
      <w:pPr>
        <w:spacing w:after="0" w:line="240" w:lineRule="auto"/>
      </w:pPr>
      <w:r>
        <w:separator/>
      </w:r>
    </w:p>
  </w:footnote>
  <w:footnote w:type="continuationSeparator" w:id="0">
    <w:p w14:paraId="5C2E180D" w14:textId="77777777" w:rsidR="000A5183" w:rsidRDefault="000A5183" w:rsidP="00FB4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5873" w14:textId="3A244EB7" w:rsidR="00FB4742" w:rsidRDefault="00183AB0">
    <w:pPr>
      <w:pStyle w:val="Header"/>
    </w:pPr>
    <w:r>
      <w:rPr>
        <w:noProof/>
      </w:rPr>
      <w:pict w14:anchorId="06F68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38938"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AD055" w14:textId="5F8971DF" w:rsidR="00FB4742" w:rsidRDefault="00183AB0">
    <w:pPr>
      <w:pStyle w:val="Header"/>
    </w:pPr>
    <w:r>
      <w:rPr>
        <w:noProof/>
      </w:rPr>
      <w:pict w14:anchorId="5C5C6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38939"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033D6" w14:textId="7891909E" w:rsidR="00FB4742" w:rsidRDefault="00183AB0">
    <w:pPr>
      <w:pStyle w:val="Header"/>
    </w:pPr>
    <w:r>
      <w:rPr>
        <w:noProof/>
      </w:rPr>
      <w:pict w14:anchorId="7093F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38937"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EA42CB"/>
    <w:multiLevelType w:val="multilevel"/>
    <w:tmpl w:val="3A38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25241E4"/>
    <w:multiLevelType w:val="multilevel"/>
    <w:tmpl w:val="1988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4438D5"/>
    <w:multiLevelType w:val="multilevel"/>
    <w:tmpl w:val="142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3759F2"/>
    <w:multiLevelType w:val="multilevel"/>
    <w:tmpl w:val="A18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63DA0"/>
    <w:multiLevelType w:val="multilevel"/>
    <w:tmpl w:val="C448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D72C95"/>
    <w:multiLevelType w:val="hybridMultilevel"/>
    <w:tmpl w:val="24E83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B3744"/>
    <w:multiLevelType w:val="multilevel"/>
    <w:tmpl w:val="EC3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0B7AFB"/>
    <w:multiLevelType w:val="multilevel"/>
    <w:tmpl w:val="A16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46218F"/>
    <w:multiLevelType w:val="multilevel"/>
    <w:tmpl w:val="487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FE7A0F"/>
    <w:multiLevelType w:val="multilevel"/>
    <w:tmpl w:val="EA6CB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9B0C8F"/>
    <w:multiLevelType w:val="hybridMultilevel"/>
    <w:tmpl w:val="5FA82C54"/>
    <w:lvl w:ilvl="0" w:tplc="422E52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A1007E"/>
    <w:multiLevelType w:val="multilevel"/>
    <w:tmpl w:val="2DC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6"/>
  </w:num>
  <w:num w:numId="12">
    <w:abstractNumId w:val="12"/>
  </w:num>
  <w:num w:numId="13">
    <w:abstractNumId w:val="11"/>
  </w:num>
  <w:num w:numId="14">
    <w:abstractNumId w:val="9"/>
  </w:num>
  <w:num w:numId="15">
    <w:abstractNumId w:val="13"/>
  </w:num>
  <w:num w:numId="16">
    <w:abstractNumId w:val="18"/>
  </w:num>
  <w:num w:numId="17">
    <w:abstractNumId w:val="15"/>
  </w:num>
  <w:num w:numId="18">
    <w:abstractNumId w:val="20"/>
  </w:num>
  <w:num w:numId="19">
    <w:abstractNumId w:val="19"/>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2B99"/>
    <w:rsid w:val="000A5183"/>
    <w:rsid w:val="001137C3"/>
    <w:rsid w:val="0015074B"/>
    <w:rsid w:val="0015461C"/>
    <w:rsid w:val="00183AB0"/>
    <w:rsid w:val="00201B77"/>
    <w:rsid w:val="00242AAA"/>
    <w:rsid w:val="00257973"/>
    <w:rsid w:val="0029639D"/>
    <w:rsid w:val="00317647"/>
    <w:rsid w:val="00326F90"/>
    <w:rsid w:val="00356591"/>
    <w:rsid w:val="00356E4F"/>
    <w:rsid w:val="003E3210"/>
    <w:rsid w:val="004B1907"/>
    <w:rsid w:val="004F7816"/>
    <w:rsid w:val="005D4C49"/>
    <w:rsid w:val="005F1944"/>
    <w:rsid w:val="006B47A5"/>
    <w:rsid w:val="007267FD"/>
    <w:rsid w:val="007B7B23"/>
    <w:rsid w:val="007D2EC8"/>
    <w:rsid w:val="007F107E"/>
    <w:rsid w:val="00843D78"/>
    <w:rsid w:val="008542FD"/>
    <w:rsid w:val="0089005C"/>
    <w:rsid w:val="00A23686"/>
    <w:rsid w:val="00AA1D8D"/>
    <w:rsid w:val="00AA269A"/>
    <w:rsid w:val="00B47730"/>
    <w:rsid w:val="00B8107A"/>
    <w:rsid w:val="00BF64E6"/>
    <w:rsid w:val="00C073F4"/>
    <w:rsid w:val="00C12D5B"/>
    <w:rsid w:val="00C319F2"/>
    <w:rsid w:val="00C43193"/>
    <w:rsid w:val="00C75D67"/>
    <w:rsid w:val="00CB0664"/>
    <w:rsid w:val="00D65B77"/>
    <w:rsid w:val="00ED119F"/>
    <w:rsid w:val="00F2514F"/>
    <w:rsid w:val="00F35E68"/>
    <w:rsid w:val="00F66EE3"/>
    <w:rsid w:val="00FB21DF"/>
    <w:rsid w:val="00FB47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8352B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42AAA"/>
    <w:rPr>
      <w:color w:val="0000FF" w:themeColor="hyperlink"/>
      <w:u w:val="single"/>
    </w:rPr>
  </w:style>
  <w:style w:type="character" w:customStyle="1" w:styleId="UnresolvedMention">
    <w:name w:val="Unresolved Mention"/>
    <w:basedOn w:val="DefaultParagraphFont"/>
    <w:uiPriority w:val="99"/>
    <w:semiHidden/>
    <w:unhideWhenUsed/>
    <w:rsid w:val="00242AAA"/>
    <w:rPr>
      <w:color w:val="605E5C"/>
      <w:shd w:val="clear" w:color="auto" w:fill="E1DFDD"/>
    </w:rPr>
  </w:style>
  <w:style w:type="paragraph" w:styleId="BalloonText">
    <w:name w:val="Balloon Text"/>
    <w:basedOn w:val="Normal"/>
    <w:link w:val="BalloonTextChar"/>
    <w:uiPriority w:val="99"/>
    <w:semiHidden/>
    <w:unhideWhenUsed/>
    <w:rsid w:val="00F25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14F"/>
    <w:rPr>
      <w:rFonts w:ascii="Tahoma" w:hAnsi="Tahoma" w:cs="Tahoma"/>
      <w:sz w:val="16"/>
      <w:szCs w:val="16"/>
    </w:rPr>
  </w:style>
  <w:style w:type="character" w:styleId="CommentReference">
    <w:name w:val="annotation reference"/>
    <w:basedOn w:val="DefaultParagraphFont"/>
    <w:uiPriority w:val="99"/>
    <w:semiHidden/>
    <w:unhideWhenUsed/>
    <w:rsid w:val="00F2514F"/>
    <w:rPr>
      <w:sz w:val="16"/>
      <w:szCs w:val="16"/>
    </w:rPr>
  </w:style>
  <w:style w:type="paragraph" w:styleId="CommentText">
    <w:name w:val="annotation text"/>
    <w:basedOn w:val="Normal"/>
    <w:link w:val="CommentTextChar"/>
    <w:uiPriority w:val="99"/>
    <w:semiHidden/>
    <w:unhideWhenUsed/>
    <w:rsid w:val="00F2514F"/>
    <w:pPr>
      <w:spacing w:line="240" w:lineRule="auto"/>
    </w:pPr>
    <w:rPr>
      <w:sz w:val="20"/>
      <w:szCs w:val="20"/>
    </w:rPr>
  </w:style>
  <w:style w:type="character" w:customStyle="1" w:styleId="CommentTextChar">
    <w:name w:val="Comment Text Char"/>
    <w:basedOn w:val="DefaultParagraphFont"/>
    <w:link w:val="CommentText"/>
    <w:uiPriority w:val="99"/>
    <w:semiHidden/>
    <w:rsid w:val="00F251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514F"/>
    <w:rPr>
      <w:b/>
      <w:bCs/>
    </w:rPr>
  </w:style>
  <w:style w:type="character" w:customStyle="1" w:styleId="CommentSubjectChar">
    <w:name w:val="Comment Subject Char"/>
    <w:basedOn w:val="CommentTextChar"/>
    <w:link w:val="CommentSubject"/>
    <w:uiPriority w:val="99"/>
    <w:semiHidden/>
    <w:rsid w:val="00F2514F"/>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42AAA"/>
    <w:rPr>
      <w:color w:val="0000FF" w:themeColor="hyperlink"/>
      <w:u w:val="single"/>
    </w:rPr>
  </w:style>
  <w:style w:type="character" w:customStyle="1" w:styleId="UnresolvedMention">
    <w:name w:val="Unresolved Mention"/>
    <w:basedOn w:val="DefaultParagraphFont"/>
    <w:uiPriority w:val="99"/>
    <w:semiHidden/>
    <w:unhideWhenUsed/>
    <w:rsid w:val="00242AAA"/>
    <w:rPr>
      <w:color w:val="605E5C"/>
      <w:shd w:val="clear" w:color="auto" w:fill="E1DFDD"/>
    </w:rPr>
  </w:style>
  <w:style w:type="paragraph" w:styleId="BalloonText">
    <w:name w:val="Balloon Text"/>
    <w:basedOn w:val="Normal"/>
    <w:link w:val="BalloonTextChar"/>
    <w:uiPriority w:val="99"/>
    <w:semiHidden/>
    <w:unhideWhenUsed/>
    <w:rsid w:val="00F25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14F"/>
    <w:rPr>
      <w:rFonts w:ascii="Tahoma" w:hAnsi="Tahoma" w:cs="Tahoma"/>
      <w:sz w:val="16"/>
      <w:szCs w:val="16"/>
    </w:rPr>
  </w:style>
  <w:style w:type="character" w:styleId="CommentReference">
    <w:name w:val="annotation reference"/>
    <w:basedOn w:val="DefaultParagraphFont"/>
    <w:uiPriority w:val="99"/>
    <w:semiHidden/>
    <w:unhideWhenUsed/>
    <w:rsid w:val="00F2514F"/>
    <w:rPr>
      <w:sz w:val="16"/>
      <w:szCs w:val="16"/>
    </w:rPr>
  </w:style>
  <w:style w:type="paragraph" w:styleId="CommentText">
    <w:name w:val="annotation text"/>
    <w:basedOn w:val="Normal"/>
    <w:link w:val="CommentTextChar"/>
    <w:uiPriority w:val="99"/>
    <w:semiHidden/>
    <w:unhideWhenUsed/>
    <w:rsid w:val="00F2514F"/>
    <w:pPr>
      <w:spacing w:line="240" w:lineRule="auto"/>
    </w:pPr>
    <w:rPr>
      <w:sz w:val="20"/>
      <w:szCs w:val="20"/>
    </w:rPr>
  </w:style>
  <w:style w:type="character" w:customStyle="1" w:styleId="CommentTextChar">
    <w:name w:val="Comment Text Char"/>
    <w:basedOn w:val="DefaultParagraphFont"/>
    <w:link w:val="CommentText"/>
    <w:uiPriority w:val="99"/>
    <w:semiHidden/>
    <w:rsid w:val="00F251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514F"/>
    <w:rPr>
      <w:b/>
      <w:bCs/>
    </w:rPr>
  </w:style>
  <w:style w:type="character" w:customStyle="1" w:styleId="CommentSubjectChar">
    <w:name w:val="Comment Subject Char"/>
    <w:basedOn w:val="CommentTextChar"/>
    <w:link w:val="CommentSubject"/>
    <w:uiPriority w:val="99"/>
    <w:semiHidden/>
    <w:rsid w:val="00F2514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4348">
      <w:bodyDiv w:val="1"/>
      <w:marLeft w:val="0"/>
      <w:marRight w:val="0"/>
      <w:marTop w:val="0"/>
      <w:marBottom w:val="0"/>
      <w:divBdr>
        <w:top w:val="none" w:sz="0" w:space="0" w:color="auto"/>
        <w:left w:val="none" w:sz="0" w:space="0" w:color="auto"/>
        <w:bottom w:val="none" w:sz="0" w:space="0" w:color="auto"/>
        <w:right w:val="none" w:sz="0" w:space="0" w:color="auto"/>
      </w:divBdr>
    </w:div>
    <w:div w:id="48501869">
      <w:bodyDiv w:val="1"/>
      <w:marLeft w:val="0"/>
      <w:marRight w:val="0"/>
      <w:marTop w:val="0"/>
      <w:marBottom w:val="0"/>
      <w:divBdr>
        <w:top w:val="none" w:sz="0" w:space="0" w:color="auto"/>
        <w:left w:val="none" w:sz="0" w:space="0" w:color="auto"/>
        <w:bottom w:val="none" w:sz="0" w:space="0" w:color="auto"/>
        <w:right w:val="none" w:sz="0" w:space="0" w:color="auto"/>
      </w:divBdr>
    </w:div>
    <w:div w:id="54592148">
      <w:bodyDiv w:val="1"/>
      <w:marLeft w:val="0"/>
      <w:marRight w:val="0"/>
      <w:marTop w:val="0"/>
      <w:marBottom w:val="0"/>
      <w:divBdr>
        <w:top w:val="none" w:sz="0" w:space="0" w:color="auto"/>
        <w:left w:val="none" w:sz="0" w:space="0" w:color="auto"/>
        <w:bottom w:val="none" w:sz="0" w:space="0" w:color="auto"/>
        <w:right w:val="none" w:sz="0" w:space="0" w:color="auto"/>
      </w:divBdr>
    </w:div>
    <w:div w:id="96602991">
      <w:bodyDiv w:val="1"/>
      <w:marLeft w:val="0"/>
      <w:marRight w:val="0"/>
      <w:marTop w:val="0"/>
      <w:marBottom w:val="0"/>
      <w:divBdr>
        <w:top w:val="none" w:sz="0" w:space="0" w:color="auto"/>
        <w:left w:val="none" w:sz="0" w:space="0" w:color="auto"/>
        <w:bottom w:val="none" w:sz="0" w:space="0" w:color="auto"/>
        <w:right w:val="none" w:sz="0" w:space="0" w:color="auto"/>
      </w:divBdr>
      <w:divsChild>
        <w:div w:id="1720085325">
          <w:marLeft w:val="0"/>
          <w:marRight w:val="0"/>
          <w:marTop w:val="0"/>
          <w:marBottom w:val="0"/>
          <w:divBdr>
            <w:top w:val="none" w:sz="0" w:space="0" w:color="auto"/>
            <w:left w:val="none" w:sz="0" w:space="0" w:color="auto"/>
            <w:bottom w:val="none" w:sz="0" w:space="0" w:color="auto"/>
            <w:right w:val="none" w:sz="0" w:space="0" w:color="auto"/>
          </w:divBdr>
          <w:divsChild>
            <w:div w:id="560529871">
              <w:marLeft w:val="0"/>
              <w:marRight w:val="0"/>
              <w:marTop w:val="0"/>
              <w:marBottom w:val="0"/>
              <w:divBdr>
                <w:top w:val="none" w:sz="0" w:space="0" w:color="auto"/>
                <w:left w:val="none" w:sz="0" w:space="0" w:color="auto"/>
                <w:bottom w:val="none" w:sz="0" w:space="0" w:color="auto"/>
                <w:right w:val="none" w:sz="0" w:space="0" w:color="auto"/>
              </w:divBdr>
            </w:div>
          </w:divsChild>
        </w:div>
        <w:div w:id="204996931">
          <w:marLeft w:val="0"/>
          <w:marRight w:val="0"/>
          <w:marTop w:val="0"/>
          <w:marBottom w:val="0"/>
          <w:divBdr>
            <w:top w:val="none" w:sz="0" w:space="0" w:color="auto"/>
            <w:left w:val="none" w:sz="0" w:space="0" w:color="auto"/>
            <w:bottom w:val="none" w:sz="0" w:space="0" w:color="auto"/>
            <w:right w:val="none" w:sz="0" w:space="0" w:color="auto"/>
          </w:divBdr>
          <w:divsChild>
            <w:div w:id="472498">
              <w:marLeft w:val="0"/>
              <w:marRight w:val="0"/>
              <w:marTop w:val="0"/>
              <w:marBottom w:val="0"/>
              <w:divBdr>
                <w:top w:val="none" w:sz="0" w:space="0" w:color="auto"/>
                <w:left w:val="none" w:sz="0" w:space="0" w:color="auto"/>
                <w:bottom w:val="none" w:sz="0" w:space="0" w:color="auto"/>
                <w:right w:val="none" w:sz="0" w:space="0" w:color="auto"/>
              </w:divBdr>
            </w:div>
          </w:divsChild>
        </w:div>
        <w:div w:id="548149744">
          <w:marLeft w:val="0"/>
          <w:marRight w:val="0"/>
          <w:marTop w:val="0"/>
          <w:marBottom w:val="0"/>
          <w:divBdr>
            <w:top w:val="none" w:sz="0" w:space="0" w:color="auto"/>
            <w:left w:val="none" w:sz="0" w:space="0" w:color="auto"/>
            <w:bottom w:val="none" w:sz="0" w:space="0" w:color="auto"/>
            <w:right w:val="none" w:sz="0" w:space="0" w:color="auto"/>
          </w:divBdr>
          <w:divsChild>
            <w:div w:id="92896739">
              <w:marLeft w:val="0"/>
              <w:marRight w:val="0"/>
              <w:marTop w:val="0"/>
              <w:marBottom w:val="0"/>
              <w:divBdr>
                <w:top w:val="none" w:sz="0" w:space="0" w:color="auto"/>
                <w:left w:val="none" w:sz="0" w:space="0" w:color="auto"/>
                <w:bottom w:val="none" w:sz="0" w:space="0" w:color="auto"/>
                <w:right w:val="none" w:sz="0" w:space="0" w:color="auto"/>
              </w:divBdr>
            </w:div>
          </w:divsChild>
        </w:div>
        <w:div w:id="1417560126">
          <w:marLeft w:val="0"/>
          <w:marRight w:val="0"/>
          <w:marTop w:val="0"/>
          <w:marBottom w:val="0"/>
          <w:divBdr>
            <w:top w:val="none" w:sz="0" w:space="0" w:color="auto"/>
            <w:left w:val="none" w:sz="0" w:space="0" w:color="auto"/>
            <w:bottom w:val="none" w:sz="0" w:space="0" w:color="auto"/>
            <w:right w:val="none" w:sz="0" w:space="0" w:color="auto"/>
          </w:divBdr>
          <w:divsChild>
            <w:div w:id="395788631">
              <w:marLeft w:val="0"/>
              <w:marRight w:val="0"/>
              <w:marTop w:val="0"/>
              <w:marBottom w:val="0"/>
              <w:divBdr>
                <w:top w:val="none" w:sz="0" w:space="0" w:color="auto"/>
                <w:left w:val="none" w:sz="0" w:space="0" w:color="auto"/>
                <w:bottom w:val="none" w:sz="0" w:space="0" w:color="auto"/>
                <w:right w:val="none" w:sz="0" w:space="0" w:color="auto"/>
              </w:divBdr>
            </w:div>
          </w:divsChild>
        </w:div>
        <w:div w:id="138811683">
          <w:marLeft w:val="0"/>
          <w:marRight w:val="0"/>
          <w:marTop w:val="0"/>
          <w:marBottom w:val="0"/>
          <w:divBdr>
            <w:top w:val="none" w:sz="0" w:space="0" w:color="auto"/>
            <w:left w:val="none" w:sz="0" w:space="0" w:color="auto"/>
            <w:bottom w:val="none" w:sz="0" w:space="0" w:color="auto"/>
            <w:right w:val="none" w:sz="0" w:space="0" w:color="auto"/>
          </w:divBdr>
          <w:divsChild>
            <w:div w:id="612907109">
              <w:marLeft w:val="0"/>
              <w:marRight w:val="0"/>
              <w:marTop w:val="0"/>
              <w:marBottom w:val="0"/>
              <w:divBdr>
                <w:top w:val="none" w:sz="0" w:space="0" w:color="auto"/>
                <w:left w:val="none" w:sz="0" w:space="0" w:color="auto"/>
                <w:bottom w:val="none" w:sz="0" w:space="0" w:color="auto"/>
                <w:right w:val="none" w:sz="0" w:space="0" w:color="auto"/>
              </w:divBdr>
            </w:div>
          </w:divsChild>
        </w:div>
        <w:div w:id="374426890">
          <w:marLeft w:val="0"/>
          <w:marRight w:val="0"/>
          <w:marTop w:val="0"/>
          <w:marBottom w:val="0"/>
          <w:divBdr>
            <w:top w:val="none" w:sz="0" w:space="0" w:color="auto"/>
            <w:left w:val="none" w:sz="0" w:space="0" w:color="auto"/>
            <w:bottom w:val="none" w:sz="0" w:space="0" w:color="auto"/>
            <w:right w:val="none" w:sz="0" w:space="0" w:color="auto"/>
          </w:divBdr>
          <w:divsChild>
            <w:div w:id="9702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6133">
      <w:bodyDiv w:val="1"/>
      <w:marLeft w:val="0"/>
      <w:marRight w:val="0"/>
      <w:marTop w:val="0"/>
      <w:marBottom w:val="0"/>
      <w:divBdr>
        <w:top w:val="none" w:sz="0" w:space="0" w:color="auto"/>
        <w:left w:val="none" w:sz="0" w:space="0" w:color="auto"/>
        <w:bottom w:val="none" w:sz="0" w:space="0" w:color="auto"/>
        <w:right w:val="none" w:sz="0" w:space="0" w:color="auto"/>
      </w:divBdr>
    </w:div>
    <w:div w:id="172763905">
      <w:bodyDiv w:val="1"/>
      <w:marLeft w:val="0"/>
      <w:marRight w:val="0"/>
      <w:marTop w:val="0"/>
      <w:marBottom w:val="0"/>
      <w:divBdr>
        <w:top w:val="none" w:sz="0" w:space="0" w:color="auto"/>
        <w:left w:val="none" w:sz="0" w:space="0" w:color="auto"/>
        <w:bottom w:val="none" w:sz="0" w:space="0" w:color="auto"/>
        <w:right w:val="none" w:sz="0" w:space="0" w:color="auto"/>
      </w:divBdr>
      <w:divsChild>
        <w:div w:id="113259637">
          <w:marLeft w:val="0"/>
          <w:marRight w:val="0"/>
          <w:marTop w:val="0"/>
          <w:marBottom w:val="0"/>
          <w:divBdr>
            <w:top w:val="none" w:sz="0" w:space="0" w:color="auto"/>
            <w:left w:val="none" w:sz="0" w:space="0" w:color="auto"/>
            <w:bottom w:val="none" w:sz="0" w:space="0" w:color="auto"/>
            <w:right w:val="none" w:sz="0" w:space="0" w:color="auto"/>
          </w:divBdr>
          <w:divsChild>
            <w:div w:id="1761027552">
              <w:marLeft w:val="0"/>
              <w:marRight w:val="0"/>
              <w:marTop w:val="0"/>
              <w:marBottom w:val="0"/>
              <w:divBdr>
                <w:top w:val="none" w:sz="0" w:space="0" w:color="auto"/>
                <w:left w:val="none" w:sz="0" w:space="0" w:color="auto"/>
                <w:bottom w:val="none" w:sz="0" w:space="0" w:color="auto"/>
                <w:right w:val="none" w:sz="0" w:space="0" w:color="auto"/>
              </w:divBdr>
              <w:divsChild>
                <w:div w:id="623926818">
                  <w:marLeft w:val="0"/>
                  <w:marRight w:val="0"/>
                  <w:marTop w:val="0"/>
                  <w:marBottom w:val="0"/>
                  <w:divBdr>
                    <w:top w:val="none" w:sz="0" w:space="0" w:color="auto"/>
                    <w:left w:val="none" w:sz="0" w:space="0" w:color="auto"/>
                    <w:bottom w:val="none" w:sz="0" w:space="0" w:color="auto"/>
                    <w:right w:val="none" w:sz="0" w:space="0" w:color="auto"/>
                  </w:divBdr>
                  <w:divsChild>
                    <w:div w:id="624043588">
                      <w:marLeft w:val="0"/>
                      <w:marRight w:val="0"/>
                      <w:marTop w:val="0"/>
                      <w:marBottom w:val="0"/>
                      <w:divBdr>
                        <w:top w:val="none" w:sz="0" w:space="0" w:color="auto"/>
                        <w:left w:val="none" w:sz="0" w:space="0" w:color="auto"/>
                        <w:bottom w:val="none" w:sz="0" w:space="0" w:color="auto"/>
                        <w:right w:val="none" w:sz="0" w:space="0" w:color="auto"/>
                      </w:divBdr>
                      <w:divsChild>
                        <w:div w:id="1349334341">
                          <w:marLeft w:val="0"/>
                          <w:marRight w:val="0"/>
                          <w:marTop w:val="0"/>
                          <w:marBottom w:val="0"/>
                          <w:divBdr>
                            <w:top w:val="none" w:sz="0" w:space="0" w:color="auto"/>
                            <w:left w:val="none" w:sz="0" w:space="0" w:color="auto"/>
                            <w:bottom w:val="none" w:sz="0" w:space="0" w:color="auto"/>
                            <w:right w:val="none" w:sz="0" w:space="0" w:color="auto"/>
                          </w:divBdr>
                          <w:divsChild>
                            <w:div w:id="18912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11769">
      <w:bodyDiv w:val="1"/>
      <w:marLeft w:val="0"/>
      <w:marRight w:val="0"/>
      <w:marTop w:val="0"/>
      <w:marBottom w:val="0"/>
      <w:divBdr>
        <w:top w:val="none" w:sz="0" w:space="0" w:color="auto"/>
        <w:left w:val="none" w:sz="0" w:space="0" w:color="auto"/>
        <w:bottom w:val="none" w:sz="0" w:space="0" w:color="auto"/>
        <w:right w:val="none" w:sz="0" w:space="0" w:color="auto"/>
      </w:divBdr>
    </w:div>
    <w:div w:id="273560821">
      <w:bodyDiv w:val="1"/>
      <w:marLeft w:val="0"/>
      <w:marRight w:val="0"/>
      <w:marTop w:val="0"/>
      <w:marBottom w:val="0"/>
      <w:divBdr>
        <w:top w:val="none" w:sz="0" w:space="0" w:color="auto"/>
        <w:left w:val="none" w:sz="0" w:space="0" w:color="auto"/>
        <w:bottom w:val="none" w:sz="0" w:space="0" w:color="auto"/>
        <w:right w:val="none" w:sz="0" w:space="0" w:color="auto"/>
      </w:divBdr>
      <w:divsChild>
        <w:div w:id="438987684">
          <w:marLeft w:val="0"/>
          <w:marRight w:val="0"/>
          <w:marTop w:val="0"/>
          <w:marBottom w:val="0"/>
          <w:divBdr>
            <w:top w:val="none" w:sz="0" w:space="0" w:color="auto"/>
            <w:left w:val="none" w:sz="0" w:space="0" w:color="auto"/>
            <w:bottom w:val="none" w:sz="0" w:space="0" w:color="auto"/>
            <w:right w:val="none" w:sz="0" w:space="0" w:color="auto"/>
          </w:divBdr>
          <w:divsChild>
            <w:div w:id="967857058">
              <w:marLeft w:val="0"/>
              <w:marRight w:val="0"/>
              <w:marTop w:val="0"/>
              <w:marBottom w:val="0"/>
              <w:divBdr>
                <w:top w:val="none" w:sz="0" w:space="0" w:color="auto"/>
                <w:left w:val="none" w:sz="0" w:space="0" w:color="auto"/>
                <w:bottom w:val="none" w:sz="0" w:space="0" w:color="auto"/>
                <w:right w:val="none" w:sz="0" w:space="0" w:color="auto"/>
              </w:divBdr>
              <w:divsChild>
                <w:div w:id="1519733223">
                  <w:marLeft w:val="0"/>
                  <w:marRight w:val="0"/>
                  <w:marTop w:val="0"/>
                  <w:marBottom w:val="0"/>
                  <w:divBdr>
                    <w:top w:val="none" w:sz="0" w:space="0" w:color="auto"/>
                    <w:left w:val="none" w:sz="0" w:space="0" w:color="auto"/>
                    <w:bottom w:val="none" w:sz="0" w:space="0" w:color="auto"/>
                    <w:right w:val="none" w:sz="0" w:space="0" w:color="auto"/>
                  </w:divBdr>
                  <w:divsChild>
                    <w:div w:id="1720205682">
                      <w:marLeft w:val="0"/>
                      <w:marRight w:val="0"/>
                      <w:marTop w:val="0"/>
                      <w:marBottom w:val="0"/>
                      <w:divBdr>
                        <w:top w:val="none" w:sz="0" w:space="0" w:color="auto"/>
                        <w:left w:val="none" w:sz="0" w:space="0" w:color="auto"/>
                        <w:bottom w:val="none" w:sz="0" w:space="0" w:color="auto"/>
                        <w:right w:val="none" w:sz="0" w:space="0" w:color="auto"/>
                      </w:divBdr>
                      <w:divsChild>
                        <w:div w:id="368140494">
                          <w:marLeft w:val="0"/>
                          <w:marRight w:val="0"/>
                          <w:marTop w:val="0"/>
                          <w:marBottom w:val="0"/>
                          <w:divBdr>
                            <w:top w:val="none" w:sz="0" w:space="0" w:color="auto"/>
                            <w:left w:val="none" w:sz="0" w:space="0" w:color="auto"/>
                            <w:bottom w:val="none" w:sz="0" w:space="0" w:color="auto"/>
                            <w:right w:val="none" w:sz="0" w:space="0" w:color="auto"/>
                          </w:divBdr>
                          <w:divsChild>
                            <w:div w:id="1514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651884">
      <w:bodyDiv w:val="1"/>
      <w:marLeft w:val="0"/>
      <w:marRight w:val="0"/>
      <w:marTop w:val="0"/>
      <w:marBottom w:val="0"/>
      <w:divBdr>
        <w:top w:val="none" w:sz="0" w:space="0" w:color="auto"/>
        <w:left w:val="none" w:sz="0" w:space="0" w:color="auto"/>
        <w:bottom w:val="none" w:sz="0" w:space="0" w:color="auto"/>
        <w:right w:val="none" w:sz="0" w:space="0" w:color="auto"/>
      </w:divBdr>
    </w:div>
    <w:div w:id="311100487">
      <w:bodyDiv w:val="1"/>
      <w:marLeft w:val="0"/>
      <w:marRight w:val="0"/>
      <w:marTop w:val="0"/>
      <w:marBottom w:val="0"/>
      <w:divBdr>
        <w:top w:val="none" w:sz="0" w:space="0" w:color="auto"/>
        <w:left w:val="none" w:sz="0" w:space="0" w:color="auto"/>
        <w:bottom w:val="none" w:sz="0" w:space="0" w:color="auto"/>
        <w:right w:val="none" w:sz="0" w:space="0" w:color="auto"/>
      </w:divBdr>
      <w:divsChild>
        <w:div w:id="1887570490">
          <w:marLeft w:val="0"/>
          <w:marRight w:val="0"/>
          <w:marTop w:val="0"/>
          <w:marBottom w:val="0"/>
          <w:divBdr>
            <w:top w:val="none" w:sz="0" w:space="0" w:color="auto"/>
            <w:left w:val="none" w:sz="0" w:space="0" w:color="auto"/>
            <w:bottom w:val="none" w:sz="0" w:space="0" w:color="auto"/>
            <w:right w:val="none" w:sz="0" w:space="0" w:color="auto"/>
          </w:divBdr>
          <w:divsChild>
            <w:div w:id="474421206">
              <w:marLeft w:val="0"/>
              <w:marRight w:val="0"/>
              <w:marTop w:val="0"/>
              <w:marBottom w:val="0"/>
              <w:divBdr>
                <w:top w:val="none" w:sz="0" w:space="0" w:color="auto"/>
                <w:left w:val="none" w:sz="0" w:space="0" w:color="auto"/>
                <w:bottom w:val="none" w:sz="0" w:space="0" w:color="auto"/>
                <w:right w:val="none" w:sz="0" w:space="0" w:color="auto"/>
              </w:divBdr>
              <w:divsChild>
                <w:div w:id="1128208613">
                  <w:marLeft w:val="0"/>
                  <w:marRight w:val="0"/>
                  <w:marTop w:val="0"/>
                  <w:marBottom w:val="0"/>
                  <w:divBdr>
                    <w:top w:val="none" w:sz="0" w:space="0" w:color="auto"/>
                    <w:left w:val="none" w:sz="0" w:space="0" w:color="auto"/>
                    <w:bottom w:val="none" w:sz="0" w:space="0" w:color="auto"/>
                    <w:right w:val="none" w:sz="0" w:space="0" w:color="auto"/>
                  </w:divBdr>
                  <w:divsChild>
                    <w:div w:id="969869621">
                      <w:marLeft w:val="0"/>
                      <w:marRight w:val="0"/>
                      <w:marTop w:val="0"/>
                      <w:marBottom w:val="0"/>
                      <w:divBdr>
                        <w:top w:val="none" w:sz="0" w:space="0" w:color="auto"/>
                        <w:left w:val="none" w:sz="0" w:space="0" w:color="auto"/>
                        <w:bottom w:val="none" w:sz="0" w:space="0" w:color="auto"/>
                        <w:right w:val="none" w:sz="0" w:space="0" w:color="auto"/>
                      </w:divBdr>
                      <w:divsChild>
                        <w:div w:id="1941717465">
                          <w:marLeft w:val="0"/>
                          <w:marRight w:val="0"/>
                          <w:marTop w:val="0"/>
                          <w:marBottom w:val="0"/>
                          <w:divBdr>
                            <w:top w:val="none" w:sz="0" w:space="0" w:color="auto"/>
                            <w:left w:val="none" w:sz="0" w:space="0" w:color="auto"/>
                            <w:bottom w:val="none" w:sz="0" w:space="0" w:color="auto"/>
                            <w:right w:val="none" w:sz="0" w:space="0" w:color="auto"/>
                          </w:divBdr>
                          <w:divsChild>
                            <w:div w:id="953291807">
                              <w:marLeft w:val="0"/>
                              <w:marRight w:val="0"/>
                              <w:marTop w:val="0"/>
                              <w:marBottom w:val="0"/>
                              <w:divBdr>
                                <w:top w:val="none" w:sz="0" w:space="0" w:color="auto"/>
                                <w:left w:val="none" w:sz="0" w:space="0" w:color="auto"/>
                                <w:bottom w:val="none" w:sz="0" w:space="0" w:color="auto"/>
                                <w:right w:val="none" w:sz="0" w:space="0" w:color="auto"/>
                              </w:divBdr>
                              <w:divsChild>
                                <w:div w:id="1293824432">
                                  <w:marLeft w:val="0"/>
                                  <w:marRight w:val="0"/>
                                  <w:marTop w:val="0"/>
                                  <w:marBottom w:val="0"/>
                                  <w:divBdr>
                                    <w:top w:val="none" w:sz="0" w:space="0" w:color="auto"/>
                                    <w:left w:val="none" w:sz="0" w:space="0" w:color="auto"/>
                                    <w:bottom w:val="none" w:sz="0" w:space="0" w:color="auto"/>
                                    <w:right w:val="none" w:sz="0" w:space="0" w:color="auto"/>
                                  </w:divBdr>
                                  <w:divsChild>
                                    <w:div w:id="4417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347417">
          <w:marLeft w:val="0"/>
          <w:marRight w:val="0"/>
          <w:marTop w:val="0"/>
          <w:marBottom w:val="0"/>
          <w:divBdr>
            <w:top w:val="none" w:sz="0" w:space="0" w:color="auto"/>
            <w:left w:val="none" w:sz="0" w:space="0" w:color="auto"/>
            <w:bottom w:val="none" w:sz="0" w:space="0" w:color="auto"/>
            <w:right w:val="none" w:sz="0" w:space="0" w:color="auto"/>
          </w:divBdr>
          <w:divsChild>
            <w:div w:id="2091192395">
              <w:marLeft w:val="0"/>
              <w:marRight w:val="0"/>
              <w:marTop w:val="0"/>
              <w:marBottom w:val="0"/>
              <w:divBdr>
                <w:top w:val="none" w:sz="0" w:space="0" w:color="auto"/>
                <w:left w:val="none" w:sz="0" w:space="0" w:color="auto"/>
                <w:bottom w:val="none" w:sz="0" w:space="0" w:color="auto"/>
                <w:right w:val="none" w:sz="0" w:space="0" w:color="auto"/>
              </w:divBdr>
              <w:divsChild>
                <w:div w:id="964845247">
                  <w:marLeft w:val="0"/>
                  <w:marRight w:val="0"/>
                  <w:marTop w:val="0"/>
                  <w:marBottom w:val="0"/>
                  <w:divBdr>
                    <w:top w:val="none" w:sz="0" w:space="0" w:color="auto"/>
                    <w:left w:val="none" w:sz="0" w:space="0" w:color="auto"/>
                    <w:bottom w:val="none" w:sz="0" w:space="0" w:color="auto"/>
                    <w:right w:val="none" w:sz="0" w:space="0" w:color="auto"/>
                  </w:divBdr>
                  <w:divsChild>
                    <w:div w:id="753673133">
                      <w:marLeft w:val="0"/>
                      <w:marRight w:val="0"/>
                      <w:marTop w:val="0"/>
                      <w:marBottom w:val="0"/>
                      <w:divBdr>
                        <w:top w:val="none" w:sz="0" w:space="0" w:color="auto"/>
                        <w:left w:val="none" w:sz="0" w:space="0" w:color="auto"/>
                        <w:bottom w:val="none" w:sz="0" w:space="0" w:color="auto"/>
                        <w:right w:val="none" w:sz="0" w:space="0" w:color="auto"/>
                      </w:divBdr>
                      <w:divsChild>
                        <w:div w:id="922880662">
                          <w:marLeft w:val="0"/>
                          <w:marRight w:val="0"/>
                          <w:marTop w:val="0"/>
                          <w:marBottom w:val="0"/>
                          <w:divBdr>
                            <w:top w:val="none" w:sz="0" w:space="0" w:color="auto"/>
                            <w:left w:val="none" w:sz="0" w:space="0" w:color="auto"/>
                            <w:bottom w:val="none" w:sz="0" w:space="0" w:color="auto"/>
                            <w:right w:val="none" w:sz="0" w:space="0" w:color="auto"/>
                          </w:divBdr>
                          <w:divsChild>
                            <w:div w:id="690690471">
                              <w:marLeft w:val="0"/>
                              <w:marRight w:val="0"/>
                              <w:marTop w:val="0"/>
                              <w:marBottom w:val="0"/>
                              <w:divBdr>
                                <w:top w:val="none" w:sz="0" w:space="0" w:color="auto"/>
                                <w:left w:val="none" w:sz="0" w:space="0" w:color="auto"/>
                                <w:bottom w:val="none" w:sz="0" w:space="0" w:color="auto"/>
                                <w:right w:val="none" w:sz="0" w:space="0" w:color="auto"/>
                              </w:divBdr>
                              <w:divsChild>
                                <w:div w:id="1349871127">
                                  <w:marLeft w:val="0"/>
                                  <w:marRight w:val="0"/>
                                  <w:marTop w:val="0"/>
                                  <w:marBottom w:val="0"/>
                                  <w:divBdr>
                                    <w:top w:val="none" w:sz="0" w:space="0" w:color="auto"/>
                                    <w:left w:val="none" w:sz="0" w:space="0" w:color="auto"/>
                                    <w:bottom w:val="none" w:sz="0" w:space="0" w:color="auto"/>
                                    <w:right w:val="none" w:sz="0" w:space="0" w:color="auto"/>
                                  </w:divBdr>
                                  <w:divsChild>
                                    <w:div w:id="1504011883">
                                      <w:marLeft w:val="0"/>
                                      <w:marRight w:val="0"/>
                                      <w:marTop w:val="0"/>
                                      <w:marBottom w:val="0"/>
                                      <w:divBdr>
                                        <w:top w:val="none" w:sz="0" w:space="0" w:color="auto"/>
                                        <w:left w:val="none" w:sz="0" w:space="0" w:color="auto"/>
                                        <w:bottom w:val="none" w:sz="0" w:space="0" w:color="auto"/>
                                        <w:right w:val="none" w:sz="0" w:space="0" w:color="auto"/>
                                      </w:divBdr>
                                      <w:divsChild>
                                        <w:div w:id="1744375925">
                                          <w:marLeft w:val="0"/>
                                          <w:marRight w:val="0"/>
                                          <w:marTop w:val="0"/>
                                          <w:marBottom w:val="0"/>
                                          <w:divBdr>
                                            <w:top w:val="none" w:sz="0" w:space="0" w:color="auto"/>
                                            <w:left w:val="none" w:sz="0" w:space="0" w:color="auto"/>
                                            <w:bottom w:val="none" w:sz="0" w:space="0" w:color="auto"/>
                                            <w:right w:val="none" w:sz="0" w:space="0" w:color="auto"/>
                                          </w:divBdr>
                                          <w:divsChild>
                                            <w:div w:id="2040083796">
                                              <w:marLeft w:val="0"/>
                                              <w:marRight w:val="0"/>
                                              <w:marTop w:val="0"/>
                                              <w:marBottom w:val="0"/>
                                              <w:divBdr>
                                                <w:top w:val="none" w:sz="0" w:space="0" w:color="auto"/>
                                                <w:left w:val="none" w:sz="0" w:space="0" w:color="auto"/>
                                                <w:bottom w:val="none" w:sz="0" w:space="0" w:color="auto"/>
                                                <w:right w:val="none" w:sz="0" w:space="0" w:color="auto"/>
                                              </w:divBdr>
                                              <w:divsChild>
                                                <w:div w:id="1508640845">
                                                  <w:marLeft w:val="0"/>
                                                  <w:marRight w:val="0"/>
                                                  <w:marTop w:val="0"/>
                                                  <w:marBottom w:val="0"/>
                                                  <w:divBdr>
                                                    <w:top w:val="none" w:sz="0" w:space="0" w:color="auto"/>
                                                    <w:left w:val="none" w:sz="0" w:space="0" w:color="auto"/>
                                                    <w:bottom w:val="none" w:sz="0" w:space="0" w:color="auto"/>
                                                    <w:right w:val="none" w:sz="0" w:space="0" w:color="auto"/>
                                                  </w:divBdr>
                                                  <w:divsChild>
                                                    <w:div w:id="15024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825">
                                              <w:marLeft w:val="0"/>
                                              <w:marRight w:val="0"/>
                                              <w:marTop w:val="0"/>
                                              <w:marBottom w:val="0"/>
                                              <w:divBdr>
                                                <w:top w:val="none" w:sz="0" w:space="0" w:color="auto"/>
                                                <w:left w:val="none" w:sz="0" w:space="0" w:color="auto"/>
                                                <w:bottom w:val="none" w:sz="0" w:space="0" w:color="auto"/>
                                                <w:right w:val="none" w:sz="0" w:space="0" w:color="auto"/>
                                              </w:divBdr>
                                              <w:divsChild>
                                                <w:div w:id="19103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168835">
      <w:bodyDiv w:val="1"/>
      <w:marLeft w:val="0"/>
      <w:marRight w:val="0"/>
      <w:marTop w:val="0"/>
      <w:marBottom w:val="0"/>
      <w:divBdr>
        <w:top w:val="none" w:sz="0" w:space="0" w:color="auto"/>
        <w:left w:val="none" w:sz="0" w:space="0" w:color="auto"/>
        <w:bottom w:val="none" w:sz="0" w:space="0" w:color="auto"/>
        <w:right w:val="none" w:sz="0" w:space="0" w:color="auto"/>
      </w:divBdr>
      <w:divsChild>
        <w:div w:id="1091006874">
          <w:marLeft w:val="0"/>
          <w:marRight w:val="0"/>
          <w:marTop w:val="0"/>
          <w:marBottom w:val="0"/>
          <w:divBdr>
            <w:top w:val="none" w:sz="0" w:space="0" w:color="auto"/>
            <w:left w:val="none" w:sz="0" w:space="0" w:color="auto"/>
            <w:bottom w:val="none" w:sz="0" w:space="0" w:color="auto"/>
            <w:right w:val="none" w:sz="0" w:space="0" w:color="auto"/>
          </w:divBdr>
          <w:divsChild>
            <w:div w:id="355272890">
              <w:marLeft w:val="0"/>
              <w:marRight w:val="0"/>
              <w:marTop w:val="0"/>
              <w:marBottom w:val="0"/>
              <w:divBdr>
                <w:top w:val="none" w:sz="0" w:space="0" w:color="auto"/>
                <w:left w:val="none" w:sz="0" w:space="0" w:color="auto"/>
                <w:bottom w:val="none" w:sz="0" w:space="0" w:color="auto"/>
                <w:right w:val="none" w:sz="0" w:space="0" w:color="auto"/>
              </w:divBdr>
              <w:divsChild>
                <w:div w:id="812408295">
                  <w:marLeft w:val="0"/>
                  <w:marRight w:val="0"/>
                  <w:marTop w:val="0"/>
                  <w:marBottom w:val="0"/>
                  <w:divBdr>
                    <w:top w:val="none" w:sz="0" w:space="0" w:color="auto"/>
                    <w:left w:val="none" w:sz="0" w:space="0" w:color="auto"/>
                    <w:bottom w:val="none" w:sz="0" w:space="0" w:color="auto"/>
                    <w:right w:val="none" w:sz="0" w:space="0" w:color="auto"/>
                  </w:divBdr>
                  <w:divsChild>
                    <w:div w:id="1347709170">
                      <w:marLeft w:val="0"/>
                      <w:marRight w:val="0"/>
                      <w:marTop w:val="0"/>
                      <w:marBottom w:val="0"/>
                      <w:divBdr>
                        <w:top w:val="none" w:sz="0" w:space="0" w:color="auto"/>
                        <w:left w:val="none" w:sz="0" w:space="0" w:color="auto"/>
                        <w:bottom w:val="none" w:sz="0" w:space="0" w:color="auto"/>
                        <w:right w:val="none" w:sz="0" w:space="0" w:color="auto"/>
                      </w:divBdr>
                      <w:divsChild>
                        <w:div w:id="1229223726">
                          <w:marLeft w:val="0"/>
                          <w:marRight w:val="0"/>
                          <w:marTop w:val="0"/>
                          <w:marBottom w:val="0"/>
                          <w:divBdr>
                            <w:top w:val="none" w:sz="0" w:space="0" w:color="auto"/>
                            <w:left w:val="none" w:sz="0" w:space="0" w:color="auto"/>
                            <w:bottom w:val="none" w:sz="0" w:space="0" w:color="auto"/>
                            <w:right w:val="none" w:sz="0" w:space="0" w:color="auto"/>
                          </w:divBdr>
                          <w:divsChild>
                            <w:div w:id="186918082">
                              <w:marLeft w:val="0"/>
                              <w:marRight w:val="0"/>
                              <w:marTop w:val="0"/>
                              <w:marBottom w:val="0"/>
                              <w:divBdr>
                                <w:top w:val="none" w:sz="0" w:space="0" w:color="auto"/>
                                <w:left w:val="none" w:sz="0" w:space="0" w:color="auto"/>
                                <w:bottom w:val="none" w:sz="0" w:space="0" w:color="auto"/>
                                <w:right w:val="none" w:sz="0" w:space="0" w:color="auto"/>
                              </w:divBdr>
                              <w:divsChild>
                                <w:div w:id="484784963">
                                  <w:marLeft w:val="0"/>
                                  <w:marRight w:val="0"/>
                                  <w:marTop w:val="0"/>
                                  <w:marBottom w:val="0"/>
                                  <w:divBdr>
                                    <w:top w:val="none" w:sz="0" w:space="0" w:color="auto"/>
                                    <w:left w:val="none" w:sz="0" w:space="0" w:color="auto"/>
                                    <w:bottom w:val="none" w:sz="0" w:space="0" w:color="auto"/>
                                    <w:right w:val="none" w:sz="0" w:space="0" w:color="auto"/>
                                  </w:divBdr>
                                  <w:divsChild>
                                    <w:div w:id="3627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891">
          <w:marLeft w:val="0"/>
          <w:marRight w:val="0"/>
          <w:marTop w:val="0"/>
          <w:marBottom w:val="0"/>
          <w:divBdr>
            <w:top w:val="none" w:sz="0" w:space="0" w:color="auto"/>
            <w:left w:val="none" w:sz="0" w:space="0" w:color="auto"/>
            <w:bottom w:val="none" w:sz="0" w:space="0" w:color="auto"/>
            <w:right w:val="none" w:sz="0" w:space="0" w:color="auto"/>
          </w:divBdr>
          <w:divsChild>
            <w:div w:id="885917479">
              <w:marLeft w:val="0"/>
              <w:marRight w:val="0"/>
              <w:marTop w:val="0"/>
              <w:marBottom w:val="0"/>
              <w:divBdr>
                <w:top w:val="none" w:sz="0" w:space="0" w:color="auto"/>
                <w:left w:val="none" w:sz="0" w:space="0" w:color="auto"/>
                <w:bottom w:val="none" w:sz="0" w:space="0" w:color="auto"/>
                <w:right w:val="none" w:sz="0" w:space="0" w:color="auto"/>
              </w:divBdr>
              <w:divsChild>
                <w:div w:id="1025520391">
                  <w:marLeft w:val="0"/>
                  <w:marRight w:val="0"/>
                  <w:marTop w:val="0"/>
                  <w:marBottom w:val="0"/>
                  <w:divBdr>
                    <w:top w:val="none" w:sz="0" w:space="0" w:color="auto"/>
                    <w:left w:val="none" w:sz="0" w:space="0" w:color="auto"/>
                    <w:bottom w:val="none" w:sz="0" w:space="0" w:color="auto"/>
                    <w:right w:val="none" w:sz="0" w:space="0" w:color="auto"/>
                  </w:divBdr>
                  <w:divsChild>
                    <w:div w:id="731806573">
                      <w:marLeft w:val="0"/>
                      <w:marRight w:val="0"/>
                      <w:marTop w:val="0"/>
                      <w:marBottom w:val="0"/>
                      <w:divBdr>
                        <w:top w:val="none" w:sz="0" w:space="0" w:color="auto"/>
                        <w:left w:val="none" w:sz="0" w:space="0" w:color="auto"/>
                        <w:bottom w:val="none" w:sz="0" w:space="0" w:color="auto"/>
                        <w:right w:val="none" w:sz="0" w:space="0" w:color="auto"/>
                      </w:divBdr>
                      <w:divsChild>
                        <w:div w:id="856621964">
                          <w:marLeft w:val="0"/>
                          <w:marRight w:val="0"/>
                          <w:marTop w:val="0"/>
                          <w:marBottom w:val="0"/>
                          <w:divBdr>
                            <w:top w:val="none" w:sz="0" w:space="0" w:color="auto"/>
                            <w:left w:val="none" w:sz="0" w:space="0" w:color="auto"/>
                            <w:bottom w:val="none" w:sz="0" w:space="0" w:color="auto"/>
                            <w:right w:val="none" w:sz="0" w:space="0" w:color="auto"/>
                          </w:divBdr>
                          <w:divsChild>
                            <w:div w:id="1691637280">
                              <w:marLeft w:val="0"/>
                              <w:marRight w:val="0"/>
                              <w:marTop w:val="0"/>
                              <w:marBottom w:val="0"/>
                              <w:divBdr>
                                <w:top w:val="none" w:sz="0" w:space="0" w:color="auto"/>
                                <w:left w:val="none" w:sz="0" w:space="0" w:color="auto"/>
                                <w:bottom w:val="none" w:sz="0" w:space="0" w:color="auto"/>
                                <w:right w:val="none" w:sz="0" w:space="0" w:color="auto"/>
                              </w:divBdr>
                              <w:divsChild>
                                <w:div w:id="131020456">
                                  <w:marLeft w:val="0"/>
                                  <w:marRight w:val="0"/>
                                  <w:marTop w:val="0"/>
                                  <w:marBottom w:val="0"/>
                                  <w:divBdr>
                                    <w:top w:val="none" w:sz="0" w:space="0" w:color="auto"/>
                                    <w:left w:val="none" w:sz="0" w:space="0" w:color="auto"/>
                                    <w:bottom w:val="none" w:sz="0" w:space="0" w:color="auto"/>
                                    <w:right w:val="none" w:sz="0" w:space="0" w:color="auto"/>
                                  </w:divBdr>
                                  <w:divsChild>
                                    <w:div w:id="1636645989">
                                      <w:marLeft w:val="0"/>
                                      <w:marRight w:val="0"/>
                                      <w:marTop w:val="0"/>
                                      <w:marBottom w:val="0"/>
                                      <w:divBdr>
                                        <w:top w:val="none" w:sz="0" w:space="0" w:color="auto"/>
                                        <w:left w:val="none" w:sz="0" w:space="0" w:color="auto"/>
                                        <w:bottom w:val="none" w:sz="0" w:space="0" w:color="auto"/>
                                        <w:right w:val="none" w:sz="0" w:space="0" w:color="auto"/>
                                      </w:divBdr>
                                      <w:divsChild>
                                        <w:div w:id="208346904">
                                          <w:marLeft w:val="0"/>
                                          <w:marRight w:val="0"/>
                                          <w:marTop w:val="0"/>
                                          <w:marBottom w:val="0"/>
                                          <w:divBdr>
                                            <w:top w:val="none" w:sz="0" w:space="0" w:color="auto"/>
                                            <w:left w:val="none" w:sz="0" w:space="0" w:color="auto"/>
                                            <w:bottom w:val="none" w:sz="0" w:space="0" w:color="auto"/>
                                            <w:right w:val="none" w:sz="0" w:space="0" w:color="auto"/>
                                          </w:divBdr>
                                          <w:divsChild>
                                            <w:div w:id="911353548">
                                              <w:marLeft w:val="0"/>
                                              <w:marRight w:val="0"/>
                                              <w:marTop w:val="0"/>
                                              <w:marBottom w:val="0"/>
                                              <w:divBdr>
                                                <w:top w:val="none" w:sz="0" w:space="0" w:color="auto"/>
                                                <w:left w:val="none" w:sz="0" w:space="0" w:color="auto"/>
                                                <w:bottom w:val="none" w:sz="0" w:space="0" w:color="auto"/>
                                                <w:right w:val="none" w:sz="0" w:space="0" w:color="auto"/>
                                              </w:divBdr>
                                              <w:divsChild>
                                                <w:div w:id="1645164149">
                                                  <w:marLeft w:val="0"/>
                                                  <w:marRight w:val="0"/>
                                                  <w:marTop w:val="0"/>
                                                  <w:marBottom w:val="0"/>
                                                  <w:divBdr>
                                                    <w:top w:val="none" w:sz="0" w:space="0" w:color="auto"/>
                                                    <w:left w:val="none" w:sz="0" w:space="0" w:color="auto"/>
                                                    <w:bottom w:val="none" w:sz="0" w:space="0" w:color="auto"/>
                                                    <w:right w:val="none" w:sz="0" w:space="0" w:color="auto"/>
                                                  </w:divBdr>
                                                  <w:divsChild>
                                                    <w:div w:id="1503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1711">
                                              <w:marLeft w:val="0"/>
                                              <w:marRight w:val="0"/>
                                              <w:marTop w:val="0"/>
                                              <w:marBottom w:val="0"/>
                                              <w:divBdr>
                                                <w:top w:val="none" w:sz="0" w:space="0" w:color="auto"/>
                                                <w:left w:val="none" w:sz="0" w:space="0" w:color="auto"/>
                                                <w:bottom w:val="none" w:sz="0" w:space="0" w:color="auto"/>
                                                <w:right w:val="none" w:sz="0" w:space="0" w:color="auto"/>
                                              </w:divBdr>
                                              <w:divsChild>
                                                <w:div w:id="1958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318752">
      <w:bodyDiv w:val="1"/>
      <w:marLeft w:val="0"/>
      <w:marRight w:val="0"/>
      <w:marTop w:val="0"/>
      <w:marBottom w:val="0"/>
      <w:divBdr>
        <w:top w:val="none" w:sz="0" w:space="0" w:color="auto"/>
        <w:left w:val="none" w:sz="0" w:space="0" w:color="auto"/>
        <w:bottom w:val="none" w:sz="0" w:space="0" w:color="auto"/>
        <w:right w:val="none" w:sz="0" w:space="0" w:color="auto"/>
      </w:divBdr>
    </w:div>
    <w:div w:id="393436131">
      <w:bodyDiv w:val="1"/>
      <w:marLeft w:val="0"/>
      <w:marRight w:val="0"/>
      <w:marTop w:val="0"/>
      <w:marBottom w:val="0"/>
      <w:divBdr>
        <w:top w:val="none" w:sz="0" w:space="0" w:color="auto"/>
        <w:left w:val="none" w:sz="0" w:space="0" w:color="auto"/>
        <w:bottom w:val="none" w:sz="0" w:space="0" w:color="auto"/>
        <w:right w:val="none" w:sz="0" w:space="0" w:color="auto"/>
      </w:divBdr>
    </w:div>
    <w:div w:id="411270965">
      <w:bodyDiv w:val="1"/>
      <w:marLeft w:val="0"/>
      <w:marRight w:val="0"/>
      <w:marTop w:val="0"/>
      <w:marBottom w:val="0"/>
      <w:divBdr>
        <w:top w:val="none" w:sz="0" w:space="0" w:color="auto"/>
        <w:left w:val="none" w:sz="0" w:space="0" w:color="auto"/>
        <w:bottom w:val="none" w:sz="0" w:space="0" w:color="auto"/>
        <w:right w:val="none" w:sz="0" w:space="0" w:color="auto"/>
      </w:divBdr>
    </w:div>
    <w:div w:id="531267385">
      <w:bodyDiv w:val="1"/>
      <w:marLeft w:val="0"/>
      <w:marRight w:val="0"/>
      <w:marTop w:val="0"/>
      <w:marBottom w:val="0"/>
      <w:divBdr>
        <w:top w:val="none" w:sz="0" w:space="0" w:color="auto"/>
        <w:left w:val="none" w:sz="0" w:space="0" w:color="auto"/>
        <w:bottom w:val="none" w:sz="0" w:space="0" w:color="auto"/>
        <w:right w:val="none" w:sz="0" w:space="0" w:color="auto"/>
      </w:divBdr>
      <w:divsChild>
        <w:div w:id="518936601">
          <w:marLeft w:val="0"/>
          <w:marRight w:val="0"/>
          <w:marTop w:val="0"/>
          <w:marBottom w:val="0"/>
          <w:divBdr>
            <w:top w:val="none" w:sz="0" w:space="0" w:color="auto"/>
            <w:left w:val="none" w:sz="0" w:space="0" w:color="auto"/>
            <w:bottom w:val="none" w:sz="0" w:space="0" w:color="auto"/>
            <w:right w:val="none" w:sz="0" w:space="0" w:color="auto"/>
          </w:divBdr>
          <w:divsChild>
            <w:div w:id="799418832">
              <w:marLeft w:val="0"/>
              <w:marRight w:val="0"/>
              <w:marTop w:val="0"/>
              <w:marBottom w:val="0"/>
              <w:divBdr>
                <w:top w:val="none" w:sz="0" w:space="0" w:color="auto"/>
                <w:left w:val="none" w:sz="0" w:space="0" w:color="auto"/>
                <w:bottom w:val="none" w:sz="0" w:space="0" w:color="auto"/>
                <w:right w:val="none" w:sz="0" w:space="0" w:color="auto"/>
              </w:divBdr>
            </w:div>
          </w:divsChild>
        </w:div>
        <w:div w:id="2009599902">
          <w:marLeft w:val="0"/>
          <w:marRight w:val="0"/>
          <w:marTop w:val="0"/>
          <w:marBottom w:val="0"/>
          <w:divBdr>
            <w:top w:val="none" w:sz="0" w:space="0" w:color="auto"/>
            <w:left w:val="none" w:sz="0" w:space="0" w:color="auto"/>
            <w:bottom w:val="none" w:sz="0" w:space="0" w:color="auto"/>
            <w:right w:val="none" w:sz="0" w:space="0" w:color="auto"/>
          </w:divBdr>
          <w:divsChild>
            <w:div w:id="224071040">
              <w:marLeft w:val="0"/>
              <w:marRight w:val="0"/>
              <w:marTop w:val="0"/>
              <w:marBottom w:val="0"/>
              <w:divBdr>
                <w:top w:val="none" w:sz="0" w:space="0" w:color="auto"/>
                <w:left w:val="none" w:sz="0" w:space="0" w:color="auto"/>
                <w:bottom w:val="none" w:sz="0" w:space="0" w:color="auto"/>
                <w:right w:val="none" w:sz="0" w:space="0" w:color="auto"/>
              </w:divBdr>
            </w:div>
          </w:divsChild>
        </w:div>
        <w:div w:id="2052534927">
          <w:marLeft w:val="0"/>
          <w:marRight w:val="0"/>
          <w:marTop w:val="0"/>
          <w:marBottom w:val="0"/>
          <w:divBdr>
            <w:top w:val="none" w:sz="0" w:space="0" w:color="auto"/>
            <w:left w:val="none" w:sz="0" w:space="0" w:color="auto"/>
            <w:bottom w:val="none" w:sz="0" w:space="0" w:color="auto"/>
            <w:right w:val="none" w:sz="0" w:space="0" w:color="auto"/>
          </w:divBdr>
          <w:divsChild>
            <w:div w:id="1887374300">
              <w:marLeft w:val="0"/>
              <w:marRight w:val="0"/>
              <w:marTop w:val="0"/>
              <w:marBottom w:val="0"/>
              <w:divBdr>
                <w:top w:val="none" w:sz="0" w:space="0" w:color="auto"/>
                <w:left w:val="none" w:sz="0" w:space="0" w:color="auto"/>
                <w:bottom w:val="none" w:sz="0" w:space="0" w:color="auto"/>
                <w:right w:val="none" w:sz="0" w:space="0" w:color="auto"/>
              </w:divBdr>
            </w:div>
          </w:divsChild>
        </w:div>
        <w:div w:id="1292978032">
          <w:marLeft w:val="0"/>
          <w:marRight w:val="0"/>
          <w:marTop w:val="0"/>
          <w:marBottom w:val="0"/>
          <w:divBdr>
            <w:top w:val="none" w:sz="0" w:space="0" w:color="auto"/>
            <w:left w:val="none" w:sz="0" w:space="0" w:color="auto"/>
            <w:bottom w:val="none" w:sz="0" w:space="0" w:color="auto"/>
            <w:right w:val="none" w:sz="0" w:space="0" w:color="auto"/>
          </w:divBdr>
          <w:divsChild>
            <w:div w:id="1931507252">
              <w:marLeft w:val="0"/>
              <w:marRight w:val="0"/>
              <w:marTop w:val="0"/>
              <w:marBottom w:val="0"/>
              <w:divBdr>
                <w:top w:val="none" w:sz="0" w:space="0" w:color="auto"/>
                <w:left w:val="none" w:sz="0" w:space="0" w:color="auto"/>
                <w:bottom w:val="none" w:sz="0" w:space="0" w:color="auto"/>
                <w:right w:val="none" w:sz="0" w:space="0" w:color="auto"/>
              </w:divBdr>
            </w:div>
          </w:divsChild>
        </w:div>
        <w:div w:id="1087314359">
          <w:marLeft w:val="0"/>
          <w:marRight w:val="0"/>
          <w:marTop w:val="0"/>
          <w:marBottom w:val="0"/>
          <w:divBdr>
            <w:top w:val="none" w:sz="0" w:space="0" w:color="auto"/>
            <w:left w:val="none" w:sz="0" w:space="0" w:color="auto"/>
            <w:bottom w:val="none" w:sz="0" w:space="0" w:color="auto"/>
            <w:right w:val="none" w:sz="0" w:space="0" w:color="auto"/>
          </w:divBdr>
          <w:divsChild>
            <w:div w:id="610472839">
              <w:marLeft w:val="0"/>
              <w:marRight w:val="0"/>
              <w:marTop w:val="0"/>
              <w:marBottom w:val="0"/>
              <w:divBdr>
                <w:top w:val="none" w:sz="0" w:space="0" w:color="auto"/>
                <w:left w:val="none" w:sz="0" w:space="0" w:color="auto"/>
                <w:bottom w:val="none" w:sz="0" w:space="0" w:color="auto"/>
                <w:right w:val="none" w:sz="0" w:space="0" w:color="auto"/>
              </w:divBdr>
            </w:div>
          </w:divsChild>
        </w:div>
        <w:div w:id="1177228655">
          <w:marLeft w:val="0"/>
          <w:marRight w:val="0"/>
          <w:marTop w:val="0"/>
          <w:marBottom w:val="0"/>
          <w:divBdr>
            <w:top w:val="none" w:sz="0" w:space="0" w:color="auto"/>
            <w:left w:val="none" w:sz="0" w:space="0" w:color="auto"/>
            <w:bottom w:val="none" w:sz="0" w:space="0" w:color="auto"/>
            <w:right w:val="none" w:sz="0" w:space="0" w:color="auto"/>
          </w:divBdr>
          <w:divsChild>
            <w:div w:id="75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2318">
      <w:bodyDiv w:val="1"/>
      <w:marLeft w:val="0"/>
      <w:marRight w:val="0"/>
      <w:marTop w:val="0"/>
      <w:marBottom w:val="0"/>
      <w:divBdr>
        <w:top w:val="none" w:sz="0" w:space="0" w:color="auto"/>
        <w:left w:val="none" w:sz="0" w:space="0" w:color="auto"/>
        <w:bottom w:val="none" w:sz="0" w:space="0" w:color="auto"/>
        <w:right w:val="none" w:sz="0" w:space="0" w:color="auto"/>
      </w:divBdr>
    </w:div>
    <w:div w:id="613246192">
      <w:bodyDiv w:val="1"/>
      <w:marLeft w:val="0"/>
      <w:marRight w:val="0"/>
      <w:marTop w:val="0"/>
      <w:marBottom w:val="0"/>
      <w:divBdr>
        <w:top w:val="none" w:sz="0" w:space="0" w:color="auto"/>
        <w:left w:val="none" w:sz="0" w:space="0" w:color="auto"/>
        <w:bottom w:val="none" w:sz="0" w:space="0" w:color="auto"/>
        <w:right w:val="none" w:sz="0" w:space="0" w:color="auto"/>
      </w:divBdr>
    </w:div>
    <w:div w:id="666832870">
      <w:bodyDiv w:val="1"/>
      <w:marLeft w:val="0"/>
      <w:marRight w:val="0"/>
      <w:marTop w:val="0"/>
      <w:marBottom w:val="0"/>
      <w:divBdr>
        <w:top w:val="none" w:sz="0" w:space="0" w:color="auto"/>
        <w:left w:val="none" w:sz="0" w:space="0" w:color="auto"/>
        <w:bottom w:val="none" w:sz="0" w:space="0" w:color="auto"/>
        <w:right w:val="none" w:sz="0" w:space="0" w:color="auto"/>
      </w:divBdr>
    </w:div>
    <w:div w:id="716706595">
      <w:bodyDiv w:val="1"/>
      <w:marLeft w:val="0"/>
      <w:marRight w:val="0"/>
      <w:marTop w:val="0"/>
      <w:marBottom w:val="0"/>
      <w:divBdr>
        <w:top w:val="none" w:sz="0" w:space="0" w:color="auto"/>
        <w:left w:val="none" w:sz="0" w:space="0" w:color="auto"/>
        <w:bottom w:val="none" w:sz="0" w:space="0" w:color="auto"/>
        <w:right w:val="none" w:sz="0" w:space="0" w:color="auto"/>
      </w:divBdr>
    </w:div>
    <w:div w:id="753749237">
      <w:bodyDiv w:val="1"/>
      <w:marLeft w:val="0"/>
      <w:marRight w:val="0"/>
      <w:marTop w:val="0"/>
      <w:marBottom w:val="0"/>
      <w:divBdr>
        <w:top w:val="none" w:sz="0" w:space="0" w:color="auto"/>
        <w:left w:val="none" w:sz="0" w:space="0" w:color="auto"/>
        <w:bottom w:val="none" w:sz="0" w:space="0" w:color="auto"/>
        <w:right w:val="none" w:sz="0" w:space="0" w:color="auto"/>
      </w:divBdr>
      <w:divsChild>
        <w:div w:id="2107799088">
          <w:marLeft w:val="0"/>
          <w:marRight w:val="0"/>
          <w:marTop w:val="0"/>
          <w:marBottom w:val="0"/>
          <w:divBdr>
            <w:top w:val="none" w:sz="0" w:space="0" w:color="auto"/>
            <w:left w:val="none" w:sz="0" w:space="0" w:color="auto"/>
            <w:bottom w:val="none" w:sz="0" w:space="0" w:color="auto"/>
            <w:right w:val="none" w:sz="0" w:space="0" w:color="auto"/>
          </w:divBdr>
          <w:divsChild>
            <w:div w:id="726874743">
              <w:marLeft w:val="0"/>
              <w:marRight w:val="0"/>
              <w:marTop w:val="0"/>
              <w:marBottom w:val="0"/>
              <w:divBdr>
                <w:top w:val="none" w:sz="0" w:space="0" w:color="auto"/>
                <w:left w:val="none" w:sz="0" w:space="0" w:color="auto"/>
                <w:bottom w:val="none" w:sz="0" w:space="0" w:color="auto"/>
                <w:right w:val="none" w:sz="0" w:space="0" w:color="auto"/>
              </w:divBdr>
              <w:divsChild>
                <w:div w:id="1858691614">
                  <w:marLeft w:val="0"/>
                  <w:marRight w:val="0"/>
                  <w:marTop w:val="0"/>
                  <w:marBottom w:val="0"/>
                  <w:divBdr>
                    <w:top w:val="none" w:sz="0" w:space="0" w:color="auto"/>
                    <w:left w:val="none" w:sz="0" w:space="0" w:color="auto"/>
                    <w:bottom w:val="none" w:sz="0" w:space="0" w:color="auto"/>
                    <w:right w:val="none" w:sz="0" w:space="0" w:color="auto"/>
                  </w:divBdr>
                  <w:divsChild>
                    <w:div w:id="2097091154">
                      <w:marLeft w:val="0"/>
                      <w:marRight w:val="0"/>
                      <w:marTop w:val="0"/>
                      <w:marBottom w:val="0"/>
                      <w:divBdr>
                        <w:top w:val="none" w:sz="0" w:space="0" w:color="auto"/>
                        <w:left w:val="none" w:sz="0" w:space="0" w:color="auto"/>
                        <w:bottom w:val="none" w:sz="0" w:space="0" w:color="auto"/>
                        <w:right w:val="none" w:sz="0" w:space="0" w:color="auto"/>
                      </w:divBdr>
                      <w:divsChild>
                        <w:div w:id="1730686195">
                          <w:marLeft w:val="0"/>
                          <w:marRight w:val="0"/>
                          <w:marTop w:val="0"/>
                          <w:marBottom w:val="0"/>
                          <w:divBdr>
                            <w:top w:val="none" w:sz="0" w:space="0" w:color="auto"/>
                            <w:left w:val="none" w:sz="0" w:space="0" w:color="auto"/>
                            <w:bottom w:val="none" w:sz="0" w:space="0" w:color="auto"/>
                            <w:right w:val="none" w:sz="0" w:space="0" w:color="auto"/>
                          </w:divBdr>
                          <w:divsChild>
                            <w:div w:id="1211846174">
                              <w:marLeft w:val="0"/>
                              <w:marRight w:val="0"/>
                              <w:marTop w:val="0"/>
                              <w:marBottom w:val="0"/>
                              <w:divBdr>
                                <w:top w:val="none" w:sz="0" w:space="0" w:color="auto"/>
                                <w:left w:val="none" w:sz="0" w:space="0" w:color="auto"/>
                                <w:bottom w:val="none" w:sz="0" w:space="0" w:color="auto"/>
                                <w:right w:val="none" w:sz="0" w:space="0" w:color="auto"/>
                              </w:divBdr>
                              <w:divsChild>
                                <w:div w:id="3431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867191">
          <w:marLeft w:val="0"/>
          <w:marRight w:val="0"/>
          <w:marTop w:val="0"/>
          <w:marBottom w:val="0"/>
          <w:divBdr>
            <w:top w:val="none" w:sz="0" w:space="0" w:color="auto"/>
            <w:left w:val="none" w:sz="0" w:space="0" w:color="auto"/>
            <w:bottom w:val="none" w:sz="0" w:space="0" w:color="auto"/>
            <w:right w:val="none" w:sz="0" w:space="0" w:color="auto"/>
          </w:divBdr>
          <w:divsChild>
            <w:div w:id="693918655">
              <w:marLeft w:val="0"/>
              <w:marRight w:val="0"/>
              <w:marTop w:val="0"/>
              <w:marBottom w:val="0"/>
              <w:divBdr>
                <w:top w:val="none" w:sz="0" w:space="0" w:color="auto"/>
                <w:left w:val="none" w:sz="0" w:space="0" w:color="auto"/>
                <w:bottom w:val="none" w:sz="0" w:space="0" w:color="auto"/>
                <w:right w:val="none" w:sz="0" w:space="0" w:color="auto"/>
              </w:divBdr>
              <w:divsChild>
                <w:div w:id="1606955936">
                  <w:marLeft w:val="0"/>
                  <w:marRight w:val="0"/>
                  <w:marTop w:val="0"/>
                  <w:marBottom w:val="0"/>
                  <w:divBdr>
                    <w:top w:val="none" w:sz="0" w:space="0" w:color="auto"/>
                    <w:left w:val="none" w:sz="0" w:space="0" w:color="auto"/>
                    <w:bottom w:val="none" w:sz="0" w:space="0" w:color="auto"/>
                    <w:right w:val="none" w:sz="0" w:space="0" w:color="auto"/>
                  </w:divBdr>
                  <w:divsChild>
                    <w:div w:id="269439117">
                      <w:marLeft w:val="0"/>
                      <w:marRight w:val="0"/>
                      <w:marTop w:val="0"/>
                      <w:marBottom w:val="0"/>
                      <w:divBdr>
                        <w:top w:val="none" w:sz="0" w:space="0" w:color="auto"/>
                        <w:left w:val="none" w:sz="0" w:space="0" w:color="auto"/>
                        <w:bottom w:val="none" w:sz="0" w:space="0" w:color="auto"/>
                        <w:right w:val="none" w:sz="0" w:space="0" w:color="auto"/>
                      </w:divBdr>
                      <w:divsChild>
                        <w:div w:id="937980544">
                          <w:marLeft w:val="0"/>
                          <w:marRight w:val="0"/>
                          <w:marTop w:val="0"/>
                          <w:marBottom w:val="0"/>
                          <w:divBdr>
                            <w:top w:val="none" w:sz="0" w:space="0" w:color="auto"/>
                            <w:left w:val="none" w:sz="0" w:space="0" w:color="auto"/>
                            <w:bottom w:val="none" w:sz="0" w:space="0" w:color="auto"/>
                            <w:right w:val="none" w:sz="0" w:space="0" w:color="auto"/>
                          </w:divBdr>
                        </w:div>
                        <w:div w:id="1014107870">
                          <w:marLeft w:val="0"/>
                          <w:marRight w:val="0"/>
                          <w:marTop w:val="0"/>
                          <w:marBottom w:val="0"/>
                          <w:divBdr>
                            <w:top w:val="none" w:sz="0" w:space="0" w:color="auto"/>
                            <w:left w:val="none" w:sz="0" w:space="0" w:color="auto"/>
                            <w:bottom w:val="none" w:sz="0" w:space="0" w:color="auto"/>
                            <w:right w:val="none" w:sz="0" w:space="0" w:color="auto"/>
                          </w:divBdr>
                        </w:div>
                        <w:div w:id="1536502091">
                          <w:marLeft w:val="0"/>
                          <w:marRight w:val="0"/>
                          <w:marTop w:val="0"/>
                          <w:marBottom w:val="0"/>
                          <w:divBdr>
                            <w:top w:val="none" w:sz="0" w:space="0" w:color="auto"/>
                            <w:left w:val="none" w:sz="0" w:space="0" w:color="auto"/>
                            <w:bottom w:val="none" w:sz="0" w:space="0" w:color="auto"/>
                            <w:right w:val="none" w:sz="0" w:space="0" w:color="auto"/>
                          </w:divBdr>
                        </w:div>
                        <w:div w:id="901453675">
                          <w:marLeft w:val="0"/>
                          <w:marRight w:val="0"/>
                          <w:marTop w:val="0"/>
                          <w:marBottom w:val="0"/>
                          <w:divBdr>
                            <w:top w:val="none" w:sz="0" w:space="0" w:color="auto"/>
                            <w:left w:val="none" w:sz="0" w:space="0" w:color="auto"/>
                            <w:bottom w:val="none" w:sz="0" w:space="0" w:color="auto"/>
                            <w:right w:val="none" w:sz="0" w:space="0" w:color="auto"/>
                          </w:divBdr>
                        </w:div>
                        <w:div w:id="1702583299">
                          <w:marLeft w:val="0"/>
                          <w:marRight w:val="0"/>
                          <w:marTop w:val="0"/>
                          <w:marBottom w:val="0"/>
                          <w:divBdr>
                            <w:top w:val="none" w:sz="0" w:space="0" w:color="auto"/>
                            <w:left w:val="none" w:sz="0" w:space="0" w:color="auto"/>
                            <w:bottom w:val="none" w:sz="0" w:space="0" w:color="auto"/>
                            <w:right w:val="none" w:sz="0" w:space="0" w:color="auto"/>
                          </w:divBdr>
                        </w:div>
                        <w:div w:id="2144496191">
                          <w:marLeft w:val="0"/>
                          <w:marRight w:val="0"/>
                          <w:marTop w:val="0"/>
                          <w:marBottom w:val="0"/>
                          <w:divBdr>
                            <w:top w:val="none" w:sz="0" w:space="0" w:color="auto"/>
                            <w:left w:val="none" w:sz="0" w:space="0" w:color="auto"/>
                            <w:bottom w:val="none" w:sz="0" w:space="0" w:color="auto"/>
                            <w:right w:val="none" w:sz="0" w:space="0" w:color="auto"/>
                          </w:divBdr>
                        </w:div>
                      </w:divsChild>
                    </w:div>
                    <w:div w:id="449672096">
                      <w:marLeft w:val="0"/>
                      <w:marRight w:val="0"/>
                      <w:marTop w:val="0"/>
                      <w:marBottom w:val="0"/>
                      <w:divBdr>
                        <w:top w:val="none" w:sz="0" w:space="0" w:color="auto"/>
                        <w:left w:val="none" w:sz="0" w:space="0" w:color="auto"/>
                        <w:bottom w:val="none" w:sz="0" w:space="0" w:color="auto"/>
                        <w:right w:val="none" w:sz="0" w:space="0" w:color="auto"/>
                      </w:divBdr>
                      <w:divsChild>
                        <w:div w:id="688221589">
                          <w:marLeft w:val="0"/>
                          <w:marRight w:val="0"/>
                          <w:marTop w:val="0"/>
                          <w:marBottom w:val="0"/>
                          <w:divBdr>
                            <w:top w:val="none" w:sz="0" w:space="0" w:color="auto"/>
                            <w:left w:val="none" w:sz="0" w:space="0" w:color="auto"/>
                            <w:bottom w:val="none" w:sz="0" w:space="0" w:color="auto"/>
                            <w:right w:val="none" w:sz="0" w:space="0" w:color="auto"/>
                          </w:divBdr>
                          <w:divsChild>
                            <w:div w:id="12482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852497007">
      <w:bodyDiv w:val="1"/>
      <w:marLeft w:val="0"/>
      <w:marRight w:val="0"/>
      <w:marTop w:val="0"/>
      <w:marBottom w:val="0"/>
      <w:divBdr>
        <w:top w:val="none" w:sz="0" w:space="0" w:color="auto"/>
        <w:left w:val="none" w:sz="0" w:space="0" w:color="auto"/>
        <w:bottom w:val="none" w:sz="0" w:space="0" w:color="auto"/>
        <w:right w:val="none" w:sz="0" w:space="0" w:color="auto"/>
      </w:divBdr>
    </w:div>
    <w:div w:id="872574318">
      <w:bodyDiv w:val="1"/>
      <w:marLeft w:val="0"/>
      <w:marRight w:val="0"/>
      <w:marTop w:val="0"/>
      <w:marBottom w:val="0"/>
      <w:divBdr>
        <w:top w:val="none" w:sz="0" w:space="0" w:color="auto"/>
        <w:left w:val="none" w:sz="0" w:space="0" w:color="auto"/>
        <w:bottom w:val="none" w:sz="0" w:space="0" w:color="auto"/>
        <w:right w:val="none" w:sz="0" w:space="0" w:color="auto"/>
      </w:divBdr>
    </w:div>
    <w:div w:id="904294865">
      <w:bodyDiv w:val="1"/>
      <w:marLeft w:val="0"/>
      <w:marRight w:val="0"/>
      <w:marTop w:val="0"/>
      <w:marBottom w:val="0"/>
      <w:divBdr>
        <w:top w:val="none" w:sz="0" w:space="0" w:color="auto"/>
        <w:left w:val="none" w:sz="0" w:space="0" w:color="auto"/>
        <w:bottom w:val="none" w:sz="0" w:space="0" w:color="auto"/>
        <w:right w:val="none" w:sz="0" w:space="0" w:color="auto"/>
      </w:divBdr>
      <w:divsChild>
        <w:div w:id="185292336">
          <w:marLeft w:val="0"/>
          <w:marRight w:val="0"/>
          <w:marTop w:val="0"/>
          <w:marBottom w:val="0"/>
          <w:divBdr>
            <w:top w:val="none" w:sz="0" w:space="0" w:color="auto"/>
            <w:left w:val="none" w:sz="0" w:space="0" w:color="auto"/>
            <w:bottom w:val="none" w:sz="0" w:space="0" w:color="auto"/>
            <w:right w:val="none" w:sz="0" w:space="0" w:color="auto"/>
          </w:divBdr>
          <w:divsChild>
            <w:div w:id="1399786597">
              <w:marLeft w:val="0"/>
              <w:marRight w:val="0"/>
              <w:marTop w:val="0"/>
              <w:marBottom w:val="0"/>
              <w:divBdr>
                <w:top w:val="none" w:sz="0" w:space="0" w:color="auto"/>
                <w:left w:val="none" w:sz="0" w:space="0" w:color="auto"/>
                <w:bottom w:val="none" w:sz="0" w:space="0" w:color="auto"/>
                <w:right w:val="none" w:sz="0" w:space="0" w:color="auto"/>
              </w:divBdr>
            </w:div>
          </w:divsChild>
        </w:div>
        <w:div w:id="1818036749">
          <w:marLeft w:val="0"/>
          <w:marRight w:val="0"/>
          <w:marTop w:val="0"/>
          <w:marBottom w:val="0"/>
          <w:divBdr>
            <w:top w:val="none" w:sz="0" w:space="0" w:color="auto"/>
            <w:left w:val="none" w:sz="0" w:space="0" w:color="auto"/>
            <w:bottom w:val="none" w:sz="0" w:space="0" w:color="auto"/>
            <w:right w:val="none" w:sz="0" w:space="0" w:color="auto"/>
          </w:divBdr>
          <w:divsChild>
            <w:div w:id="7143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2016">
      <w:bodyDiv w:val="1"/>
      <w:marLeft w:val="0"/>
      <w:marRight w:val="0"/>
      <w:marTop w:val="0"/>
      <w:marBottom w:val="0"/>
      <w:divBdr>
        <w:top w:val="none" w:sz="0" w:space="0" w:color="auto"/>
        <w:left w:val="none" w:sz="0" w:space="0" w:color="auto"/>
        <w:bottom w:val="none" w:sz="0" w:space="0" w:color="auto"/>
        <w:right w:val="none" w:sz="0" w:space="0" w:color="auto"/>
      </w:divBdr>
    </w:div>
    <w:div w:id="946736239">
      <w:bodyDiv w:val="1"/>
      <w:marLeft w:val="0"/>
      <w:marRight w:val="0"/>
      <w:marTop w:val="0"/>
      <w:marBottom w:val="0"/>
      <w:divBdr>
        <w:top w:val="none" w:sz="0" w:space="0" w:color="auto"/>
        <w:left w:val="none" w:sz="0" w:space="0" w:color="auto"/>
        <w:bottom w:val="none" w:sz="0" w:space="0" w:color="auto"/>
        <w:right w:val="none" w:sz="0" w:space="0" w:color="auto"/>
      </w:divBdr>
      <w:divsChild>
        <w:div w:id="631250721">
          <w:marLeft w:val="0"/>
          <w:marRight w:val="0"/>
          <w:marTop w:val="0"/>
          <w:marBottom w:val="0"/>
          <w:divBdr>
            <w:top w:val="none" w:sz="0" w:space="0" w:color="auto"/>
            <w:left w:val="none" w:sz="0" w:space="0" w:color="auto"/>
            <w:bottom w:val="none" w:sz="0" w:space="0" w:color="auto"/>
            <w:right w:val="none" w:sz="0" w:space="0" w:color="auto"/>
          </w:divBdr>
          <w:divsChild>
            <w:div w:id="211622928">
              <w:marLeft w:val="0"/>
              <w:marRight w:val="0"/>
              <w:marTop w:val="0"/>
              <w:marBottom w:val="0"/>
              <w:divBdr>
                <w:top w:val="none" w:sz="0" w:space="0" w:color="auto"/>
                <w:left w:val="none" w:sz="0" w:space="0" w:color="auto"/>
                <w:bottom w:val="none" w:sz="0" w:space="0" w:color="auto"/>
                <w:right w:val="none" w:sz="0" w:space="0" w:color="auto"/>
              </w:divBdr>
              <w:divsChild>
                <w:div w:id="301692219">
                  <w:marLeft w:val="0"/>
                  <w:marRight w:val="0"/>
                  <w:marTop w:val="0"/>
                  <w:marBottom w:val="0"/>
                  <w:divBdr>
                    <w:top w:val="none" w:sz="0" w:space="0" w:color="auto"/>
                    <w:left w:val="none" w:sz="0" w:space="0" w:color="auto"/>
                    <w:bottom w:val="none" w:sz="0" w:space="0" w:color="auto"/>
                    <w:right w:val="none" w:sz="0" w:space="0" w:color="auto"/>
                  </w:divBdr>
                  <w:divsChild>
                    <w:div w:id="939918674">
                      <w:marLeft w:val="0"/>
                      <w:marRight w:val="0"/>
                      <w:marTop w:val="0"/>
                      <w:marBottom w:val="0"/>
                      <w:divBdr>
                        <w:top w:val="none" w:sz="0" w:space="0" w:color="auto"/>
                        <w:left w:val="none" w:sz="0" w:space="0" w:color="auto"/>
                        <w:bottom w:val="none" w:sz="0" w:space="0" w:color="auto"/>
                        <w:right w:val="none" w:sz="0" w:space="0" w:color="auto"/>
                      </w:divBdr>
                      <w:divsChild>
                        <w:div w:id="359359173">
                          <w:marLeft w:val="0"/>
                          <w:marRight w:val="0"/>
                          <w:marTop w:val="0"/>
                          <w:marBottom w:val="0"/>
                          <w:divBdr>
                            <w:top w:val="none" w:sz="0" w:space="0" w:color="auto"/>
                            <w:left w:val="none" w:sz="0" w:space="0" w:color="auto"/>
                            <w:bottom w:val="none" w:sz="0" w:space="0" w:color="auto"/>
                            <w:right w:val="none" w:sz="0" w:space="0" w:color="auto"/>
                          </w:divBdr>
                          <w:divsChild>
                            <w:div w:id="7919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47822">
      <w:bodyDiv w:val="1"/>
      <w:marLeft w:val="0"/>
      <w:marRight w:val="0"/>
      <w:marTop w:val="0"/>
      <w:marBottom w:val="0"/>
      <w:divBdr>
        <w:top w:val="none" w:sz="0" w:space="0" w:color="auto"/>
        <w:left w:val="none" w:sz="0" w:space="0" w:color="auto"/>
        <w:bottom w:val="none" w:sz="0" w:space="0" w:color="auto"/>
        <w:right w:val="none" w:sz="0" w:space="0" w:color="auto"/>
      </w:divBdr>
    </w:div>
    <w:div w:id="978919794">
      <w:bodyDiv w:val="1"/>
      <w:marLeft w:val="0"/>
      <w:marRight w:val="0"/>
      <w:marTop w:val="0"/>
      <w:marBottom w:val="0"/>
      <w:divBdr>
        <w:top w:val="none" w:sz="0" w:space="0" w:color="auto"/>
        <w:left w:val="none" w:sz="0" w:space="0" w:color="auto"/>
        <w:bottom w:val="none" w:sz="0" w:space="0" w:color="auto"/>
        <w:right w:val="none" w:sz="0" w:space="0" w:color="auto"/>
      </w:divBdr>
    </w:div>
    <w:div w:id="1018309612">
      <w:bodyDiv w:val="1"/>
      <w:marLeft w:val="0"/>
      <w:marRight w:val="0"/>
      <w:marTop w:val="0"/>
      <w:marBottom w:val="0"/>
      <w:divBdr>
        <w:top w:val="none" w:sz="0" w:space="0" w:color="auto"/>
        <w:left w:val="none" w:sz="0" w:space="0" w:color="auto"/>
        <w:bottom w:val="none" w:sz="0" w:space="0" w:color="auto"/>
        <w:right w:val="none" w:sz="0" w:space="0" w:color="auto"/>
      </w:divBdr>
      <w:divsChild>
        <w:div w:id="466507770">
          <w:marLeft w:val="0"/>
          <w:marRight w:val="0"/>
          <w:marTop w:val="0"/>
          <w:marBottom w:val="0"/>
          <w:divBdr>
            <w:top w:val="none" w:sz="0" w:space="0" w:color="auto"/>
            <w:left w:val="none" w:sz="0" w:space="0" w:color="auto"/>
            <w:bottom w:val="none" w:sz="0" w:space="0" w:color="auto"/>
            <w:right w:val="none" w:sz="0" w:space="0" w:color="auto"/>
          </w:divBdr>
          <w:divsChild>
            <w:div w:id="1248341339">
              <w:marLeft w:val="0"/>
              <w:marRight w:val="0"/>
              <w:marTop w:val="0"/>
              <w:marBottom w:val="0"/>
              <w:divBdr>
                <w:top w:val="none" w:sz="0" w:space="0" w:color="auto"/>
                <w:left w:val="none" w:sz="0" w:space="0" w:color="auto"/>
                <w:bottom w:val="none" w:sz="0" w:space="0" w:color="auto"/>
                <w:right w:val="none" w:sz="0" w:space="0" w:color="auto"/>
              </w:divBdr>
              <w:divsChild>
                <w:div w:id="1127118801">
                  <w:marLeft w:val="0"/>
                  <w:marRight w:val="0"/>
                  <w:marTop w:val="0"/>
                  <w:marBottom w:val="0"/>
                  <w:divBdr>
                    <w:top w:val="none" w:sz="0" w:space="0" w:color="auto"/>
                    <w:left w:val="none" w:sz="0" w:space="0" w:color="auto"/>
                    <w:bottom w:val="none" w:sz="0" w:space="0" w:color="auto"/>
                    <w:right w:val="none" w:sz="0" w:space="0" w:color="auto"/>
                  </w:divBdr>
                  <w:divsChild>
                    <w:div w:id="579952228">
                      <w:marLeft w:val="0"/>
                      <w:marRight w:val="0"/>
                      <w:marTop w:val="0"/>
                      <w:marBottom w:val="0"/>
                      <w:divBdr>
                        <w:top w:val="none" w:sz="0" w:space="0" w:color="auto"/>
                        <w:left w:val="none" w:sz="0" w:space="0" w:color="auto"/>
                        <w:bottom w:val="none" w:sz="0" w:space="0" w:color="auto"/>
                        <w:right w:val="none" w:sz="0" w:space="0" w:color="auto"/>
                      </w:divBdr>
                      <w:divsChild>
                        <w:div w:id="480123463">
                          <w:marLeft w:val="0"/>
                          <w:marRight w:val="0"/>
                          <w:marTop w:val="0"/>
                          <w:marBottom w:val="0"/>
                          <w:divBdr>
                            <w:top w:val="none" w:sz="0" w:space="0" w:color="auto"/>
                            <w:left w:val="none" w:sz="0" w:space="0" w:color="auto"/>
                            <w:bottom w:val="none" w:sz="0" w:space="0" w:color="auto"/>
                            <w:right w:val="none" w:sz="0" w:space="0" w:color="auto"/>
                          </w:divBdr>
                          <w:divsChild>
                            <w:div w:id="15715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117282">
      <w:bodyDiv w:val="1"/>
      <w:marLeft w:val="0"/>
      <w:marRight w:val="0"/>
      <w:marTop w:val="0"/>
      <w:marBottom w:val="0"/>
      <w:divBdr>
        <w:top w:val="none" w:sz="0" w:space="0" w:color="auto"/>
        <w:left w:val="none" w:sz="0" w:space="0" w:color="auto"/>
        <w:bottom w:val="none" w:sz="0" w:space="0" w:color="auto"/>
        <w:right w:val="none" w:sz="0" w:space="0" w:color="auto"/>
      </w:divBdr>
      <w:divsChild>
        <w:div w:id="1416364347">
          <w:marLeft w:val="0"/>
          <w:marRight w:val="0"/>
          <w:marTop w:val="0"/>
          <w:marBottom w:val="0"/>
          <w:divBdr>
            <w:top w:val="none" w:sz="0" w:space="0" w:color="auto"/>
            <w:left w:val="none" w:sz="0" w:space="0" w:color="auto"/>
            <w:bottom w:val="none" w:sz="0" w:space="0" w:color="auto"/>
            <w:right w:val="none" w:sz="0" w:space="0" w:color="auto"/>
          </w:divBdr>
          <w:divsChild>
            <w:div w:id="1505049963">
              <w:marLeft w:val="0"/>
              <w:marRight w:val="0"/>
              <w:marTop w:val="0"/>
              <w:marBottom w:val="0"/>
              <w:divBdr>
                <w:top w:val="none" w:sz="0" w:space="0" w:color="auto"/>
                <w:left w:val="none" w:sz="0" w:space="0" w:color="auto"/>
                <w:bottom w:val="none" w:sz="0" w:space="0" w:color="auto"/>
                <w:right w:val="none" w:sz="0" w:space="0" w:color="auto"/>
              </w:divBdr>
              <w:divsChild>
                <w:div w:id="1272519080">
                  <w:marLeft w:val="0"/>
                  <w:marRight w:val="0"/>
                  <w:marTop w:val="0"/>
                  <w:marBottom w:val="0"/>
                  <w:divBdr>
                    <w:top w:val="none" w:sz="0" w:space="0" w:color="auto"/>
                    <w:left w:val="none" w:sz="0" w:space="0" w:color="auto"/>
                    <w:bottom w:val="none" w:sz="0" w:space="0" w:color="auto"/>
                    <w:right w:val="none" w:sz="0" w:space="0" w:color="auto"/>
                  </w:divBdr>
                  <w:divsChild>
                    <w:div w:id="479007991">
                      <w:marLeft w:val="0"/>
                      <w:marRight w:val="0"/>
                      <w:marTop w:val="0"/>
                      <w:marBottom w:val="0"/>
                      <w:divBdr>
                        <w:top w:val="none" w:sz="0" w:space="0" w:color="auto"/>
                        <w:left w:val="none" w:sz="0" w:space="0" w:color="auto"/>
                        <w:bottom w:val="none" w:sz="0" w:space="0" w:color="auto"/>
                        <w:right w:val="none" w:sz="0" w:space="0" w:color="auto"/>
                      </w:divBdr>
                      <w:divsChild>
                        <w:div w:id="794131766">
                          <w:marLeft w:val="0"/>
                          <w:marRight w:val="0"/>
                          <w:marTop w:val="0"/>
                          <w:marBottom w:val="0"/>
                          <w:divBdr>
                            <w:top w:val="none" w:sz="0" w:space="0" w:color="auto"/>
                            <w:left w:val="none" w:sz="0" w:space="0" w:color="auto"/>
                            <w:bottom w:val="none" w:sz="0" w:space="0" w:color="auto"/>
                            <w:right w:val="none" w:sz="0" w:space="0" w:color="auto"/>
                          </w:divBdr>
                          <w:divsChild>
                            <w:div w:id="3506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454122">
      <w:bodyDiv w:val="1"/>
      <w:marLeft w:val="0"/>
      <w:marRight w:val="0"/>
      <w:marTop w:val="0"/>
      <w:marBottom w:val="0"/>
      <w:divBdr>
        <w:top w:val="none" w:sz="0" w:space="0" w:color="auto"/>
        <w:left w:val="none" w:sz="0" w:space="0" w:color="auto"/>
        <w:bottom w:val="none" w:sz="0" w:space="0" w:color="auto"/>
        <w:right w:val="none" w:sz="0" w:space="0" w:color="auto"/>
      </w:divBdr>
      <w:divsChild>
        <w:div w:id="1474327161">
          <w:marLeft w:val="0"/>
          <w:marRight w:val="0"/>
          <w:marTop w:val="0"/>
          <w:marBottom w:val="0"/>
          <w:divBdr>
            <w:top w:val="none" w:sz="0" w:space="0" w:color="auto"/>
            <w:left w:val="none" w:sz="0" w:space="0" w:color="auto"/>
            <w:bottom w:val="none" w:sz="0" w:space="0" w:color="auto"/>
            <w:right w:val="none" w:sz="0" w:space="0" w:color="auto"/>
          </w:divBdr>
          <w:divsChild>
            <w:div w:id="966200136">
              <w:marLeft w:val="0"/>
              <w:marRight w:val="0"/>
              <w:marTop w:val="0"/>
              <w:marBottom w:val="0"/>
              <w:divBdr>
                <w:top w:val="none" w:sz="0" w:space="0" w:color="auto"/>
                <w:left w:val="none" w:sz="0" w:space="0" w:color="auto"/>
                <w:bottom w:val="none" w:sz="0" w:space="0" w:color="auto"/>
                <w:right w:val="none" w:sz="0" w:space="0" w:color="auto"/>
              </w:divBdr>
              <w:divsChild>
                <w:div w:id="122622261">
                  <w:marLeft w:val="0"/>
                  <w:marRight w:val="0"/>
                  <w:marTop w:val="0"/>
                  <w:marBottom w:val="0"/>
                  <w:divBdr>
                    <w:top w:val="none" w:sz="0" w:space="0" w:color="auto"/>
                    <w:left w:val="none" w:sz="0" w:space="0" w:color="auto"/>
                    <w:bottom w:val="none" w:sz="0" w:space="0" w:color="auto"/>
                    <w:right w:val="none" w:sz="0" w:space="0" w:color="auto"/>
                  </w:divBdr>
                  <w:divsChild>
                    <w:div w:id="288708177">
                      <w:marLeft w:val="0"/>
                      <w:marRight w:val="0"/>
                      <w:marTop w:val="0"/>
                      <w:marBottom w:val="0"/>
                      <w:divBdr>
                        <w:top w:val="none" w:sz="0" w:space="0" w:color="auto"/>
                        <w:left w:val="none" w:sz="0" w:space="0" w:color="auto"/>
                        <w:bottom w:val="none" w:sz="0" w:space="0" w:color="auto"/>
                        <w:right w:val="none" w:sz="0" w:space="0" w:color="auto"/>
                      </w:divBdr>
                      <w:divsChild>
                        <w:div w:id="1993412346">
                          <w:marLeft w:val="0"/>
                          <w:marRight w:val="0"/>
                          <w:marTop w:val="0"/>
                          <w:marBottom w:val="0"/>
                          <w:divBdr>
                            <w:top w:val="none" w:sz="0" w:space="0" w:color="auto"/>
                            <w:left w:val="none" w:sz="0" w:space="0" w:color="auto"/>
                            <w:bottom w:val="none" w:sz="0" w:space="0" w:color="auto"/>
                            <w:right w:val="none" w:sz="0" w:space="0" w:color="auto"/>
                          </w:divBdr>
                          <w:divsChild>
                            <w:div w:id="323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831335">
      <w:bodyDiv w:val="1"/>
      <w:marLeft w:val="0"/>
      <w:marRight w:val="0"/>
      <w:marTop w:val="0"/>
      <w:marBottom w:val="0"/>
      <w:divBdr>
        <w:top w:val="none" w:sz="0" w:space="0" w:color="auto"/>
        <w:left w:val="none" w:sz="0" w:space="0" w:color="auto"/>
        <w:bottom w:val="none" w:sz="0" w:space="0" w:color="auto"/>
        <w:right w:val="none" w:sz="0" w:space="0" w:color="auto"/>
      </w:divBdr>
    </w:div>
    <w:div w:id="1114596100">
      <w:bodyDiv w:val="1"/>
      <w:marLeft w:val="0"/>
      <w:marRight w:val="0"/>
      <w:marTop w:val="0"/>
      <w:marBottom w:val="0"/>
      <w:divBdr>
        <w:top w:val="none" w:sz="0" w:space="0" w:color="auto"/>
        <w:left w:val="none" w:sz="0" w:space="0" w:color="auto"/>
        <w:bottom w:val="none" w:sz="0" w:space="0" w:color="auto"/>
        <w:right w:val="none" w:sz="0" w:space="0" w:color="auto"/>
      </w:divBdr>
      <w:divsChild>
        <w:div w:id="390815456">
          <w:marLeft w:val="0"/>
          <w:marRight w:val="0"/>
          <w:marTop w:val="0"/>
          <w:marBottom w:val="0"/>
          <w:divBdr>
            <w:top w:val="none" w:sz="0" w:space="0" w:color="auto"/>
            <w:left w:val="none" w:sz="0" w:space="0" w:color="auto"/>
            <w:bottom w:val="none" w:sz="0" w:space="0" w:color="auto"/>
            <w:right w:val="none" w:sz="0" w:space="0" w:color="auto"/>
          </w:divBdr>
          <w:divsChild>
            <w:div w:id="1125000602">
              <w:marLeft w:val="0"/>
              <w:marRight w:val="0"/>
              <w:marTop w:val="0"/>
              <w:marBottom w:val="0"/>
              <w:divBdr>
                <w:top w:val="none" w:sz="0" w:space="0" w:color="auto"/>
                <w:left w:val="none" w:sz="0" w:space="0" w:color="auto"/>
                <w:bottom w:val="none" w:sz="0" w:space="0" w:color="auto"/>
                <w:right w:val="none" w:sz="0" w:space="0" w:color="auto"/>
              </w:divBdr>
              <w:divsChild>
                <w:div w:id="1760175438">
                  <w:marLeft w:val="0"/>
                  <w:marRight w:val="0"/>
                  <w:marTop w:val="0"/>
                  <w:marBottom w:val="0"/>
                  <w:divBdr>
                    <w:top w:val="none" w:sz="0" w:space="0" w:color="auto"/>
                    <w:left w:val="none" w:sz="0" w:space="0" w:color="auto"/>
                    <w:bottom w:val="none" w:sz="0" w:space="0" w:color="auto"/>
                    <w:right w:val="none" w:sz="0" w:space="0" w:color="auto"/>
                  </w:divBdr>
                  <w:divsChild>
                    <w:div w:id="1284968498">
                      <w:marLeft w:val="0"/>
                      <w:marRight w:val="0"/>
                      <w:marTop w:val="0"/>
                      <w:marBottom w:val="0"/>
                      <w:divBdr>
                        <w:top w:val="none" w:sz="0" w:space="0" w:color="auto"/>
                        <w:left w:val="none" w:sz="0" w:space="0" w:color="auto"/>
                        <w:bottom w:val="none" w:sz="0" w:space="0" w:color="auto"/>
                        <w:right w:val="none" w:sz="0" w:space="0" w:color="auto"/>
                      </w:divBdr>
                      <w:divsChild>
                        <w:div w:id="317077586">
                          <w:marLeft w:val="0"/>
                          <w:marRight w:val="0"/>
                          <w:marTop w:val="0"/>
                          <w:marBottom w:val="0"/>
                          <w:divBdr>
                            <w:top w:val="none" w:sz="0" w:space="0" w:color="auto"/>
                            <w:left w:val="none" w:sz="0" w:space="0" w:color="auto"/>
                            <w:bottom w:val="none" w:sz="0" w:space="0" w:color="auto"/>
                            <w:right w:val="none" w:sz="0" w:space="0" w:color="auto"/>
                          </w:divBdr>
                          <w:divsChild>
                            <w:div w:id="288367105">
                              <w:marLeft w:val="0"/>
                              <w:marRight w:val="0"/>
                              <w:marTop w:val="0"/>
                              <w:marBottom w:val="0"/>
                              <w:divBdr>
                                <w:top w:val="none" w:sz="0" w:space="0" w:color="auto"/>
                                <w:left w:val="none" w:sz="0" w:space="0" w:color="auto"/>
                                <w:bottom w:val="none" w:sz="0" w:space="0" w:color="auto"/>
                                <w:right w:val="none" w:sz="0" w:space="0" w:color="auto"/>
                              </w:divBdr>
                              <w:divsChild>
                                <w:div w:id="15651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52671">
          <w:marLeft w:val="0"/>
          <w:marRight w:val="0"/>
          <w:marTop w:val="0"/>
          <w:marBottom w:val="0"/>
          <w:divBdr>
            <w:top w:val="none" w:sz="0" w:space="0" w:color="auto"/>
            <w:left w:val="none" w:sz="0" w:space="0" w:color="auto"/>
            <w:bottom w:val="none" w:sz="0" w:space="0" w:color="auto"/>
            <w:right w:val="none" w:sz="0" w:space="0" w:color="auto"/>
          </w:divBdr>
          <w:divsChild>
            <w:div w:id="1903757643">
              <w:marLeft w:val="0"/>
              <w:marRight w:val="0"/>
              <w:marTop w:val="0"/>
              <w:marBottom w:val="0"/>
              <w:divBdr>
                <w:top w:val="none" w:sz="0" w:space="0" w:color="auto"/>
                <w:left w:val="none" w:sz="0" w:space="0" w:color="auto"/>
                <w:bottom w:val="none" w:sz="0" w:space="0" w:color="auto"/>
                <w:right w:val="none" w:sz="0" w:space="0" w:color="auto"/>
              </w:divBdr>
              <w:divsChild>
                <w:div w:id="1599630009">
                  <w:marLeft w:val="0"/>
                  <w:marRight w:val="0"/>
                  <w:marTop w:val="0"/>
                  <w:marBottom w:val="0"/>
                  <w:divBdr>
                    <w:top w:val="none" w:sz="0" w:space="0" w:color="auto"/>
                    <w:left w:val="none" w:sz="0" w:space="0" w:color="auto"/>
                    <w:bottom w:val="none" w:sz="0" w:space="0" w:color="auto"/>
                    <w:right w:val="none" w:sz="0" w:space="0" w:color="auto"/>
                  </w:divBdr>
                  <w:divsChild>
                    <w:div w:id="566035391">
                      <w:marLeft w:val="0"/>
                      <w:marRight w:val="0"/>
                      <w:marTop w:val="0"/>
                      <w:marBottom w:val="0"/>
                      <w:divBdr>
                        <w:top w:val="none" w:sz="0" w:space="0" w:color="auto"/>
                        <w:left w:val="none" w:sz="0" w:space="0" w:color="auto"/>
                        <w:bottom w:val="none" w:sz="0" w:space="0" w:color="auto"/>
                        <w:right w:val="none" w:sz="0" w:space="0" w:color="auto"/>
                      </w:divBdr>
                      <w:divsChild>
                        <w:div w:id="1733457154">
                          <w:marLeft w:val="0"/>
                          <w:marRight w:val="0"/>
                          <w:marTop w:val="0"/>
                          <w:marBottom w:val="0"/>
                          <w:divBdr>
                            <w:top w:val="none" w:sz="0" w:space="0" w:color="auto"/>
                            <w:left w:val="none" w:sz="0" w:space="0" w:color="auto"/>
                            <w:bottom w:val="none" w:sz="0" w:space="0" w:color="auto"/>
                            <w:right w:val="none" w:sz="0" w:space="0" w:color="auto"/>
                          </w:divBdr>
                        </w:div>
                        <w:div w:id="71589299">
                          <w:marLeft w:val="0"/>
                          <w:marRight w:val="0"/>
                          <w:marTop w:val="0"/>
                          <w:marBottom w:val="0"/>
                          <w:divBdr>
                            <w:top w:val="none" w:sz="0" w:space="0" w:color="auto"/>
                            <w:left w:val="none" w:sz="0" w:space="0" w:color="auto"/>
                            <w:bottom w:val="none" w:sz="0" w:space="0" w:color="auto"/>
                            <w:right w:val="none" w:sz="0" w:space="0" w:color="auto"/>
                          </w:divBdr>
                        </w:div>
                        <w:div w:id="1124537709">
                          <w:marLeft w:val="0"/>
                          <w:marRight w:val="0"/>
                          <w:marTop w:val="0"/>
                          <w:marBottom w:val="0"/>
                          <w:divBdr>
                            <w:top w:val="none" w:sz="0" w:space="0" w:color="auto"/>
                            <w:left w:val="none" w:sz="0" w:space="0" w:color="auto"/>
                            <w:bottom w:val="none" w:sz="0" w:space="0" w:color="auto"/>
                            <w:right w:val="none" w:sz="0" w:space="0" w:color="auto"/>
                          </w:divBdr>
                        </w:div>
                        <w:div w:id="2051605205">
                          <w:marLeft w:val="0"/>
                          <w:marRight w:val="0"/>
                          <w:marTop w:val="0"/>
                          <w:marBottom w:val="0"/>
                          <w:divBdr>
                            <w:top w:val="none" w:sz="0" w:space="0" w:color="auto"/>
                            <w:left w:val="none" w:sz="0" w:space="0" w:color="auto"/>
                            <w:bottom w:val="none" w:sz="0" w:space="0" w:color="auto"/>
                            <w:right w:val="none" w:sz="0" w:space="0" w:color="auto"/>
                          </w:divBdr>
                        </w:div>
                        <w:div w:id="752357717">
                          <w:marLeft w:val="0"/>
                          <w:marRight w:val="0"/>
                          <w:marTop w:val="0"/>
                          <w:marBottom w:val="0"/>
                          <w:divBdr>
                            <w:top w:val="none" w:sz="0" w:space="0" w:color="auto"/>
                            <w:left w:val="none" w:sz="0" w:space="0" w:color="auto"/>
                            <w:bottom w:val="none" w:sz="0" w:space="0" w:color="auto"/>
                            <w:right w:val="none" w:sz="0" w:space="0" w:color="auto"/>
                          </w:divBdr>
                        </w:div>
                        <w:div w:id="1909725000">
                          <w:marLeft w:val="0"/>
                          <w:marRight w:val="0"/>
                          <w:marTop w:val="0"/>
                          <w:marBottom w:val="0"/>
                          <w:divBdr>
                            <w:top w:val="none" w:sz="0" w:space="0" w:color="auto"/>
                            <w:left w:val="none" w:sz="0" w:space="0" w:color="auto"/>
                            <w:bottom w:val="none" w:sz="0" w:space="0" w:color="auto"/>
                            <w:right w:val="none" w:sz="0" w:space="0" w:color="auto"/>
                          </w:divBdr>
                        </w:div>
                      </w:divsChild>
                    </w:div>
                    <w:div w:id="564417608">
                      <w:marLeft w:val="0"/>
                      <w:marRight w:val="0"/>
                      <w:marTop w:val="0"/>
                      <w:marBottom w:val="0"/>
                      <w:divBdr>
                        <w:top w:val="none" w:sz="0" w:space="0" w:color="auto"/>
                        <w:left w:val="none" w:sz="0" w:space="0" w:color="auto"/>
                        <w:bottom w:val="none" w:sz="0" w:space="0" w:color="auto"/>
                        <w:right w:val="none" w:sz="0" w:space="0" w:color="auto"/>
                      </w:divBdr>
                      <w:divsChild>
                        <w:div w:id="63571158">
                          <w:marLeft w:val="0"/>
                          <w:marRight w:val="0"/>
                          <w:marTop w:val="0"/>
                          <w:marBottom w:val="0"/>
                          <w:divBdr>
                            <w:top w:val="none" w:sz="0" w:space="0" w:color="auto"/>
                            <w:left w:val="none" w:sz="0" w:space="0" w:color="auto"/>
                            <w:bottom w:val="none" w:sz="0" w:space="0" w:color="auto"/>
                            <w:right w:val="none" w:sz="0" w:space="0" w:color="auto"/>
                          </w:divBdr>
                          <w:divsChild>
                            <w:div w:id="13111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02047">
      <w:bodyDiv w:val="1"/>
      <w:marLeft w:val="0"/>
      <w:marRight w:val="0"/>
      <w:marTop w:val="0"/>
      <w:marBottom w:val="0"/>
      <w:divBdr>
        <w:top w:val="none" w:sz="0" w:space="0" w:color="auto"/>
        <w:left w:val="none" w:sz="0" w:space="0" w:color="auto"/>
        <w:bottom w:val="none" w:sz="0" w:space="0" w:color="auto"/>
        <w:right w:val="none" w:sz="0" w:space="0" w:color="auto"/>
      </w:divBdr>
    </w:div>
    <w:div w:id="1295600166">
      <w:bodyDiv w:val="1"/>
      <w:marLeft w:val="0"/>
      <w:marRight w:val="0"/>
      <w:marTop w:val="0"/>
      <w:marBottom w:val="0"/>
      <w:divBdr>
        <w:top w:val="none" w:sz="0" w:space="0" w:color="auto"/>
        <w:left w:val="none" w:sz="0" w:space="0" w:color="auto"/>
        <w:bottom w:val="none" w:sz="0" w:space="0" w:color="auto"/>
        <w:right w:val="none" w:sz="0" w:space="0" w:color="auto"/>
      </w:divBdr>
    </w:div>
    <w:div w:id="1311908116">
      <w:bodyDiv w:val="1"/>
      <w:marLeft w:val="0"/>
      <w:marRight w:val="0"/>
      <w:marTop w:val="0"/>
      <w:marBottom w:val="0"/>
      <w:divBdr>
        <w:top w:val="none" w:sz="0" w:space="0" w:color="auto"/>
        <w:left w:val="none" w:sz="0" w:space="0" w:color="auto"/>
        <w:bottom w:val="none" w:sz="0" w:space="0" w:color="auto"/>
        <w:right w:val="none" w:sz="0" w:space="0" w:color="auto"/>
      </w:divBdr>
      <w:divsChild>
        <w:div w:id="1032345648">
          <w:marLeft w:val="0"/>
          <w:marRight w:val="0"/>
          <w:marTop w:val="0"/>
          <w:marBottom w:val="0"/>
          <w:divBdr>
            <w:top w:val="none" w:sz="0" w:space="0" w:color="auto"/>
            <w:left w:val="none" w:sz="0" w:space="0" w:color="auto"/>
            <w:bottom w:val="none" w:sz="0" w:space="0" w:color="auto"/>
            <w:right w:val="none" w:sz="0" w:space="0" w:color="auto"/>
          </w:divBdr>
          <w:divsChild>
            <w:div w:id="1462114300">
              <w:marLeft w:val="0"/>
              <w:marRight w:val="0"/>
              <w:marTop w:val="0"/>
              <w:marBottom w:val="0"/>
              <w:divBdr>
                <w:top w:val="none" w:sz="0" w:space="0" w:color="auto"/>
                <w:left w:val="none" w:sz="0" w:space="0" w:color="auto"/>
                <w:bottom w:val="none" w:sz="0" w:space="0" w:color="auto"/>
                <w:right w:val="none" w:sz="0" w:space="0" w:color="auto"/>
              </w:divBdr>
              <w:divsChild>
                <w:div w:id="432746011">
                  <w:marLeft w:val="0"/>
                  <w:marRight w:val="0"/>
                  <w:marTop w:val="0"/>
                  <w:marBottom w:val="0"/>
                  <w:divBdr>
                    <w:top w:val="none" w:sz="0" w:space="0" w:color="auto"/>
                    <w:left w:val="none" w:sz="0" w:space="0" w:color="auto"/>
                    <w:bottom w:val="none" w:sz="0" w:space="0" w:color="auto"/>
                    <w:right w:val="none" w:sz="0" w:space="0" w:color="auto"/>
                  </w:divBdr>
                  <w:divsChild>
                    <w:div w:id="1328436414">
                      <w:marLeft w:val="0"/>
                      <w:marRight w:val="0"/>
                      <w:marTop w:val="0"/>
                      <w:marBottom w:val="0"/>
                      <w:divBdr>
                        <w:top w:val="none" w:sz="0" w:space="0" w:color="auto"/>
                        <w:left w:val="none" w:sz="0" w:space="0" w:color="auto"/>
                        <w:bottom w:val="none" w:sz="0" w:space="0" w:color="auto"/>
                        <w:right w:val="none" w:sz="0" w:space="0" w:color="auto"/>
                      </w:divBdr>
                      <w:divsChild>
                        <w:div w:id="1626161402">
                          <w:marLeft w:val="0"/>
                          <w:marRight w:val="0"/>
                          <w:marTop w:val="0"/>
                          <w:marBottom w:val="0"/>
                          <w:divBdr>
                            <w:top w:val="none" w:sz="0" w:space="0" w:color="auto"/>
                            <w:left w:val="none" w:sz="0" w:space="0" w:color="auto"/>
                            <w:bottom w:val="none" w:sz="0" w:space="0" w:color="auto"/>
                            <w:right w:val="none" w:sz="0" w:space="0" w:color="auto"/>
                          </w:divBdr>
                          <w:divsChild>
                            <w:div w:id="18822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836838">
      <w:bodyDiv w:val="1"/>
      <w:marLeft w:val="0"/>
      <w:marRight w:val="0"/>
      <w:marTop w:val="0"/>
      <w:marBottom w:val="0"/>
      <w:divBdr>
        <w:top w:val="none" w:sz="0" w:space="0" w:color="auto"/>
        <w:left w:val="none" w:sz="0" w:space="0" w:color="auto"/>
        <w:bottom w:val="none" w:sz="0" w:space="0" w:color="auto"/>
        <w:right w:val="none" w:sz="0" w:space="0" w:color="auto"/>
      </w:divBdr>
    </w:div>
    <w:div w:id="1441800363">
      <w:bodyDiv w:val="1"/>
      <w:marLeft w:val="0"/>
      <w:marRight w:val="0"/>
      <w:marTop w:val="0"/>
      <w:marBottom w:val="0"/>
      <w:divBdr>
        <w:top w:val="none" w:sz="0" w:space="0" w:color="auto"/>
        <w:left w:val="none" w:sz="0" w:space="0" w:color="auto"/>
        <w:bottom w:val="none" w:sz="0" w:space="0" w:color="auto"/>
        <w:right w:val="none" w:sz="0" w:space="0" w:color="auto"/>
      </w:divBdr>
      <w:divsChild>
        <w:div w:id="1645508245">
          <w:marLeft w:val="0"/>
          <w:marRight w:val="0"/>
          <w:marTop w:val="0"/>
          <w:marBottom w:val="0"/>
          <w:divBdr>
            <w:top w:val="none" w:sz="0" w:space="0" w:color="auto"/>
            <w:left w:val="none" w:sz="0" w:space="0" w:color="auto"/>
            <w:bottom w:val="none" w:sz="0" w:space="0" w:color="auto"/>
            <w:right w:val="none" w:sz="0" w:space="0" w:color="auto"/>
          </w:divBdr>
          <w:divsChild>
            <w:div w:id="1322734840">
              <w:marLeft w:val="0"/>
              <w:marRight w:val="0"/>
              <w:marTop w:val="0"/>
              <w:marBottom w:val="0"/>
              <w:divBdr>
                <w:top w:val="none" w:sz="0" w:space="0" w:color="auto"/>
                <w:left w:val="none" w:sz="0" w:space="0" w:color="auto"/>
                <w:bottom w:val="none" w:sz="0" w:space="0" w:color="auto"/>
                <w:right w:val="none" w:sz="0" w:space="0" w:color="auto"/>
              </w:divBdr>
              <w:divsChild>
                <w:div w:id="1794471789">
                  <w:marLeft w:val="0"/>
                  <w:marRight w:val="0"/>
                  <w:marTop w:val="0"/>
                  <w:marBottom w:val="0"/>
                  <w:divBdr>
                    <w:top w:val="none" w:sz="0" w:space="0" w:color="auto"/>
                    <w:left w:val="none" w:sz="0" w:space="0" w:color="auto"/>
                    <w:bottom w:val="none" w:sz="0" w:space="0" w:color="auto"/>
                    <w:right w:val="none" w:sz="0" w:space="0" w:color="auto"/>
                  </w:divBdr>
                  <w:divsChild>
                    <w:div w:id="680550923">
                      <w:marLeft w:val="0"/>
                      <w:marRight w:val="0"/>
                      <w:marTop w:val="0"/>
                      <w:marBottom w:val="0"/>
                      <w:divBdr>
                        <w:top w:val="none" w:sz="0" w:space="0" w:color="auto"/>
                        <w:left w:val="none" w:sz="0" w:space="0" w:color="auto"/>
                        <w:bottom w:val="none" w:sz="0" w:space="0" w:color="auto"/>
                        <w:right w:val="none" w:sz="0" w:space="0" w:color="auto"/>
                      </w:divBdr>
                      <w:divsChild>
                        <w:div w:id="423382089">
                          <w:marLeft w:val="0"/>
                          <w:marRight w:val="0"/>
                          <w:marTop w:val="0"/>
                          <w:marBottom w:val="0"/>
                          <w:divBdr>
                            <w:top w:val="none" w:sz="0" w:space="0" w:color="auto"/>
                            <w:left w:val="none" w:sz="0" w:space="0" w:color="auto"/>
                            <w:bottom w:val="none" w:sz="0" w:space="0" w:color="auto"/>
                            <w:right w:val="none" w:sz="0" w:space="0" w:color="auto"/>
                          </w:divBdr>
                          <w:divsChild>
                            <w:div w:id="932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738974">
      <w:bodyDiv w:val="1"/>
      <w:marLeft w:val="0"/>
      <w:marRight w:val="0"/>
      <w:marTop w:val="0"/>
      <w:marBottom w:val="0"/>
      <w:divBdr>
        <w:top w:val="none" w:sz="0" w:space="0" w:color="auto"/>
        <w:left w:val="none" w:sz="0" w:space="0" w:color="auto"/>
        <w:bottom w:val="none" w:sz="0" w:space="0" w:color="auto"/>
        <w:right w:val="none" w:sz="0" w:space="0" w:color="auto"/>
      </w:divBdr>
    </w:div>
    <w:div w:id="1513690468">
      <w:bodyDiv w:val="1"/>
      <w:marLeft w:val="0"/>
      <w:marRight w:val="0"/>
      <w:marTop w:val="0"/>
      <w:marBottom w:val="0"/>
      <w:divBdr>
        <w:top w:val="none" w:sz="0" w:space="0" w:color="auto"/>
        <w:left w:val="none" w:sz="0" w:space="0" w:color="auto"/>
        <w:bottom w:val="none" w:sz="0" w:space="0" w:color="auto"/>
        <w:right w:val="none" w:sz="0" w:space="0" w:color="auto"/>
      </w:divBdr>
    </w:div>
    <w:div w:id="1591890125">
      <w:bodyDiv w:val="1"/>
      <w:marLeft w:val="0"/>
      <w:marRight w:val="0"/>
      <w:marTop w:val="0"/>
      <w:marBottom w:val="0"/>
      <w:divBdr>
        <w:top w:val="none" w:sz="0" w:space="0" w:color="auto"/>
        <w:left w:val="none" w:sz="0" w:space="0" w:color="auto"/>
        <w:bottom w:val="none" w:sz="0" w:space="0" w:color="auto"/>
        <w:right w:val="none" w:sz="0" w:space="0" w:color="auto"/>
      </w:divBdr>
      <w:divsChild>
        <w:div w:id="1377201363">
          <w:marLeft w:val="0"/>
          <w:marRight w:val="0"/>
          <w:marTop w:val="0"/>
          <w:marBottom w:val="0"/>
          <w:divBdr>
            <w:top w:val="none" w:sz="0" w:space="0" w:color="auto"/>
            <w:left w:val="none" w:sz="0" w:space="0" w:color="auto"/>
            <w:bottom w:val="none" w:sz="0" w:space="0" w:color="auto"/>
            <w:right w:val="none" w:sz="0" w:space="0" w:color="auto"/>
          </w:divBdr>
          <w:divsChild>
            <w:div w:id="526404946">
              <w:marLeft w:val="0"/>
              <w:marRight w:val="0"/>
              <w:marTop w:val="0"/>
              <w:marBottom w:val="0"/>
              <w:divBdr>
                <w:top w:val="none" w:sz="0" w:space="0" w:color="auto"/>
                <w:left w:val="none" w:sz="0" w:space="0" w:color="auto"/>
                <w:bottom w:val="none" w:sz="0" w:space="0" w:color="auto"/>
                <w:right w:val="none" w:sz="0" w:space="0" w:color="auto"/>
              </w:divBdr>
            </w:div>
          </w:divsChild>
        </w:div>
        <w:div w:id="2110999850">
          <w:marLeft w:val="0"/>
          <w:marRight w:val="0"/>
          <w:marTop w:val="0"/>
          <w:marBottom w:val="0"/>
          <w:divBdr>
            <w:top w:val="none" w:sz="0" w:space="0" w:color="auto"/>
            <w:left w:val="none" w:sz="0" w:space="0" w:color="auto"/>
            <w:bottom w:val="none" w:sz="0" w:space="0" w:color="auto"/>
            <w:right w:val="none" w:sz="0" w:space="0" w:color="auto"/>
          </w:divBdr>
          <w:divsChild>
            <w:div w:id="4788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2862">
      <w:bodyDiv w:val="1"/>
      <w:marLeft w:val="0"/>
      <w:marRight w:val="0"/>
      <w:marTop w:val="0"/>
      <w:marBottom w:val="0"/>
      <w:divBdr>
        <w:top w:val="none" w:sz="0" w:space="0" w:color="auto"/>
        <w:left w:val="none" w:sz="0" w:space="0" w:color="auto"/>
        <w:bottom w:val="none" w:sz="0" w:space="0" w:color="auto"/>
        <w:right w:val="none" w:sz="0" w:space="0" w:color="auto"/>
      </w:divBdr>
    </w:div>
    <w:div w:id="1737435977">
      <w:bodyDiv w:val="1"/>
      <w:marLeft w:val="0"/>
      <w:marRight w:val="0"/>
      <w:marTop w:val="0"/>
      <w:marBottom w:val="0"/>
      <w:divBdr>
        <w:top w:val="none" w:sz="0" w:space="0" w:color="auto"/>
        <w:left w:val="none" w:sz="0" w:space="0" w:color="auto"/>
        <w:bottom w:val="none" w:sz="0" w:space="0" w:color="auto"/>
        <w:right w:val="none" w:sz="0" w:space="0" w:color="auto"/>
      </w:divBdr>
      <w:divsChild>
        <w:div w:id="1201164006">
          <w:marLeft w:val="0"/>
          <w:marRight w:val="0"/>
          <w:marTop w:val="0"/>
          <w:marBottom w:val="0"/>
          <w:divBdr>
            <w:top w:val="none" w:sz="0" w:space="0" w:color="auto"/>
            <w:left w:val="none" w:sz="0" w:space="0" w:color="auto"/>
            <w:bottom w:val="none" w:sz="0" w:space="0" w:color="auto"/>
            <w:right w:val="none" w:sz="0" w:space="0" w:color="auto"/>
          </w:divBdr>
          <w:divsChild>
            <w:div w:id="1777285780">
              <w:marLeft w:val="0"/>
              <w:marRight w:val="0"/>
              <w:marTop w:val="0"/>
              <w:marBottom w:val="0"/>
              <w:divBdr>
                <w:top w:val="none" w:sz="0" w:space="0" w:color="auto"/>
                <w:left w:val="none" w:sz="0" w:space="0" w:color="auto"/>
                <w:bottom w:val="none" w:sz="0" w:space="0" w:color="auto"/>
                <w:right w:val="none" w:sz="0" w:space="0" w:color="auto"/>
              </w:divBdr>
              <w:divsChild>
                <w:div w:id="1791893492">
                  <w:marLeft w:val="0"/>
                  <w:marRight w:val="0"/>
                  <w:marTop w:val="0"/>
                  <w:marBottom w:val="0"/>
                  <w:divBdr>
                    <w:top w:val="none" w:sz="0" w:space="0" w:color="auto"/>
                    <w:left w:val="none" w:sz="0" w:space="0" w:color="auto"/>
                    <w:bottom w:val="none" w:sz="0" w:space="0" w:color="auto"/>
                    <w:right w:val="none" w:sz="0" w:space="0" w:color="auto"/>
                  </w:divBdr>
                  <w:divsChild>
                    <w:div w:id="70008172">
                      <w:marLeft w:val="0"/>
                      <w:marRight w:val="0"/>
                      <w:marTop w:val="0"/>
                      <w:marBottom w:val="0"/>
                      <w:divBdr>
                        <w:top w:val="none" w:sz="0" w:space="0" w:color="auto"/>
                        <w:left w:val="none" w:sz="0" w:space="0" w:color="auto"/>
                        <w:bottom w:val="none" w:sz="0" w:space="0" w:color="auto"/>
                        <w:right w:val="none" w:sz="0" w:space="0" w:color="auto"/>
                      </w:divBdr>
                      <w:divsChild>
                        <w:div w:id="2051147700">
                          <w:marLeft w:val="0"/>
                          <w:marRight w:val="0"/>
                          <w:marTop w:val="0"/>
                          <w:marBottom w:val="0"/>
                          <w:divBdr>
                            <w:top w:val="none" w:sz="0" w:space="0" w:color="auto"/>
                            <w:left w:val="none" w:sz="0" w:space="0" w:color="auto"/>
                            <w:bottom w:val="none" w:sz="0" w:space="0" w:color="auto"/>
                            <w:right w:val="none" w:sz="0" w:space="0" w:color="auto"/>
                          </w:divBdr>
                          <w:divsChild>
                            <w:div w:id="1312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57681">
      <w:bodyDiv w:val="1"/>
      <w:marLeft w:val="0"/>
      <w:marRight w:val="0"/>
      <w:marTop w:val="0"/>
      <w:marBottom w:val="0"/>
      <w:divBdr>
        <w:top w:val="none" w:sz="0" w:space="0" w:color="auto"/>
        <w:left w:val="none" w:sz="0" w:space="0" w:color="auto"/>
        <w:bottom w:val="none" w:sz="0" w:space="0" w:color="auto"/>
        <w:right w:val="none" w:sz="0" w:space="0" w:color="auto"/>
      </w:divBdr>
    </w:div>
    <w:div w:id="1803301793">
      <w:bodyDiv w:val="1"/>
      <w:marLeft w:val="0"/>
      <w:marRight w:val="0"/>
      <w:marTop w:val="0"/>
      <w:marBottom w:val="0"/>
      <w:divBdr>
        <w:top w:val="none" w:sz="0" w:space="0" w:color="auto"/>
        <w:left w:val="none" w:sz="0" w:space="0" w:color="auto"/>
        <w:bottom w:val="none" w:sz="0" w:space="0" w:color="auto"/>
        <w:right w:val="none" w:sz="0" w:space="0" w:color="auto"/>
      </w:divBdr>
      <w:divsChild>
        <w:div w:id="48236087">
          <w:marLeft w:val="0"/>
          <w:marRight w:val="0"/>
          <w:marTop w:val="0"/>
          <w:marBottom w:val="0"/>
          <w:divBdr>
            <w:top w:val="none" w:sz="0" w:space="0" w:color="auto"/>
            <w:left w:val="none" w:sz="0" w:space="0" w:color="auto"/>
            <w:bottom w:val="none" w:sz="0" w:space="0" w:color="auto"/>
            <w:right w:val="none" w:sz="0" w:space="0" w:color="auto"/>
          </w:divBdr>
          <w:divsChild>
            <w:div w:id="880750669">
              <w:marLeft w:val="0"/>
              <w:marRight w:val="0"/>
              <w:marTop w:val="0"/>
              <w:marBottom w:val="0"/>
              <w:divBdr>
                <w:top w:val="none" w:sz="0" w:space="0" w:color="auto"/>
                <w:left w:val="none" w:sz="0" w:space="0" w:color="auto"/>
                <w:bottom w:val="none" w:sz="0" w:space="0" w:color="auto"/>
                <w:right w:val="none" w:sz="0" w:space="0" w:color="auto"/>
              </w:divBdr>
              <w:divsChild>
                <w:div w:id="363866139">
                  <w:marLeft w:val="0"/>
                  <w:marRight w:val="0"/>
                  <w:marTop w:val="0"/>
                  <w:marBottom w:val="0"/>
                  <w:divBdr>
                    <w:top w:val="none" w:sz="0" w:space="0" w:color="auto"/>
                    <w:left w:val="none" w:sz="0" w:space="0" w:color="auto"/>
                    <w:bottom w:val="none" w:sz="0" w:space="0" w:color="auto"/>
                    <w:right w:val="none" w:sz="0" w:space="0" w:color="auto"/>
                  </w:divBdr>
                  <w:divsChild>
                    <w:div w:id="1814986421">
                      <w:marLeft w:val="0"/>
                      <w:marRight w:val="0"/>
                      <w:marTop w:val="0"/>
                      <w:marBottom w:val="0"/>
                      <w:divBdr>
                        <w:top w:val="none" w:sz="0" w:space="0" w:color="auto"/>
                        <w:left w:val="none" w:sz="0" w:space="0" w:color="auto"/>
                        <w:bottom w:val="none" w:sz="0" w:space="0" w:color="auto"/>
                        <w:right w:val="none" w:sz="0" w:space="0" w:color="auto"/>
                      </w:divBdr>
                      <w:divsChild>
                        <w:div w:id="1073702735">
                          <w:marLeft w:val="0"/>
                          <w:marRight w:val="0"/>
                          <w:marTop w:val="0"/>
                          <w:marBottom w:val="0"/>
                          <w:divBdr>
                            <w:top w:val="none" w:sz="0" w:space="0" w:color="auto"/>
                            <w:left w:val="none" w:sz="0" w:space="0" w:color="auto"/>
                            <w:bottom w:val="none" w:sz="0" w:space="0" w:color="auto"/>
                            <w:right w:val="none" w:sz="0" w:space="0" w:color="auto"/>
                          </w:divBdr>
                          <w:divsChild>
                            <w:div w:id="1640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18230">
      <w:bodyDiv w:val="1"/>
      <w:marLeft w:val="0"/>
      <w:marRight w:val="0"/>
      <w:marTop w:val="0"/>
      <w:marBottom w:val="0"/>
      <w:divBdr>
        <w:top w:val="none" w:sz="0" w:space="0" w:color="auto"/>
        <w:left w:val="none" w:sz="0" w:space="0" w:color="auto"/>
        <w:bottom w:val="none" w:sz="0" w:space="0" w:color="auto"/>
        <w:right w:val="none" w:sz="0" w:space="0" w:color="auto"/>
      </w:divBdr>
      <w:divsChild>
        <w:div w:id="863401702">
          <w:marLeft w:val="0"/>
          <w:marRight w:val="0"/>
          <w:marTop w:val="0"/>
          <w:marBottom w:val="0"/>
          <w:divBdr>
            <w:top w:val="none" w:sz="0" w:space="0" w:color="auto"/>
            <w:left w:val="none" w:sz="0" w:space="0" w:color="auto"/>
            <w:bottom w:val="none" w:sz="0" w:space="0" w:color="auto"/>
            <w:right w:val="none" w:sz="0" w:space="0" w:color="auto"/>
          </w:divBdr>
          <w:divsChild>
            <w:div w:id="1994261882">
              <w:marLeft w:val="0"/>
              <w:marRight w:val="0"/>
              <w:marTop w:val="0"/>
              <w:marBottom w:val="0"/>
              <w:divBdr>
                <w:top w:val="none" w:sz="0" w:space="0" w:color="auto"/>
                <w:left w:val="none" w:sz="0" w:space="0" w:color="auto"/>
                <w:bottom w:val="none" w:sz="0" w:space="0" w:color="auto"/>
                <w:right w:val="none" w:sz="0" w:space="0" w:color="auto"/>
              </w:divBdr>
              <w:divsChild>
                <w:div w:id="269511991">
                  <w:marLeft w:val="0"/>
                  <w:marRight w:val="0"/>
                  <w:marTop w:val="0"/>
                  <w:marBottom w:val="0"/>
                  <w:divBdr>
                    <w:top w:val="none" w:sz="0" w:space="0" w:color="auto"/>
                    <w:left w:val="none" w:sz="0" w:space="0" w:color="auto"/>
                    <w:bottom w:val="none" w:sz="0" w:space="0" w:color="auto"/>
                    <w:right w:val="none" w:sz="0" w:space="0" w:color="auto"/>
                  </w:divBdr>
                  <w:divsChild>
                    <w:div w:id="667053094">
                      <w:marLeft w:val="0"/>
                      <w:marRight w:val="0"/>
                      <w:marTop w:val="0"/>
                      <w:marBottom w:val="0"/>
                      <w:divBdr>
                        <w:top w:val="none" w:sz="0" w:space="0" w:color="auto"/>
                        <w:left w:val="none" w:sz="0" w:space="0" w:color="auto"/>
                        <w:bottom w:val="none" w:sz="0" w:space="0" w:color="auto"/>
                        <w:right w:val="none" w:sz="0" w:space="0" w:color="auto"/>
                      </w:divBdr>
                      <w:divsChild>
                        <w:div w:id="1924410819">
                          <w:marLeft w:val="0"/>
                          <w:marRight w:val="0"/>
                          <w:marTop w:val="0"/>
                          <w:marBottom w:val="0"/>
                          <w:divBdr>
                            <w:top w:val="none" w:sz="0" w:space="0" w:color="auto"/>
                            <w:left w:val="none" w:sz="0" w:space="0" w:color="auto"/>
                            <w:bottom w:val="none" w:sz="0" w:space="0" w:color="auto"/>
                            <w:right w:val="none" w:sz="0" w:space="0" w:color="auto"/>
                          </w:divBdr>
                          <w:divsChild>
                            <w:div w:id="15045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034714">
      <w:bodyDiv w:val="1"/>
      <w:marLeft w:val="0"/>
      <w:marRight w:val="0"/>
      <w:marTop w:val="0"/>
      <w:marBottom w:val="0"/>
      <w:divBdr>
        <w:top w:val="none" w:sz="0" w:space="0" w:color="auto"/>
        <w:left w:val="none" w:sz="0" w:space="0" w:color="auto"/>
        <w:bottom w:val="none" w:sz="0" w:space="0" w:color="auto"/>
        <w:right w:val="none" w:sz="0" w:space="0" w:color="auto"/>
      </w:divBdr>
    </w:div>
    <w:div w:id="1992439551">
      <w:bodyDiv w:val="1"/>
      <w:marLeft w:val="0"/>
      <w:marRight w:val="0"/>
      <w:marTop w:val="0"/>
      <w:marBottom w:val="0"/>
      <w:divBdr>
        <w:top w:val="none" w:sz="0" w:space="0" w:color="auto"/>
        <w:left w:val="none" w:sz="0" w:space="0" w:color="auto"/>
        <w:bottom w:val="none" w:sz="0" w:space="0" w:color="auto"/>
        <w:right w:val="none" w:sz="0" w:space="0" w:color="auto"/>
      </w:divBdr>
    </w:div>
    <w:div w:id="2018188347">
      <w:bodyDiv w:val="1"/>
      <w:marLeft w:val="0"/>
      <w:marRight w:val="0"/>
      <w:marTop w:val="0"/>
      <w:marBottom w:val="0"/>
      <w:divBdr>
        <w:top w:val="none" w:sz="0" w:space="0" w:color="auto"/>
        <w:left w:val="none" w:sz="0" w:space="0" w:color="auto"/>
        <w:bottom w:val="none" w:sz="0" w:space="0" w:color="auto"/>
        <w:right w:val="none" w:sz="0" w:space="0" w:color="auto"/>
      </w:divBdr>
    </w:div>
    <w:div w:id="2069304870">
      <w:bodyDiv w:val="1"/>
      <w:marLeft w:val="0"/>
      <w:marRight w:val="0"/>
      <w:marTop w:val="0"/>
      <w:marBottom w:val="0"/>
      <w:divBdr>
        <w:top w:val="none" w:sz="0" w:space="0" w:color="auto"/>
        <w:left w:val="none" w:sz="0" w:space="0" w:color="auto"/>
        <w:bottom w:val="none" w:sz="0" w:space="0" w:color="auto"/>
        <w:right w:val="none" w:sz="0" w:space="0" w:color="auto"/>
      </w:divBdr>
    </w:div>
    <w:div w:id="2082944267">
      <w:bodyDiv w:val="1"/>
      <w:marLeft w:val="0"/>
      <w:marRight w:val="0"/>
      <w:marTop w:val="0"/>
      <w:marBottom w:val="0"/>
      <w:divBdr>
        <w:top w:val="none" w:sz="0" w:space="0" w:color="auto"/>
        <w:left w:val="none" w:sz="0" w:space="0" w:color="auto"/>
        <w:bottom w:val="none" w:sz="0" w:space="0" w:color="auto"/>
        <w:right w:val="none" w:sz="0" w:space="0" w:color="auto"/>
      </w:divBdr>
      <w:divsChild>
        <w:div w:id="1374386831">
          <w:marLeft w:val="0"/>
          <w:marRight w:val="0"/>
          <w:marTop w:val="0"/>
          <w:marBottom w:val="0"/>
          <w:divBdr>
            <w:top w:val="none" w:sz="0" w:space="0" w:color="auto"/>
            <w:left w:val="none" w:sz="0" w:space="0" w:color="auto"/>
            <w:bottom w:val="none" w:sz="0" w:space="0" w:color="auto"/>
            <w:right w:val="none" w:sz="0" w:space="0" w:color="auto"/>
          </w:divBdr>
          <w:divsChild>
            <w:div w:id="662776567">
              <w:marLeft w:val="0"/>
              <w:marRight w:val="0"/>
              <w:marTop w:val="0"/>
              <w:marBottom w:val="0"/>
              <w:divBdr>
                <w:top w:val="none" w:sz="0" w:space="0" w:color="auto"/>
                <w:left w:val="none" w:sz="0" w:space="0" w:color="auto"/>
                <w:bottom w:val="none" w:sz="0" w:space="0" w:color="auto"/>
                <w:right w:val="none" w:sz="0" w:space="0" w:color="auto"/>
              </w:divBdr>
              <w:divsChild>
                <w:div w:id="341397143">
                  <w:marLeft w:val="0"/>
                  <w:marRight w:val="0"/>
                  <w:marTop w:val="0"/>
                  <w:marBottom w:val="0"/>
                  <w:divBdr>
                    <w:top w:val="none" w:sz="0" w:space="0" w:color="auto"/>
                    <w:left w:val="none" w:sz="0" w:space="0" w:color="auto"/>
                    <w:bottom w:val="none" w:sz="0" w:space="0" w:color="auto"/>
                    <w:right w:val="none" w:sz="0" w:space="0" w:color="auto"/>
                  </w:divBdr>
                  <w:divsChild>
                    <w:div w:id="1025984124">
                      <w:marLeft w:val="0"/>
                      <w:marRight w:val="0"/>
                      <w:marTop w:val="0"/>
                      <w:marBottom w:val="0"/>
                      <w:divBdr>
                        <w:top w:val="none" w:sz="0" w:space="0" w:color="auto"/>
                        <w:left w:val="none" w:sz="0" w:space="0" w:color="auto"/>
                        <w:bottom w:val="none" w:sz="0" w:space="0" w:color="auto"/>
                        <w:right w:val="none" w:sz="0" w:space="0" w:color="auto"/>
                      </w:divBdr>
                      <w:divsChild>
                        <w:div w:id="876161235">
                          <w:marLeft w:val="0"/>
                          <w:marRight w:val="0"/>
                          <w:marTop w:val="0"/>
                          <w:marBottom w:val="0"/>
                          <w:divBdr>
                            <w:top w:val="none" w:sz="0" w:space="0" w:color="auto"/>
                            <w:left w:val="none" w:sz="0" w:space="0" w:color="auto"/>
                            <w:bottom w:val="none" w:sz="0" w:space="0" w:color="auto"/>
                            <w:right w:val="none" w:sz="0" w:space="0" w:color="auto"/>
                          </w:divBdr>
                          <w:divsChild>
                            <w:div w:id="16429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474584">
      <w:bodyDiv w:val="1"/>
      <w:marLeft w:val="0"/>
      <w:marRight w:val="0"/>
      <w:marTop w:val="0"/>
      <w:marBottom w:val="0"/>
      <w:divBdr>
        <w:top w:val="none" w:sz="0" w:space="0" w:color="auto"/>
        <w:left w:val="none" w:sz="0" w:space="0" w:color="auto"/>
        <w:bottom w:val="none" w:sz="0" w:space="0" w:color="auto"/>
        <w:right w:val="none" w:sz="0" w:space="0" w:color="auto"/>
      </w:divBdr>
    </w:div>
    <w:div w:id="2119180088">
      <w:bodyDiv w:val="1"/>
      <w:marLeft w:val="0"/>
      <w:marRight w:val="0"/>
      <w:marTop w:val="0"/>
      <w:marBottom w:val="0"/>
      <w:divBdr>
        <w:top w:val="none" w:sz="0" w:space="0" w:color="auto"/>
        <w:left w:val="none" w:sz="0" w:space="0" w:color="auto"/>
        <w:bottom w:val="none" w:sz="0" w:space="0" w:color="auto"/>
        <w:right w:val="none" w:sz="0" w:space="0" w:color="auto"/>
      </w:divBdr>
      <w:divsChild>
        <w:div w:id="1525552867">
          <w:marLeft w:val="0"/>
          <w:marRight w:val="0"/>
          <w:marTop w:val="0"/>
          <w:marBottom w:val="0"/>
          <w:divBdr>
            <w:top w:val="none" w:sz="0" w:space="0" w:color="auto"/>
            <w:left w:val="none" w:sz="0" w:space="0" w:color="auto"/>
            <w:bottom w:val="none" w:sz="0" w:space="0" w:color="auto"/>
            <w:right w:val="none" w:sz="0" w:space="0" w:color="auto"/>
          </w:divBdr>
          <w:divsChild>
            <w:div w:id="2110001622">
              <w:marLeft w:val="0"/>
              <w:marRight w:val="0"/>
              <w:marTop w:val="0"/>
              <w:marBottom w:val="0"/>
              <w:divBdr>
                <w:top w:val="none" w:sz="0" w:space="0" w:color="auto"/>
                <w:left w:val="none" w:sz="0" w:space="0" w:color="auto"/>
                <w:bottom w:val="none" w:sz="0" w:space="0" w:color="auto"/>
                <w:right w:val="none" w:sz="0" w:space="0" w:color="auto"/>
              </w:divBdr>
              <w:divsChild>
                <w:div w:id="1019743813">
                  <w:marLeft w:val="0"/>
                  <w:marRight w:val="0"/>
                  <w:marTop w:val="0"/>
                  <w:marBottom w:val="0"/>
                  <w:divBdr>
                    <w:top w:val="none" w:sz="0" w:space="0" w:color="auto"/>
                    <w:left w:val="none" w:sz="0" w:space="0" w:color="auto"/>
                    <w:bottom w:val="none" w:sz="0" w:space="0" w:color="auto"/>
                    <w:right w:val="none" w:sz="0" w:space="0" w:color="auto"/>
                  </w:divBdr>
                  <w:divsChild>
                    <w:div w:id="1151945918">
                      <w:marLeft w:val="0"/>
                      <w:marRight w:val="0"/>
                      <w:marTop w:val="0"/>
                      <w:marBottom w:val="0"/>
                      <w:divBdr>
                        <w:top w:val="none" w:sz="0" w:space="0" w:color="auto"/>
                        <w:left w:val="none" w:sz="0" w:space="0" w:color="auto"/>
                        <w:bottom w:val="none" w:sz="0" w:space="0" w:color="auto"/>
                        <w:right w:val="none" w:sz="0" w:space="0" w:color="auto"/>
                      </w:divBdr>
                      <w:divsChild>
                        <w:div w:id="530265841">
                          <w:marLeft w:val="0"/>
                          <w:marRight w:val="0"/>
                          <w:marTop w:val="0"/>
                          <w:marBottom w:val="0"/>
                          <w:divBdr>
                            <w:top w:val="none" w:sz="0" w:space="0" w:color="auto"/>
                            <w:left w:val="none" w:sz="0" w:space="0" w:color="auto"/>
                            <w:bottom w:val="none" w:sz="0" w:space="0" w:color="auto"/>
                            <w:right w:val="none" w:sz="0" w:space="0" w:color="auto"/>
                          </w:divBdr>
                          <w:divsChild>
                            <w:div w:id="14150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460239">
      <w:bodyDiv w:val="1"/>
      <w:marLeft w:val="0"/>
      <w:marRight w:val="0"/>
      <w:marTop w:val="0"/>
      <w:marBottom w:val="0"/>
      <w:divBdr>
        <w:top w:val="none" w:sz="0" w:space="0" w:color="auto"/>
        <w:left w:val="none" w:sz="0" w:space="0" w:color="auto"/>
        <w:bottom w:val="none" w:sz="0" w:space="0" w:color="auto"/>
        <w:right w:val="none" w:sz="0" w:space="0" w:color="auto"/>
      </w:divBdr>
      <w:divsChild>
        <w:div w:id="1814909634">
          <w:marLeft w:val="0"/>
          <w:marRight w:val="0"/>
          <w:marTop w:val="0"/>
          <w:marBottom w:val="0"/>
          <w:divBdr>
            <w:top w:val="none" w:sz="0" w:space="0" w:color="auto"/>
            <w:left w:val="none" w:sz="0" w:space="0" w:color="auto"/>
            <w:bottom w:val="none" w:sz="0" w:space="0" w:color="auto"/>
            <w:right w:val="none" w:sz="0" w:space="0" w:color="auto"/>
          </w:divBdr>
          <w:divsChild>
            <w:div w:id="1525822761">
              <w:marLeft w:val="0"/>
              <w:marRight w:val="0"/>
              <w:marTop w:val="0"/>
              <w:marBottom w:val="0"/>
              <w:divBdr>
                <w:top w:val="none" w:sz="0" w:space="0" w:color="auto"/>
                <w:left w:val="none" w:sz="0" w:space="0" w:color="auto"/>
                <w:bottom w:val="none" w:sz="0" w:space="0" w:color="auto"/>
                <w:right w:val="none" w:sz="0" w:space="0" w:color="auto"/>
              </w:divBdr>
              <w:divsChild>
                <w:div w:id="1070084108">
                  <w:marLeft w:val="0"/>
                  <w:marRight w:val="0"/>
                  <w:marTop w:val="0"/>
                  <w:marBottom w:val="0"/>
                  <w:divBdr>
                    <w:top w:val="none" w:sz="0" w:space="0" w:color="auto"/>
                    <w:left w:val="none" w:sz="0" w:space="0" w:color="auto"/>
                    <w:bottom w:val="none" w:sz="0" w:space="0" w:color="auto"/>
                    <w:right w:val="none" w:sz="0" w:space="0" w:color="auto"/>
                  </w:divBdr>
                  <w:divsChild>
                    <w:div w:id="965694735">
                      <w:marLeft w:val="0"/>
                      <w:marRight w:val="0"/>
                      <w:marTop w:val="0"/>
                      <w:marBottom w:val="0"/>
                      <w:divBdr>
                        <w:top w:val="none" w:sz="0" w:space="0" w:color="auto"/>
                        <w:left w:val="none" w:sz="0" w:space="0" w:color="auto"/>
                        <w:bottom w:val="none" w:sz="0" w:space="0" w:color="auto"/>
                        <w:right w:val="none" w:sz="0" w:space="0" w:color="auto"/>
                      </w:divBdr>
                      <w:divsChild>
                        <w:div w:id="2126073286">
                          <w:marLeft w:val="0"/>
                          <w:marRight w:val="0"/>
                          <w:marTop w:val="0"/>
                          <w:marBottom w:val="0"/>
                          <w:divBdr>
                            <w:top w:val="none" w:sz="0" w:space="0" w:color="auto"/>
                            <w:left w:val="none" w:sz="0" w:space="0" w:color="auto"/>
                            <w:bottom w:val="none" w:sz="0" w:space="0" w:color="auto"/>
                            <w:right w:val="none" w:sz="0" w:space="0" w:color="auto"/>
                          </w:divBdr>
                          <w:divsChild>
                            <w:div w:id="8877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1111/cobi.133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unep.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ep.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iucn.org"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fao.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6FD0E-572B-46FC-A63B-4C5A6D9A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21</Pages>
  <Words>6491</Words>
  <Characters>37002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24</cp:revision>
  <dcterms:created xsi:type="dcterms:W3CDTF">2026-05-05T16:22:00Z</dcterms:created>
  <dcterms:modified xsi:type="dcterms:W3CDTF">2026-05-13T14:45:00Z</dcterms:modified>
  <cp:category/>
</cp:coreProperties>
</file>