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4789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478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6969250" w:rsidR="00204042" w:rsidRPr="00847899" w:rsidRDefault="00BC61F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4789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Extension, Economics &amp; Sociology </w:t>
              </w:r>
            </w:hyperlink>
          </w:p>
        </w:tc>
      </w:tr>
      <w:tr w:rsidR="00204042" w:rsidRPr="0084789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478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0972194" w:rsidR="00204042" w:rsidRPr="00847899" w:rsidRDefault="00325C4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Ms_AJAEES_158850</w:t>
            </w:r>
          </w:p>
        </w:tc>
      </w:tr>
      <w:tr w:rsidR="00204042" w:rsidRPr="0084789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478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A100E36" w:rsidR="00204042" w:rsidRPr="00847899" w:rsidRDefault="00325C4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Study on Economic Trends and Instability in Brinjal: Area, Production, Yield, and Market Price Arrivals</w:t>
            </w:r>
          </w:p>
        </w:tc>
      </w:tr>
      <w:tr w:rsidR="00204042" w:rsidRPr="0084789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478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4789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4789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4789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84789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4789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4789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478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4789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4789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4789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4789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78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78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4789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0481DE" w14:textId="77777777" w:rsidR="00430855" w:rsidRPr="00847899" w:rsidRDefault="00430855" w:rsidP="0043085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899">
              <w:rPr>
                <w:rFonts w:ascii="Arial" w:hAnsi="Arial" w:cs="Arial"/>
                <w:sz w:val="20"/>
                <w:szCs w:val="20"/>
              </w:rPr>
              <w:t>The manuscript explores the economic aspects of brinjal cultivation in India by examining long-term trends from 1978 to 2023, along with market price fluctuations in West Bengal. The study is important because it combines national-level production analysis with localized market insights from the Chakdah market hub, providing a broader understanding of the crop’s economic behaviour.</w:t>
            </w:r>
          </w:p>
          <w:p w14:paraId="1BAC91DB" w14:textId="0931592F" w:rsidR="00204042" w:rsidRPr="00847899" w:rsidRDefault="00430855" w:rsidP="0043085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899">
              <w:rPr>
                <w:rFonts w:ascii="Arial" w:hAnsi="Arial" w:cs="Arial"/>
                <w:sz w:val="20"/>
                <w:szCs w:val="20"/>
              </w:rPr>
              <w:t>Using statistical techniques such as the Cuddy-Della Valle Instability Index and Compound Annual Growth Rate (CAGR), the research presents evidence-based findings that may help policymakers improve price stability, strengthen supply chain management, and support better decision-making in the agricultural sector. In addition, the study includes price forecasts for 2025-2026, which can be useful for farmers, traders, and planners in making informed decisions regarding crop planning, marketing strategies, and seasonal resource allocation.</w:t>
            </w:r>
          </w:p>
        </w:tc>
        <w:tc>
          <w:tcPr>
            <w:tcW w:w="1667" w:type="pct"/>
          </w:tcPr>
          <w:p w14:paraId="46643927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4789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4789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4789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478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4789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789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4789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78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4789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478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A503486" w:rsidR="00204042" w:rsidRPr="00847899" w:rsidRDefault="00620837" w:rsidP="006208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1FC005F" w:rsidR="00204042" w:rsidRPr="00847899" w:rsidRDefault="006208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BA73AEA" w:rsidR="00204042" w:rsidRPr="00847899" w:rsidRDefault="006208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98C0D56" w:rsidR="00204042" w:rsidRPr="00847899" w:rsidRDefault="006208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CE84620" w:rsidR="00204042" w:rsidRPr="00847899" w:rsidRDefault="006208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5D72811" w:rsidR="00204042" w:rsidRPr="00847899" w:rsidRDefault="006208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A290A57" w:rsidR="00204042" w:rsidRPr="00847899" w:rsidRDefault="006208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EE76E53" w:rsidR="00204042" w:rsidRPr="00847899" w:rsidRDefault="006208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478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F803D71" w:rsidR="00204042" w:rsidRPr="00847899" w:rsidRDefault="006208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478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4789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4789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5C20957" w:rsidR="00204042" w:rsidRPr="00847899" w:rsidRDefault="006208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478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478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478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F65A1ED" w:rsidR="00204042" w:rsidRPr="00847899" w:rsidRDefault="006208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837" w:rsidRPr="0084789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620837" w:rsidRPr="00847899" w:rsidRDefault="00620837" w:rsidP="006208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620837" w:rsidRPr="00847899" w:rsidRDefault="00620837" w:rsidP="006208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620837" w:rsidRPr="00847899" w:rsidRDefault="00620837" w:rsidP="00620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304E8C6" w:rsidR="00620837" w:rsidRPr="00847899" w:rsidRDefault="00620837" w:rsidP="006208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620837" w:rsidRPr="00847899" w:rsidRDefault="00620837" w:rsidP="00620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837" w:rsidRPr="0084789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620837" w:rsidRPr="00847899" w:rsidRDefault="00620837" w:rsidP="006208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620837" w:rsidRPr="00847899" w:rsidRDefault="00620837" w:rsidP="006208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620837" w:rsidRPr="00847899" w:rsidRDefault="00620837" w:rsidP="00620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E62A7DC" w:rsidR="00620837" w:rsidRPr="00847899" w:rsidRDefault="00620837" w:rsidP="006208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620837" w:rsidRPr="00847899" w:rsidRDefault="00620837" w:rsidP="00620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837" w:rsidRPr="0084789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620837" w:rsidRPr="00847899" w:rsidRDefault="00620837" w:rsidP="006208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620837" w:rsidRPr="00847899" w:rsidRDefault="00620837" w:rsidP="006208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620837" w:rsidRPr="00847899" w:rsidRDefault="00620837" w:rsidP="006208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620837" w:rsidRPr="00847899" w:rsidRDefault="00620837" w:rsidP="00620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9CE51AD" w:rsidR="00620837" w:rsidRPr="00847899" w:rsidRDefault="00620837" w:rsidP="006208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620837" w:rsidRPr="00847899" w:rsidRDefault="00620837" w:rsidP="00620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837" w:rsidRPr="0084789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620837" w:rsidRPr="00847899" w:rsidRDefault="00620837" w:rsidP="006208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620837" w:rsidRPr="00847899" w:rsidRDefault="00620837" w:rsidP="006208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620837" w:rsidRPr="00847899" w:rsidRDefault="00620837" w:rsidP="006208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620837" w:rsidRPr="00847899" w:rsidRDefault="00620837" w:rsidP="00620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B2040DF" w:rsidR="00620837" w:rsidRPr="00847899" w:rsidRDefault="00620837" w:rsidP="006208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620837" w:rsidRPr="00847899" w:rsidRDefault="00620837" w:rsidP="00620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4789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4789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4789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478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84789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789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4789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4789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78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78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478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478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4789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86B8E5B" w:rsidR="00204042" w:rsidRPr="00847899" w:rsidRDefault="00620837" w:rsidP="0062083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sz w:val="20"/>
                <w:szCs w:val="20"/>
              </w:rPr>
              <w:t>YES. The title accurately reflects the scope of area, production, yield, and price analysis.</w:t>
            </w:r>
          </w:p>
        </w:tc>
        <w:tc>
          <w:tcPr>
            <w:tcW w:w="1667" w:type="pct"/>
          </w:tcPr>
          <w:p w14:paraId="716ABA7E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4789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4C3EA8D" w:rsidR="00204042" w:rsidRPr="00847899" w:rsidRDefault="00620837" w:rsidP="0062083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sz w:val="20"/>
                <w:szCs w:val="20"/>
              </w:rPr>
              <w:t>YES. It covers the data sources, CAGR findings, and quarterly instability results effectively.</w:t>
            </w:r>
          </w:p>
        </w:tc>
        <w:tc>
          <w:tcPr>
            <w:tcW w:w="1667" w:type="pct"/>
          </w:tcPr>
          <w:p w14:paraId="55FC2422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4789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478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478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6AD8873" w:rsidR="00204042" w:rsidRPr="00847899" w:rsidRDefault="00620837" w:rsidP="0062083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sz w:val="20"/>
                <w:szCs w:val="20"/>
              </w:rPr>
              <w:t>YES. The application of CAGR and CDVI is standard for agricultural economic trend analysis.</w:t>
            </w:r>
          </w:p>
        </w:tc>
        <w:tc>
          <w:tcPr>
            <w:tcW w:w="1667" w:type="pct"/>
          </w:tcPr>
          <w:p w14:paraId="51AC5B4C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478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478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4789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5F0B504" w:rsidR="00204042" w:rsidRPr="00847899" w:rsidRDefault="00620837" w:rsidP="0062083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sz w:val="20"/>
                <w:szCs w:val="20"/>
              </w:rPr>
              <w:t>YES. The authors have included several references from 2023, 2024, and even projected 2025 citations.</w:t>
            </w:r>
          </w:p>
        </w:tc>
        <w:tc>
          <w:tcPr>
            <w:tcW w:w="1667" w:type="pct"/>
          </w:tcPr>
          <w:p w14:paraId="467EE6CF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789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478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478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478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478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E25A017" w:rsidR="00204042" w:rsidRPr="00847899" w:rsidRDefault="00620837" w:rsidP="0062083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9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478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84789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F9C878" w14:textId="77777777" w:rsidR="00427B2F" w:rsidRPr="00847899" w:rsidRDefault="00427B2F" w:rsidP="00427B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7899">
        <w:rPr>
          <w:rFonts w:ascii="Arial" w:hAnsi="Arial" w:cs="Arial"/>
          <w:b/>
          <w:u w:val="single"/>
        </w:rPr>
        <w:t>Reviewer details:</w:t>
      </w:r>
    </w:p>
    <w:p w14:paraId="374BEA84" w14:textId="77777777" w:rsidR="00427B2F" w:rsidRPr="00847899" w:rsidRDefault="00427B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B06D0C" w14:textId="63DEAE24" w:rsidR="00427B2F" w:rsidRPr="00847899" w:rsidRDefault="00427B2F" w:rsidP="00427B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847899">
        <w:rPr>
          <w:rFonts w:ascii="Arial" w:eastAsia="MS Mincho" w:hAnsi="Arial" w:cs="Arial"/>
          <w:b/>
          <w:bCs/>
          <w:sz w:val="20"/>
          <w:szCs w:val="20"/>
          <w:lang w:val="en-GB"/>
        </w:rPr>
        <w:t>Bhola Nath, Bihar Animal Sciences University, India</w:t>
      </w:r>
    </w:p>
    <w:sectPr w:rsidR="00427B2F" w:rsidRPr="008478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B343" w14:textId="77777777" w:rsidR="00C524C1" w:rsidRDefault="00C524C1">
      <w:r>
        <w:separator/>
      </w:r>
    </w:p>
  </w:endnote>
  <w:endnote w:type="continuationSeparator" w:id="0">
    <w:p w14:paraId="740EDD57" w14:textId="77777777" w:rsidR="00C524C1" w:rsidRDefault="00C5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01E6" w14:textId="77777777" w:rsidR="00C524C1" w:rsidRDefault="00C524C1">
      <w:r>
        <w:separator/>
      </w:r>
    </w:p>
  </w:footnote>
  <w:footnote w:type="continuationSeparator" w:id="0">
    <w:p w14:paraId="32534FAB" w14:textId="77777777" w:rsidR="00C524C1" w:rsidRDefault="00C5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8832545">
    <w:abstractNumId w:val="4"/>
  </w:num>
  <w:num w:numId="2" w16cid:durableId="1823539809">
    <w:abstractNumId w:val="8"/>
  </w:num>
  <w:num w:numId="3" w16cid:durableId="305356175">
    <w:abstractNumId w:val="7"/>
  </w:num>
  <w:num w:numId="4" w16cid:durableId="1408922590">
    <w:abstractNumId w:val="9"/>
  </w:num>
  <w:num w:numId="5" w16cid:durableId="1984238995">
    <w:abstractNumId w:val="6"/>
  </w:num>
  <w:num w:numId="6" w16cid:durableId="1531339306">
    <w:abstractNumId w:val="0"/>
  </w:num>
  <w:num w:numId="7" w16cid:durableId="1587425065">
    <w:abstractNumId w:val="3"/>
  </w:num>
  <w:num w:numId="8" w16cid:durableId="995494277">
    <w:abstractNumId w:val="11"/>
  </w:num>
  <w:num w:numId="9" w16cid:durableId="245580459">
    <w:abstractNumId w:val="10"/>
  </w:num>
  <w:num w:numId="10" w16cid:durableId="606235197">
    <w:abstractNumId w:val="2"/>
  </w:num>
  <w:num w:numId="11" w16cid:durableId="965743696">
    <w:abstractNumId w:val="1"/>
  </w:num>
  <w:num w:numId="12" w16cid:durableId="169370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4E09"/>
    <w:rsid w:val="000711DB"/>
    <w:rsid w:val="00083790"/>
    <w:rsid w:val="000E6E2E"/>
    <w:rsid w:val="001061B4"/>
    <w:rsid w:val="001807A5"/>
    <w:rsid w:val="00204042"/>
    <w:rsid w:val="00206283"/>
    <w:rsid w:val="00207EBC"/>
    <w:rsid w:val="00261933"/>
    <w:rsid w:val="002657CD"/>
    <w:rsid w:val="002C66D6"/>
    <w:rsid w:val="003051F3"/>
    <w:rsid w:val="00325C43"/>
    <w:rsid w:val="003618F9"/>
    <w:rsid w:val="00427B2F"/>
    <w:rsid w:val="00430855"/>
    <w:rsid w:val="005C677A"/>
    <w:rsid w:val="005E5899"/>
    <w:rsid w:val="005F0FD8"/>
    <w:rsid w:val="00620837"/>
    <w:rsid w:val="006534F5"/>
    <w:rsid w:val="00655C9C"/>
    <w:rsid w:val="006C5551"/>
    <w:rsid w:val="006E4FD6"/>
    <w:rsid w:val="007A699C"/>
    <w:rsid w:val="00816255"/>
    <w:rsid w:val="008403F2"/>
    <w:rsid w:val="00847899"/>
    <w:rsid w:val="008D2987"/>
    <w:rsid w:val="008D3331"/>
    <w:rsid w:val="00952C1F"/>
    <w:rsid w:val="009A3A95"/>
    <w:rsid w:val="00A46633"/>
    <w:rsid w:val="00A7113E"/>
    <w:rsid w:val="00AA476E"/>
    <w:rsid w:val="00AF3F59"/>
    <w:rsid w:val="00B16D8E"/>
    <w:rsid w:val="00BC61FF"/>
    <w:rsid w:val="00C255C0"/>
    <w:rsid w:val="00C25668"/>
    <w:rsid w:val="00C524C1"/>
    <w:rsid w:val="00CF3FFF"/>
    <w:rsid w:val="00D51B4B"/>
    <w:rsid w:val="00D80FA9"/>
    <w:rsid w:val="00DF4831"/>
    <w:rsid w:val="00E13F66"/>
    <w:rsid w:val="00E24527"/>
    <w:rsid w:val="00E46CBC"/>
    <w:rsid w:val="00E96785"/>
    <w:rsid w:val="00EA6E35"/>
    <w:rsid w:val="00EC3C67"/>
    <w:rsid w:val="00EE3E18"/>
    <w:rsid w:val="00F7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27B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ee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52</cp:revision>
  <dcterms:created xsi:type="dcterms:W3CDTF">2026-03-24T06:15:00Z</dcterms:created>
  <dcterms:modified xsi:type="dcterms:W3CDTF">2026-05-27T09:09:00Z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