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97D869" w14:textId="6D4E0031" w:rsidR="008D4E8F" w:rsidRDefault="00D90E3D">
      <w:pPr>
        <w:rPr>
          <w:rStyle w:val="bzpyqfadein"/>
          <w:rFonts w:ascii="Times New Roman" w:hAnsi="Times New Roman" w:cs="Times New Roman"/>
          <w:b/>
          <w:bCs/>
          <w:sz w:val="24"/>
          <w:szCs w:val="24"/>
          <w:lang w:val="en-IN"/>
        </w:rPr>
      </w:pPr>
      <w:r>
        <w:rPr>
          <w:rStyle w:val="bzpyqfadein"/>
          <w:rFonts w:ascii="Times New Roman" w:hAnsi="Times New Roman" w:cs="Times New Roman"/>
          <w:b/>
          <w:bCs/>
          <w:sz w:val="24"/>
          <w:szCs w:val="24"/>
        </w:rPr>
        <w:t xml:space="preserve">Digital Platform–Based Education and Adolescents’ Knowledge and Perception of Sexual-Risk Behaviour Consequences in Public </w:t>
      </w:r>
      <w:commentRangeStart w:id="0"/>
      <w:r>
        <w:rPr>
          <w:rStyle w:val="bzpyqfadein"/>
          <w:rFonts w:ascii="Times New Roman" w:hAnsi="Times New Roman" w:cs="Times New Roman"/>
          <w:b/>
          <w:bCs/>
          <w:sz w:val="24"/>
          <w:szCs w:val="24"/>
        </w:rPr>
        <w:t xml:space="preserve">Secondary Schools </w:t>
      </w:r>
      <w:commentRangeEnd w:id="0"/>
      <w:r w:rsidR="00CE56E7">
        <w:rPr>
          <w:rStyle w:val="CommentReference"/>
        </w:rPr>
        <w:commentReference w:id="0"/>
      </w:r>
      <w:r>
        <w:rPr>
          <w:rStyle w:val="bzpyqfadein"/>
          <w:rFonts w:ascii="Times New Roman" w:hAnsi="Times New Roman" w:cs="Times New Roman"/>
          <w:b/>
          <w:bCs/>
          <w:sz w:val="24"/>
          <w:szCs w:val="24"/>
        </w:rPr>
        <w:t>in Owerri Municipal, Nigeria</w:t>
      </w:r>
    </w:p>
    <w:p w14:paraId="79487F71" w14:textId="77777777" w:rsidR="00507579" w:rsidRPr="00507579" w:rsidRDefault="00507579">
      <w:pPr>
        <w:rPr>
          <w:rStyle w:val="bzpyqfadein"/>
          <w:rFonts w:ascii="Times New Roman" w:hAnsi="Times New Roman" w:cs="Times New Roman"/>
          <w:b/>
          <w:bCs/>
          <w:sz w:val="24"/>
          <w:szCs w:val="24"/>
          <w:lang w:val="en-IN"/>
        </w:rPr>
      </w:pPr>
    </w:p>
    <w:p w14:paraId="4055F4A8" w14:textId="77777777" w:rsidR="008D4E8F" w:rsidRDefault="008D4E8F">
      <w:pPr>
        <w:rPr>
          <w:rFonts w:ascii="Times New Roman" w:hAnsi="Times New Roman" w:cs="Times New Roman"/>
          <w:b/>
          <w:bCs/>
          <w:sz w:val="24"/>
          <w:szCs w:val="24"/>
          <w:lang w:val="en-US"/>
        </w:rPr>
      </w:pPr>
    </w:p>
    <w:p w14:paraId="058FA0EE" w14:textId="77777777" w:rsidR="008D4E8F" w:rsidRDefault="00D90E3D">
      <w:pPr>
        <w:pStyle w:val="Heading3"/>
        <w:rPr>
          <w:rFonts w:ascii="Times New Roman" w:hAnsi="Times New Roman" w:cs="Times New Roman"/>
          <w:b/>
          <w:bCs/>
          <w:color w:val="auto"/>
        </w:rPr>
      </w:pPr>
      <w:r>
        <w:rPr>
          <w:rStyle w:val="bzpyqfadein"/>
          <w:rFonts w:ascii="Times New Roman" w:hAnsi="Times New Roman" w:cs="Times New Roman"/>
          <w:b/>
          <w:bCs/>
          <w:color w:val="auto"/>
        </w:rPr>
        <w:t>Abstract</w:t>
      </w:r>
    </w:p>
    <w:p w14:paraId="721D71A5" w14:textId="77777777" w:rsidR="008D4E8F" w:rsidRDefault="00D90E3D">
      <w:pPr>
        <w:pStyle w:val="NormalWeb"/>
        <w:rPr>
          <w:rStyle w:val="bzpyqfadein"/>
          <w:b/>
          <w:bCs/>
        </w:rPr>
      </w:pPr>
      <w:r>
        <w:rPr>
          <w:rStyle w:val="bzpyqfadein"/>
          <w:b/>
          <w:bCs/>
        </w:rPr>
        <w:t xml:space="preserve">Background: </w:t>
      </w:r>
    </w:p>
    <w:p w14:paraId="6E9DC711" w14:textId="77777777" w:rsidR="008D4E8F" w:rsidRDefault="00D90E3D" w:rsidP="00666976">
      <w:pPr>
        <w:pStyle w:val="NormalWeb"/>
        <w:spacing w:line="360" w:lineRule="auto"/>
        <w:jc w:val="both"/>
        <w:pPrChange w:id="1" w:author="USER" w:date="2026-05-02T08:31:00Z" w16du:dateUtc="2026-05-02T07:31:00Z">
          <w:pPr>
            <w:pStyle w:val="NormalWeb"/>
            <w:spacing w:line="360" w:lineRule="auto"/>
          </w:pPr>
        </w:pPrChange>
      </w:pPr>
      <w:r>
        <w:rPr>
          <w:rStyle w:val="bzpyqfadein"/>
        </w:rPr>
        <w:t xml:space="preserve">Adolescents are particularly vulnerable to engaging in risky sexual behaviours due to developmental changes, peer influence, and limited access to accurate sexual health information. Digital platforms have emerged as innovative channels for delivering sexual health education, but evidence on their effectiveness among Nigerian adolescents remains limited. This study examined the influence of digital platform–based education on adolescents’ knowledge and perception of the consequences of sexual-risk behaviours in public secondary schools in Owerri Municipal, Nigeria. </w:t>
      </w:r>
    </w:p>
    <w:p w14:paraId="35EAC865" w14:textId="77777777" w:rsidR="008D4E8F" w:rsidRDefault="00D90E3D" w:rsidP="00666976">
      <w:pPr>
        <w:pStyle w:val="NormalWeb"/>
        <w:spacing w:line="360" w:lineRule="auto"/>
        <w:jc w:val="both"/>
        <w:rPr>
          <w:rStyle w:val="bzpyqfadein"/>
          <w:b/>
          <w:bCs/>
        </w:rPr>
        <w:pPrChange w:id="2" w:author="USER" w:date="2026-05-02T08:31:00Z" w16du:dateUtc="2026-05-02T07:31:00Z">
          <w:pPr>
            <w:pStyle w:val="NormalWeb"/>
            <w:spacing w:line="360" w:lineRule="auto"/>
          </w:pPr>
        </w:pPrChange>
      </w:pPr>
      <w:r>
        <w:rPr>
          <w:rStyle w:val="bzpyqfadein"/>
          <w:b/>
          <w:bCs/>
        </w:rPr>
        <w:t>Methods:</w:t>
      </w:r>
    </w:p>
    <w:p w14:paraId="0B168FDB" w14:textId="77777777" w:rsidR="008D4E8F" w:rsidRDefault="00D90E3D" w:rsidP="00666976">
      <w:pPr>
        <w:pStyle w:val="NormalWeb"/>
        <w:spacing w:line="360" w:lineRule="auto"/>
        <w:jc w:val="both"/>
        <w:pPrChange w:id="3" w:author="USER" w:date="2026-05-02T08:31:00Z" w16du:dateUtc="2026-05-02T07:31:00Z">
          <w:pPr>
            <w:pStyle w:val="NormalWeb"/>
            <w:spacing w:line="360" w:lineRule="auto"/>
          </w:pPr>
        </w:pPrChange>
      </w:pPr>
      <w:r>
        <w:rPr>
          <w:rStyle w:val="bzpyqfadein"/>
        </w:rPr>
        <w:t xml:space="preserve"> </w:t>
      </w:r>
      <w:commentRangeStart w:id="4"/>
      <w:r>
        <w:rPr>
          <w:rStyle w:val="bzpyqfadein"/>
        </w:rPr>
        <w:t xml:space="preserve">A pretest–post-test quasi-experimental design </w:t>
      </w:r>
      <w:commentRangeEnd w:id="4"/>
      <w:r w:rsidR="001944BF">
        <w:rPr>
          <w:rStyle w:val="CommentReference"/>
          <w:rFonts w:asciiTheme="minorHAnsi" w:eastAsiaTheme="minorHAnsi" w:hAnsiTheme="minorHAnsi" w:cstheme="minorBidi"/>
          <w:lang w:eastAsia="en-US"/>
        </w:rPr>
        <w:commentReference w:id="4"/>
      </w:r>
      <w:r>
        <w:rPr>
          <w:rStyle w:val="bzpyqfadein"/>
        </w:rPr>
        <w:t xml:space="preserve">was employed among 255 adolescents aged 14–19 years selected from government-owned secondary schools in Owerri Municipal out of a population of 5,146 students. Participants were assigned to three intervention groups: Traditional Lecture Method (TLM), WhatsApp Method (WAM), and Artificial Intelligence Method (AIM: Meta AI/ChatGPT), with 85 students in each group. Data were collected using a structured and pretested questionnaire assessing knowledge and perception of consequences of sexual-risk behaviours. Data were analysed using descriptive statistics and inferential statistics in SPSS version 23, including paired t-tests, ANOVA, and Bonferroni post-hoc tests, with significance set at p &lt; 0.05. </w:t>
      </w:r>
      <w:commentRangeStart w:id="5"/>
      <w:commentRangeEnd w:id="5"/>
      <w:r w:rsidR="00666976">
        <w:rPr>
          <w:rStyle w:val="CommentReference"/>
          <w:rFonts w:asciiTheme="minorHAnsi" w:eastAsiaTheme="minorHAnsi" w:hAnsiTheme="minorHAnsi" w:cstheme="minorBidi"/>
          <w:lang w:eastAsia="en-US"/>
        </w:rPr>
        <w:commentReference w:id="5"/>
      </w:r>
    </w:p>
    <w:p w14:paraId="7B996AC5" w14:textId="77777777" w:rsidR="008D4E8F" w:rsidRDefault="00D90E3D" w:rsidP="00666976">
      <w:pPr>
        <w:pStyle w:val="NormalWeb"/>
        <w:spacing w:line="360" w:lineRule="auto"/>
        <w:jc w:val="both"/>
        <w:rPr>
          <w:rStyle w:val="bzpyqfadein"/>
          <w:b/>
          <w:bCs/>
        </w:rPr>
        <w:pPrChange w:id="6" w:author="USER" w:date="2026-05-02T08:31:00Z" w16du:dateUtc="2026-05-02T07:31:00Z">
          <w:pPr>
            <w:pStyle w:val="NormalWeb"/>
            <w:spacing w:line="360" w:lineRule="auto"/>
          </w:pPr>
        </w:pPrChange>
      </w:pPr>
      <w:r>
        <w:rPr>
          <w:rStyle w:val="bzpyqfadein"/>
          <w:b/>
          <w:bCs/>
        </w:rPr>
        <w:t xml:space="preserve">Results: </w:t>
      </w:r>
    </w:p>
    <w:p w14:paraId="47A1F9D5" w14:textId="77777777" w:rsidR="008D4E8F" w:rsidRDefault="00D90E3D" w:rsidP="00666976">
      <w:pPr>
        <w:pStyle w:val="NormalWeb"/>
        <w:spacing w:line="360" w:lineRule="auto"/>
        <w:jc w:val="both"/>
        <w:pPrChange w:id="7" w:author="USER" w:date="2026-05-02T08:31:00Z" w16du:dateUtc="2026-05-02T07:31:00Z">
          <w:pPr>
            <w:pStyle w:val="NormalWeb"/>
            <w:spacing w:line="360" w:lineRule="auto"/>
          </w:pPr>
        </w:pPrChange>
      </w:pPr>
      <w:r>
        <w:rPr>
          <w:rStyle w:val="bzpyqfadein"/>
        </w:rPr>
        <w:t xml:space="preserve">Participants had a mean age of 16.8 ± 1.65 years, and most were Christians (96.9%) and Igbo (95.7%). Overall, 87.1% had previously heard about sexual risk behaviours. Baseline knowledge was high for common consequences such as HIV/AIDS and teenage pregnancy (95.3–100%), but relatively low for reproductive organ damage (42.4–65.9%) and HPV/cervical cancer risks (29.4–60.0%). After the intervention, knowledge improved significantly across all groups: TLM (mean difference = 0.304 ± 0.356, t = 7.882, p &lt; 0.0001), WAM (0.257 ± 0.307, t = 7.712, p &lt; 0.0001), </w:t>
      </w:r>
      <w:r>
        <w:rPr>
          <w:rStyle w:val="bzpyqfadein"/>
        </w:rPr>
        <w:lastRenderedPageBreak/>
        <w:t xml:space="preserve">and AIM (0.302 ± 0.281, t = 9.904, p &lt; 0.0001). Post-intervention knowledge reached 100% for several items, including awareness of sexually transmitted infections and teenage pregnancy. Bonferroni comparison showed significant differences between TLM and WAM (MD = 0.0764, p &lt; 0.001) and WAM and AIM (MD = 0.0764, p &lt; 0.001), but no difference between TLM and AIM (p = 1.000). For perception, baseline scores ranged from 3.765 to 4.612 (out of 5). While no significant differences existed at pretest (F = 0.416, p = 0.667), significant differences were observed at posttest (F = 5.339, p = 0.018). Post-hoc analysis indicated that WAM (MD = 0.217, p = 0.041) and AIM (MD = 0.222, p = 0.036) significantly outperformed TLM in improving perceptions of sexual-risk consequences. </w:t>
      </w:r>
    </w:p>
    <w:p w14:paraId="2BFA3A5F" w14:textId="77777777" w:rsidR="008D4E8F" w:rsidRDefault="00D90E3D" w:rsidP="00666976">
      <w:pPr>
        <w:pStyle w:val="NormalWeb"/>
        <w:spacing w:line="360" w:lineRule="auto"/>
        <w:jc w:val="both"/>
        <w:rPr>
          <w:rStyle w:val="bzpyqfadein"/>
          <w:b/>
          <w:bCs/>
        </w:rPr>
        <w:pPrChange w:id="8" w:author="USER" w:date="2026-05-02T08:31:00Z" w16du:dateUtc="2026-05-02T07:31:00Z">
          <w:pPr>
            <w:pStyle w:val="NormalWeb"/>
            <w:spacing w:line="360" w:lineRule="auto"/>
          </w:pPr>
        </w:pPrChange>
      </w:pPr>
      <w:r>
        <w:rPr>
          <w:rStyle w:val="bzpyqfadein"/>
          <w:b/>
          <w:bCs/>
        </w:rPr>
        <w:t xml:space="preserve">Conclusion: </w:t>
      </w:r>
    </w:p>
    <w:p w14:paraId="399E07C2" w14:textId="77777777" w:rsidR="008D4E8F" w:rsidRDefault="00D90E3D" w:rsidP="00666976">
      <w:pPr>
        <w:pStyle w:val="NormalWeb"/>
        <w:spacing w:line="360" w:lineRule="auto"/>
        <w:jc w:val="both"/>
        <w:pPrChange w:id="9" w:author="USER" w:date="2026-05-02T08:31:00Z" w16du:dateUtc="2026-05-02T07:31:00Z">
          <w:pPr>
            <w:pStyle w:val="NormalWeb"/>
            <w:spacing w:line="360" w:lineRule="auto"/>
          </w:pPr>
        </w:pPrChange>
      </w:pPr>
      <w:r>
        <w:rPr>
          <w:rStyle w:val="bzpyqfadein"/>
        </w:rPr>
        <w:t xml:space="preserve">Digital platform–based sexual health education significantly improved adolescents’ knowledge and perceptions of the consequences of sexual-risk behaviours. Technology-driven approaches, particularly WhatsApp and AI-supported learning, demonstrated greater effectiveness than traditional lecture methods in enhancing perception and understanding of sexual health risks. </w:t>
      </w:r>
    </w:p>
    <w:p w14:paraId="7E9C6E9F" w14:textId="77777777" w:rsidR="008D4E8F" w:rsidRDefault="008D4E8F" w:rsidP="00666976">
      <w:pPr>
        <w:spacing w:before="100" w:beforeAutospacing="1" w:after="100" w:afterAutospacing="1" w:line="240" w:lineRule="auto"/>
        <w:jc w:val="both"/>
        <w:rPr>
          <w:rFonts w:ascii="Times New Roman" w:eastAsia="Times New Roman" w:hAnsi="Times New Roman" w:cs="Times New Roman"/>
          <w:sz w:val="24"/>
          <w:szCs w:val="24"/>
          <w:lang w:eastAsia="zh-CN"/>
        </w:rPr>
        <w:pPrChange w:id="10" w:author="USER" w:date="2026-05-02T08:31:00Z" w16du:dateUtc="2026-05-02T07:31:00Z">
          <w:pPr>
            <w:spacing w:before="100" w:beforeAutospacing="1" w:after="100" w:afterAutospacing="1" w:line="240" w:lineRule="auto"/>
          </w:pPr>
        </w:pPrChange>
      </w:pPr>
    </w:p>
    <w:p w14:paraId="524CBF19" w14:textId="77777777" w:rsidR="008D4E8F" w:rsidRDefault="008D4E8F" w:rsidP="00666976">
      <w:pPr>
        <w:spacing w:before="100" w:beforeAutospacing="1" w:after="100" w:afterAutospacing="1" w:line="240" w:lineRule="auto"/>
        <w:jc w:val="both"/>
        <w:rPr>
          <w:rFonts w:ascii="Times New Roman" w:eastAsia="Times New Roman" w:hAnsi="Times New Roman" w:cs="Times New Roman"/>
          <w:sz w:val="24"/>
          <w:szCs w:val="24"/>
          <w:lang w:eastAsia="zh-CN"/>
        </w:rPr>
        <w:pPrChange w:id="11" w:author="USER" w:date="2026-05-02T08:31:00Z" w16du:dateUtc="2026-05-02T07:31:00Z">
          <w:pPr>
            <w:spacing w:before="100" w:beforeAutospacing="1" w:after="100" w:afterAutospacing="1" w:line="240" w:lineRule="auto"/>
          </w:pPr>
        </w:pPrChange>
      </w:pPr>
    </w:p>
    <w:p w14:paraId="654C0D4D" w14:textId="77777777" w:rsidR="008D4E8F" w:rsidRDefault="00D90E3D" w:rsidP="00666976">
      <w:pPr>
        <w:spacing w:before="100" w:beforeAutospacing="1" w:after="100" w:afterAutospacing="1" w:line="240" w:lineRule="auto"/>
        <w:jc w:val="both"/>
        <w:rPr>
          <w:rFonts w:ascii="Times New Roman" w:eastAsia="Times New Roman" w:hAnsi="Times New Roman" w:cs="Times New Roman"/>
          <w:b/>
          <w:bCs/>
          <w:sz w:val="24"/>
          <w:szCs w:val="24"/>
          <w:lang w:val="en-US" w:eastAsia="zh-CN"/>
        </w:rPr>
        <w:pPrChange w:id="12" w:author="USER" w:date="2026-05-02T08:31:00Z" w16du:dateUtc="2026-05-02T07:31:00Z">
          <w:pPr>
            <w:spacing w:before="100" w:beforeAutospacing="1" w:after="100" w:afterAutospacing="1" w:line="240" w:lineRule="auto"/>
          </w:pPr>
        </w:pPrChange>
      </w:pPr>
      <w:r>
        <w:rPr>
          <w:rFonts w:ascii="Times New Roman" w:eastAsia="Times New Roman" w:hAnsi="Times New Roman" w:cs="Times New Roman"/>
          <w:b/>
          <w:bCs/>
          <w:sz w:val="24"/>
          <w:szCs w:val="24"/>
          <w:lang w:val="en-US" w:eastAsia="zh-CN"/>
        </w:rPr>
        <w:t>Background</w:t>
      </w:r>
    </w:p>
    <w:p w14:paraId="31A74067" w14:textId="77777777" w:rsidR="008D4E8F" w:rsidRDefault="00D90E3D" w:rsidP="00666976">
      <w:pPr>
        <w:spacing w:before="100" w:beforeAutospacing="1" w:after="100" w:afterAutospacing="1" w:line="480" w:lineRule="auto"/>
        <w:jc w:val="both"/>
        <w:rPr>
          <w:rFonts w:ascii="Times New Roman" w:eastAsia="Times New Roman" w:hAnsi="Times New Roman" w:cs="Times New Roman"/>
          <w:sz w:val="24"/>
          <w:szCs w:val="24"/>
          <w:lang w:eastAsia="zh-CN"/>
        </w:rPr>
        <w:pPrChange w:id="13" w:author="USER" w:date="2026-05-02T08:31:00Z" w16du:dateUtc="2026-05-02T07:31:00Z">
          <w:pPr>
            <w:spacing w:before="100" w:beforeAutospacing="1" w:after="100" w:afterAutospacing="1" w:line="480" w:lineRule="auto"/>
          </w:pPr>
        </w:pPrChange>
      </w:pPr>
      <w:r>
        <w:rPr>
          <w:rFonts w:ascii="Times New Roman" w:eastAsia="Times New Roman" w:hAnsi="Times New Roman" w:cs="Times New Roman"/>
          <w:sz w:val="24"/>
          <w:szCs w:val="24"/>
          <w:lang w:eastAsia="zh-CN"/>
        </w:rPr>
        <w:t>Adolescence, defined by the World Health Organization (WHO) as the period between 10 and 19 years of age, is a critical developmental stage marked by rapid physical, hormonal, emotional, and cognitive changes</w:t>
      </w:r>
      <w:r>
        <w:rPr>
          <w:rFonts w:ascii="Times New Roman" w:eastAsia="Times New Roman" w:hAnsi="Times New Roman" w:cs="Times New Roman"/>
          <w:sz w:val="24"/>
          <w:szCs w:val="24"/>
          <w:lang w:val="en-US" w:eastAsia="zh-CN"/>
        </w:rPr>
        <w:t xml:space="preserve"> [1]</w:t>
      </w:r>
      <w:r>
        <w:rPr>
          <w:rFonts w:ascii="Times New Roman" w:eastAsia="Times New Roman" w:hAnsi="Times New Roman" w:cs="Times New Roman"/>
          <w:sz w:val="24"/>
          <w:szCs w:val="24"/>
          <w:lang w:eastAsia="zh-CN"/>
        </w:rPr>
        <w:t>. During this period, individuals explore personal identity, develop peer relationships, and gain awareness of sexuality. These developmental changes, coupled with curiosity and susceptibility to peer influence, make adolescents particularly vulnerable to engaging in risky sexual behaviours, often driven by misinformation, misconceptions, and limited access to accurate sexual health knowledge.</w:t>
      </w:r>
    </w:p>
    <w:p w14:paraId="785E8BCD" w14:textId="77777777" w:rsidR="008D4E8F" w:rsidRDefault="00D90E3D" w:rsidP="00666976">
      <w:pPr>
        <w:spacing w:before="100" w:beforeAutospacing="1" w:after="100" w:afterAutospacing="1" w:line="480" w:lineRule="auto"/>
        <w:jc w:val="both"/>
        <w:rPr>
          <w:rFonts w:ascii="Times New Roman" w:eastAsia="Times New Roman" w:hAnsi="Times New Roman" w:cs="Times New Roman"/>
          <w:sz w:val="24"/>
          <w:szCs w:val="24"/>
          <w:lang w:eastAsia="zh-CN"/>
        </w:rPr>
        <w:pPrChange w:id="14" w:author="USER" w:date="2026-05-02T08:31:00Z" w16du:dateUtc="2026-05-02T07:31:00Z">
          <w:pPr>
            <w:spacing w:before="100" w:beforeAutospacing="1" w:after="100" w:afterAutospacing="1" w:line="480" w:lineRule="auto"/>
          </w:pPr>
        </w:pPrChange>
      </w:pPr>
      <w:r>
        <w:rPr>
          <w:rFonts w:ascii="Times New Roman" w:eastAsia="Times New Roman" w:hAnsi="Times New Roman" w:cs="Times New Roman"/>
          <w:sz w:val="24"/>
          <w:szCs w:val="24"/>
          <w:lang w:eastAsia="zh-CN"/>
        </w:rPr>
        <w:lastRenderedPageBreak/>
        <w:t>Risky sexual behaviours among adolescents include unprotected sexual activity, multiple sexual partners, substance use to enhance sexual confidence, and other activities that increase the likelihood of sexually transmitted infections (STIs), unintended pregnancies, unsafe abortions, and mental health challenges such as depression, anxiety, and suicidal ideation</w:t>
      </w:r>
      <w:r>
        <w:rPr>
          <w:rFonts w:ascii="Times New Roman" w:eastAsia="Times New Roman" w:hAnsi="Times New Roman" w:cs="Times New Roman"/>
          <w:sz w:val="24"/>
          <w:szCs w:val="24"/>
          <w:lang w:val="en-US" w:eastAsia="zh-CN"/>
        </w:rPr>
        <w:t xml:space="preserve"> [2],[3]</w:t>
      </w:r>
      <w:r>
        <w:rPr>
          <w:rFonts w:ascii="Times New Roman" w:eastAsia="Times New Roman" w:hAnsi="Times New Roman" w:cs="Times New Roman"/>
          <w:sz w:val="24"/>
          <w:szCs w:val="24"/>
          <w:lang w:eastAsia="zh-CN"/>
        </w:rPr>
        <w:t>. These behaviours remain a significant public health concern, emphasizing the need for effective strategies to enhance adolescents’ knowledge and shape their perceptions regarding the consequences of sexual-risk behaviours.</w:t>
      </w:r>
    </w:p>
    <w:p w14:paraId="5E263640" w14:textId="77777777" w:rsidR="008D4E8F" w:rsidRDefault="00D90E3D" w:rsidP="00666976">
      <w:pPr>
        <w:spacing w:before="100" w:beforeAutospacing="1" w:after="100" w:afterAutospacing="1" w:line="480" w:lineRule="auto"/>
        <w:jc w:val="both"/>
        <w:rPr>
          <w:rFonts w:ascii="Times New Roman" w:eastAsia="Times New Roman" w:hAnsi="Times New Roman" w:cs="Times New Roman"/>
          <w:sz w:val="24"/>
          <w:szCs w:val="24"/>
          <w:lang w:eastAsia="zh-CN"/>
        </w:rPr>
        <w:pPrChange w:id="15" w:author="USER" w:date="2026-05-02T08:31:00Z" w16du:dateUtc="2026-05-02T07:31:00Z">
          <w:pPr>
            <w:spacing w:before="100" w:beforeAutospacing="1" w:after="100" w:afterAutospacing="1" w:line="480" w:lineRule="auto"/>
          </w:pPr>
        </w:pPrChange>
      </w:pPr>
      <w:r>
        <w:rPr>
          <w:rFonts w:ascii="Times New Roman" w:eastAsia="Times New Roman" w:hAnsi="Times New Roman" w:cs="Times New Roman"/>
          <w:sz w:val="24"/>
          <w:szCs w:val="24"/>
          <w:lang w:eastAsia="zh-CN"/>
        </w:rPr>
        <w:t>Sex education is a critical intervention to address these challenges. Comprehensive sex education encompasses human sexual anatomy, reproduction, contraception, emotional relationships, sexual and reproductive health, and procreative rights. Evidence indicates that such programs can delay sexual initiation, reduce risky sexual behaviours, increase the use of contraceptives and condoms, and improve understanding of sexual health</w:t>
      </w:r>
      <w:r>
        <w:rPr>
          <w:rFonts w:ascii="Times New Roman" w:eastAsia="Times New Roman" w:hAnsi="Times New Roman" w:cs="Times New Roman"/>
          <w:sz w:val="24"/>
          <w:szCs w:val="24"/>
          <w:lang w:val="en-US" w:eastAsia="zh-CN"/>
        </w:rPr>
        <w:t xml:space="preserve"> [4],[5]</w:t>
      </w:r>
      <w:r>
        <w:rPr>
          <w:rFonts w:ascii="Times New Roman" w:eastAsia="Times New Roman" w:hAnsi="Times New Roman" w:cs="Times New Roman"/>
          <w:sz w:val="24"/>
          <w:szCs w:val="24"/>
          <w:lang w:eastAsia="zh-CN"/>
        </w:rPr>
        <w:t>. To be effective, sex education must provide scientifically accurate, age-appropriate information, discuss social norms and values, foster critical thinking, and equip adolescents with skills to make informed decisions.</w:t>
      </w:r>
    </w:p>
    <w:p w14:paraId="7AFC1BF9" w14:textId="77777777" w:rsidR="008D4E8F" w:rsidRDefault="00D90E3D" w:rsidP="00666976">
      <w:pPr>
        <w:spacing w:before="100" w:beforeAutospacing="1" w:after="100" w:afterAutospacing="1" w:line="480" w:lineRule="auto"/>
        <w:jc w:val="both"/>
        <w:rPr>
          <w:rFonts w:ascii="Times New Roman" w:eastAsia="Times New Roman" w:hAnsi="Times New Roman" w:cs="Times New Roman"/>
          <w:sz w:val="24"/>
          <w:szCs w:val="24"/>
          <w:lang w:eastAsia="zh-CN"/>
        </w:rPr>
        <w:pPrChange w:id="16" w:author="USER" w:date="2026-05-02T08:31:00Z" w16du:dateUtc="2026-05-02T07:31:00Z">
          <w:pPr>
            <w:spacing w:before="100" w:beforeAutospacing="1" w:after="100" w:afterAutospacing="1" w:line="480" w:lineRule="auto"/>
          </w:pPr>
        </w:pPrChange>
      </w:pPr>
      <w:r>
        <w:rPr>
          <w:rFonts w:ascii="Times New Roman" w:eastAsia="Times New Roman" w:hAnsi="Times New Roman" w:cs="Times New Roman"/>
          <w:sz w:val="24"/>
          <w:szCs w:val="24"/>
          <w:lang w:eastAsia="zh-CN"/>
        </w:rPr>
        <w:t xml:space="preserve">Traditionally, sex education has been delivered through teacher-centered classroom lectures, school assemblies, or parental guidance. However, these approaches are often limited in effectiveness due to cultural stigmas, inadequate instructional resources, and restricted access to trained educators. In contrast, modern digital platforms, including social media and artificial intelligence (A.I)–based tools, provide innovative avenues for delivering sexual health education. Social media platforms such as Facebook, WhatsApp, Instagram, TikTok, and YouTube offer spaces for adolescents to interact, communicate, and access information across geographical barriers. Similarly, A.I tools, including ChatGPT, virtual assistants like Siri and Alexa, and </w:t>
      </w:r>
      <w:r>
        <w:rPr>
          <w:rFonts w:ascii="Times New Roman" w:eastAsia="Times New Roman" w:hAnsi="Times New Roman" w:cs="Times New Roman"/>
          <w:sz w:val="24"/>
          <w:szCs w:val="24"/>
          <w:lang w:eastAsia="zh-CN"/>
        </w:rPr>
        <w:lastRenderedPageBreak/>
        <w:t xml:space="preserve">recommendation engines, deliver personalized, interactive, and immediate learning experiences </w:t>
      </w:r>
      <w:r>
        <w:rPr>
          <w:rFonts w:ascii="Times New Roman" w:eastAsia="Times New Roman" w:hAnsi="Times New Roman" w:cs="Times New Roman"/>
          <w:sz w:val="24"/>
          <w:szCs w:val="24"/>
          <w:lang w:val="en-US" w:eastAsia="zh-CN"/>
        </w:rPr>
        <w:t>[6], [7], [8]</w:t>
      </w:r>
      <w:r>
        <w:rPr>
          <w:rFonts w:ascii="Times New Roman" w:eastAsia="Times New Roman" w:hAnsi="Times New Roman" w:cs="Times New Roman"/>
          <w:sz w:val="24"/>
          <w:szCs w:val="24"/>
          <w:lang w:eastAsia="zh-CN"/>
        </w:rPr>
        <w:t>.</w:t>
      </w:r>
    </w:p>
    <w:p w14:paraId="34CA20C9" w14:textId="77777777" w:rsidR="008D4E8F" w:rsidRDefault="00D90E3D" w:rsidP="00666976">
      <w:pPr>
        <w:spacing w:before="100" w:beforeAutospacing="1" w:after="100" w:afterAutospacing="1" w:line="480" w:lineRule="auto"/>
        <w:jc w:val="both"/>
        <w:rPr>
          <w:rFonts w:ascii="Times New Roman" w:eastAsia="Times New Roman" w:hAnsi="Times New Roman" w:cs="Times New Roman"/>
          <w:sz w:val="24"/>
          <w:szCs w:val="24"/>
          <w:lang w:eastAsia="zh-CN"/>
        </w:rPr>
        <w:pPrChange w:id="17" w:author="USER" w:date="2026-05-02T08:31:00Z" w16du:dateUtc="2026-05-02T07:31:00Z">
          <w:pPr>
            <w:spacing w:before="100" w:beforeAutospacing="1" w:after="100" w:afterAutospacing="1" w:line="480" w:lineRule="auto"/>
          </w:pPr>
        </w:pPrChange>
      </w:pPr>
      <w:r>
        <w:rPr>
          <w:rFonts w:ascii="Times New Roman" w:eastAsia="Times New Roman" w:hAnsi="Times New Roman" w:cs="Times New Roman"/>
          <w:sz w:val="24"/>
          <w:szCs w:val="24"/>
          <w:lang w:eastAsia="zh-CN"/>
        </w:rPr>
        <w:t xml:space="preserve">Digital platform–based education presents both opportunities and challenges for adolescent sexual health. On the positive side, it can enhance accessibility, engagement, and knowledge retention by providing interactive and relevant content. On the other hand, exposure to misinformation, unrealistic portrayals of sexual behaviour, cyberbullying, and inappropriate content can misguide adolescents, encourage sexualization, and increase risky sexual behaviours </w:t>
      </w:r>
      <w:r>
        <w:rPr>
          <w:rFonts w:ascii="Times New Roman" w:eastAsia="Times New Roman" w:hAnsi="Times New Roman" w:cs="Times New Roman"/>
          <w:sz w:val="24"/>
          <w:szCs w:val="24"/>
          <w:lang w:val="en-US" w:eastAsia="zh-CN"/>
        </w:rPr>
        <w:t>[9]</w:t>
      </w:r>
      <w:r>
        <w:rPr>
          <w:rFonts w:ascii="Times New Roman" w:eastAsia="Times New Roman" w:hAnsi="Times New Roman" w:cs="Times New Roman"/>
          <w:sz w:val="24"/>
          <w:szCs w:val="24"/>
          <w:lang w:eastAsia="zh-CN"/>
        </w:rPr>
        <w:t>. Therefore, effectively integrating digital platforms into sexual health education requires ensuring that content is evidence-based, age-appropriate, and delivered in a manner that promotes critical thinking and informed decision-making.</w:t>
      </w:r>
    </w:p>
    <w:p w14:paraId="49588647" w14:textId="77777777" w:rsidR="008D4E8F" w:rsidRDefault="00D90E3D" w:rsidP="00666976">
      <w:pPr>
        <w:spacing w:before="100" w:beforeAutospacing="1" w:after="100" w:afterAutospacing="1" w:line="480" w:lineRule="auto"/>
        <w:jc w:val="both"/>
        <w:rPr>
          <w:rFonts w:ascii="Times New Roman" w:eastAsia="Times New Roman" w:hAnsi="Times New Roman" w:cs="Times New Roman"/>
          <w:sz w:val="24"/>
          <w:szCs w:val="24"/>
          <w:lang w:eastAsia="zh-CN"/>
        </w:rPr>
        <w:pPrChange w:id="18" w:author="USER" w:date="2026-05-02T08:31:00Z" w16du:dateUtc="2026-05-02T07:31:00Z">
          <w:pPr>
            <w:spacing w:before="100" w:beforeAutospacing="1" w:after="100" w:afterAutospacing="1" w:line="480" w:lineRule="auto"/>
          </w:pPr>
        </w:pPrChange>
      </w:pPr>
      <w:r>
        <w:rPr>
          <w:rFonts w:ascii="Times New Roman" w:eastAsia="Times New Roman" w:hAnsi="Times New Roman" w:cs="Times New Roman"/>
          <w:sz w:val="24"/>
          <w:szCs w:val="24"/>
          <w:lang w:eastAsia="zh-CN"/>
        </w:rPr>
        <w:t>Given the widespread use of social media and A.I among adolescents and their potential as educational tools, exploring the impact of digital platform–based sex education on adolescents’ knowledge and perceptions of sexual-risk behaviour consequences is essential. Understanding these effects is critical for developing interventions that improve sexual health literacy, reduce risky sexual behaviours, and support healthy adolescent development in Owerri Municipal and similar urban contexts.</w:t>
      </w:r>
      <w:r>
        <w:rPr>
          <w:rFonts w:ascii="Arial" w:eastAsia="Times New Roman" w:hAnsi="Arial" w:cs="Arial"/>
          <w:vanish/>
          <w:sz w:val="16"/>
          <w:szCs w:val="16"/>
          <w:lang w:eastAsia="zh-CN"/>
        </w:rPr>
        <w:t>Bottom of Form</w:t>
      </w:r>
    </w:p>
    <w:p w14:paraId="642421AA" w14:textId="77777777" w:rsidR="008D4E8F" w:rsidRDefault="00D90E3D" w:rsidP="00666976">
      <w:pPr>
        <w:spacing w:after="0" w:line="480" w:lineRule="auto"/>
        <w:jc w:val="both"/>
        <w:rPr>
          <w:rFonts w:ascii="Times New Roman" w:hAnsi="Times New Roman" w:cs="Times New Roman"/>
          <w:b/>
          <w:bCs/>
          <w:sz w:val="24"/>
          <w:szCs w:val="24"/>
        </w:rPr>
        <w:pPrChange w:id="19" w:author="USER" w:date="2026-05-02T08:31:00Z" w16du:dateUtc="2026-05-02T07:31:00Z">
          <w:pPr>
            <w:spacing w:after="0" w:line="480" w:lineRule="auto"/>
          </w:pPr>
        </w:pPrChange>
      </w:pPr>
      <w:bookmarkStart w:id="20" w:name="_Hlk224468844"/>
      <w:r>
        <w:rPr>
          <w:rFonts w:ascii="Times New Roman" w:hAnsi="Times New Roman" w:cs="Times New Roman"/>
          <w:b/>
          <w:bCs/>
          <w:sz w:val="24"/>
          <w:szCs w:val="24"/>
        </w:rPr>
        <w:t>Study design and sampling:</w:t>
      </w:r>
    </w:p>
    <w:bookmarkEnd w:id="20"/>
    <w:p w14:paraId="592C68B9" w14:textId="77777777" w:rsidR="008D4E8F" w:rsidRDefault="00D90E3D" w:rsidP="00666976">
      <w:pPr>
        <w:spacing w:after="0" w:line="480" w:lineRule="auto"/>
        <w:jc w:val="both"/>
        <w:rPr>
          <w:rFonts w:ascii="Times New Roman" w:hAnsi="Times New Roman" w:cs="Times New Roman"/>
          <w:b/>
          <w:bCs/>
          <w:sz w:val="24"/>
          <w:szCs w:val="24"/>
        </w:rPr>
        <w:pPrChange w:id="21" w:author="USER" w:date="2026-05-02T08:31:00Z" w16du:dateUtc="2026-05-02T07:31:00Z">
          <w:pPr>
            <w:spacing w:after="0" w:line="480" w:lineRule="auto"/>
          </w:pPr>
        </w:pPrChange>
      </w:pPr>
      <w:commentRangeStart w:id="22"/>
      <w:r>
        <w:rPr>
          <w:rFonts w:ascii="Times New Roman" w:eastAsia="Times New Roman" w:hAnsi="Times New Roman" w:cs="Times New Roman"/>
          <w:sz w:val="24"/>
          <w:szCs w:val="24"/>
          <w:lang w:eastAsia="zh-CN"/>
        </w:rPr>
        <w:t>This s</w:t>
      </w:r>
      <w:r>
        <w:rPr>
          <w:rFonts w:ascii="Times New Roman" w:eastAsia="Times New Roman" w:hAnsi="Times New Roman" w:cs="Times New Roman"/>
          <w:sz w:val="24"/>
          <w:szCs w:val="24"/>
          <w:lang w:val="en-US" w:eastAsia="zh-CN"/>
        </w:rPr>
        <w:t xml:space="preserve">tudy </w:t>
      </w:r>
      <w:r>
        <w:rPr>
          <w:rFonts w:ascii="Times New Roman" w:eastAsia="Times New Roman" w:hAnsi="Times New Roman" w:cs="Times New Roman"/>
          <w:sz w:val="24"/>
          <w:szCs w:val="24"/>
          <w:lang w:eastAsia="zh-CN"/>
        </w:rPr>
        <w:t>employed a pretest-post</w:t>
      </w:r>
      <w:r>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eastAsia="zh-CN"/>
        </w:rPr>
        <w:t xml:space="preserve">test quasi-experimental design. The study focused on adolescents aged 14 to 19 years enrolled in government-owned secondary schools in Owerri Municipal, Imo State, totaling 5,146 students. Schools were selected purposively to include those with sufficient student enrolment and access to digital platforms, ensuring that participants could engage effectively with the intervention. This design enabled the measurement of changes in </w:t>
      </w:r>
      <w:r>
        <w:rPr>
          <w:rFonts w:ascii="Times New Roman" w:eastAsia="Times New Roman" w:hAnsi="Times New Roman" w:cs="Times New Roman"/>
          <w:sz w:val="24"/>
          <w:szCs w:val="24"/>
          <w:lang w:eastAsia="zh-CN"/>
        </w:rPr>
        <w:lastRenderedPageBreak/>
        <w:t>knowledge and perception before and after exposure to digital platform–based sexual health education while allowing for comparison between groups.</w:t>
      </w:r>
      <w:commentRangeEnd w:id="22"/>
      <w:r w:rsidR="00CE56E7">
        <w:rPr>
          <w:rStyle w:val="CommentReference"/>
        </w:rPr>
        <w:commentReference w:id="22"/>
      </w:r>
    </w:p>
    <w:p w14:paraId="17BA659D" w14:textId="77777777" w:rsidR="008D4E8F" w:rsidRDefault="00D90E3D" w:rsidP="00666976">
      <w:pPr>
        <w:spacing w:after="0" w:line="480" w:lineRule="auto"/>
        <w:jc w:val="both"/>
        <w:rPr>
          <w:rFonts w:ascii="Times New Roman" w:hAnsi="Times New Roman" w:cs="Times New Roman"/>
          <w:b/>
          <w:bCs/>
          <w:sz w:val="24"/>
          <w:szCs w:val="24"/>
        </w:rPr>
        <w:pPrChange w:id="23" w:author="USER" w:date="2026-05-02T08:31:00Z" w16du:dateUtc="2026-05-02T07:31:00Z">
          <w:pPr>
            <w:spacing w:after="0" w:line="480" w:lineRule="auto"/>
          </w:pPr>
        </w:pPrChange>
      </w:pPr>
      <w:r>
        <w:rPr>
          <w:rFonts w:ascii="Times New Roman" w:hAnsi="Times New Roman" w:cs="Times New Roman"/>
          <w:b/>
          <w:bCs/>
          <w:sz w:val="24"/>
          <w:szCs w:val="24"/>
        </w:rPr>
        <w:t>Data Collection</w:t>
      </w:r>
    </w:p>
    <w:p w14:paraId="64D8FACB" w14:textId="77777777" w:rsidR="008D4E8F" w:rsidRDefault="00D90E3D" w:rsidP="00666976">
      <w:pPr>
        <w:spacing w:line="480" w:lineRule="auto"/>
        <w:jc w:val="both"/>
        <w:rPr>
          <w:rStyle w:val="bzpyqfadein"/>
          <w:rFonts w:ascii="Times New Roman" w:hAnsi="Times New Roman" w:cs="Times New Roman"/>
          <w:sz w:val="24"/>
          <w:szCs w:val="24"/>
        </w:rPr>
        <w:pPrChange w:id="24" w:author="USER" w:date="2026-05-02T08:31:00Z" w16du:dateUtc="2026-05-02T07:31:00Z">
          <w:pPr>
            <w:spacing w:line="480" w:lineRule="auto"/>
          </w:pPr>
        </w:pPrChange>
      </w:pPr>
      <w:r>
        <w:rPr>
          <w:rStyle w:val="bzpyqfadein"/>
          <w:rFonts w:ascii="Times New Roman" w:hAnsi="Times New Roman" w:cs="Times New Roman"/>
          <w:sz w:val="24"/>
          <w:szCs w:val="24"/>
        </w:rPr>
        <w:t>Data were collected using a structured and pretested questionnaire, designed as a standardized survey instrument to ensure systematic and reliable data gathering. The questionnaire captured relevant information on adolescents’ knowledge and perception of sexual-risk behaviour consequences. The data collection process was facilitated by the researcher alongside two trained research assistants, who assisted in administering the questionnaire and ensuring consistency. Prior to administration, the purpose of the study was explained to the respondents, and verbal informed consent was obtained from each participant to ensure ethical compliance.</w:t>
      </w:r>
      <w:r>
        <w:rPr>
          <w:rStyle w:val="bzpyqfadein"/>
          <w:rFonts w:ascii="Times New Roman" w:hAnsi="Times New Roman" w:cs="Times New Roman"/>
          <w:sz w:val="24"/>
          <w:szCs w:val="24"/>
          <w:lang w:val="en-US"/>
        </w:rPr>
        <w:t xml:space="preserve"> </w:t>
      </w:r>
      <w:r>
        <w:rPr>
          <w:rStyle w:val="bzpyqfadein"/>
          <w:rFonts w:ascii="Times New Roman" w:hAnsi="Times New Roman" w:cs="Times New Roman"/>
          <w:sz w:val="24"/>
          <w:szCs w:val="24"/>
        </w:rPr>
        <w:t>Questionnaires were administered in a controlled environment to minimize distractions and enhance the accuracy of responses.</w:t>
      </w:r>
    </w:p>
    <w:p w14:paraId="731A37E0" w14:textId="77777777" w:rsidR="008D4E8F" w:rsidRDefault="00D90E3D" w:rsidP="00666976">
      <w:pPr>
        <w:spacing w:after="0" w:line="480" w:lineRule="auto"/>
        <w:jc w:val="both"/>
        <w:rPr>
          <w:rFonts w:ascii="Times New Roman" w:hAnsi="Times New Roman" w:cs="Times New Roman"/>
          <w:b/>
          <w:bCs/>
          <w:sz w:val="24"/>
          <w:szCs w:val="24"/>
        </w:rPr>
        <w:pPrChange w:id="25" w:author="USER" w:date="2026-05-02T08:31:00Z" w16du:dateUtc="2026-05-02T07:31:00Z">
          <w:pPr>
            <w:spacing w:after="0" w:line="480" w:lineRule="auto"/>
          </w:pPr>
        </w:pPrChange>
      </w:pPr>
      <w:r>
        <w:rPr>
          <w:rFonts w:ascii="Times New Roman" w:hAnsi="Times New Roman" w:cs="Times New Roman"/>
          <w:b/>
          <w:bCs/>
          <w:sz w:val="24"/>
          <w:szCs w:val="24"/>
        </w:rPr>
        <w:t>Data Analysis</w:t>
      </w:r>
    </w:p>
    <w:p w14:paraId="4FDE8F6D" w14:textId="77777777" w:rsidR="008D4E8F" w:rsidRDefault="00D90E3D" w:rsidP="00666976">
      <w:pPr>
        <w:spacing w:after="0" w:line="480" w:lineRule="auto"/>
        <w:jc w:val="both"/>
        <w:rPr>
          <w:rFonts w:ascii="Times New Roman" w:hAnsi="Times New Roman" w:cs="Times New Roman"/>
          <w:b/>
          <w:bCs/>
          <w:sz w:val="24"/>
          <w:szCs w:val="24"/>
        </w:rPr>
        <w:pPrChange w:id="26" w:author="USER" w:date="2026-05-02T08:31:00Z" w16du:dateUtc="2026-05-02T07:31:00Z">
          <w:pPr>
            <w:spacing w:after="0" w:line="480" w:lineRule="auto"/>
          </w:pPr>
        </w:pPrChange>
      </w:pPr>
      <w:r>
        <w:rPr>
          <w:rStyle w:val="bzpyqfadein"/>
          <w:rFonts w:ascii="Times New Roman" w:hAnsi="Times New Roman" w:cs="Times New Roman"/>
          <w:sz w:val="24"/>
          <w:szCs w:val="24"/>
        </w:rPr>
        <w:t xml:space="preserve">Collected data were carefully cleaned, coded, and entered into the IBM Statistical Package for the Social Sciences (SPSS), version 23.0 for analysis. Raw scores were organized, and manual techniques were initially applied to compute frequency distributions and cumulative percentages. Both descriptive and inferential statistical methods were employed to analyze the data in line with the </w:t>
      </w:r>
      <w:commentRangeStart w:id="27"/>
      <w:r>
        <w:rPr>
          <w:rStyle w:val="bzpyqfadein"/>
          <w:rFonts w:ascii="Times New Roman" w:hAnsi="Times New Roman" w:cs="Times New Roman"/>
          <w:sz w:val="24"/>
          <w:szCs w:val="24"/>
        </w:rPr>
        <w:t>study objectives</w:t>
      </w:r>
      <w:commentRangeEnd w:id="27"/>
      <w:r w:rsidR="001944BF">
        <w:rPr>
          <w:rStyle w:val="CommentReference"/>
        </w:rPr>
        <w:commentReference w:id="27"/>
      </w:r>
      <w:r>
        <w:rPr>
          <w:rStyle w:val="bzpyqfadein"/>
          <w:rFonts w:ascii="Times New Roman" w:hAnsi="Times New Roman" w:cs="Times New Roman"/>
          <w:sz w:val="24"/>
          <w:szCs w:val="24"/>
        </w:rPr>
        <w:t>. Where statistically significant differences were observed among groups, Bonferroni post hoc multiple comparison tests were conducted to identify specific group differences. All statistical tests were carried out at a 5% level of significance (p &lt; 0.05). The results were subsequently presented in tables and interpreted to reflect the effects of the digital platform–based sexual health intervention on adolescents’ knowledge and perceptions of sexual-risk behaviour consequences.</w:t>
      </w:r>
    </w:p>
    <w:p w14:paraId="2831169A" w14:textId="77777777" w:rsidR="008D4E8F" w:rsidRDefault="008D4E8F">
      <w:pPr>
        <w:spacing w:after="0" w:line="240" w:lineRule="auto"/>
        <w:jc w:val="both"/>
        <w:rPr>
          <w:rFonts w:ascii="Times New Roman" w:hAnsi="Times New Roman" w:cs="Times New Roman"/>
          <w:b/>
          <w:bCs/>
          <w:sz w:val="24"/>
          <w:szCs w:val="24"/>
        </w:rPr>
      </w:pPr>
      <w:bookmarkStart w:id="28" w:name="_Hlk224441807"/>
    </w:p>
    <w:p w14:paraId="7E3CC8CA" w14:textId="77777777" w:rsidR="008D4E8F" w:rsidRDefault="008D4E8F">
      <w:pPr>
        <w:spacing w:after="0" w:line="240" w:lineRule="auto"/>
        <w:jc w:val="both"/>
        <w:rPr>
          <w:rFonts w:ascii="Times New Roman" w:hAnsi="Times New Roman" w:cs="Times New Roman"/>
          <w:b/>
          <w:bCs/>
          <w:sz w:val="24"/>
          <w:szCs w:val="24"/>
        </w:rPr>
      </w:pPr>
    </w:p>
    <w:p w14:paraId="7CEFEC15" w14:textId="77777777" w:rsidR="008D4E8F" w:rsidRDefault="008D4E8F">
      <w:pPr>
        <w:spacing w:after="0" w:line="240" w:lineRule="auto"/>
        <w:jc w:val="both"/>
        <w:rPr>
          <w:rFonts w:ascii="Times New Roman" w:hAnsi="Times New Roman" w:cs="Times New Roman"/>
          <w:b/>
          <w:bCs/>
          <w:sz w:val="24"/>
          <w:szCs w:val="24"/>
        </w:rPr>
      </w:pPr>
    </w:p>
    <w:p w14:paraId="1B40E7D4" w14:textId="77777777" w:rsidR="008D4E8F" w:rsidRDefault="008D4E8F">
      <w:pPr>
        <w:spacing w:after="0" w:line="240" w:lineRule="auto"/>
        <w:jc w:val="both"/>
        <w:rPr>
          <w:rFonts w:ascii="Times New Roman" w:hAnsi="Times New Roman" w:cs="Times New Roman"/>
          <w:b/>
          <w:bCs/>
          <w:sz w:val="24"/>
          <w:szCs w:val="24"/>
        </w:rPr>
      </w:pPr>
    </w:p>
    <w:p w14:paraId="240A6FC8" w14:textId="77777777" w:rsidR="008D4E8F" w:rsidRDefault="00D90E3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3F6F153C" w14:textId="77777777" w:rsidR="008D4E8F" w:rsidRDefault="00D90E3D">
      <w:pPr>
        <w:spacing w:after="0" w:line="240" w:lineRule="auto"/>
        <w:rPr>
          <w:rFonts w:ascii="Times New Roman" w:hAnsi="Times New Roman" w:cs="Times New Roman"/>
          <w:b/>
          <w:color w:val="000000"/>
          <w:sz w:val="24"/>
          <w:szCs w:val="24"/>
        </w:rPr>
      </w:pPr>
      <w:r>
        <w:rPr>
          <w:rFonts w:ascii="Times New Roman" w:hAnsi="Times New Roman" w:cs="Times New Roman"/>
          <w:b/>
          <w:sz w:val="24"/>
          <w:szCs w:val="24"/>
        </w:rPr>
        <w:t xml:space="preserve">Table 1: </w:t>
      </w:r>
      <w:r>
        <w:rPr>
          <w:rFonts w:ascii="Times New Roman" w:hAnsi="Times New Roman" w:cs="Times New Roman"/>
          <w:b/>
          <w:color w:val="000000"/>
          <w:sz w:val="24"/>
          <w:szCs w:val="24"/>
        </w:rPr>
        <w:t>Socio-demographic Characteristics of the Study Participants</w:t>
      </w:r>
    </w:p>
    <w:tbl>
      <w:tblPr>
        <w:tblW w:w="891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75"/>
        <w:gridCol w:w="720"/>
        <w:gridCol w:w="900"/>
        <w:gridCol w:w="900"/>
        <w:gridCol w:w="900"/>
        <w:gridCol w:w="900"/>
        <w:gridCol w:w="900"/>
        <w:gridCol w:w="810"/>
        <w:gridCol w:w="810"/>
      </w:tblGrid>
      <w:tr w:rsidR="008D4E8F" w14:paraId="62A30E2B" w14:textId="77777777">
        <w:trPr>
          <w:cantSplit/>
          <w:trHeight w:val="145"/>
        </w:trPr>
        <w:tc>
          <w:tcPr>
            <w:tcW w:w="2075" w:type="dxa"/>
            <w:vMerge w:val="restart"/>
            <w:shd w:val="clear" w:color="auto" w:fill="FFFFFF"/>
            <w:vAlign w:val="center"/>
          </w:tcPr>
          <w:p w14:paraId="238E86E0"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Socio-demographic</w:t>
            </w:r>
          </w:p>
          <w:p w14:paraId="2DD8FE51"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Factors</w:t>
            </w:r>
          </w:p>
        </w:tc>
        <w:tc>
          <w:tcPr>
            <w:tcW w:w="1620" w:type="dxa"/>
            <w:gridSpan w:val="2"/>
            <w:tcBorders>
              <w:bottom w:val="single" w:sz="4" w:space="0" w:color="auto"/>
            </w:tcBorders>
            <w:shd w:val="clear" w:color="auto" w:fill="FFFFFF"/>
            <w:vAlign w:val="center"/>
          </w:tcPr>
          <w:p w14:paraId="78A13314"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Traditional  Lecture</w:t>
            </w:r>
          </w:p>
          <w:p w14:paraId="5B31754F" w14:textId="77777777" w:rsidR="008D4E8F" w:rsidRDefault="00D90E3D">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 (TLM)</w:t>
            </w:r>
          </w:p>
        </w:tc>
        <w:tc>
          <w:tcPr>
            <w:tcW w:w="1800" w:type="dxa"/>
            <w:gridSpan w:val="2"/>
            <w:tcBorders>
              <w:bottom w:val="single" w:sz="4" w:space="0" w:color="auto"/>
            </w:tcBorders>
            <w:shd w:val="clear" w:color="auto" w:fill="FFFFFF"/>
            <w:vAlign w:val="center"/>
          </w:tcPr>
          <w:p w14:paraId="136E3909"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WhatsApp</w:t>
            </w:r>
          </w:p>
          <w:p w14:paraId="068EBFE0"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 (WAM)</w:t>
            </w:r>
          </w:p>
        </w:tc>
        <w:tc>
          <w:tcPr>
            <w:tcW w:w="1800" w:type="dxa"/>
            <w:gridSpan w:val="2"/>
            <w:tcBorders>
              <w:bottom w:val="single" w:sz="4" w:space="0" w:color="auto"/>
            </w:tcBorders>
            <w:shd w:val="clear" w:color="auto" w:fill="FFFFFF"/>
            <w:vAlign w:val="center"/>
          </w:tcPr>
          <w:p w14:paraId="2D63B14B"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AI (Meta AI/Chatgpt)</w:t>
            </w:r>
          </w:p>
          <w:p w14:paraId="64955792"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 (AIM)</w:t>
            </w:r>
          </w:p>
        </w:tc>
        <w:tc>
          <w:tcPr>
            <w:tcW w:w="1620" w:type="dxa"/>
            <w:gridSpan w:val="2"/>
            <w:tcBorders>
              <w:bottom w:val="single" w:sz="4" w:space="0" w:color="auto"/>
            </w:tcBorders>
            <w:shd w:val="clear" w:color="auto" w:fill="FFFFFF"/>
            <w:vAlign w:val="center"/>
          </w:tcPr>
          <w:p w14:paraId="504D6743"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Total</w:t>
            </w:r>
          </w:p>
          <w:p w14:paraId="447F4C68"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r>
      <w:tr w:rsidR="008D4E8F" w14:paraId="59C4D9C3" w14:textId="77777777">
        <w:trPr>
          <w:cantSplit/>
          <w:trHeight w:val="145"/>
        </w:trPr>
        <w:tc>
          <w:tcPr>
            <w:tcW w:w="2075" w:type="dxa"/>
            <w:vMerge/>
            <w:tcBorders>
              <w:bottom w:val="single" w:sz="4" w:space="0" w:color="auto"/>
            </w:tcBorders>
            <w:shd w:val="clear" w:color="auto" w:fill="FFFFFF"/>
            <w:vAlign w:val="center"/>
          </w:tcPr>
          <w:p w14:paraId="2463600A" w14:textId="77777777" w:rsidR="008D4E8F" w:rsidRDefault="008D4E8F">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720" w:type="dxa"/>
            <w:tcBorders>
              <w:top w:val="single" w:sz="4" w:space="0" w:color="auto"/>
              <w:bottom w:val="single" w:sz="4" w:space="0" w:color="auto"/>
            </w:tcBorders>
            <w:shd w:val="clear" w:color="auto" w:fill="FFFFFF"/>
            <w:vAlign w:val="center"/>
          </w:tcPr>
          <w:p w14:paraId="13682000"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1CA0549A"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14:paraId="4DDA5F0D"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4D7D5E06"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14:paraId="5D8CE006"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007B29D7"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810" w:type="dxa"/>
            <w:tcBorders>
              <w:top w:val="single" w:sz="4" w:space="0" w:color="auto"/>
              <w:bottom w:val="single" w:sz="4" w:space="0" w:color="auto"/>
            </w:tcBorders>
            <w:shd w:val="clear" w:color="auto" w:fill="FFFFFF"/>
            <w:vAlign w:val="center"/>
          </w:tcPr>
          <w:p w14:paraId="1000C08D"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810" w:type="dxa"/>
            <w:tcBorders>
              <w:top w:val="single" w:sz="4" w:space="0" w:color="auto"/>
              <w:bottom w:val="single" w:sz="4" w:space="0" w:color="auto"/>
            </w:tcBorders>
            <w:shd w:val="clear" w:color="auto" w:fill="FFFFFF"/>
            <w:vAlign w:val="center"/>
          </w:tcPr>
          <w:p w14:paraId="07E7917B"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8D4E8F" w14:paraId="7E3F871F" w14:textId="77777777">
        <w:trPr>
          <w:cantSplit/>
          <w:trHeight w:val="145"/>
        </w:trPr>
        <w:tc>
          <w:tcPr>
            <w:tcW w:w="2075" w:type="dxa"/>
            <w:tcBorders>
              <w:top w:val="single" w:sz="4" w:space="0" w:color="auto"/>
              <w:bottom w:val="nil"/>
            </w:tcBorders>
            <w:shd w:val="clear" w:color="auto" w:fill="FFFFFF"/>
            <w:vAlign w:val="center"/>
          </w:tcPr>
          <w:p w14:paraId="6FE2E744"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Age (years)</w:t>
            </w:r>
          </w:p>
        </w:tc>
        <w:tc>
          <w:tcPr>
            <w:tcW w:w="720" w:type="dxa"/>
            <w:tcBorders>
              <w:top w:val="single" w:sz="4" w:space="0" w:color="auto"/>
              <w:bottom w:val="nil"/>
            </w:tcBorders>
            <w:shd w:val="clear" w:color="auto" w:fill="FFFFFF"/>
            <w:vAlign w:val="center"/>
          </w:tcPr>
          <w:p w14:paraId="6ECF008E"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14:paraId="1655344F"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14:paraId="5DC483C1"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14:paraId="56FF60C6"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14:paraId="1E3067B8"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tcBorders>
              <w:top w:val="single" w:sz="4" w:space="0" w:color="auto"/>
              <w:bottom w:val="nil"/>
            </w:tcBorders>
            <w:shd w:val="clear" w:color="auto" w:fill="FFFFFF"/>
            <w:vAlign w:val="center"/>
          </w:tcPr>
          <w:p w14:paraId="4207C4E0"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810" w:type="dxa"/>
            <w:tcBorders>
              <w:top w:val="single" w:sz="4" w:space="0" w:color="auto"/>
              <w:bottom w:val="nil"/>
            </w:tcBorders>
            <w:shd w:val="clear" w:color="auto" w:fill="FFFFFF"/>
            <w:vAlign w:val="center"/>
          </w:tcPr>
          <w:p w14:paraId="3F18A6B5"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810" w:type="dxa"/>
            <w:tcBorders>
              <w:top w:val="single" w:sz="4" w:space="0" w:color="auto"/>
              <w:bottom w:val="nil"/>
            </w:tcBorders>
            <w:shd w:val="clear" w:color="auto" w:fill="FFFFFF"/>
            <w:vAlign w:val="center"/>
          </w:tcPr>
          <w:p w14:paraId="2FC045B9"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r>
      <w:tr w:rsidR="008D4E8F" w14:paraId="6D28C363" w14:textId="77777777">
        <w:trPr>
          <w:cantSplit/>
          <w:trHeight w:val="145"/>
        </w:trPr>
        <w:tc>
          <w:tcPr>
            <w:tcW w:w="2075" w:type="dxa"/>
            <w:tcBorders>
              <w:top w:val="nil"/>
            </w:tcBorders>
            <w:shd w:val="clear" w:color="auto" w:fill="FFFFFF"/>
            <w:vAlign w:val="center"/>
          </w:tcPr>
          <w:p w14:paraId="662FA3F3"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14-15</w:t>
            </w:r>
          </w:p>
        </w:tc>
        <w:tc>
          <w:tcPr>
            <w:tcW w:w="720" w:type="dxa"/>
            <w:tcBorders>
              <w:top w:val="nil"/>
            </w:tcBorders>
            <w:shd w:val="clear" w:color="auto" w:fill="FFFFFF"/>
            <w:vAlign w:val="center"/>
          </w:tcPr>
          <w:p w14:paraId="4CB18C8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00" w:type="dxa"/>
            <w:tcBorders>
              <w:top w:val="nil"/>
            </w:tcBorders>
            <w:shd w:val="clear" w:color="auto" w:fill="FFFFFF"/>
            <w:vAlign w:val="center"/>
          </w:tcPr>
          <w:p w14:paraId="5267E19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900" w:type="dxa"/>
            <w:tcBorders>
              <w:top w:val="nil"/>
            </w:tcBorders>
            <w:shd w:val="clear" w:color="auto" w:fill="FFFFFF"/>
            <w:vAlign w:val="center"/>
          </w:tcPr>
          <w:p w14:paraId="7645540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900" w:type="dxa"/>
            <w:tcBorders>
              <w:top w:val="nil"/>
            </w:tcBorders>
            <w:shd w:val="clear" w:color="auto" w:fill="FFFFFF"/>
            <w:vAlign w:val="center"/>
          </w:tcPr>
          <w:p w14:paraId="5CB6C23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900" w:type="dxa"/>
            <w:tcBorders>
              <w:top w:val="nil"/>
            </w:tcBorders>
            <w:shd w:val="clear" w:color="auto" w:fill="FFFFFF"/>
            <w:vAlign w:val="center"/>
          </w:tcPr>
          <w:p w14:paraId="6A4611C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00" w:type="dxa"/>
            <w:tcBorders>
              <w:top w:val="nil"/>
            </w:tcBorders>
            <w:shd w:val="clear" w:color="auto" w:fill="FFFFFF"/>
            <w:vAlign w:val="center"/>
          </w:tcPr>
          <w:p w14:paraId="1D259A1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31.8</w:t>
            </w:r>
          </w:p>
        </w:tc>
        <w:tc>
          <w:tcPr>
            <w:tcW w:w="810" w:type="dxa"/>
            <w:tcBorders>
              <w:top w:val="nil"/>
            </w:tcBorders>
            <w:shd w:val="clear" w:color="auto" w:fill="FFFFFF"/>
            <w:vAlign w:val="center"/>
          </w:tcPr>
          <w:p w14:paraId="4694920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810" w:type="dxa"/>
            <w:tcBorders>
              <w:top w:val="nil"/>
            </w:tcBorders>
            <w:shd w:val="clear" w:color="auto" w:fill="FFFFFF"/>
            <w:vAlign w:val="center"/>
          </w:tcPr>
          <w:p w14:paraId="4CB23F0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28.6</w:t>
            </w:r>
          </w:p>
        </w:tc>
      </w:tr>
      <w:tr w:rsidR="008D4E8F" w14:paraId="6A63E522" w14:textId="77777777">
        <w:trPr>
          <w:cantSplit/>
          <w:trHeight w:val="145"/>
        </w:trPr>
        <w:tc>
          <w:tcPr>
            <w:tcW w:w="2075" w:type="dxa"/>
            <w:shd w:val="clear" w:color="auto" w:fill="FFFFFF"/>
            <w:vAlign w:val="center"/>
          </w:tcPr>
          <w:p w14:paraId="4FDC909E"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16-19</w:t>
            </w:r>
          </w:p>
        </w:tc>
        <w:tc>
          <w:tcPr>
            <w:tcW w:w="720" w:type="dxa"/>
            <w:shd w:val="clear" w:color="auto" w:fill="FFFFFF"/>
            <w:vAlign w:val="center"/>
          </w:tcPr>
          <w:p w14:paraId="5BA4EDB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900" w:type="dxa"/>
            <w:shd w:val="clear" w:color="auto" w:fill="FFFFFF"/>
            <w:vAlign w:val="center"/>
          </w:tcPr>
          <w:p w14:paraId="61406A0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84.7</w:t>
            </w:r>
          </w:p>
        </w:tc>
        <w:tc>
          <w:tcPr>
            <w:tcW w:w="900" w:type="dxa"/>
            <w:shd w:val="clear" w:color="auto" w:fill="FFFFFF"/>
            <w:vAlign w:val="center"/>
          </w:tcPr>
          <w:p w14:paraId="7F30ABF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900" w:type="dxa"/>
            <w:shd w:val="clear" w:color="auto" w:fill="FFFFFF"/>
            <w:vAlign w:val="center"/>
          </w:tcPr>
          <w:p w14:paraId="094214A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61.2</w:t>
            </w:r>
          </w:p>
        </w:tc>
        <w:tc>
          <w:tcPr>
            <w:tcW w:w="900" w:type="dxa"/>
            <w:shd w:val="clear" w:color="auto" w:fill="FFFFFF"/>
            <w:vAlign w:val="center"/>
          </w:tcPr>
          <w:p w14:paraId="471DF53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900" w:type="dxa"/>
            <w:shd w:val="clear" w:color="auto" w:fill="FFFFFF"/>
            <w:vAlign w:val="center"/>
          </w:tcPr>
          <w:p w14:paraId="63546C6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68.2</w:t>
            </w:r>
          </w:p>
        </w:tc>
        <w:tc>
          <w:tcPr>
            <w:tcW w:w="810" w:type="dxa"/>
            <w:shd w:val="clear" w:color="auto" w:fill="FFFFFF"/>
            <w:vAlign w:val="center"/>
          </w:tcPr>
          <w:p w14:paraId="38CFCB8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182</w:t>
            </w:r>
          </w:p>
        </w:tc>
        <w:tc>
          <w:tcPr>
            <w:tcW w:w="810" w:type="dxa"/>
            <w:shd w:val="clear" w:color="auto" w:fill="FFFFFF"/>
            <w:vAlign w:val="center"/>
          </w:tcPr>
          <w:p w14:paraId="16C04D5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71.4</w:t>
            </w:r>
          </w:p>
        </w:tc>
      </w:tr>
      <w:tr w:rsidR="008D4E8F" w14:paraId="37338337" w14:textId="77777777">
        <w:trPr>
          <w:cantSplit/>
          <w:trHeight w:val="145"/>
        </w:trPr>
        <w:tc>
          <w:tcPr>
            <w:tcW w:w="2075" w:type="dxa"/>
            <w:shd w:val="clear" w:color="auto" w:fill="FFFFFF"/>
            <w:vAlign w:val="center"/>
          </w:tcPr>
          <w:p w14:paraId="155A4416"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42F2C7B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76E3F15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21AEBC9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478513C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5754212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518935B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17DF08E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626426D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6AD2737A" w14:textId="77777777">
        <w:trPr>
          <w:cantSplit/>
          <w:trHeight w:val="145"/>
        </w:trPr>
        <w:tc>
          <w:tcPr>
            <w:tcW w:w="2075" w:type="dxa"/>
            <w:shd w:val="clear" w:color="auto" w:fill="FFFFFF"/>
            <w:vAlign w:val="center"/>
          </w:tcPr>
          <w:p w14:paraId="4E3D9EC9"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Family Religion</w:t>
            </w:r>
          </w:p>
        </w:tc>
        <w:tc>
          <w:tcPr>
            <w:tcW w:w="720" w:type="dxa"/>
            <w:shd w:val="clear" w:color="auto" w:fill="FFFFFF"/>
            <w:vAlign w:val="center"/>
          </w:tcPr>
          <w:p w14:paraId="2D015BA3"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28255528"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3B40AA4F"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3AD27D2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38191771"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35A519B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19D7C517"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810" w:type="dxa"/>
            <w:shd w:val="clear" w:color="auto" w:fill="FFFFFF"/>
            <w:vAlign w:val="center"/>
          </w:tcPr>
          <w:p w14:paraId="05B0CDC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7B785804" w14:textId="77777777">
        <w:trPr>
          <w:cantSplit/>
          <w:trHeight w:val="145"/>
        </w:trPr>
        <w:tc>
          <w:tcPr>
            <w:tcW w:w="2075" w:type="dxa"/>
            <w:shd w:val="clear" w:color="auto" w:fill="FFFFFF"/>
            <w:vAlign w:val="center"/>
          </w:tcPr>
          <w:p w14:paraId="26A4EDA8"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Christian</w:t>
            </w:r>
          </w:p>
        </w:tc>
        <w:tc>
          <w:tcPr>
            <w:tcW w:w="720" w:type="dxa"/>
            <w:shd w:val="clear" w:color="auto" w:fill="FFFFFF"/>
            <w:vAlign w:val="center"/>
          </w:tcPr>
          <w:p w14:paraId="203E13E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900" w:type="dxa"/>
            <w:shd w:val="clear" w:color="auto" w:fill="FFFFFF"/>
            <w:vAlign w:val="center"/>
          </w:tcPr>
          <w:p w14:paraId="088D946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900" w:type="dxa"/>
            <w:shd w:val="clear" w:color="auto" w:fill="FFFFFF"/>
            <w:vAlign w:val="center"/>
          </w:tcPr>
          <w:p w14:paraId="3A82077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00" w:type="dxa"/>
            <w:shd w:val="clear" w:color="auto" w:fill="FFFFFF"/>
            <w:vAlign w:val="center"/>
          </w:tcPr>
          <w:p w14:paraId="2964F28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96.5</w:t>
            </w:r>
          </w:p>
        </w:tc>
        <w:tc>
          <w:tcPr>
            <w:tcW w:w="900" w:type="dxa"/>
            <w:shd w:val="clear" w:color="auto" w:fill="FFFFFF"/>
            <w:vAlign w:val="center"/>
          </w:tcPr>
          <w:p w14:paraId="20B871B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900" w:type="dxa"/>
            <w:shd w:val="clear" w:color="auto" w:fill="FFFFFF"/>
            <w:vAlign w:val="center"/>
          </w:tcPr>
          <w:p w14:paraId="5EEF696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810" w:type="dxa"/>
            <w:shd w:val="clear" w:color="auto" w:fill="FFFFFF"/>
            <w:vAlign w:val="center"/>
          </w:tcPr>
          <w:p w14:paraId="21AC3C5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810" w:type="dxa"/>
            <w:shd w:val="clear" w:color="auto" w:fill="FFFFFF"/>
            <w:vAlign w:val="center"/>
          </w:tcPr>
          <w:p w14:paraId="6792880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96.9</w:t>
            </w:r>
          </w:p>
        </w:tc>
      </w:tr>
      <w:tr w:rsidR="008D4E8F" w14:paraId="7436166E" w14:textId="77777777">
        <w:trPr>
          <w:cantSplit/>
          <w:trHeight w:val="145"/>
        </w:trPr>
        <w:tc>
          <w:tcPr>
            <w:tcW w:w="2075" w:type="dxa"/>
            <w:shd w:val="clear" w:color="auto" w:fill="FFFFFF"/>
            <w:vAlign w:val="center"/>
          </w:tcPr>
          <w:p w14:paraId="52D5807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Moslem</w:t>
            </w:r>
          </w:p>
        </w:tc>
        <w:tc>
          <w:tcPr>
            <w:tcW w:w="720" w:type="dxa"/>
            <w:shd w:val="clear" w:color="auto" w:fill="FFFFFF"/>
            <w:vAlign w:val="center"/>
          </w:tcPr>
          <w:p w14:paraId="63AF697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5B6DF88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24E5693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1002C9C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560302B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4C8B641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shd w:val="clear" w:color="auto" w:fill="FFFFFF"/>
            <w:vAlign w:val="center"/>
          </w:tcPr>
          <w:p w14:paraId="1A8BC91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10" w:type="dxa"/>
            <w:shd w:val="clear" w:color="auto" w:fill="FFFFFF"/>
            <w:vAlign w:val="center"/>
          </w:tcPr>
          <w:p w14:paraId="7FAEE93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8D4E8F" w14:paraId="19E1F8C5" w14:textId="77777777">
        <w:trPr>
          <w:cantSplit/>
          <w:trHeight w:val="145"/>
        </w:trPr>
        <w:tc>
          <w:tcPr>
            <w:tcW w:w="2075" w:type="dxa"/>
            <w:shd w:val="clear" w:color="auto" w:fill="FFFFFF"/>
            <w:vAlign w:val="center"/>
          </w:tcPr>
          <w:p w14:paraId="5A077B5C"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Traditionalist</w:t>
            </w:r>
          </w:p>
        </w:tc>
        <w:tc>
          <w:tcPr>
            <w:tcW w:w="720" w:type="dxa"/>
            <w:shd w:val="clear" w:color="auto" w:fill="FFFFFF"/>
            <w:vAlign w:val="center"/>
          </w:tcPr>
          <w:p w14:paraId="6C146CE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66A3F7F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14:paraId="3B6CDBB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5A3576D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501CBF8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79ECFC2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10" w:type="dxa"/>
            <w:shd w:val="clear" w:color="auto" w:fill="FFFFFF"/>
            <w:vAlign w:val="center"/>
          </w:tcPr>
          <w:p w14:paraId="1391668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10" w:type="dxa"/>
            <w:shd w:val="clear" w:color="auto" w:fill="FFFFFF"/>
            <w:vAlign w:val="center"/>
          </w:tcPr>
          <w:p w14:paraId="4C16986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r>
      <w:tr w:rsidR="008D4E8F" w14:paraId="2D0621BB" w14:textId="77777777">
        <w:trPr>
          <w:cantSplit/>
          <w:trHeight w:val="145"/>
        </w:trPr>
        <w:tc>
          <w:tcPr>
            <w:tcW w:w="2075" w:type="dxa"/>
            <w:shd w:val="clear" w:color="auto" w:fill="FFFFFF"/>
            <w:vAlign w:val="center"/>
          </w:tcPr>
          <w:p w14:paraId="0D116461"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720" w:type="dxa"/>
            <w:shd w:val="clear" w:color="auto" w:fill="FFFFFF"/>
            <w:vAlign w:val="center"/>
          </w:tcPr>
          <w:p w14:paraId="6F44834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326E054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41CE3D3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200ED2C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73B7E7F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7149DA5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10" w:type="dxa"/>
            <w:shd w:val="clear" w:color="auto" w:fill="FFFFFF"/>
            <w:vAlign w:val="center"/>
          </w:tcPr>
          <w:p w14:paraId="394B55D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10" w:type="dxa"/>
            <w:shd w:val="clear" w:color="auto" w:fill="FFFFFF"/>
            <w:vAlign w:val="center"/>
          </w:tcPr>
          <w:p w14:paraId="1A28DF2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8D4E8F" w14:paraId="444B5476" w14:textId="77777777">
        <w:trPr>
          <w:cantSplit/>
          <w:trHeight w:val="145"/>
        </w:trPr>
        <w:tc>
          <w:tcPr>
            <w:tcW w:w="2075" w:type="dxa"/>
            <w:shd w:val="clear" w:color="auto" w:fill="FFFFFF"/>
            <w:vAlign w:val="center"/>
          </w:tcPr>
          <w:p w14:paraId="5F48C3B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058A54C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26E3EAD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10B597B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218B391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751A758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131CC3F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5197C76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46C9BC5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68D86B47" w14:textId="77777777">
        <w:trPr>
          <w:cantSplit/>
          <w:trHeight w:val="145"/>
        </w:trPr>
        <w:tc>
          <w:tcPr>
            <w:tcW w:w="2075" w:type="dxa"/>
            <w:shd w:val="clear" w:color="auto" w:fill="FFFFFF"/>
            <w:vAlign w:val="center"/>
          </w:tcPr>
          <w:p w14:paraId="18F3FA34"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Tribe</w:t>
            </w:r>
          </w:p>
        </w:tc>
        <w:tc>
          <w:tcPr>
            <w:tcW w:w="720" w:type="dxa"/>
            <w:shd w:val="clear" w:color="auto" w:fill="FFFFFF"/>
            <w:vAlign w:val="center"/>
          </w:tcPr>
          <w:p w14:paraId="62D24D5E"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38EEFCF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436C810D"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349FB554"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6DFC16AD"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7AFEEFC4"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21413B66"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810" w:type="dxa"/>
            <w:shd w:val="clear" w:color="auto" w:fill="FFFFFF"/>
            <w:vAlign w:val="center"/>
          </w:tcPr>
          <w:p w14:paraId="5E908202"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2A74188F" w14:textId="77777777">
        <w:trPr>
          <w:cantSplit/>
          <w:trHeight w:val="145"/>
        </w:trPr>
        <w:tc>
          <w:tcPr>
            <w:tcW w:w="2075" w:type="dxa"/>
            <w:shd w:val="clear" w:color="auto" w:fill="FFFFFF"/>
            <w:vAlign w:val="center"/>
          </w:tcPr>
          <w:p w14:paraId="519879DA"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Igbo</w:t>
            </w:r>
          </w:p>
        </w:tc>
        <w:tc>
          <w:tcPr>
            <w:tcW w:w="720" w:type="dxa"/>
            <w:shd w:val="clear" w:color="auto" w:fill="FFFFFF"/>
            <w:vAlign w:val="center"/>
          </w:tcPr>
          <w:p w14:paraId="6187921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900" w:type="dxa"/>
            <w:shd w:val="clear" w:color="auto" w:fill="FFFFFF"/>
            <w:vAlign w:val="center"/>
          </w:tcPr>
          <w:p w14:paraId="28FC336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91.8</w:t>
            </w:r>
          </w:p>
        </w:tc>
        <w:tc>
          <w:tcPr>
            <w:tcW w:w="900" w:type="dxa"/>
            <w:shd w:val="clear" w:color="auto" w:fill="FFFFFF"/>
            <w:vAlign w:val="center"/>
          </w:tcPr>
          <w:p w14:paraId="6E4DC9D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900" w:type="dxa"/>
            <w:shd w:val="clear" w:color="auto" w:fill="FFFFFF"/>
            <w:vAlign w:val="center"/>
          </w:tcPr>
          <w:p w14:paraId="394536D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900" w:type="dxa"/>
            <w:shd w:val="clear" w:color="auto" w:fill="FFFFFF"/>
            <w:vAlign w:val="center"/>
          </w:tcPr>
          <w:p w14:paraId="2F569C9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900" w:type="dxa"/>
            <w:shd w:val="clear" w:color="auto" w:fill="FFFFFF"/>
            <w:vAlign w:val="center"/>
          </w:tcPr>
          <w:p w14:paraId="28C1502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810" w:type="dxa"/>
            <w:shd w:val="clear" w:color="auto" w:fill="FFFFFF"/>
            <w:vAlign w:val="center"/>
          </w:tcPr>
          <w:p w14:paraId="1B2D9E9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244</w:t>
            </w:r>
          </w:p>
        </w:tc>
        <w:tc>
          <w:tcPr>
            <w:tcW w:w="810" w:type="dxa"/>
            <w:shd w:val="clear" w:color="auto" w:fill="FFFFFF"/>
            <w:vAlign w:val="center"/>
          </w:tcPr>
          <w:p w14:paraId="402A1BA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95.7</w:t>
            </w:r>
          </w:p>
        </w:tc>
      </w:tr>
      <w:tr w:rsidR="008D4E8F" w14:paraId="5634469F" w14:textId="77777777">
        <w:trPr>
          <w:cantSplit/>
          <w:trHeight w:val="145"/>
        </w:trPr>
        <w:tc>
          <w:tcPr>
            <w:tcW w:w="2075" w:type="dxa"/>
            <w:shd w:val="clear" w:color="auto" w:fill="FFFFFF"/>
            <w:vAlign w:val="center"/>
          </w:tcPr>
          <w:p w14:paraId="42DEEA95"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Hausa</w:t>
            </w:r>
          </w:p>
        </w:tc>
        <w:tc>
          <w:tcPr>
            <w:tcW w:w="720" w:type="dxa"/>
            <w:shd w:val="clear" w:color="auto" w:fill="FFFFFF"/>
            <w:vAlign w:val="center"/>
          </w:tcPr>
          <w:p w14:paraId="7CDA3EA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5BA2756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14:paraId="027F615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6BC512E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0273F84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36086EA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shd w:val="clear" w:color="auto" w:fill="FFFFFF"/>
            <w:vAlign w:val="center"/>
          </w:tcPr>
          <w:p w14:paraId="7C8A7CC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10" w:type="dxa"/>
            <w:shd w:val="clear" w:color="auto" w:fill="FFFFFF"/>
            <w:vAlign w:val="center"/>
          </w:tcPr>
          <w:p w14:paraId="67E1A2E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r>
      <w:tr w:rsidR="008D4E8F" w14:paraId="12F7317B" w14:textId="77777777">
        <w:trPr>
          <w:cantSplit/>
          <w:trHeight w:val="145"/>
        </w:trPr>
        <w:tc>
          <w:tcPr>
            <w:tcW w:w="2075" w:type="dxa"/>
            <w:shd w:val="clear" w:color="auto" w:fill="FFFFFF"/>
            <w:vAlign w:val="center"/>
          </w:tcPr>
          <w:p w14:paraId="2E862A83"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Yoruba</w:t>
            </w:r>
          </w:p>
        </w:tc>
        <w:tc>
          <w:tcPr>
            <w:tcW w:w="720" w:type="dxa"/>
            <w:shd w:val="clear" w:color="auto" w:fill="FFFFFF"/>
            <w:vAlign w:val="center"/>
          </w:tcPr>
          <w:p w14:paraId="6C19BAE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32233B0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0C9C6DF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14:paraId="683337D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900" w:type="dxa"/>
            <w:shd w:val="clear" w:color="auto" w:fill="FFFFFF"/>
            <w:vAlign w:val="center"/>
          </w:tcPr>
          <w:p w14:paraId="0FF29CF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697C390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10" w:type="dxa"/>
            <w:shd w:val="clear" w:color="auto" w:fill="FFFFFF"/>
            <w:vAlign w:val="center"/>
          </w:tcPr>
          <w:p w14:paraId="5DA462B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10" w:type="dxa"/>
            <w:shd w:val="clear" w:color="auto" w:fill="FFFFFF"/>
            <w:vAlign w:val="center"/>
          </w:tcPr>
          <w:p w14:paraId="066CB20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8D4E8F" w14:paraId="303F0C3D" w14:textId="77777777">
        <w:trPr>
          <w:cantSplit/>
          <w:trHeight w:val="145"/>
        </w:trPr>
        <w:tc>
          <w:tcPr>
            <w:tcW w:w="2075" w:type="dxa"/>
            <w:shd w:val="clear" w:color="auto" w:fill="FFFFFF"/>
            <w:vAlign w:val="center"/>
          </w:tcPr>
          <w:p w14:paraId="3031FB39"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720" w:type="dxa"/>
            <w:shd w:val="clear" w:color="auto" w:fill="FFFFFF"/>
            <w:vAlign w:val="center"/>
          </w:tcPr>
          <w:p w14:paraId="087F94C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217A317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67C8600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0D19809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26668DE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14:paraId="475E8C1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shd w:val="clear" w:color="auto" w:fill="FFFFFF"/>
            <w:vAlign w:val="center"/>
          </w:tcPr>
          <w:p w14:paraId="1132336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10" w:type="dxa"/>
            <w:shd w:val="clear" w:color="auto" w:fill="FFFFFF"/>
            <w:vAlign w:val="center"/>
          </w:tcPr>
          <w:p w14:paraId="4DEA4AA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8D4E8F" w14:paraId="23411A7F" w14:textId="77777777">
        <w:trPr>
          <w:cantSplit/>
          <w:trHeight w:val="145"/>
        </w:trPr>
        <w:tc>
          <w:tcPr>
            <w:tcW w:w="2075" w:type="dxa"/>
            <w:shd w:val="clear" w:color="auto" w:fill="FFFFFF"/>
            <w:vAlign w:val="center"/>
          </w:tcPr>
          <w:p w14:paraId="7DC547A3"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145A435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65D6DFB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7F521BC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0C01153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20968F3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4B00A3A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7292BE0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0291825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109A934E" w14:textId="77777777">
        <w:trPr>
          <w:cantSplit/>
          <w:trHeight w:val="145"/>
        </w:trPr>
        <w:tc>
          <w:tcPr>
            <w:tcW w:w="2075" w:type="dxa"/>
            <w:shd w:val="clear" w:color="auto" w:fill="FFFFFF"/>
            <w:vAlign w:val="center"/>
          </w:tcPr>
          <w:p w14:paraId="13A22F0B"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Class of Study</w:t>
            </w:r>
          </w:p>
        </w:tc>
        <w:tc>
          <w:tcPr>
            <w:tcW w:w="720" w:type="dxa"/>
            <w:shd w:val="clear" w:color="auto" w:fill="FFFFFF"/>
            <w:vAlign w:val="center"/>
          </w:tcPr>
          <w:p w14:paraId="4FF36641"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47A69A5D"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5D7CB7F4"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14A9E12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542EB8DB"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00" w:type="dxa"/>
            <w:shd w:val="clear" w:color="auto" w:fill="FFFFFF"/>
            <w:vAlign w:val="center"/>
          </w:tcPr>
          <w:p w14:paraId="1F768BCB"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21DDA33F"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810" w:type="dxa"/>
            <w:shd w:val="clear" w:color="auto" w:fill="FFFFFF"/>
            <w:vAlign w:val="center"/>
          </w:tcPr>
          <w:p w14:paraId="4ECC59B7"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636D6E06" w14:textId="77777777">
        <w:trPr>
          <w:cantSplit/>
          <w:trHeight w:val="145"/>
        </w:trPr>
        <w:tc>
          <w:tcPr>
            <w:tcW w:w="2075" w:type="dxa"/>
            <w:shd w:val="clear" w:color="auto" w:fill="FFFFFF"/>
            <w:vAlign w:val="center"/>
          </w:tcPr>
          <w:p w14:paraId="1511D84D"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SS1</w:t>
            </w:r>
          </w:p>
        </w:tc>
        <w:tc>
          <w:tcPr>
            <w:tcW w:w="720" w:type="dxa"/>
            <w:shd w:val="clear" w:color="auto" w:fill="FFFFFF"/>
            <w:vAlign w:val="center"/>
          </w:tcPr>
          <w:p w14:paraId="68A3C7F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00" w:type="dxa"/>
            <w:shd w:val="clear" w:color="auto" w:fill="FFFFFF"/>
            <w:vAlign w:val="center"/>
          </w:tcPr>
          <w:p w14:paraId="6E3ACE8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900" w:type="dxa"/>
            <w:shd w:val="clear" w:color="auto" w:fill="FFFFFF"/>
            <w:vAlign w:val="center"/>
          </w:tcPr>
          <w:p w14:paraId="6111162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900" w:type="dxa"/>
            <w:shd w:val="clear" w:color="auto" w:fill="FFFFFF"/>
            <w:vAlign w:val="center"/>
          </w:tcPr>
          <w:p w14:paraId="678C00E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900" w:type="dxa"/>
            <w:shd w:val="clear" w:color="auto" w:fill="FFFFFF"/>
            <w:vAlign w:val="center"/>
          </w:tcPr>
          <w:p w14:paraId="010C82B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00" w:type="dxa"/>
            <w:shd w:val="clear" w:color="auto" w:fill="FFFFFF"/>
            <w:vAlign w:val="center"/>
          </w:tcPr>
          <w:p w14:paraId="57FFF25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31.8</w:t>
            </w:r>
          </w:p>
        </w:tc>
        <w:tc>
          <w:tcPr>
            <w:tcW w:w="810" w:type="dxa"/>
            <w:shd w:val="clear" w:color="auto" w:fill="FFFFFF"/>
            <w:vAlign w:val="center"/>
          </w:tcPr>
          <w:p w14:paraId="110196A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810" w:type="dxa"/>
            <w:shd w:val="clear" w:color="auto" w:fill="FFFFFF"/>
            <w:vAlign w:val="center"/>
          </w:tcPr>
          <w:p w14:paraId="04FC705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24.7</w:t>
            </w:r>
          </w:p>
        </w:tc>
      </w:tr>
      <w:tr w:rsidR="008D4E8F" w14:paraId="38866D4E" w14:textId="77777777">
        <w:trPr>
          <w:cantSplit/>
          <w:trHeight w:val="145"/>
        </w:trPr>
        <w:tc>
          <w:tcPr>
            <w:tcW w:w="2075" w:type="dxa"/>
            <w:shd w:val="clear" w:color="auto" w:fill="FFFFFF"/>
            <w:vAlign w:val="center"/>
          </w:tcPr>
          <w:p w14:paraId="7822C886"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SS2</w:t>
            </w:r>
          </w:p>
        </w:tc>
        <w:tc>
          <w:tcPr>
            <w:tcW w:w="720" w:type="dxa"/>
            <w:shd w:val="clear" w:color="auto" w:fill="FFFFFF"/>
            <w:vAlign w:val="center"/>
          </w:tcPr>
          <w:p w14:paraId="6973AF8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00" w:type="dxa"/>
            <w:shd w:val="clear" w:color="auto" w:fill="FFFFFF"/>
            <w:vAlign w:val="center"/>
          </w:tcPr>
          <w:p w14:paraId="162252D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900" w:type="dxa"/>
            <w:shd w:val="clear" w:color="auto" w:fill="FFFFFF"/>
            <w:vAlign w:val="center"/>
          </w:tcPr>
          <w:p w14:paraId="3DD1F3A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00" w:type="dxa"/>
            <w:shd w:val="clear" w:color="auto" w:fill="FFFFFF"/>
            <w:vAlign w:val="center"/>
          </w:tcPr>
          <w:p w14:paraId="3A7D21D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900" w:type="dxa"/>
            <w:shd w:val="clear" w:color="auto" w:fill="FFFFFF"/>
            <w:vAlign w:val="center"/>
          </w:tcPr>
          <w:p w14:paraId="6D8701B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00" w:type="dxa"/>
            <w:shd w:val="clear" w:color="auto" w:fill="FFFFFF"/>
            <w:vAlign w:val="center"/>
          </w:tcPr>
          <w:p w14:paraId="6F5A1C4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810" w:type="dxa"/>
            <w:shd w:val="clear" w:color="auto" w:fill="FFFFFF"/>
            <w:vAlign w:val="center"/>
          </w:tcPr>
          <w:p w14:paraId="6EFAC1C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810" w:type="dxa"/>
            <w:shd w:val="clear" w:color="auto" w:fill="FFFFFF"/>
            <w:vAlign w:val="center"/>
          </w:tcPr>
          <w:p w14:paraId="24E9CDB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r>
      <w:tr w:rsidR="008D4E8F" w14:paraId="3819A3D3" w14:textId="77777777">
        <w:trPr>
          <w:cantSplit/>
          <w:trHeight w:val="145"/>
        </w:trPr>
        <w:tc>
          <w:tcPr>
            <w:tcW w:w="2075" w:type="dxa"/>
            <w:shd w:val="clear" w:color="auto" w:fill="FFFFFF"/>
            <w:vAlign w:val="center"/>
          </w:tcPr>
          <w:p w14:paraId="181C122B"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SS3</w:t>
            </w:r>
          </w:p>
        </w:tc>
        <w:tc>
          <w:tcPr>
            <w:tcW w:w="720" w:type="dxa"/>
            <w:shd w:val="clear" w:color="auto" w:fill="FFFFFF"/>
            <w:vAlign w:val="center"/>
          </w:tcPr>
          <w:p w14:paraId="07F1C46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900" w:type="dxa"/>
            <w:shd w:val="clear" w:color="auto" w:fill="FFFFFF"/>
            <w:vAlign w:val="center"/>
          </w:tcPr>
          <w:p w14:paraId="61077F0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52.9</w:t>
            </w:r>
          </w:p>
        </w:tc>
        <w:tc>
          <w:tcPr>
            <w:tcW w:w="900" w:type="dxa"/>
            <w:shd w:val="clear" w:color="auto" w:fill="FFFFFF"/>
            <w:vAlign w:val="center"/>
          </w:tcPr>
          <w:p w14:paraId="77A0F57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900" w:type="dxa"/>
            <w:shd w:val="clear" w:color="auto" w:fill="FFFFFF"/>
            <w:vAlign w:val="center"/>
          </w:tcPr>
          <w:p w14:paraId="74F528A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55.3</w:t>
            </w:r>
          </w:p>
        </w:tc>
        <w:tc>
          <w:tcPr>
            <w:tcW w:w="900" w:type="dxa"/>
            <w:shd w:val="clear" w:color="auto" w:fill="FFFFFF"/>
            <w:vAlign w:val="center"/>
          </w:tcPr>
          <w:p w14:paraId="7C263DE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6221A4A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810" w:type="dxa"/>
            <w:shd w:val="clear" w:color="auto" w:fill="FFFFFF"/>
            <w:vAlign w:val="center"/>
          </w:tcPr>
          <w:p w14:paraId="3FB67D8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810" w:type="dxa"/>
            <w:shd w:val="clear" w:color="auto" w:fill="FFFFFF"/>
            <w:vAlign w:val="center"/>
          </w:tcPr>
          <w:p w14:paraId="56F9616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49.8</w:t>
            </w:r>
          </w:p>
        </w:tc>
      </w:tr>
      <w:tr w:rsidR="008D4E8F" w14:paraId="01076BA0" w14:textId="77777777">
        <w:trPr>
          <w:cantSplit/>
          <w:trHeight w:val="145"/>
        </w:trPr>
        <w:tc>
          <w:tcPr>
            <w:tcW w:w="2075" w:type="dxa"/>
            <w:shd w:val="clear" w:color="auto" w:fill="FFFFFF"/>
            <w:vAlign w:val="center"/>
          </w:tcPr>
          <w:p w14:paraId="4AAEAA79"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p>
        </w:tc>
        <w:tc>
          <w:tcPr>
            <w:tcW w:w="720" w:type="dxa"/>
            <w:shd w:val="clear" w:color="auto" w:fill="FFFFFF"/>
            <w:vAlign w:val="center"/>
          </w:tcPr>
          <w:p w14:paraId="29CEAF1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7920A62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74921B7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2434E8E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1CD851D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31C98AF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1BE4ECF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386475C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1F1B55C4" w14:textId="77777777">
        <w:trPr>
          <w:cantSplit/>
          <w:trHeight w:val="145"/>
        </w:trPr>
        <w:tc>
          <w:tcPr>
            <w:tcW w:w="2075" w:type="dxa"/>
            <w:shd w:val="clear" w:color="auto" w:fill="FFFFFF"/>
            <w:vAlign w:val="center"/>
          </w:tcPr>
          <w:p w14:paraId="14B8972B"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sz w:val="24"/>
                <w:szCs w:val="24"/>
              </w:rPr>
              <w:t>Family size</w:t>
            </w:r>
          </w:p>
        </w:tc>
        <w:tc>
          <w:tcPr>
            <w:tcW w:w="720" w:type="dxa"/>
            <w:shd w:val="clear" w:color="auto" w:fill="FFFFFF"/>
            <w:vAlign w:val="center"/>
          </w:tcPr>
          <w:p w14:paraId="088C0F6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003701E1"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594FB358"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61A02BAB"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58B836DB"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2E1D5370"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3616CE66"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23F8E950"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7D3640D2" w14:textId="77777777">
        <w:trPr>
          <w:cantSplit/>
          <w:trHeight w:val="145"/>
        </w:trPr>
        <w:tc>
          <w:tcPr>
            <w:tcW w:w="2075" w:type="dxa"/>
            <w:shd w:val="clear" w:color="auto" w:fill="FFFFFF"/>
            <w:vAlign w:val="center"/>
          </w:tcPr>
          <w:p w14:paraId="76B6006A"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20" w:type="dxa"/>
            <w:shd w:val="clear" w:color="auto" w:fill="FFFFFF"/>
            <w:vAlign w:val="center"/>
          </w:tcPr>
          <w:p w14:paraId="3F3AD5E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0" w:type="dxa"/>
            <w:shd w:val="clear" w:color="auto" w:fill="FFFFFF"/>
            <w:vAlign w:val="center"/>
          </w:tcPr>
          <w:p w14:paraId="4F2CA7E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00" w:type="dxa"/>
            <w:shd w:val="clear" w:color="auto" w:fill="FFFFFF"/>
            <w:vAlign w:val="center"/>
          </w:tcPr>
          <w:p w14:paraId="7F32307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437A467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44EEC34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14:paraId="16C5AE5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shd w:val="clear" w:color="auto" w:fill="FFFFFF"/>
            <w:vAlign w:val="center"/>
          </w:tcPr>
          <w:p w14:paraId="38BF1B8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10" w:type="dxa"/>
            <w:shd w:val="clear" w:color="auto" w:fill="FFFFFF"/>
            <w:vAlign w:val="center"/>
          </w:tcPr>
          <w:p w14:paraId="168EBEB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8D4E8F" w14:paraId="6BF6F0A2" w14:textId="77777777">
        <w:trPr>
          <w:cantSplit/>
          <w:trHeight w:val="145"/>
        </w:trPr>
        <w:tc>
          <w:tcPr>
            <w:tcW w:w="2075" w:type="dxa"/>
            <w:shd w:val="clear" w:color="auto" w:fill="FFFFFF"/>
            <w:vAlign w:val="center"/>
          </w:tcPr>
          <w:p w14:paraId="2561C528"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720" w:type="dxa"/>
            <w:shd w:val="clear" w:color="auto" w:fill="FFFFFF"/>
            <w:vAlign w:val="center"/>
          </w:tcPr>
          <w:p w14:paraId="32D5559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900" w:type="dxa"/>
            <w:shd w:val="clear" w:color="auto" w:fill="FFFFFF"/>
            <w:vAlign w:val="center"/>
          </w:tcPr>
          <w:p w14:paraId="3D41555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900" w:type="dxa"/>
            <w:shd w:val="clear" w:color="auto" w:fill="FFFFFF"/>
            <w:vAlign w:val="center"/>
          </w:tcPr>
          <w:p w14:paraId="0E73385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00" w:type="dxa"/>
            <w:shd w:val="clear" w:color="auto" w:fill="FFFFFF"/>
            <w:vAlign w:val="center"/>
          </w:tcPr>
          <w:p w14:paraId="7544CCE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900" w:type="dxa"/>
            <w:shd w:val="clear" w:color="auto" w:fill="FFFFFF"/>
            <w:vAlign w:val="center"/>
          </w:tcPr>
          <w:p w14:paraId="6B7674D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00" w:type="dxa"/>
            <w:shd w:val="clear" w:color="auto" w:fill="FFFFFF"/>
            <w:vAlign w:val="center"/>
          </w:tcPr>
          <w:p w14:paraId="3A6D46B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810" w:type="dxa"/>
            <w:shd w:val="clear" w:color="auto" w:fill="FFFFFF"/>
            <w:vAlign w:val="center"/>
          </w:tcPr>
          <w:p w14:paraId="0D3F39B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810" w:type="dxa"/>
            <w:shd w:val="clear" w:color="auto" w:fill="FFFFFF"/>
            <w:vAlign w:val="center"/>
          </w:tcPr>
          <w:p w14:paraId="4D95194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23.9</w:t>
            </w:r>
          </w:p>
        </w:tc>
      </w:tr>
      <w:tr w:rsidR="008D4E8F" w14:paraId="565D5925" w14:textId="77777777">
        <w:trPr>
          <w:cantSplit/>
          <w:trHeight w:val="145"/>
        </w:trPr>
        <w:tc>
          <w:tcPr>
            <w:tcW w:w="2075" w:type="dxa"/>
            <w:shd w:val="clear" w:color="auto" w:fill="FFFFFF"/>
            <w:vAlign w:val="center"/>
          </w:tcPr>
          <w:p w14:paraId="7B7A7A1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5 and above</w:t>
            </w:r>
          </w:p>
        </w:tc>
        <w:tc>
          <w:tcPr>
            <w:tcW w:w="720" w:type="dxa"/>
            <w:shd w:val="clear" w:color="auto" w:fill="FFFFFF"/>
            <w:vAlign w:val="center"/>
          </w:tcPr>
          <w:p w14:paraId="24AC007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00" w:type="dxa"/>
            <w:shd w:val="clear" w:color="auto" w:fill="FFFFFF"/>
            <w:vAlign w:val="center"/>
          </w:tcPr>
          <w:p w14:paraId="759A527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70.6</w:t>
            </w:r>
          </w:p>
        </w:tc>
        <w:tc>
          <w:tcPr>
            <w:tcW w:w="900" w:type="dxa"/>
            <w:shd w:val="clear" w:color="auto" w:fill="FFFFFF"/>
            <w:vAlign w:val="center"/>
          </w:tcPr>
          <w:p w14:paraId="3C5A370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900" w:type="dxa"/>
            <w:shd w:val="clear" w:color="auto" w:fill="FFFFFF"/>
            <w:vAlign w:val="center"/>
          </w:tcPr>
          <w:p w14:paraId="6BFF0B4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81.2</w:t>
            </w:r>
          </w:p>
        </w:tc>
        <w:tc>
          <w:tcPr>
            <w:tcW w:w="900" w:type="dxa"/>
            <w:shd w:val="clear" w:color="auto" w:fill="FFFFFF"/>
            <w:vAlign w:val="center"/>
          </w:tcPr>
          <w:p w14:paraId="32613C1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900" w:type="dxa"/>
            <w:shd w:val="clear" w:color="auto" w:fill="FFFFFF"/>
            <w:vAlign w:val="center"/>
          </w:tcPr>
          <w:p w14:paraId="574A7A3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70.6</w:t>
            </w:r>
          </w:p>
        </w:tc>
        <w:tc>
          <w:tcPr>
            <w:tcW w:w="810" w:type="dxa"/>
            <w:shd w:val="clear" w:color="auto" w:fill="FFFFFF"/>
            <w:vAlign w:val="center"/>
          </w:tcPr>
          <w:p w14:paraId="5F40987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189</w:t>
            </w:r>
          </w:p>
        </w:tc>
        <w:tc>
          <w:tcPr>
            <w:tcW w:w="810" w:type="dxa"/>
            <w:shd w:val="clear" w:color="auto" w:fill="FFFFFF"/>
            <w:vAlign w:val="center"/>
          </w:tcPr>
          <w:p w14:paraId="4C25849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74.1</w:t>
            </w:r>
          </w:p>
        </w:tc>
      </w:tr>
      <w:tr w:rsidR="008D4E8F" w14:paraId="0E30F5F5" w14:textId="77777777">
        <w:trPr>
          <w:cantSplit/>
          <w:trHeight w:val="145"/>
        </w:trPr>
        <w:tc>
          <w:tcPr>
            <w:tcW w:w="2075" w:type="dxa"/>
            <w:shd w:val="clear" w:color="auto" w:fill="FFFFFF"/>
            <w:vAlign w:val="center"/>
          </w:tcPr>
          <w:p w14:paraId="5631BFAD"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4D93248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20ECBF8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357CAD9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0B1CEE0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6FE51AE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4346C46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0CE94FD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6DA92D0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7586317" w14:textId="77777777" w:rsidR="008D4E8F" w:rsidRDefault="00D90E3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1 Continued</w:t>
      </w:r>
    </w:p>
    <w:tbl>
      <w:tblPr>
        <w:tblW w:w="891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75"/>
        <w:gridCol w:w="720"/>
        <w:gridCol w:w="900"/>
        <w:gridCol w:w="900"/>
        <w:gridCol w:w="900"/>
        <w:gridCol w:w="900"/>
        <w:gridCol w:w="900"/>
        <w:gridCol w:w="810"/>
        <w:gridCol w:w="810"/>
      </w:tblGrid>
      <w:tr w:rsidR="008D4E8F" w14:paraId="6B4744FD" w14:textId="77777777">
        <w:trPr>
          <w:cantSplit/>
          <w:trHeight w:val="145"/>
        </w:trPr>
        <w:tc>
          <w:tcPr>
            <w:tcW w:w="2075" w:type="dxa"/>
            <w:vMerge w:val="restart"/>
            <w:shd w:val="clear" w:color="auto" w:fill="FFFFFF"/>
            <w:vAlign w:val="center"/>
          </w:tcPr>
          <w:p w14:paraId="64DE2DD7"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Socio-demographic</w:t>
            </w:r>
          </w:p>
          <w:p w14:paraId="3A916BB2"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Factors</w:t>
            </w:r>
          </w:p>
        </w:tc>
        <w:tc>
          <w:tcPr>
            <w:tcW w:w="1620" w:type="dxa"/>
            <w:gridSpan w:val="2"/>
            <w:tcBorders>
              <w:bottom w:val="single" w:sz="4" w:space="0" w:color="auto"/>
            </w:tcBorders>
            <w:shd w:val="clear" w:color="auto" w:fill="FFFFFF"/>
            <w:vAlign w:val="center"/>
          </w:tcPr>
          <w:p w14:paraId="77DD564A"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Normal Lecture</w:t>
            </w:r>
          </w:p>
          <w:p w14:paraId="014451CB" w14:textId="77777777" w:rsidR="008D4E8F" w:rsidRDefault="00D90E3D">
            <w:pPr>
              <w:autoSpaceDE w:val="0"/>
              <w:autoSpaceDN w:val="0"/>
              <w:adjustRightInd w:val="0"/>
              <w:spacing w:after="0" w:line="240" w:lineRule="auto"/>
              <w:ind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c>
          <w:tcPr>
            <w:tcW w:w="1800" w:type="dxa"/>
            <w:gridSpan w:val="2"/>
            <w:tcBorders>
              <w:bottom w:val="single" w:sz="4" w:space="0" w:color="auto"/>
            </w:tcBorders>
            <w:shd w:val="clear" w:color="auto" w:fill="FFFFFF"/>
            <w:vAlign w:val="center"/>
          </w:tcPr>
          <w:p w14:paraId="3502846E"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WhatsApp</w:t>
            </w:r>
          </w:p>
          <w:p w14:paraId="3C9F45D5"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c>
          <w:tcPr>
            <w:tcW w:w="1800" w:type="dxa"/>
            <w:gridSpan w:val="2"/>
            <w:tcBorders>
              <w:bottom w:val="single" w:sz="4" w:space="0" w:color="auto"/>
            </w:tcBorders>
            <w:shd w:val="clear" w:color="auto" w:fill="FFFFFF"/>
            <w:vAlign w:val="center"/>
          </w:tcPr>
          <w:p w14:paraId="4546C180"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AI (Meta AI/Chatgpt)</w:t>
            </w:r>
          </w:p>
          <w:p w14:paraId="467A27D0"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c>
          <w:tcPr>
            <w:tcW w:w="1620" w:type="dxa"/>
            <w:gridSpan w:val="2"/>
            <w:tcBorders>
              <w:bottom w:val="single" w:sz="4" w:space="0" w:color="auto"/>
            </w:tcBorders>
            <w:shd w:val="clear" w:color="auto" w:fill="FFFFFF"/>
            <w:vAlign w:val="center"/>
          </w:tcPr>
          <w:p w14:paraId="57562802"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Total</w:t>
            </w:r>
          </w:p>
          <w:p w14:paraId="1F49BF94"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Method</w:t>
            </w:r>
          </w:p>
        </w:tc>
      </w:tr>
      <w:tr w:rsidR="008D4E8F" w14:paraId="64C2EC87" w14:textId="77777777">
        <w:trPr>
          <w:cantSplit/>
          <w:trHeight w:val="145"/>
        </w:trPr>
        <w:tc>
          <w:tcPr>
            <w:tcW w:w="2075" w:type="dxa"/>
            <w:vMerge/>
            <w:tcBorders>
              <w:bottom w:val="single" w:sz="4" w:space="0" w:color="auto"/>
            </w:tcBorders>
            <w:shd w:val="clear" w:color="auto" w:fill="FFFFFF"/>
            <w:vAlign w:val="center"/>
          </w:tcPr>
          <w:p w14:paraId="282E8EE7" w14:textId="77777777" w:rsidR="008D4E8F" w:rsidRDefault="008D4E8F">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720" w:type="dxa"/>
            <w:tcBorders>
              <w:top w:val="single" w:sz="4" w:space="0" w:color="auto"/>
              <w:bottom w:val="single" w:sz="4" w:space="0" w:color="auto"/>
            </w:tcBorders>
            <w:shd w:val="clear" w:color="auto" w:fill="FFFFFF"/>
            <w:vAlign w:val="center"/>
          </w:tcPr>
          <w:p w14:paraId="1D2D0A76"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63F722D6"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14:paraId="1B006102"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78964777"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00" w:type="dxa"/>
            <w:tcBorders>
              <w:top w:val="single" w:sz="4" w:space="0" w:color="auto"/>
              <w:bottom w:val="single" w:sz="4" w:space="0" w:color="auto"/>
            </w:tcBorders>
            <w:shd w:val="clear" w:color="auto" w:fill="FFFFFF"/>
            <w:vAlign w:val="center"/>
          </w:tcPr>
          <w:p w14:paraId="384093D8"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900" w:type="dxa"/>
            <w:tcBorders>
              <w:top w:val="single" w:sz="4" w:space="0" w:color="auto"/>
              <w:bottom w:val="single" w:sz="4" w:space="0" w:color="auto"/>
            </w:tcBorders>
            <w:shd w:val="clear" w:color="auto" w:fill="FFFFFF"/>
            <w:vAlign w:val="center"/>
          </w:tcPr>
          <w:p w14:paraId="2074A9CD"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810" w:type="dxa"/>
            <w:tcBorders>
              <w:top w:val="single" w:sz="4" w:space="0" w:color="auto"/>
              <w:bottom w:val="single" w:sz="4" w:space="0" w:color="auto"/>
            </w:tcBorders>
            <w:shd w:val="clear" w:color="auto" w:fill="FFFFFF"/>
            <w:vAlign w:val="center"/>
          </w:tcPr>
          <w:p w14:paraId="36A2D944"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810" w:type="dxa"/>
            <w:tcBorders>
              <w:top w:val="single" w:sz="4" w:space="0" w:color="auto"/>
              <w:bottom w:val="single" w:sz="4" w:space="0" w:color="auto"/>
            </w:tcBorders>
            <w:shd w:val="clear" w:color="auto" w:fill="FFFFFF"/>
            <w:vAlign w:val="center"/>
          </w:tcPr>
          <w:p w14:paraId="2075DD99"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8D4E8F" w14:paraId="6F5CC158" w14:textId="77777777">
        <w:trPr>
          <w:cantSplit/>
          <w:trHeight w:val="145"/>
        </w:trPr>
        <w:tc>
          <w:tcPr>
            <w:tcW w:w="2075" w:type="dxa"/>
            <w:tcBorders>
              <w:top w:val="single" w:sz="4" w:space="0" w:color="auto"/>
              <w:bottom w:val="nil"/>
            </w:tcBorders>
            <w:shd w:val="clear" w:color="auto" w:fill="FFFFFF"/>
            <w:vAlign w:val="center"/>
          </w:tcPr>
          <w:p w14:paraId="24F8EEDB"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sz w:val="24"/>
                <w:szCs w:val="24"/>
              </w:rPr>
              <w:t>Mother's highest educational level</w:t>
            </w:r>
          </w:p>
        </w:tc>
        <w:tc>
          <w:tcPr>
            <w:tcW w:w="720" w:type="dxa"/>
            <w:tcBorders>
              <w:top w:val="single" w:sz="4" w:space="0" w:color="auto"/>
              <w:bottom w:val="nil"/>
            </w:tcBorders>
            <w:shd w:val="clear" w:color="auto" w:fill="FFFFFF"/>
            <w:vAlign w:val="center"/>
          </w:tcPr>
          <w:p w14:paraId="7CF00C0A"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14:paraId="200ADC96"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14:paraId="5BBD3132"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14:paraId="041528A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14:paraId="3AC642B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tcBorders>
              <w:top w:val="single" w:sz="4" w:space="0" w:color="auto"/>
              <w:bottom w:val="nil"/>
            </w:tcBorders>
            <w:shd w:val="clear" w:color="auto" w:fill="FFFFFF"/>
            <w:vAlign w:val="center"/>
          </w:tcPr>
          <w:p w14:paraId="62F99C4D"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tcBorders>
              <w:top w:val="single" w:sz="4" w:space="0" w:color="auto"/>
              <w:bottom w:val="nil"/>
            </w:tcBorders>
            <w:shd w:val="clear" w:color="auto" w:fill="FFFFFF"/>
            <w:vAlign w:val="center"/>
          </w:tcPr>
          <w:p w14:paraId="1CEE168F"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tcBorders>
              <w:top w:val="single" w:sz="4" w:space="0" w:color="auto"/>
              <w:bottom w:val="nil"/>
            </w:tcBorders>
            <w:shd w:val="clear" w:color="auto" w:fill="FFFFFF"/>
            <w:vAlign w:val="center"/>
          </w:tcPr>
          <w:p w14:paraId="74E42498"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64F2C52D" w14:textId="77777777">
        <w:trPr>
          <w:cantSplit/>
          <w:trHeight w:val="145"/>
        </w:trPr>
        <w:tc>
          <w:tcPr>
            <w:tcW w:w="2075" w:type="dxa"/>
            <w:tcBorders>
              <w:top w:val="nil"/>
            </w:tcBorders>
            <w:shd w:val="clear" w:color="auto" w:fill="FFFFFF"/>
            <w:vAlign w:val="center"/>
          </w:tcPr>
          <w:p w14:paraId="54723CFC"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 Formal education</w:t>
            </w:r>
          </w:p>
        </w:tc>
        <w:tc>
          <w:tcPr>
            <w:tcW w:w="720" w:type="dxa"/>
            <w:tcBorders>
              <w:top w:val="nil"/>
            </w:tcBorders>
            <w:shd w:val="clear" w:color="auto" w:fill="FFFFFF"/>
            <w:vAlign w:val="center"/>
          </w:tcPr>
          <w:p w14:paraId="3D9A7EA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tcBorders>
              <w:top w:val="nil"/>
            </w:tcBorders>
            <w:shd w:val="clear" w:color="auto" w:fill="FFFFFF"/>
            <w:vAlign w:val="center"/>
          </w:tcPr>
          <w:p w14:paraId="6AFA27E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900" w:type="dxa"/>
            <w:tcBorders>
              <w:top w:val="nil"/>
            </w:tcBorders>
            <w:shd w:val="clear" w:color="auto" w:fill="FFFFFF"/>
            <w:vAlign w:val="center"/>
          </w:tcPr>
          <w:p w14:paraId="19D9DB8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00" w:type="dxa"/>
            <w:tcBorders>
              <w:top w:val="nil"/>
            </w:tcBorders>
            <w:shd w:val="clear" w:color="auto" w:fill="FFFFFF"/>
            <w:vAlign w:val="center"/>
          </w:tcPr>
          <w:p w14:paraId="55C89C3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00" w:type="dxa"/>
            <w:tcBorders>
              <w:top w:val="nil"/>
            </w:tcBorders>
            <w:shd w:val="clear" w:color="auto" w:fill="FFFFFF"/>
            <w:vAlign w:val="center"/>
          </w:tcPr>
          <w:p w14:paraId="0C1CFA3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tcBorders>
              <w:top w:val="nil"/>
            </w:tcBorders>
            <w:shd w:val="clear" w:color="auto" w:fill="FFFFFF"/>
            <w:vAlign w:val="center"/>
          </w:tcPr>
          <w:p w14:paraId="4EB6DCF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tcBorders>
              <w:top w:val="nil"/>
            </w:tcBorders>
            <w:shd w:val="clear" w:color="auto" w:fill="FFFFFF"/>
            <w:vAlign w:val="center"/>
          </w:tcPr>
          <w:p w14:paraId="58483EF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810" w:type="dxa"/>
            <w:tcBorders>
              <w:top w:val="nil"/>
            </w:tcBorders>
            <w:shd w:val="clear" w:color="auto" w:fill="FFFFFF"/>
            <w:vAlign w:val="center"/>
          </w:tcPr>
          <w:p w14:paraId="66A50D0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8D4E8F" w14:paraId="37ADF11D" w14:textId="77777777">
        <w:trPr>
          <w:cantSplit/>
          <w:trHeight w:val="145"/>
        </w:trPr>
        <w:tc>
          <w:tcPr>
            <w:tcW w:w="2075" w:type="dxa"/>
            <w:shd w:val="clear" w:color="auto" w:fill="FFFFFF"/>
            <w:vAlign w:val="center"/>
          </w:tcPr>
          <w:p w14:paraId="50832930"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FSLC</w:t>
            </w:r>
          </w:p>
        </w:tc>
        <w:tc>
          <w:tcPr>
            <w:tcW w:w="720" w:type="dxa"/>
            <w:shd w:val="clear" w:color="auto" w:fill="FFFFFF"/>
            <w:vAlign w:val="center"/>
          </w:tcPr>
          <w:p w14:paraId="52CFE81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shd w:val="clear" w:color="auto" w:fill="FFFFFF"/>
            <w:vAlign w:val="center"/>
          </w:tcPr>
          <w:p w14:paraId="0D08539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900" w:type="dxa"/>
            <w:shd w:val="clear" w:color="auto" w:fill="FFFFFF"/>
            <w:vAlign w:val="center"/>
          </w:tcPr>
          <w:p w14:paraId="137A898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00" w:type="dxa"/>
            <w:shd w:val="clear" w:color="auto" w:fill="FFFFFF"/>
            <w:vAlign w:val="center"/>
          </w:tcPr>
          <w:p w14:paraId="5EFB3EE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900" w:type="dxa"/>
            <w:shd w:val="clear" w:color="auto" w:fill="FFFFFF"/>
            <w:vAlign w:val="center"/>
          </w:tcPr>
          <w:p w14:paraId="67A8567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00" w:type="dxa"/>
            <w:shd w:val="clear" w:color="auto" w:fill="FFFFFF"/>
            <w:vAlign w:val="center"/>
          </w:tcPr>
          <w:p w14:paraId="40090DE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810" w:type="dxa"/>
            <w:shd w:val="clear" w:color="auto" w:fill="FFFFFF"/>
            <w:vAlign w:val="center"/>
          </w:tcPr>
          <w:p w14:paraId="36685E5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10" w:type="dxa"/>
            <w:shd w:val="clear" w:color="auto" w:fill="FFFFFF"/>
            <w:vAlign w:val="center"/>
          </w:tcPr>
          <w:p w14:paraId="5CF82B9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9.8</w:t>
            </w:r>
          </w:p>
        </w:tc>
      </w:tr>
      <w:tr w:rsidR="008D4E8F" w14:paraId="3A741FA8" w14:textId="77777777">
        <w:trPr>
          <w:cantSplit/>
          <w:trHeight w:val="145"/>
        </w:trPr>
        <w:tc>
          <w:tcPr>
            <w:tcW w:w="2075" w:type="dxa"/>
            <w:shd w:val="clear" w:color="auto" w:fill="FFFFFF"/>
            <w:vAlign w:val="center"/>
          </w:tcPr>
          <w:p w14:paraId="2707BF87"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Secondary</w:t>
            </w:r>
          </w:p>
        </w:tc>
        <w:tc>
          <w:tcPr>
            <w:tcW w:w="720" w:type="dxa"/>
            <w:shd w:val="clear" w:color="auto" w:fill="FFFFFF"/>
            <w:vAlign w:val="center"/>
          </w:tcPr>
          <w:p w14:paraId="6F4B574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00" w:type="dxa"/>
            <w:shd w:val="clear" w:color="auto" w:fill="FFFFFF"/>
            <w:vAlign w:val="center"/>
          </w:tcPr>
          <w:p w14:paraId="3860830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49.4</w:t>
            </w:r>
          </w:p>
        </w:tc>
        <w:tc>
          <w:tcPr>
            <w:tcW w:w="900" w:type="dxa"/>
            <w:shd w:val="clear" w:color="auto" w:fill="FFFFFF"/>
            <w:vAlign w:val="center"/>
          </w:tcPr>
          <w:p w14:paraId="698F98F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900" w:type="dxa"/>
            <w:shd w:val="clear" w:color="auto" w:fill="FFFFFF"/>
            <w:vAlign w:val="center"/>
          </w:tcPr>
          <w:p w14:paraId="44EBBAA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900" w:type="dxa"/>
            <w:shd w:val="clear" w:color="auto" w:fill="FFFFFF"/>
            <w:vAlign w:val="center"/>
          </w:tcPr>
          <w:p w14:paraId="2265909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2D68892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810" w:type="dxa"/>
            <w:shd w:val="clear" w:color="auto" w:fill="FFFFFF"/>
            <w:vAlign w:val="center"/>
          </w:tcPr>
          <w:p w14:paraId="1E61B18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810" w:type="dxa"/>
            <w:shd w:val="clear" w:color="auto" w:fill="FFFFFF"/>
            <w:vAlign w:val="center"/>
          </w:tcPr>
          <w:p w14:paraId="24E32E4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38.0</w:t>
            </w:r>
          </w:p>
        </w:tc>
      </w:tr>
      <w:tr w:rsidR="008D4E8F" w14:paraId="7FE76FA0" w14:textId="77777777">
        <w:trPr>
          <w:cantSplit/>
          <w:trHeight w:val="317"/>
        </w:trPr>
        <w:tc>
          <w:tcPr>
            <w:tcW w:w="2075" w:type="dxa"/>
            <w:shd w:val="clear" w:color="auto" w:fill="FFFFFF"/>
            <w:vAlign w:val="center"/>
          </w:tcPr>
          <w:p w14:paraId="13EF4826"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Tertiary</w:t>
            </w:r>
          </w:p>
        </w:tc>
        <w:tc>
          <w:tcPr>
            <w:tcW w:w="720" w:type="dxa"/>
            <w:shd w:val="clear" w:color="auto" w:fill="FFFFFF"/>
            <w:vAlign w:val="center"/>
          </w:tcPr>
          <w:p w14:paraId="5DAFA4A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900" w:type="dxa"/>
            <w:shd w:val="clear" w:color="auto" w:fill="FFFFFF"/>
            <w:vAlign w:val="center"/>
          </w:tcPr>
          <w:p w14:paraId="364CAC7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900" w:type="dxa"/>
            <w:shd w:val="clear" w:color="auto" w:fill="FFFFFF"/>
            <w:vAlign w:val="center"/>
          </w:tcPr>
          <w:p w14:paraId="3681B04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00" w:type="dxa"/>
            <w:shd w:val="clear" w:color="auto" w:fill="FFFFFF"/>
            <w:vAlign w:val="center"/>
          </w:tcPr>
          <w:p w14:paraId="2854FD4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49.4</w:t>
            </w:r>
          </w:p>
        </w:tc>
        <w:tc>
          <w:tcPr>
            <w:tcW w:w="900" w:type="dxa"/>
            <w:shd w:val="clear" w:color="auto" w:fill="FFFFFF"/>
            <w:vAlign w:val="center"/>
          </w:tcPr>
          <w:p w14:paraId="5F85199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900" w:type="dxa"/>
            <w:shd w:val="clear" w:color="auto" w:fill="FFFFFF"/>
            <w:vAlign w:val="center"/>
          </w:tcPr>
          <w:p w14:paraId="10342B7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51.8</w:t>
            </w:r>
          </w:p>
        </w:tc>
        <w:tc>
          <w:tcPr>
            <w:tcW w:w="810" w:type="dxa"/>
            <w:shd w:val="clear" w:color="auto" w:fill="FFFFFF"/>
            <w:vAlign w:val="center"/>
          </w:tcPr>
          <w:p w14:paraId="3C74847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810" w:type="dxa"/>
            <w:shd w:val="clear" w:color="auto" w:fill="FFFFFF"/>
            <w:vAlign w:val="center"/>
          </w:tcPr>
          <w:p w14:paraId="5D0ABC5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46.7</w:t>
            </w:r>
          </w:p>
        </w:tc>
      </w:tr>
      <w:tr w:rsidR="008D4E8F" w14:paraId="5BED1F21" w14:textId="77777777">
        <w:trPr>
          <w:cantSplit/>
          <w:trHeight w:val="317"/>
        </w:trPr>
        <w:tc>
          <w:tcPr>
            <w:tcW w:w="2075" w:type="dxa"/>
            <w:shd w:val="clear" w:color="auto" w:fill="FFFFFF"/>
            <w:vAlign w:val="center"/>
          </w:tcPr>
          <w:p w14:paraId="6CB24528"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0E140F7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32A0F19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635FEBC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71E5935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0F52BDE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744C61C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315093E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7B46887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33B0F327" w14:textId="77777777">
        <w:trPr>
          <w:cantSplit/>
          <w:trHeight w:val="1282"/>
        </w:trPr>
        <w:tc>
          <w:tcPr>
            <w:tcW w:w="2075" w:type="dxa"/>
            <w:shd w:val="clear" w:color="auto" w:fill="FFFFFF"/>
            <w:vAlign w:val="center"/>
          </w:tcPr>
          <w:p w14:paraId="32D02B4D"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sz w:val="24"/>
                <w:szCs w:val="24"/>
              </w:rPr>
              <w:t>Father's highest educational level</w:t>
            </w:r>
          </w:p>
        </w:tc>
        <w:tc>
          <w:tcPr>
            <w:tcW w:w="720" w:type="dxa"/>
            <w:shd w:val="clear" w:color="auto" w:fill="FFFFFF"/>
            <w:vAlign w:val="center"/>
          </w:tcPr>
          <w:p w14:paraId="7719FB8A"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3AD3E3C8"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6DD632DD"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4D6A45DD"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0107199D"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086E45D9"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097A56F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35666156"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7D5A4C86" w14:textId="77777777">
        <w:trPr>
          <w:cantSplit/>
          <w:trHeight w:val="634"/>
        </w:trPr>
        <w:tc>
          <w:tcPr>
            <w:tcW w:w="2075" w:type="dxa"/>
            <w:shd w:val="clear" w:color="auto" w:fill="FFFFFF"/>
            <w:vAlign w:val="center"/>
          </w:tcPr>
          <w:p w14:paraId="266CE54E"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 Formal education</w:t>
            </w:r>
          </w:p>
        </w:tc>
        <w:tc>
          <w:tcPr>
            <w:tcW w:w="720" w:type="dxa"/>
            <w:shd w:val="clear" w:color="auto" w:fill="FFFFFF"/>
            <w:vAlign w:val="center"/>
          </w:tcPr>
          <w:p w14:paraId="3AA5956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00" w:type="dxa"/>
            <w:shd w:val="clear" w:color="auto" w:fill="FFFFFF"/>
            <w:vAlign w:val="center"/>
          </w:tcPr>
          <w:p w14:paraId="7D61C03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00" w:type="dxa"/>
            <w:shd w:val="clear" w:color="auto" w:fill="FFFFFF"/>
            <w:vAlign w:val="center"/>
          </w:tcPr>
          <w:p w14:paraId="2A17435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00" w:type="dxa"/>
            <w:shd w:val="clear" w:color="auto" w:fill="FFFFFF"/>
            <w:vAlign w:val="center"/>
          </w:tcPr>
          <w:p w14:paraId="597E255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900" w:type="dxa"/>
            <w:shd w:val="clear" w:color="auto" w:fill="FFFFFF"/>
            <w:vAlign w:val="center"/>
          </w:tcPr>
          <w:p w14:paraId="576C175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shd w:val="clear" w:color="auto" w:fill="FFFFFF"/>
            <w:vAlign w:val="center"/>
          </w:tcPr>
          <w:p w14:paraId="68C7FAB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810" w:type="dxa"/>
            <w:shd w:val="clear" w:color="auto" w:fill="FFFFFF"/>
            <w:vAlign w:val="center"/>
          </w:tcPr>
          <w:p w14:paraId="5AE9E1F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810" w:type="dxa"/>
            <w:shd w:val="clear" w:color="auto" w:fill="FFFFFF"/>
            <w:vAlign w:val="center"/>
          </w:tcPr>
          <w:p w14:paraId="598FD13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r>
      <w:tr w:rsidR="008D4E8F" w14:paraId="57233BA5" w14:textId="77777777">
        <w:trPr>
          <w:cantSplit/>
          <w:trHeight w:val="317"/>
        </w:trPr>
        <w:tc>
          <w:tcPr>
            <w:tcW w:w="2075" w:type="dxa"/>
            <w:shd w:val="clear" w:color="auto" w:fill="FFFFFF"/>
            <w:vAlign w:val="center"/>
          </w:tcPr>
          <w:p w14:paraId="0C36A233"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FSLC</w:t>
            </w:r>
          </w:p>
        </w:tc>
        <w:tc>
          <w:tcPr>
            <w:tcW w:w="720" w:type="dxa"/>
            <w:shd w:val="clear" w:color="auto" w:fill="FFFFFF"/>
            <w:vAlign w:val="center"/>
          </w:tcPr>
          <w:p w14:paraId="26F9393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00" w:type="dxa"/>
            <w:shd w:val="clear" w:color="auto" w:fill="FFFFFF"/>
            <w:vAlign w:val="center"/>
          </w:tcPr>
          <w:p w14:paraId="4214159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900" w:type="dxa"/>
            <w:shd w:val="clear" w:color="auto" w:fill="FFFFFF"/>
            <w:vAlign w:val="center"/>
          </w:tcPr>
          <w:p w14:paraId="178E422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900" w:type="dxa"/>
            <w:shd w:val="clear" w:color="auto" w:fill="FFFFFF"/>
            <w:vAlign w:val="center"/>
          </w:tcPr>
          <w:p w14:paraId="478D111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21.2</w:t>
            </w:r>
          </w:p>
        </w:tc>
        <w:tc>
          <w:tcPr>
            <w:tcW w:w="900" w:type="dxa"/>
            <w:shd w:val="clear" w:color="auto" w:fill="FFFFFF"/>
            <w:vAlign w:val="center"/>
          </w:tcPr>
          <w:p w14:paraId="09D54BF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14:paraId="56CF12F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810" w:type="dxa"/>
            <w:shd w:val="clear" w:color="auto" w:fill="FFFFFF"/>
            <w:vAlign w:val="center"/>
          </w:tcPr>
          <w:p w14:paraId="6116C92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810" w:type="dxa"/>
            <w:shd w:val="clear" w:color="auto" w:fill="FFFFFF"/>
            <w:vAlign w:val="center"/>
          </w:tcPr>
          <w:p w14:paraId="42306F1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14.9</w:t>
            </w:r>
          </w:p>
        </w:tc>
      </w:tr>
      <w:tr w:rsidR="008D4E8F" w14:paraId="3B956E3F" w14:textId="77777777">
        <w:trPr>
          <w:cantSplit/>
          <w:trHeight w:val="317"/>
        </w:trPr>
        <w:tc>
          <w:tcPr>
            <w:tcW w:w="2075" w:type="dxa"/>
            <w:shd w:val="clear" w:color="auto" w:fill="FFFFFF"/>
            <w:vAlign w:val="center"/>
          </w:tcPr>
          <w:p w14:paraId="7DB404CD"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Secondary</w:t>
            </w:r>
          </w:p>
        </w:tc>
        <w:tc>
          <w:tcPr>
            <w:tcW w:w="720" w:type="dxa"/>
            <w:shd w:val="clear" w:color="auto" w:fill="FFFFFF"/>
            <w:vAlign w:val="center"/>
          </w:tcPr>
          <w:p w14:paraId="7E2920D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900" w:type="dxa"/>
            <w:shd w:val="clear" w:color="auto" w:fill="FFFFFF"/>
            <w:vAlign w:val="center"/>
          </w:tcPr>
          <w:p w14:paraId="0ADD8F0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900" w:type="dxa"/>
            <w:shd w:val="clear" w:color="auto" w:fill="FFFFFF"/>
            <w:vAlign w:val="center"/>
          </w:tcPr>
          <w:p w14:paraId="70C4DEE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00" w:type="dxa"/>
            <w:shd w:val="clear" w:color="auto" w:fill="FFFFFF"/>
            <w:vAlign w:val="center"/>
          </w:tcPr>
          <w:p w14:paraId="4BA90CB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900" w:type="dxa"/>
            <w:shd w:val="clear" w:color="auto" w:fill="FFFFFF"/>
            <w:vAlign w:val="center"/>
          </w:tcPr>
          <w:p w14:paraId="2F5930B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900" w:type="dxa"/>
            <w:shd w:val="clear" w:color="auto" w:fill="FFFFFF"/>
            <w:vAlign w:val="center"/>
          </w:tcPr>
          <w:p w14:paraId="0BAF398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810" w:type="dxa"/>
            <w:shd w:val="clear" w:color="auto" w:fill="FFFFFF"/>
            <w:vAlign w:val="center"/>
          </w:tcPr>
          <w:p w14:paraId="5C3E770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810" w:type="dxa"/>
            <w:shd w:val="clear" w:color="auto" w:fill="FFFFFF"/>
            <w:vAlign w:val="center"/>
          </w:tcPr>
          <w:p w14:paraId="636883C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27.8</w:t>
            </w:r>
          </w:p>
        </w:tc>
      </w:tr>
      <w:tr w:rsidR="008D4E8F" w14:paraId="41347761" w14:textId="77777777">
        <w:trPr>
          <w:cantSplit/>
          <w:trHeight w:val="317"/>
        </w:trPr>
        <w:tc>
          <w:tcPr>
            <w:tcW w:w="2075" w:type="dxa"/>
            <w:shd w:val="clear" w:color="auto" w:fill="FFFFFF"/>
            <w:vAlign w:val="center"/>
          </w:tcPr>
          <w:p w14:paraId="6EB33CC1"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Tertiary</w:t>
            </w:r>
          </w:p>
        </w:tc>
        <w:tc>
          <w:tcPr>
            <w:tcW w:w="720" w:type="dxa"/>
            <w:shd w:val="clear" w:color="auto" w:fill="FFFFFF"/>
            <w:vAlign w:val="center"/>
          </w:tcPr>
          <w:p w14:paraId="6D2E981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900" w:type="dxa"/>
            <w:shd w:val="clear" w:color="auto" w:fill="FFFFFF"/>
            <w:vAlign w:val="center"/>
          </w:tcPr>
          <w:p w14:paraId="2F8DC4C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900" w:type="dxa"/>
            <w:shd w:val="clear" w:color="auto" w:fill="FFFFFF"/>
            <w:vAlign w:val="center"/>
          </w:tcPr>
          <w:p w14:paraId="6CC3146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00" w:type="dxa"/>
            <w:shd w:val="clear" w:color="auto" w:fill="FFFFFF"/>
            <w:vAlign w:val="center"/>
          </w:tcPr>
          <w:p w14:paraId="12F3AFC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49.4</w:t>
            </w:r>
          </w:p>
        </w:tc>
        <w:tc>
          <w:tcPr>
            <w:tcW w:w="900" w:type="dxa"/>
            <w:shd w:val="clear" w:color="auto" w:fill="FFFFFF"/>
            <w:vAlign w:val="center"/>
          </w:tcPr>
          <w:p w14:paraId="29AA594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900" w:type="dxa"/>
            <w:shd w:val="clear" w:color="auto" w:fill="FFFFFF"/>
            <w:vAlign w:val="center"/>
          </w:tcPr>
          <w:p w14:paraId="072ED9C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61.2</w:t>
            </w:r>
          </w:p>
        </w:tc>
        <w:tc>
          <w:tcPr>
            <w:tcW w:w="810" w:type="dxa"/>
            <w:shd w:val="clear" w:color="auto" w:fill="FFFFFF"/>
            <w:vAlign w:val="center"/>
          </w:tcPr>
          <w:p w14:paraId="2B66300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128</w:t>
            </w:r>
          </w:p>
        </w:tc>
        <w:tc>
          <w:tcPr>
            <w:tcW w:w="810" w:type="dxa"/>
            <w:shd w:val="clear" w:color="auto" w:fill="FFFFFF"/>
            <w:vAlign w:val="center"/>
          </w:tcPr>
          <w:p w14:paraId="0A4CD92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50.2</w:t>
            </w:r>
          </w:p>
        </w:tc>
      </w:tr>
      <w:tr w:rsidR="008D4E8F" w14:paraId="568FEC5C" w14:textId="77777777">
        <w:trPr>
          <w:cantSplit/>
          <w:trHeight w:val="317"/>
        </w:trPr>
        <w:tc>
          <w:tcPr>
            <w:tcW w:w="2075" w:type="dxa"/>
            <w:shd w:val="clear" w:color="auto" w:fill="FFFFFF"/>
            <w:vAlign w:val="center"/>
          </w:tcPr>
          <w:p w14:paraId="14D48A86"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38D2F8B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109B791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37822D1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1807D5B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7F9EC6F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0942CFE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632E041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7760C5C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73A6A3A2" w14:textId="77777777">
        <w:trPr>
          <w:cantSplit/>
          <w:trHeight w:val="649"/>
        </w:trPr>
        <w:tc>
          <w:tcPr>
            <w:tcW w:w="2075" w:type="dxa"/>
            <w:shd w:val="clear" w:color="auto" w:fill="FFFFFF"/>
            <w:vAlign w:val="center"/>
          </w:tcPr>
          <w:p w14:paraId="6A6B5E82"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color w:val="000000"/>
                <w:sz w:val="24"/>
                <w:szCs w:val="24"/>
              </w:rPr>
              <w:t>Person Living with</w:t>
            </w:r>
          </w:p>
        </w:tc>
        <w:tc>
          <w:tcPr>
            <w:tcW w:w="720" w:type="dxa"/>
            <w:shd w:val="clear" w:color="auto" w:fill="FFFFFF"/>
            <w:vAlign w:val="center"/>
          </w:tcPr>
          <w:p w14:paraId="3415A04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3CB3AC9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53F04DE1"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44E89FB5"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2B43BCF8"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60B5443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2507E9AC"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3B9C3B95"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1D996C36" w14:textId="77777777">
        <w:trPr>
          <w:cantSplit/>
          <w:trHeight w:val="317"/>
        </w:trPr>
        <w:tc>
          <w:tcPr>
            <w:tcW w:w="2075" w:type="dxa"/>
            <w:shd w:val="clear" w:color="auto" w:fill="FFFFFF"/>
            <w:vAlign w:val="center"/>
          </w:tcPr>
          <w:p w14:paraId="5AE07C41"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Parents</w:t>
            </w:r>
          </w:p>
        </w:tc>
        <w:tc>
          <w:tcPr>
            <w:tcW w:w="720" w:type="dxa"/>
            <w:shd w:val="clear" w:color="auto" w:fill="FFFFFF"/>
            <w:vAlign w:val="center"/>
          </w:tcPr>
          <w:p w14:paraId="710BB3E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900" w:type="dxa"/>
            <w:shd w:val="clear" w:color="auto" w:fill="FFFFFF"/>
            <w:vAlign w:val="center"/>
          </w:tcPr>
          <w:p w14:paraId="6902CE5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54.1</w:t>
            </w:r>
          </w:p>
        </w:tc>
        <w:tc>
          <w:tcPr>
            <w:tcW w:w="900" w:type="dxa"/>
            <w:shd w:val="clear" w:color="auto" w:fill="FFFFFF"/>
            <w:vAlign w:val="center"/>
          </w:tcPr>
          <w:p w14:paraId="2BB3870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900" w:type="dxa"/>
            <w:shd w:val="clear" w:color="auto" w:fill="FFFFFF"/>
            <w:vAlign w:val="center"/>
          </w:tcPr>
          <w:p w14:paraId="2150B93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72.9</w:t>
            </w:r>
          </w:p>
        </w:tc>
        <w:tc>
          <w:tcPr>
            <w:tcW w:w="900" w:type="dxa"/>
            <w:shd w:val="clear" w:color="auto" w:fill="FFFFFF"/>
            <w:vAlign w:val="center"/>
          </w:tcPr>
          <w:p w14:paraId="30DE555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900" w:type="dxa"/>
            <w:shd w:val="clear" w:color="auto" w:fill="FFFFFF"/>
            <w:vAlign w:val="center"/>
          </w:tcPr>
          <w:p w14:paraId="5C7D973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810" w:type="dxa"/>
            <w:shd w:val="clear" w:color="auto" w:fill="FFFFFF"/>
            <w:vAlign w:val="center"/>
          </w:tcPr>
          <w:p w14:paraId="591F0F4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810" w:type="dxa"/>
            <w:shd w:val="clear" w:color="auto" w:fill="FFFFFF"/>
            <w:vAlign w:val="center"/>
          </w:tcPr>
          <w:p w14:paraId="179A82D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62.4</w:t>
            </w:r>
          </w:p>
        </w:tc>
      </w:tr>
      <w:tr w:rsidR="008D4E8F" w14:paraId="182D3DAA" w14:textId="77777777">
        <w:trPr>
          <w:cantSplit/>
          <w:trHeight w:val="317"/>
        </w:trPr>
        <w:tc>
          <w:tcPr>
            <w:tcW w:w="2075" w:type="dxa"/>
            <w:shd w:val="clear" w:color="auto" w:fill="FFFFFF"/>
            <w:vAlign w:val="center"/>
          </w:tcPr>
          <w:p w14:paraId="21D916C1"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Guardian</w:t>
            </w:r>
          </w:p>
        </w:tc>
        <w:tc>
          <w:tcPr>
            <w:tcW w:w="720" w:type="dxa"/>
            <w:shd w:val="clear" w:color="auto" w:fill="FFFFFF"/>
            <w:vAlign w:val="center"/>
          </w:tcPr>
          <w:p w14:paraId="204ABA5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900" w:type="dxa"/>
            <w:shd w:val="clear" w:color="auto" w:fill="FFFFFF"/>
            <w:vAlign w:val="center"/>
          </w:tcPr>
          <w:p w14:paraId="6DDC49D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900" w:type="dxa"/>
            <w:shd w:val="clear" w:color="auto" w:fill="FFFFFF"/>
            <w:vAlign w:val="center"/>
          </w:tcPr>
          <w:p w14:paraId="370A997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14:paraId="2CAD957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900" w:type="dxa"/>
            <w:shd w:val="clear" w:color="auto" w:fill="FFFFFF"/>
            <w:vAlign w:val="center"/>
          </w:tcPr>
          <w:p w14:paraId="1A4CA58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900" w:type="dxa"/>
            <w:shd w:val="clear" w:color="auto" w:fill="FFFFFF"/>
            <w:vAlign w:val="center"/>
          </w:tcPr>
          <w:p w14:paraId="097783C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37.6</w:t>
            </w:r>
          </w:p>
        </w:tc>
        <w:tc>
          <w:tcPr>
            <w:tcW w:w="810" w:type="dxa"/>
            <w:shd w:val="clear" w:color="auto" w:fill="FFFFFF"/>
            <w:vAlign w:val="center"/>
          </w:tcPr>
          <w:p w14:paraId="4906A78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810" w:type="dxa"/>
            <w:shd w:val="clear" w:color="auto" w:fill="FFFFFF"/>
            <w:vAlign w:val="center"/>
          </w:tcPr>
          <w:p w14:paraId="1F54EDA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31.4</w:t>
            </w:r>
          </w:p>
        </w:tc>
      </w:tr>
      <w:tr w:rsidR="008D4E8F" w14:paraId="1AAC64C3" w14:textId="77777777">
        <w:trPr>
          <w:cantSplit/>
          <w:trHeight w:val="317"/>
        </w:trPr>
        <w:tc>
          <w:tcPr>
            <w:tcW w:w="2075" w:type="dxa"/>
            <w:shd w:val="clear" w:color="auto" w:fill="FFFFFF"/>
            <w:vAlign w:val="center"/>
          </w:tcPr>
          <w:p w14:paraId="1AA3661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720" w:type="dxa"/>
            <w:shd w:val="clear" w:color="auto" w:fill="FFFFFF"/>
            <w:vAlign w:val="center"/>
          </w:tcPr>
          <w:p w14:paraId="0991720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00" w:type="dxa"/>
            <w:shd w:val="clear" w:color="auto" w:fill="FFFFFF"/>
            <w:vAlign w:val="center"/>
          </w:tcPr>
          <w:p w14:paraId="2BD13EC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900" w:type="dxa"/>
            <w:shd w:val="clear" w:color="auto" w:fill="FFFFFF"/>
            <w:vAlign w:val="center"/>
          </w:tcPr>
          <w:p w14:paraId="156335C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00" w:type="dxa"/>
            <w:shd w:val="clear" w:color="auto" w:fill="FFFFFF"/>
            <w:vAlign w:val="center"/>
          </w:tcPr>
          <w:p w14:paraId="1A1233E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900" w:type="dxa"/>
            <w:shd w:val="clear" w:color="auto" w:fill="FFFFFF"/>
            <w:vAlign w:val="center"/>
          </w:tcPr>
          <w:p w14:paraId="475E42B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14:paraId="063254D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shd w:val="clear" w:color="auto" w:fill="FFFFFF"/>
            <w:vAlign w:val="center"/>
          </w:tcPr>
          <w:p w14:paraId="53EDF80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810" w:type="dxa"/>
            <w:shd w:val="clear" w:color="auto" w:fill="FFFFFF"/>
            <w:vAlign w:val="center"/>
          </w:tcPr>
          <w:p w14:paraId="6B50ED4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r>
      <w:tr w:rsidR="008D4E8F" w14:paraId="73B0EA20" w14:textId="77777777">
        <w:trPr>
          <w:cantSplit/>
          <w:trHeight w:val="317"/>
        </w:trPr>
        <w:tc>
          <w:tcPr>
            <w:tcW w:w="2075" w:type="dxa"/>
            <w:shd w:val="clear" w:color="auto" w:fill="FFFFFF"/>
            <w:vAlign w:val="center"/>
          </w:tcPr>
          <w:p w14:paraId="62A252E5"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0853150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765A6E5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0648777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251C0B5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3FEBCCC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541C467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5BC7F7F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21812D3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6B2E01E9" w14:textId="77777777">
        <w:trPr>
          <w:cantSplit/>
          <w:trHeight w:val="950"/>
        </w:trPr>
        <w:tc>
          <w:tcPr>
            <w:tcW w:w="2075" w:type="dxa"/>
            <w:shd w:val="clear" w:color="auto" w:fill="FFFFFF"/>
            <w:vAlign w:val="center"/>
          </w:tcPr>
          <w:p w14:paraId="6512C895"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sz w:val="24"/>
                <w:szCs w:val="24"/>
              </w:rPr>
              <w:t>Heard about sexual risk before</w:t>
            </w:r>
          </w:p>
        </w:tc>
        <w:tc>
          <w:tcPr>
            <w:tcW w:w="720" w:type="dxa"/>
            <w:shd w:val="clear" w:color="auto" w:fill="FFFFFF"/>
            <w:vAlign w:val="center"/>
          </w:tcPr>
          <w:p w14:paraId="1CA5D8D1"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217B97DA"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1D7D5C71"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6D501126"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33AEBE31"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14:paraId="51C31A1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44CDD334"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10" w:type="dxa"/>
            <w:shd w:val="clear" w:color="auto" w:fill="FFFFFF"/>
            <w:vAlign w:val="center"/>
          </w:tcPr>
          <w:p w14:paraId="272C57B8"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314F5BBD" w14:textId="77777777">
        <w:trPr>
          <w:cantSplit/>
          <w:trHeight w:val="317"/>
        </w:trPr>
        <w:tc>
          <w:tcPr>
            <w:tcW w:w="2075" w:type="dxa"/>
            <w:shd w:val="clear" w:color="auto" w:fill="FFFFFF"/>
            <w:vAlign w:val="center"/>
          </w:tcPr>
          <w:p w14:paraId="5F0C4034"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20" w:type="dxa"/>
            <w:shd w:val="clear" w:color="auto" w:fill="FFFFFF"/>
            <w:vAlign w:val="center"/>
          </w:tcPr>
          <w:p w14:paraId="7407EEC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900" w:type="dxa"/>
            <w:shd w:val="clear" w:color="auto" w:fill="FFFFFF"/>
            <w:vAlign w:val="center"/>
          </w:tcPr>
          <w:p w14:paraId="6F5FDA4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85.9</w:t>
            </w:r>
          </w:p>
        </w:tc>
        <w:tc>
          <w:tcPr>
            <w:tcW w:w="900" w:type="dxa"/>
            <w:shd w:val="clear" w:color="auto" w:fill="FFFFFF"/>
            <w:vAlign w:val="center"/>
          </w:tcPr>
          <w:p w14:paraId="4B45A00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900" w:type="dxa"/>
            <w:shd w:val="clear" w:color="auto" w:fill="FFFFFF"/>
            <w:vAlign w:val="center"/>
          </w:tcPr>
          <w:p w14:paraId="4919C67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77.6</w:t>
            </w:r>
          </w:p>
        </w:tc>
        <w:tc>
          <w:tcPr>
            <w:tcW w:w="900" w:type="dxa"/>
            <w:shd w:val="clear" w:color="auto" w:fill="FFFFFF"/>
            <w:vAlign w:val="center"/>
          </w:tcPr>
          <w:p w14:paraId="7CE0E3A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900" w:type="dxa"/>
            <w:shd w:val="clear" w:color="auto" w:fill="FFFFFF"/>
            <w:vAlign w:val="center"/>
          </w:tcPr>
          <w:p w14:paraId="5A8B797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97.6</w:t>
            </w:r>
          </w:p>
        </w:tc>
        <w:tc>
          <w:tcPr>
            <w:tcW w:w="810" w:type="dxa"/>
            <w:shd w:val="clear" w:color="auto" w:fill="FFFFFF"/>
            <w:vAlign w:val="center"/>
          </w:tcPr>
          <w:p w14:paraId="33C0337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810" w:type="dxa"/>
            <w:shd w:val="clear" w:color="auto" w:fill="FFFFFF"/>
            <w:vAlign w:val="center"/>
          </w:tcPr>
          <w:p w14:paraId="6F83E0A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87.1</w:t>
            </w:r>
          </w:p>
        </w:tc>
      </w:tr>
      <w:tr w:rsidR="008D4E8F" w14:paraId="0E312DDA" w14:textId="77777777">
        <w:trPr>
          <w:cantSplit/>
          <w:trHeight w:val="317"/>
        </w:trPr>
        <w:tc>
          <w:tcPr>
            <w:tcW w:w="2075" w:type="dxa"/>
            <w:shd w:val="clear" w:color="auto" w:fill="FFFFFF"/>
            <w:vAlign w:val="center"/>
          </w:tcPr>
          <w:p w14:paraId="4C7F241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20" w:type="dxa"/>
            <w:shd w:val="clear" w:color="auto" w:fill="FFFFFF"/>
            <w:vAlign w:val="center"/>
          </w:tcPr>
          <w:p w14:paraId="4499978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dxa"/>
            <w:shd w:val="clear" w:color="auto" w:fill="FFFFFF"/>
            <w:vAlign w:val="center"/>
          </w:tcPr>
          <w:p w14:paraId="5356B67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900" w:type="dxa"/>
            <w:shd w:val="clear" w:color="auto" w:fill="FFFFFF"/>
            <w:vAlign w:val="center"/>
          </w:tcPr>
          <w:p w14:paraId="40A3A5D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00" w:type="dxa"/>
            <w:shd w:val="clear" w:color="auto" w:fill="FFFFFF"/>
            <w:vAlign w:val="center"/>
          </w:tcPr>
          <w:p w14:paraId="611DE71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900" w:type="dxa"/>
            <w:shd w:val="clear" w:color="auto" w:fill="FFFFFF"/>
            <w:vAlign w:val="center"/>
          </w:tcPr>
          <w:p w14:paraId="53367FB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00" w:type="dxa"/>
            <w:shd w:val="clear" w:color="auto" w:fill="FFFFFF"/>
            <w:vAlign w:val="center"/>
          </w:tcPr>
          <w:p w14:paraId="6CCDA78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shd w:val="clear" w:color="auto" w:fill="FFFFFF"/>
            <w:vAlign w:val="center"/>
          </w:tcPr>
          <w:p w14:paraId="28A1CEE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810" w:type="dxa"/>
            <w:shd w:val="clear" w:color="auto" w:fill="FFFFFF"/>
            <w:vAlign w:val="center"/>
          </w:tcPr>
          <w:p w14:paraId="628B1F0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12.9</w:t>
            </w:r>
          </w:p>
        </w:tc>
      </w:tr>
      <w:tr w:rsidR="008D4E8F" w14:paraId="6058207D" w14:textId="77777777">
        <w:trPr>
          <w:cantSplit/>
          <w:trHeight w:val="332"/>
        </w:trPr>
        <w:tc>
          <w:tcPr>
            <w:tcW w:w="2075" w:type="dxa"/>
            <w:shd w:val="clear" w:color="auto" w:fill="FFFFFF"/>
            <w:vAlign w:val="center"/>
          </w:tcPr>
          <w:p w14:paraId="0FB8B86C"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720" w:type="dxa"/>
            <w:shd w:val="clear" w:color="auto" w:fill="FFFFFF"/>
            <w:vAlign w:val="center"/>
          </w:tcPr>
          <w:p w14:paraId="3C87D1D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418AE1D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00" w:type="dxa"/>
            <w:shd w:val="clear" w:color="auto" w:fill="FFFFFF"/>
            <w:vAlign w:val="center"/>
          </w:tcPr>
          <w:p w14:paraId="080653F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75D0DFC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900" w:type="dxa"/>
            <w:shd w:val="clear" w:color="auto" w:fill="FFFFFF"/>
            <w:vAlign w:val="center"/>
          </w:tcPr>
          <w:p w14:paraId="6926EC4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00" w:type="dxa"/>
            <w:shd w:val="clear" w:color="auto" w:fill="FFFFFF"/>
            <w:vAlign w:val="center"/>
          </w:tcPr>
          <w:p w14:paraId="1544399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10" w:type="dxa"/>
            <w:shd w:val="clear" w:color="auto" w:fill="FFFFFF"/>
            <w:vAlign w:val="center"/>
          </w:tcPr>
          <w:p w14:paraId="756213B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10" w:type="dxa"/>
            <w:shd w:val="clear" w:color="auto" w:fill="FFFFFF"/>
            <w:vAlign w:val="center"/>
          </w:tcPr>
          <w:p w14:paraId="4E9C619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2FE33E51" w14:textId="77777777" w:rsidR="008D4E8F" w:rsidRDefault="008D4E8F">
      <w:pPr>
        <w:spacing w:after="0" w:line="240" w:lineRule="auto"/>
        <w:jc w:val="both"/>
        <w:rPr>
          <w:rFonts w:ascii="Times New Roman" w:hAnsi="Times New Roman" w:cs="Times New Roman"/>
          <w:bCs/>
          <w:sz w:val="24"/>
          <w:szCs w:val="24"/>
        </w:rPr>
      </w:pPr>
    </w:p>
    <w:p w14:paraId="3BDA7A46" w14:textId="77777777" w:rsidR="008D4E8F" w:rsidRDefault="00D90E3D">
      <w:pPr>
        <w:spacing w:after="0" w:line="480" w:lineRule="auto"/>
        <w:jc w:val="both"/>
        <w:rPr>
          <w:rFonts w:ascii="Times New Roman" w:hAnsi="Times New Roman" w:cs="Times New Roman"/>
          <w:bCs/>
          <w:sz w:val="24"/>
          <w:szCs w:val="24"/>
        </w:rPr>
      </w:pPr>
      <w:r>
        <w:rPr>
          <w:rStyle w:val="bzpyqfadein"/>
          <w:rFonts w:ascii="Times New Roman" w:hAnsi="Times New Roman" w:cs="Times New Roman"/>
          <w:sz w:val="24"/>
          <w:szCs w:val="24"/>
        </w:rPr>
        <w:t xml:space="preserve">A total of 255 secondary school students participated in the pretest, with 85 (33.3%) each in the Traditional Lecture Method (TLM), WhatsApp Method (WAM), and Artificial Intelligence Method (AIM: Meta AI and ChatGPT) groups. The participants were aged 14–19 years with a mean age of 16.8 ± 1.65 years. Most respondents were Christians (96.9%, n=247) and predominantly of Igbo ethnicity (95.7%, n=244), reflecting the dominant socio-cultural characteristics of the study area in southeastern Nigeria. The majority of participants came from families of five or more members (74.1%, n=189), and most parents had at least secondary education, with 84.7% of mothers and 78.0% of fathers attaining this level. Additionally, 87.1% </w:t>
      </w:r>
      <w:r>
        <w:rPr>
          <w:rStyle w:val="bzpyqfadein"/>
          <w:rFonts w:ascii="Times New Roman" w:hAnsi="Times New Roman" w:cs="Times New Roman"/>
          <w:sz w:val="24"/>
          <w:szCs w:val="24"/>
        </w:rPr>
        <w:lastRenderedPageBreak/>
        <w:t>(n=222) of the students reported having previously heard about sexual risk, with the highest proportion observed in the AIM group (97.6%).</w:t>
      </w:r>
    </w:p>
    <w:bookmarkEnd w:id="28"/>
    <w:p w14:paraId="4791A8E5" w14:textId="77777777" w:rsidR="008D4E8F" w:rsidRDefault="00D90E3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a:   Level of Knowledge of consequences of risky sexual behaviours</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494"/>
        <w:gridCol w:w="1078"/>
        <w:gridCol w:w="540"/>
        <w:gridCol w:w="614"/>
        <w:gridCol w:w="540"/>
        <w:gridCol w:w="614"/>
        <w:gridCol w:w="540"/>
        <w:gridCol w:w="614"/>
        <w:gridCol w:w="480"/>
        <w:gridCol w:w="614"/>
        <w:gridCol w:w="1076"/>
        <w:gridCol w:w="615"/>
        <w:gridCol w:w="529"/>
        <w:gridCol w:w="12"/>
      </w:tblGrid>
      <w:tr w:rsidR="008D4E8F" w14:paraId="3F6B075A" w14:textId="77777777" w:rsidTr="00745BF5">
        <w:trPr>
          <w:gridAfter w:val="1"/>
          <w:wAfter w:w="6" w:type="pct"/>
          <w:cantSplit/>
          <w:trHeight w:val="260"/>
        </w:trPr>
        <w:tc>
          <w:tcPr>
            <w:tcW w:w="765" w:type="pct"/>
            <w:vMerge w:val="restart"/>
            <w:tcBorders>
              <w:top w:val="single" w:sz="4" w:space="0" w:color="auto"/>
              <w:left w:val="nil"/>
              <w:bottom w:val="single" w:sz="4" w:space="0" w:color="auto"/>
              <w:right w:val="nil"/>
            </w:tcBorders>
            <w:vAlign w:val="center"/>
          </w:tcPr>
          <w:p w14:paraId="3A092E63"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sz w:val="24"/>
                <w:szCs w:val="24"/>
              </w:rPr>
              <w:t>Knowledge of consequences of risky sexual behaviours</w:t>
            </w:r>
          </w:p>
        </w:tc>
        <w:tc>
          <w:tcPr>
            <w:tcW w:w="1529" w:type="pct"/>
            <w:gridSpan w:val="4"/>
            <w:tcBorders>
              <w:top w:val="single" w:sz="4" w:space="0" w:color="auto"/>
              <w:left w:val="nil"/>
              <w:bottom w:val="nil"/>
              <w:right w:val="nil"/>
            </w:tcBorders>
            <w:vAlign w:val="center"/>
          </w:tcPr>
          <w:p w14:paraId="0D45539A"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TLM</w:t>
            </w:r>
          </w:p>
        </w:tc>
        <w:tc>
          <w:tcPr>
            <w:tcW w:w="1147" w:type="pct"/>
            <w:gridSpan w:val="4"/>
            <w:tcBorders>
              <w:top w:val="single" w:sz="4" w:space="0" w:color="auto"/>
              <w:left w:val="nil"/>
              <w:bottom w:val="nil"/>
              <w:right w:val="nil"/>
            </w:tcBorders>
            <w:vAlign w:val="center"/>
          </w:tcPr>
          <w:p w14:paraId="37A4E0EF"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WAM</w:t>
            </w:r>
          </w:p>
        </w:tc>
        <w:tc>
          <w:tcPr>
            <w:tcW w:w="1552" w:type="pct"/>
            <w:gridSpan w:val="4"/>
            <w:tcBorders>
              <w:top w:val="single" w:sz="4" w:space="0" w:color="auto"/>
              <w:left w:val="nil"/>
              <w:bottom w:val="nil"/>
              <w:right w:val="nil"/>
            </w:tcBorders>
            <w:vAlign w:val="center"/>
          </w:tcPr>
          <w:p w14:paraId="4B560E2F"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AIM</w:t>
            </w:r>
          </w:p>
        </w:tc>
      </w:tr>
      <w:tr w:rsidR="008D4E8F" w14:paraId="02713DD7" w14:textId="77777777" w:rsidTr="00745BF5">
        <w:trPr>
          <w:cantSplit/>
          <w:trHeight w:val="147"/>
        </w:trPr>
        <w:tc>
          <w:tcPr>
            <w:tcW w:w="765" w:type="pct"/>
            <w:vMerge/>
            <w:tcBorders>
              <w:top w:val="single" w:sz="4" w:space="0" w:color="auto"/>
              <w:left w:val="nil"/>
              <w:bottom w:val="single" w:sz="4" w:space="0" w:color="auto"/>
              <w:right w:val="nil"/>
            </w:tcBorders>
            <w:vAlign w:val="center"/>
          </w:tcPr>
          <w:p w14:paraId="0805DF37" w14:textId="77777777" w:rsidR="008D4E8F" w:rsidRDefault="008D4E8F">
            <w:pPr>
              <w:spacing w:after="0" w:line="240" w:lineRule="auto"/>
              <w:rPr>
                <w:rFonts w:ascii="Times New Roman" w:hAnsi="Times New Roman" w:cs="Times New Roman"/>
                <w:b/>
                <w:color w:val="000000"/>
                <w:sz w:val="24"/>
                <w:szCs w:val="24"/>
              </w:rPr>
            </w:pPr>
          </w:p>
        </w:tc>
        <w:tc>
          <w:tcPr>
            <w:tcW w:w="983" w:type="pct"/>
            <w:gridSpan w:val="2"/>
            <w:tcBorders>
              <w:top w:val="nil"/>
              <w:left w:val="nil"/>
              <w:bottom w:val="nil"/>
              <w:right w:val="nil"/>
            </w:tcBorders>
            <w:vAlign w:val="center"/>
          </w:tcPr>
          <w:p w14:paraId="6450FA73"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Pretest (n=85)</w:t>
            </w:r>
          </w:p>
        </w:tc>
        <w:tc>
          <w:tcPr>
            <w:tcW w:w="546" w:type="pct"/>
            <w:gridSpan w:val="2"/>
            <w:tcBorders>
              <w:top w:val="nil"/>
              <w:left w:val="nil"/>
              <w:bottom w:val="nil"/>
              <w:right w:val="nil"/>
            </w:tcBorders>
            <w:vAlign w:val="center"/>
          </w:tcPr>
          <w:p w14:paraId="11A4F3D5"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Posttest (n=85)</w:t>
            </w:r>
          </w:p>
        </w:tc>
        <w:tc>
          <w:tcPr>
            <w:tcW w:w="492" w:type="pct"/>
            <w:gridSpan w:val="2"/>
            <w:tcBorders>
              <w:top w:val="nil"/>
              <w:left w:val="nil"/>
              <w:bottom w:val="nil"/>
              <w:right w:val="nil"/>
            </w:tcBorders>
            <w:vAlign w:val="center"/>
          </w:tcPr>
          <w:p w14:paraId="002AF4FF"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Pretest (n=85)</w:t>
            </w:r>
          </w:p>
        </w:tc>
        <w:tc>
          <w:tcPr>
            <w:tcW w:w="655" w:type="pct"/>
            <w:gridSpan w:val="2"/>
            <w:tcBorders>
              <w:top w:val="nil"/>
              <w:left w:val="nil"/>
              <w:bottom w:val="nil"/>
              <w:right w:val="nil"/>
            </w:tcBorders>
            <w:vAlign w:val="center"/>
          </w:tcPr>
          <w:p w14:paraId="0B057A1C"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Posttest (n=85)</w:t>
            </w:r>
          </w:p>
        </w:tc>
        <w:tc>
          <w:tcPr>
            <w:tcW w:w="911" w:type="pct"/>
            <w:gridSpan w:val="2"/>
            <w:tcBorders>
              <w:top w:val="nil"/>
              <w:left w:val="nil"/>
              <w:bottom w:val="nil"/>
              <w:right w:val="nil"/>
            </w:tcBorders>
            <w:vAlign w:val="center"/>
          </w:tcPr>
          <w:p w14:paraId="6C2A42BC"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Pretest (n=85)</w:t>
            </w:r>
          </w:p>
          <w:p w14:paraId="2C4F2837" w14:textId="77777777" w:rsidR="008D4E8F" w:rsidRDefault="008D4E8F">
            <w:pPr>
              <w:spacing w:after="0" w:line="240" w:lineRule="auto"/>
              <w:rPr>
                <w:rFonts w:ascii="Times New Roman" w:hAnsi="Times New Roman" w:cs="Times New Roman"/>
                <w:sz w:val="24"/>
                <w:szCs w:val="24"/>
              </w:rPr>
            </w:pPr>
          </w:p>
          <w:p w14:paraId="73C68F55" w14:textId="77777777" w:rsidR="008D4E8F" w:rsidRDefault="008D4E8F">
            <w:pPr>
              <w:spacing w:after="0" w:line="240" w:lineRule="auto"/>
              <w:rPr>
                <w:rFonts w:ascii="Times New Roman" w:hAnsi="Times New Roman" w:cs="Times New Roman"/>
                <w:b/>
                <w:color w:val="000000"/>
                <w:sz w:val="24"/>
                <w:szCs w:val="24"/>
              </w:rPr>
            </w:pPr>
          </w:p>
          <w:p w14:paraId="2375A96A" w14:textId="77777777" w:rsidR="008D4E8F" w:rsidRDefault="008D4E8F">
            <w:pPr>
              <w:spacing w:after="0" w:line="240" w:lineRule="auto"/>
              <w:rPr>
                <w:rFonts w:ascii="Times New Roman" w:hAnsi="Times New Roman" w:cs="Times New Roman"/>
                <w:sz w:val="24"/>
                <w:szCs w:val="24"/>
              </w:rPr>
            </w:pPr>
          </w:p>
        </w:tc>
        <w:tc>
          <w:tcPr>
            <w:tcW w:w="647" w:type="pct"/>
            <w:gridSpan w:val="3"/>
            <w:tcBorders>
              <w:top w:val="nil"/>
              <w:left w:val="nil"/>
              <w:bottom w:val="nil"/>
              <w:right w:val="nil"/>
            </w:tcBorders>
            <w:vAlign w:val="center"/>
          </w:tcPr>
          <w:p w14:paraId="73F112F5"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Posttest (n=85)</w:t>
            </w:r>
          </w:p>
        </w:tc>
      </w:tr>
      <w:tr w:rsidR="008D4E8F" w14:paraId="2454CA81" w14:textId="77777777" w:rsidTr="00745BF5">
        <w:trPr>
          <w:cantSplit/>
          <w:trHeight w:val="147"/>
        </w:trPr>
        <w:tc>
          <w:tcPr>
            <w:tcW w:w="765" w:type="pct"/>
            <w:vMerge/>
            <w:tcBorders>
              <w:top w:val="single" w:sz="4" w:space="0" w:color="auto"/>
              <w:left w:val="nil"/>
              <w:bottom w:val="single" w:sz="4" w:space="0" w:color="auto"/>
              <w:right w:val="nil"/>
            </w:tcBorders>
            <w:vAlign w:val="center"/>
          </w:tcPr>
          <w:p w14:paraId="4D5E05E5" w14:textId="77777777" w:rsidR="008D4E8F" w:rsidRDefault="008D4E8F">
            <w:pPr>
              <w:spacing w:after="0" w:line="240" w:lineRule="auto"/>
              <w:rPr>
                <w:rFonts w:ascii="Times New Roman" w:hAnsi="Times New Roman" w:cs="Times New Roman"/>
                <w:b/>
                <w:color w:val="000000"/>
                <w:sz w:val="24"/>
                <w:szCs w:val="24"/>
              </w:rPr>
            </w:pPr>
          </w:p>
        </w:tc>
        <w:tc>
          <w:tcPr>
            <w:tcW w:w="735" w:type="pct"/>
            <w:tcBorders>
              <w:top w:val="nil"/>
              <w:left w:val="nil"/>
              <w:bottom w:val="single" w:sz="4" w:space="0" w:color="auto"/>
              <w:right w:val="nil"/>
            </w:tcBorders>
            <w:vAlign w:val="center"/>
          </w:tcPr>
          <w:p w14:paraId="2B150327"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248" w:type="pct"/>
            <w:tcBorders>
              <w:top w:val="nil"/>
              <w:left w:val="nil"/>
              <w:bottom w:val="single" w:sz="4" w:space="0" w:color="auto"/>
              <w:right w:val="nil"/>
            </w:tcBorders>
            <w:vAlign w:val="center"/>
          </w:tcPr>
          <w:p w14:paraId="6026BB4B"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369" w:type="pct"/>
            <w:tcBorders>
              <w:top w:val="nil"/>
              <w:left w:val="nil"/>
              <w:bottom w:val="single" w:sz="4" w:space="0" w:color="auto"/>
              <w:right w:val="nil"/>
            </w:tcBorders>
            <w:vAlign w:val="center"/>
          </w:tcPr>
          <w:p w14:paraId="48EC1B11"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178" w:type="pct"/>
            <w:tcBorders>
              <w:top w:val="nil"/>
              <w:left w:val="nil"/>
              <w:bottom w:val="single" w:sz="4" w:space="0" w:color="auto"/>
              <w:right w:val="nil"/>
            </w:tcBorders>
            <w:vAlign w:val="center"/>
          </w:tcPr>
          <w:p w14:paraId="24D72774"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18" w:type="pct"/>
            <w:tcBorders>
              <w:top w:val="nil"/>
              <w:left w:val="nil"/>
              <w:bottom w:val="single" w:sz="4" w:space="0" w:color="auto"/>
              <w:right w:val="nil"/>
            </w:tcBorders>
            <w:vAlign w:val="center"/>
          </w:tcPr>
          <w:p w14:paraId="6D116388"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273" w:type="pct"/>
            <w:tcBorders>
              <w:top w:val="nil"/>
              <w:left w:val="nil"/>
              <w:bottom w:val="single" w:sz="4" w:space="0" w:color="auto"/>
              <w:right w:val="nil"/>
            </w:tcBorders>
            <w:vAlign w:val="center"/>
          </w:tcPr>
          <w:p w14:paraId="4F2442CE"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18" w:type="pct"/>
            <w:tcBorders>
              <w:top w:val="nil"/>
              <w:left w:val="nil"/>
              <w:bottom w:val="single" w:sz="4" w:space="0" w:color="auto"/>
              <w:right w:val="nil"/>
            </w:tcBorders>
            <w:vAlign w:val="center"/>
          </w:tcPr>
          <w:p w14:paraId="3D23AFFA"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437" w:type="pct"/>
            <w:tcBorders>
              <w:top w:val="nil"/>
              <w:left w:val="nil"/>
              <w:bottom w:val="single" w:sz="4" w:space="0" w:color="auto"/>
              <w:right w:val="nil"/>
            </w:tcBorders>
            <w:vAlign w:val="center"/>
          </w:tcPr>
          <w:p w14:paraId="1D22ED2D"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164" w:type="pct"/>
            <w:tcBorders>
              <w:top w:val="nil"/>
              <w:left w:val="nil"/>
              <w:bottom w:val="single" w:sz="4" w:space="0" w:color="auto"/>
              <w:right w:val="nil"/>
            </w:tcBorders>
            <w:vAlign w:val="center"/>
          </w:tcPr>
          <w:p w14:paraId="5FF1ABA4"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748" w:type="pct"/>
            <w:tcBorders>
              <w:top w:val="nil"/>
              <w:left w:val="nil"/>
              <w:bottom w:val="single" w:sz="4" w:space="0" w:color="auto"/>
              <w:right w:val="nil"/>
            </w:tcBorders>
            <w:vAlign w:val="center"/>
          </w:tcPr>
          <w:p w14:paraId="555299AE"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p w14:paraId="5CDE7FA7" w14:textId="77777777" w:rsidR="008D4E8F" w:rsidRDefault="008D4E8F">
            <w:pPr>
              <w:spacing w:after="0" w:line="240" w:lineRule="auto"/>
              <w:rPr>
                <w:rFonts w:ascii="Times New Roman" w:hAnsi="Times New Roman" w:cs="Times New Roman"/>
                <w:b/>
                <w:color w:val="000000"/>
                <w:sz w:val="24"/>
                <w:szCs w:val="24"/>
              </w:rPr>
            </w:pPr>
          </w:p>
          <w:p w14:paraId="5ED40288" w14:textId="77777777" w:rsidR="008D4E8F" w:rsidRDefault="008D4E8F">
            <w:pPr>
              <w:spacing w:after="0" w:line="240" w:lineRule="auto"/>
              <w:rPr>
                <w:rFonts w:ascii="Times New Roman" w:hAnsi="Times New Roman" w:cs="Times New Roman"/>
                <w:sz w:val="24"/>
                <w:szCs w:val="24"/>
              </w:rPr>
            </w:pPr>
          </w:p>
        </w:tc>
        <w:tc>
          <w:tcPr>
            <w:tcW w:w="321" w:type="pct"/>
            <w:tcBorders>
              <w:top w:val="nil"/>
              <w:left w:val="nil"/>
              <w:bottom w:val="single" w:sz="4" w:space="0" w:color="auto"/>
              <w:right w:val="nil"/>
            </w:tcBorders>
            <w:vAlign w:val="center"/>
          </w:tcPr>
          <w:p w14:paraId="06720595"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Freq</w:t>
            </w:r>
          </w:p>
        </w:tc>
        <w:tc>
          <w:tcPr>
            <w:tcW w:w="326" w:type="pct"/>
            <w:gridSpan w:val="2"/>
            <w:tcBorders>
              <w:top w:val="nil"/>
              <w:left w:val="nil"/>
              <w:bottom w:val="single" w:sz="4" w:space="0" w:color="auto"/>
              <w:right w:val="nil"/>
            </w:tcBorders>
            <w:vAlign w:val="center"/>
          </w:tcPr>
          <w:p w14:paraId="5F4CE75D"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8D4E8F" w14:paraId="01D08F32" w14:textId="77777777" w:rsidTr="00745BF5">
        <w:trPr>
          <w:cantSplit/>
          <w:trHeight w:val="321"/>
        </w:trPr>
        <w:tc>
          <w:tcPr>
            <w:tcW w:w="2117" w:type="pct"/>
            <w:gridSpan w:val="4"/>
            <w:tcBorders>
              <w:top w:val="single" w:sz="4" w:space="0" w:color="auto"/>
              <w:left w:val="nil"/>
              <w:bottom w:val="nil"/>
              <w:right w:val="nil"/>
            </w:tcBorders>
            <w:vAlign w:val="center"/>
          </w:tcPr>
          <w:p w14:paraId="63E98A08"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sz w:val="24"/>
                <w:szCs w:val="24"/>
              </w:rPr>
              <w:t>Engaging in risky sexual behaviours are harmful</w:t>
            </w:r>
          </w:p>
        </w:tc>
        <w:tc>
          <w:tcPr>
            <w:tcW w:w="178" w:type="pct"/>
            <w:tcBorders>
              <w:top w:val="single" w:sz="4" w:space="0" w:color="auto"/>
              <w:left w:val="nil"/>
              <w:bottom w:val="nil"/>
              <w:right w:val="nil"/>
            </w:tcBorders>
            <w:vAlign w:val="center"/>
          </w:tcPr>
          <w:p w14:paraId="11614693"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218" w:type="pct"/>
            <w:tcBorders>
              <w:top w:val="single" w:sz="4" w:space="0" w:color="auto"/>
              <w:left w:val="nil"/>
              <w:bottom w:val="nil"/>
              <w:right w:val="nil"/>
            </w:tcBorders>
            <w:vAlign w:val="center"/>
          </w:tcPr>
          <w:p w14:paraId="5BDD3DEE"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273" w:type="pct"/>
            <w:tcBorders>
              <w:top w:val="single" w:sz="4" w:space="0" w:color="auto"/>
              <w:left w:val="nil"/>
              <w:bottom w:val="nil"/>
              <w:right w:val="nil"/>
            </w:tcBorders>
            <w:vAlign w:val="center"/>
          </w:tcPr>
          <w:p w14:paraId="519DCD12"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218" w:type="pct"/>
            <w:tcBorders>
              <w:top w:val="single" w:sz="4" w:space="0" w:color="auto"/>
              <w:left w:val="nil"/>
              <w:bottom w:val="nil"/>
              <w:right w:val="nil"/>
            </w:tcBorders>
            <w:vAlign w:val="center"/>
          </w:tcPr>
          <w:p w14:paraId="2DD0FDD0"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437" w:type="pct"/>
            <w:tcBorders>
              <w:top w:val="single" w:sz="4" w:space="0" w:color="auto"/>
              <w:left w:val="nil"/>
              <w:bottom w:val="nil"/>
              <w:right w:val="nil"/>
            </w:tcBorders>
            <w:vAlign w:val="center"/>
          </w:tcPr>
          <w:p w14:paraId="45A5D8F9"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64" w:type="pct"/>
            <w:tcBorders>
              <w:top w:val="single" w:sz="4" w:space="0" w:color="auto"/>
              <w:left w:val="nil"/>
              <w:bottom w:val="nil"/>
              <w:right w:val="nil"/>
            </w:tcBorders>
            <w:vAlign w:val="center"/>
          </w:tcPr>
          <w:p w14:paraId="06819C15"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748" w:type="pct"/>
            <w:tcBorders>
              <w:top w:val="single" w:sz="4" w:space="0" w:color="auto"/>
              <w:left w:val="nil"/>
              <w:bottom w:val="nil"/>
              <w:right w:val="nil"/>
            </w:tcBorders>
            <w:vAlign w:val="center"/>
          </w:tcPr>
          <w:p w14:paraId="354D7A04"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1" w:type="pct"/>
            <w:tcBorders>
              <w:top w:val="single" w:sz="4" w:space="0" w:color="auto"/>
              <w:left w:val="nil"/>
              <w:bottom w:val="nil"/>
              <w:right w:val="nil"/>
            </w:tcBorders>
            <w:vAlign w:val="center"/>
          </w:tcPr>
          <w:p w14:paraId="784EC19E"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6" w:type="pct"/>
            <w:gridSpan w:val="2"/>
            <w:tcBorders>
              <w:top w:val="single" w:sz="4" w:space="0" w:color="auto"/>
              <w:left w:val="nil"/>
              <w:bottom w:val="nil"/>
              <w:right w:val="nil"/>
            </w:tcBorders>
            <w:vAlign w:val="center"/>
          </w:tcPr>
          <w:p w14:paraId="0066C642"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r>
      <w:tr w:rsidR="008D4E8F" w14:paraId="10F64ED9" w14:textId="77777777" w:rsidTr="00745BF5">
        <w:trPr>
          <w:cantSplit/>
          <w:trHeight w:val="107"/>
        </w:trPr>
        <w:tc>
          <w:tcPr>
            <w:tcW w:w="765" w:type="pct"/>
            <w:tcBorders>
              <w:top w:val="nil"/>
              <w:left w:val="nil"/>
              <w:bottom w:val="nil"/>
              <w:right w:val="nil"/>
            </w:tcBorders>
            <w:vAlign w:val="center"/>
          </w:tcPr>
          <w:p w14:paraId="39123401"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35" w:type="pct"/>
            <w:tcBorders>
              <w:top w:val="nil"/>
              <w:left w:val="nil"/>
              <w:bottom w:val="nil"/>
              <w:right w:val="nil"/>
            </w:tcBorders>
            <w:vAlign w:val="center"/>
          </w:tcPr>
          <w:p w14:paraId="0A61CD1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248" w:type="pct"/>
            <w:tcBorders>
              <w:top w:val="nil"/>
              <w:left w:val="nil"/>
              <w:bottom w:val="nil"/>
              <w:right w:val="nil"/>
            </w:tcBorders>
            <w:vAlign w:val="center"/>
          </w:tcPr>
          <w:p w14:paraId="6506A56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96.5</w:t>
            </w:r>
          </w:p>
        </w:tc>
        <w:tc>
          <w:tcPr>
            <w:tcW w:w="369" w:type="pct"/>
            <w:tcBorders>
              <w:top w:val="nil"/>
              <w:left w:val="nil"/>
              <w:bottom w:val="nil"/>
              <w:right w:val="nil"/>
            </w:tcBorders>
            <w:vAlign w:val="center"/>
          </w:tcPr>
          <w:p w14:paraId="4B035DE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78" w:type="pct"/>
            <w:tcBorders>
              <w:top w:val="nil"/>
              <w:left w:val="nil"/>
              <w:bottom w:val="nil"/>
              <w:right w:val="nil"/>
            </w:tcBorders>
            <w:vAlign w:val="center"/>
          </w:tcPr>
          <w:p w14:paraId="5B35E3F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218" w:type="pct"/>
            <w:tcBorders>
              <w:top w:val="nil"/>
              <w:left w:val="nil"/>
              <w:bottom w:val="nil"/>
              <w:right w:val="nil"/>
            </w:tcBorders>
            <w:vAlign w:val="center"/>
          </w:tcPr>
          <w:p w14:paraId="3D78844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73" w:type="pct"/>
            <w:tcBorders>
              <w:top w:val="nil"/>
              <w:left w:val="nil"/>
              <w:bottom w:val="nil"/>
              <w:right w:val="nil"/>
            </w:tcBorders>
            <w:vAlign w:val="center"/>
          </w:tcPr>
          <w:p w14:paraId="53768A8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218" w:type="pct"/>
            <w:tcBorders>
              <w:top w:val="nil"/>
              <w:left w:val="nil"/>
              <w:bottom w:val="nil"/>
              <w:right w:val="nil"/>
            </w:tcBorders>
            <w:vAlign w:val="center"/>
          </w:tcPr>
          <w:p w14:paraId="05AE345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37" w:type="pct"/>
            <w:tcBorders>
              <w:top w:val="nil"/>
              <w:left w:val="nil"/>
              <w:bottom w:val="nil"/>
              <w:right w:val="nil"/>
            </w:tcBorders>
            <w:vAlign w:val="center"/>
          </w:tcPr>
          <w:p w14:paraId="071BB84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4" w:type="pct"/>
            <w:tcBorders>
              <w:top w:val="nil"/>
              <w:left w:val="nil"/>
              <w:bottom w:val="nil"/>
              <w:right w:val="nil"/>
            </w:tcBorders>
            <w:vAlign w:val="center"/>
          </w:tcPr>
          <w:p w14:paraId="4D78D26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748" w:type="pct"/>
            <w:tcBorders>
              <w:top w:val="nil"/>
              <w:left w:val="nil"/>
              <w:bottom w:val="nil"/>
              <w:right w:val="nil"/>
            </w:tcBorders>
            <w:vAlign w:val="center"/>
          </w:tcPr>
          <w:p w14:paraId="2F2DBBF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321" w:type="pct"/>
            <w:tcBorders>
              <w:top w:val="nil"/>
              <w:left w:val="nil"/>
              <w:bottom w:val="nil"/>
              <w:right w:val="nil"/>
            </w:tcBorders>
            <w:vAlign w:val="center"/>
          </w:tcPr>
          <w:p w14:paraId="08911C8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326" w:type="pct"/>
            <w:gridSpan w:val="2"/>
            <w:tcBorders>
              <w:top w:val="nil"/>
              <w:left w:val="nil"/>
              <w:bottom w:val="nil"/>
              <w:right w:val="nil"/>
            </w:tcBorders>
            <w:vAlign w:val="center"/>
          </w:tcPr>
          <w:p w14:paraId="41FFE4B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98.8</w:t>
            </w:r>
          </w:p>
        </w:tc>
      </w:tr>
      <w:tr w:rsidR="008D4E8F" w14:paraId="75F22055" w14:textId="77777777" w:rsidTr="00745BF5">
        <w:trPr>
          <w:cantSplit/>
          <w:trHeight w:val="70"/>
        </w:trPr>
        <w:tc>
          <w:tcPr>
            <w:tcW w:w="765" w:type="pct"/>
            <w:tcBorders>
              <w:top w:val="nil"/>
              <w:left w:val="nil"/>
              <w:bottom w:val="nil"/>
              <w:right w:val="nil"/>
            </w:tcBorders>
            <w:vAlign w:val="center"/>
          </w:tcPr>
          <w:p w14:paraId="543B92CD"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35" w:type="pct"/>
            <w:tcBorders>
              <w:top w:val="nil"/>
              <w:left w:val="nil"/>
              <w:bottom w:val="nil"/>
              <w:right w:val="nil"/>
            </w:tcBorders>
            <w:vAlign w:val="center"/>
          </w:tcPr>
          <w:p w14:paraId="0C7BB69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8" w:type="pct"/>
            <w:tcBorders>
              <w:top w:val="nil"/>
              <w:left w:val="nil"/>
              <w:bottom w:val="nil"/>
              <w:right w:val="nil"/>
            </w:tcBorders>
            <w:vAlign w:val="center"/>
          </w:tcPr>
          <w:p w14:paraId="01196D5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69" w:type="pct"/>
            <w:tcBorders>
              <w:top w:val="nil"/>
              <w:left w:val="nil"/>
              <w:bottom w:val="nil"/>
              <w:right w:val="nil"/>
            </w:tcBorders>
            <w:vAlign w:val="center"/>
          </w:tcPr>
          <w:p w14:paraId="4784874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8" w:type="pct"/>
            <w:tcBorders>
              <w:top w:val="nil"/>
              <w:left w:val="nil"/>
              <w:bottom w:val="nil"/>
              <w:right w:val="nil"/>
            </w:tcBorders>
            <w:vAlign w:val="center"/>
          </w:tcPr>
          <w:p w14:paraId="4247C05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18" w:type="pct"/>
            <w:tcBorders>
              <w:top w:val="nil"/>
              <w:left w:val="nil"/>
              <w:bottom w:val="nil"/>
              <w:right w:val="nil"/>
            </w:tcBorders>
            <w:vAlign w:val="center"/>
          </w:tcPr>
          <w:p w14:paraId="55AA71F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73" w:type="pct"/>
            <w:tcBorders>
              <w:top w:val="nil"/>
              <w:left w:val="nil"/>
              <w:bottom w:val="nil"/>
              <w:right w:val="nil"/>
            </w:tcBorders>
            <w:vAlign w:val="center"/>
          </w:tcPr>
          <w:p w14:paraId="06E3F37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218" w:type="pct"/>
            <w:tcBorders>
              <w:top w:val="nil"/>
              <w:left w:val="nil"/>
              <w:bottom w:val="nil"/>
              <w:right w:val="nil"/>
            </w:tcBorders>
            <w:vAlign w:val="center"/>
          </w:tcPr>
          <w:p w14:paraId="71FF0B8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606AB70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78FB5D3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48" w:type="pct"/>
            <w:tcBorders>
              <w:top w:val="nil"/>
              <w:left w:val="nil"/>
              <w:bottom w:val="nil"/>
              <w:right w:val="nil"/>
            </w:tcBorders>
            <w:vAlign w:val="center"/>
          </w:tcPr>
          <w:p w14:paraId="5E347F4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21" w:type="pct"/>
            <w:tcBorders>
              <w:top w:val="nil"/>
              <w:left w:val="nil"/>
              <w:bottom w:val="nil"/>
              <w:right w:val="nil"/>
            </w:tcBorders>
            <w:vAlign w:val="center"/>
          </w:tcPr>
          <w:p w14:paraId="1F04389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6" w:type="pct"/>
            <w:gridSpan w:val="2"/>
            <w:tcBorders>
              <w:top w:val="nil"/>
              <w:left w:val="nil"/>
              <w:bottom w:val="nil"/>
              <w:right w:val="nil"/>
            </w:tcBorders>
            <w:vAlign w:val="center"/>
          </w:tcPr>
          <w:p w14:paraId="7FFBB23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8D4E8F" w14:paraId="59D2006E" w14:textId="77777777" w:rsidTr="00745BF5">
        <w:trPr>
          <w:cantSplit/>
          <w:trHeight w:val="80"/>
        </w:trPr>
        <w:tc>
          <w:tcPr>
            <w:tcW w:w="765" w:type="pct"/>
            <w:tcBorders>
              <w:top w:val="nil"/>
              <w:left w:val="nil"/>
              <w:bottom w:val="nil"/>
              <w:right w:val="nil"/>
            </w:tcBorders>
            <w:vAlign w:val="center"/>
          </w:tcPr>
          <w:p w14:paraId="64CF4A0C"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735" w:type="pct"/>
            <w:tcBorders>
              <w:top w:val="nil"/>
              <w:left w:val="nil"/>
              <w:bottom w:val="nil"/>
              <w:right w:val="nil"/>
            </w:tcBorders>
            <w:vAlign w:val="center"/>
          </w:tcPr>
          <w:p w14:paraId="7F58A13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48" w:type="pct"/>
            <w:tcBorders>
              <w:top w:val="nil"/>
              <w:left w:val="nil"/>
              <w:bottom w:val="nil"/>
              <w:right w:val="nil"/>
            </w:tcBorders>
            <w:vAlign w:val="center"/>
          </w:tcPr>
          <w:p w14:paraId="062DF30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69" w:type="pct"/>
            <w:tcBorders>
              <w:top w:val="nil"/>
              <w:left w:val="nil"/>
              <w:bottom w:val="nil"/>
              <w:right w:val="nil"/>
            </w:tcBorders>
            <w:vAlign w:val="center"/>
          </w:tcPr>
          <w:p w14:paraId="2BD04B6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8" w:type="pct"/>
            <w:tcBorders>
              <w:top w:val="nil"/>
              <w:left w:val="nil"/>
              <w:bottom w:val="nil"/>
              <w:right w:val="nil"/>
            </w:tcBorders>
            <w:vAlign w:val="center"/>
          </w:tcPr>
          <w:p w14:paraId="70E9605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18" w:type="pct"/>
            <w:tcBorders>
              <w:top w:val="nil"/>
              <w:left w:val="nil"/>
              <w:bottom w:val="nil"/>
              <w:right w:val="nil"/>
            </w:tcBorders>
            <w:vAlign w:val="center"/>
          </w:tcPr>
          <w:p w14:paraId="44210294"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273" w:type="pct"/>
            <w:tcBorders>
              <w:top w:val="nil"/>
              <w:left w:val="nil"/>
              <w:bottom w:val="nil"/>
              <w:right w:val="nil"/>
            </w:tcBorders>
            <w:vAlign w:val="center"/>
          </w:tcPr>
          <w:p w14:paraId="416CCB0C"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218" w:type="pct"/>
            <w:tcBorders>
              <w:top w:val="nil"/>
              <w:left w:val="nil"/>
              <w:bottom w:val="nil"/>
              <w:right w:val="nil"/>
            </w:tcBorders>
            <w:vAlign w:val="center"/>
          </w:tcPr>
          <w:p w14:paraId="05B658B0"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437" w:type="pct"/>
            <w:tcBorders>
              <w:top w:val="nil"/>
              <w:left w:val="nil"/>
              <w:bottom w:val="nil"/>
              <w:right w:val="nil"/>
            </w:tcBorders>
            <w:vAlign w:val="center"/>
          </w:tcPr>
          <w:p w14:paraId="3F751CCC"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64" w:type="pct"/>
            <w:tcBorders>
              <w:top w:val="nil"/>
              <w:left w:val="nil"/>
              <w:bottom w:val="nil"/>
              <w:right w:val="nil"/>
            </w:tcBorders>
            <w:vAlign w:val="center"/>
          </w:tcPr>
          <w:p w14:paraId="0ADE952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48" w:type="pct"/>
            <w:tcBorders>
              <w:top w:val="nil"/>
              <w:left w:val="nil"/>
              <w:bottom w:val="nil"/>
              <w:right w:val="nil"/>
            </w:tcBorders>
            <w:vAlign w:val="center"/>
          </w:tcPr>
          <w:p w14:paraId="180DBBBD"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1" w:type="pct"/>
            <w:tcBorders>
              <w:top w:val="nil"/>
              <w:left w:val="nil"/>
              <w:bottom w:val="nil"/>
              <w:right w:val="nil"/>
            </w:tcBorders>
            <w:vAlign w:val="center"/>
          </w:tcPr>
          <w:p w14:paraId="61E7F3B6"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 w:type="pct"/>
            <w:gridSpan w:val="2"/>
            <w:tcBorders>
              <w:top w:val="nil"/>
              <w:left w:val="nil"/>
              <w:bottom w:val="nil"/>
              <w:right w:val="nil"/>
            </w:tcBorders>
            <w:vAlign w:val="center"/>
          </w:tcPr>
          <w:p w14:paraId="1A7D73D9"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5F0D2904" w14:textId="77777777" w:rsidTr="00745BF5">
        <w:trPr>
          <w:cantSplit/>
          <w:trHeight w:val="107"/>
        </w:trPr>
        <w:tc>
          <w:tcPr>
            <w:tcW w:w="3442" w:type="pct"/>
            <w:gridSpan w:val="9"/>
            <w:tcBorders>
              <w:top w:val="nil"/>
              <w:left w:val="nil"/>
              <w:bottom w:val="nil"/>
              <w:right w:val="nil"/>
            </w:tcBorders>
            <w:vAlign w:val="center"/>
          </w:tcPr>
          <w:p w14:paraId="6867696E"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sz w:val="24"/>
                <w:szCs w:val="24"/>
              </w:rPr>
              <w:t>Engaging in risky sexual behaviours can lead to sexually transmitted infections including AIDS/HIV</w:t>
            </w:r>
          </w:p>
        </w:tc>
        <w:tc>
          <w:tcPr>
            <w:tcW w:w="164" w:type="pct"/>
            <w:tcBorders>
              <w:top w:val="nil"/>
              <w:left w:val="nil"/>
              <w:bottom w:val="nil"/>
              <w:right w:val="nil"/>
            </w:tcBorders>
            <w:vAlign w:val="center"/>
          </w:tcPr>
          <w:p w14:paraId="62448942"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748" w:type="pct"/>
            <w:tcBorders>
              <w:top w:val="nil"/>
              <w:left w:val="nil"/>
              <w:bottom w:val="nil"/>
              <w:right w:val="nil"/>
            </w:tcBorders>
            <w:vAlign w:val="center"/>
          </w:tcPr>
          <w:p w14:paraId="7A52A32E"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1" w:type="pct"/>
            <w:tcBorders>
              <w:top w:val="nil"/>
              <w:left w:val="nil"/>
              <w:bottom w:val="nil"/>
              <w:right w:val="nil"/>
            </w:tcBorders>
            <w:vAlign w:val="center"/>
          </w:tcPr>
          <w:p w14:paraId="4F4B25BA"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6" w:type="pct"/>
            <w:gridSpan w:val="2"/>
            <w:tcBorders>
              <w:top w:val="nil"/>
              <w:left w:val="nil"/>
              <w:bottom w:val="nil"/>
              <w:right w:val="nil"/>
            </w:tcBorders>
            <w:vAlign w:val="center"/>
          </w:tcPr>
          <w:p w14:paraId="10F340E4"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r>
      <w:tr w:rsidR="008D4E8F" w14:paraId="6DDE72B1" w14:textId="77777777" w:rsidTr="00745BF5">
        <w:trPr>
          <w:cantSplit/>
          <w:trHeight w:val="143"/>
        </w:trPr>
        <w:tc>
          <w:tcPr>
            <w:tcW w:w="765" w:type="pct"/>
            <w:tcBorders>
              <w:top w:val="nil"/>
              <w:left w:val="nil"/>
              <w:bottom w:val="nil"/>
              <w:right w:val="nil"/>
            </w:tcBorders>
            <w:vAlign w:val="center"/>
          </w:tcPr>
          <w:p w14:paraId="16EB7584"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35" w:type="pct"/>
            <w:tcBorders>
              <w:top w:val="nil"/>
              <w:left w:val="nil"/>
              <w:bottom w:val="nil"/>
              <w:right w:val="nil"/>
            </w:tcBorders>
            <w:vAlign w:val="center"/>
          </w:tcPr>
          <w:p w14:paraId="6208147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48" w:type="pct"/>
            <w:tcBorders>
              <w:top w:val="nil"/>
              <w:left w:val="nil"/>
              <w:bottom w:val="nil"/>
              <w:right w:val="nil"/>
            </w:tcBorders>
            <w:vAlign w:val="center"/>
          </w:tcPr>
          <w:p w14:paraId="6B06901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369" w:type="pct"/>
            <w:tcBorders>
              <w:top w:val="nil"/>
              <w:left w:val="nil"/>
              <w:bottom w:val="nil"/>
              <w:right w:val="nil"/>
            </w:tcBorders>
            <w:vAlign w:val="center"/>
          </w:tcPr>
          <w:p w14:paraId="75D3BC2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78" w:type="pct"/>
            <w:tcBorders>
              <w:top w:val="nil"/>
              <w:left w:val="nil"/>
              <w:bottom w:val="nil"/>
              <w:right w:val="nil"/>
            </w:tcBorders>
            <w:vAlign w:val="center"/>
          </w:tcPr>
          <w:p w14:paraId="56E5AAF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8" w:type="pct"/>
            <w:tcBorders>
              <w:top w:val="nil"/>
              <w:left w:val="nil"/>
              <w:bottom w:val="nil"/>
              <w:right w:val="nil"/>
            </w:tcBorders>
            <w:vAlign w:val="center"/>
          </w:tcPr>
          <w:p w14:paraId="43DD73C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73" w:type="pct"/>
            <w:tcBorders>
              <w:top w:val="nil"/>
              <w:left w:val="nil"/>
              <w:bottom w:val="nil"/>
              <w:right w:val="nil"/>
            </w:tcBorders>
            <w:vAlign w:val="center"/>
          </w:tcPr>
          <w:p w14:paraId="21AF077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218" w:type="pct"/>
            <w:tcBorders>
              <w:top w:val="nil"/>
              <w:left w:val="nil"/>
              <w:bottom w:val="nil"/>
              <w:right w:val="nil"/>
            </w:tcBorders>
            <w:vAlign w:val="center"/>
          </w:tcPr>
          <w:p w14:paraId="52BE0AD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37" w:type="pct"/>
            <w:tcBorders>
              <w:top w:val="nil"/>
              <w:left w:val="nil"/>
              <w:bottom w:val="nil"/>
              <w:right w:val="nil"/>
            </w:tcBorders>
            <w:vAlign w:val="center"/>
          </w:tcPr>
          <w:p w14:paraId="5FB3A7A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4" w:type="pct"/>
            <w:tcBorders>
              <w:top w:val="nil"/>
              <w:left w:val="nil"/>
              <w:bottom w:val="nil"/>
              <w:right w:val="nil"/>
            </w:tcBorders>
            <w:vAlign w:val="center"/>
          </w:tcPr>
          <w:p w14:paraId="0A34D7E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748" w:type="pct"/>
            <w:tcBorders>
              <w:top w:val="nil"/>
              <w:left w:val="nil"/>
              <w:bottom w:val="nil"/>
              <w:right w:val="nil"/>
            </w:tcBorders>
            <w:vAlign w:val="center"/>
          </w:tcPr>
          <w:p w14:paraId="284B0E3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321" w:type="pct"/>
            <w:tcBorders>
              <w:top w:val="nil"/>
              <w:left w:val="nil"/>
              <w:bottom w:val="nil"/>
              <w:right w:val="nil"/>
            </w:tcBorders>
            <w:vAlign w:val="center"/>
          </w:tcPr>
          <w:p w14:paraId="626CF2E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26" w:type="pct"/>
            <w:gridSpan w:val="2"/>
            <w:tcBorders>
              <w:top w:val="nil"/>
              <w:left w:val="nil"/>
              <w:bottom w:val="nil"/>
              <w:right w:val="nil"/>
            </w:tcBorders>
            <w:vAlign w:val="center"/>
          </w:tcPr>
          <w:p w14:paraId="08B0489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561799B2" w14:textId="77777777" w:rsidTr="00745BF5">
        <w:trPr>
          <w:cantSplit/>
          <w:trHeight w:val="260"/>
        </w:trPr>
        <w:tc>
          <w:tcPr>
            <w:tcW w:w="765" w:type="pct"/>
            <w:tcBorders>
              <w:top w:val="nil"/>
              <w:left w:val="nil"/>
              <w:bottom w:val="nil"/>
              <w:right w:val="nil"/>
            </w:tcBorders>
            <w:vAlign w:val="center"/>
          </w:tcPr>
          <w:p w14:paraId="09E2F155"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35" w:type="pct"/>
            <w:tcBorders>
              <w:top w:val="nil"/>
              <w:left w:val="nil"/>
              <w:bottom w:val="nil"/>
              <w:right w:val="nil"/>
            </w:tcBorders>
            <w:vAlign w:val="center"/>
          </w:tcPr>
          <w:p w14:paraId="6250F54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48" w:type="pct"/>
            <w:tcBorders>
              <w:top w:val="nil"/>
              <w:left w:val="nil"/>
              <w:bottom w:val="nil"/>
              <w:right w:val="nil"/>
            </w:tcBorders>
            <w:vAlign w:val="center"/>
          </w:tcPr>
          <w:p w14:paraId="56DDEBB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369" w:type="pct"/>
            <w:tcBorders>
              <w:top w:val="nil"/>
              <w:left w:val="nil"/>
              <w:bottom w:val="nil"/>
              <w:right w:val="nil"/>
            </w:tcBorders>
            <w:vAlign w:val="center"/>
          </w:tcPr>
          <w:p w14:paraId="1AA7FC2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8" w:type="pct"/>
            <w:tcBorders>
              <w:top w:val="nil"/>
              <w:left w:val="nil"/>
              <w:bottom w:val="nil"/>
              <w:right w:val="nil"/>
            </w:tcBorders>
            <w:vAlign w:val="center"/>
          </w:tcPr>
          <w:p w14:paraId="3980707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18" w:type="pct"/>
            <w:tcBorders>
              <w:top w:val="nil"/>
              <w:left w:val="nil"/>
              <w:bottom w:val="nil"/>
              <w:right w:val="nil"/>
            </w:tcBorders>
            <w:vAlign w:val="center"/>
          </w:tcPr>
          <w:p w14:paraId="0F67E72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73" w:type="pct"/>
            <w:tcBorders>
              <w:top w:val="nil"/>
              <w:left w:val="nil"/>
              <w:bottom w:val="nil"/>
              <w:right w:val="nil"/>
            </w:tcBorders>
            <w:vAlign w:val="center"/>
          </w:tcPr>
          <w:p w14:paraId="201B1C5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218" w:type="pct"/>
            <w:tcBorders>
              <w:top w:val="nil"/>
              <w:left w:val="nil"/>
              <w:bottom w:val="nil"/>
              <w:right w:val="nil"/>
            </w:tcBorders>
            <w:vAlign w:val="center"/>
          </w:tcPr>
          <w:p w14:paraId="4B1BA57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7EA7172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6B30F07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48" w:type="pct"/>
            <w:tcBorders>
              <w:top w:val="nil"/>
              <w:left w:val="nil"/>
              <w:bottom w:val="nil"/>
              <w:right w:val="nil"/>
            </w:tcBorders>
            <w:vAlign w:val="center"/>
          </w:tcPr>
          <w:p w14:paraId="4F86CED7"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1" w:type="pct"/>
            <w:tcBorders>
              <w:top w:val="nil"/>
              <w:left w:val="nil"/>
              <w:bottom w:val="nil"/>
              <w:right w:val="nil"/>
            </w:tcBorders>
            <w:vAlign w:val="center"/>
          </w:tcPr>
          <w:p w14:paraId="01B9E97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26" w:type="pct"/>
            <w:gridSpan w:val="2"/>
            <w:tcBorders>
              <w:top w:val="nil"/>
              <w:left w:val="nil"/>
              <w:bottom w:val="nil"/>
              <w:right w:val="nil"/>
            </w:tcBorders>
            <w:vAlign w:val="center"/>
          </w:tcPr>
          <w:p w14:paraId="543D7E00"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180C1D9C" w14:textId="77777777" w:rsidTr="00745BF5">
        <w:trPr>
          <w:cantSplit/>
          <w:trHeight w:val="107"/>
        </w:trPr>
        <w:tc>
          <w:tcPr>
            <w:tcW w:w="2513" w:type="pct"/>
            <w:gridSpan w:val="6"/>
            <w:tcBorders>
              <w:top w:val="nil"/>
              <w:left w:val="nil"/>
              <w:bottom w:val="nil"/>
              <w:right w:val="nil"/>
            </w:tcBorders>
            <w:vAlign w:val="center"/>
          </w:tcPr>
          <w:p w14:paraId="62702E62"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sz w:val="24"/>
                <w:szCs w:val="24"/>
              </w:rPr>
              <w:t>Exposure to risky sexual behaviour can lead to teenage pregnancy</w:t>
            </w:r>
          </w:p>
        </w:tc>
        <w:tc>
          <w:tcPr>
            <w:tcW w:w="273" w:type="pct"/>
            <w:tcBorders>
              <w:top w:val="nil"/>
              <w:left w:val="nil"/>
              <w:bottom w:val="nil"/>
              <w:right w:val="nil"/>
            </w:tcBorders>
            <w:vAlign w:val="center"/>
          </w:tcPr>
          <w:p w14:paraId="04B054F3"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218" w:type="pct"/>
            <w:tcBorders>
              <w:top w:val="nil"/>
              <w:left w:val="nil"/>
              <w:bottom w:val="nil"/>
              <w:right w:val="nil"/>
            </w:tcBorders>
            <w:vAlign w:val="center"/>
          </w:tcPr>
          <w:p w14:paraId="7BB79E9A"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437" w:type="pct"/>
            <w:tcBorders>
              <w:top w:val="nil"/>
              <w:left w:val="nil"/>
              <w:bottom w:val="nil"/>
              <w:right w:val="nil"/>
            </w:tcBorders>
            <w:vAlign w:val="center"/>
          </w:tcPr>
          <w:p w14:paraId="4E4C8037"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64" w:type="pct"/>
            <w:tcBorders>
              <w:top w:val="nil"/>
              <w:left w:val="nil"/>
              <w:bottom w:val="nil"/>
              <w:right w:val="nil"/>
            </w:tcBorders>
            <w:vAlign w:val="center"/>
          </w:tcPr>
          <w:p w14:paraId="67DFAB00"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748" w:type="pct"/>
            <w:tcBorders>
              <w:top w:val="nil"/>
              <w:left w:val="nil"/>
              <w:bottom w:val="nil"/>
              <w:right w:val="nil"/>
            </w:tcBorders>
            <w:vAlign w:val="center"/>
          </w:tcPr>
          <w:p w14:paraId="0AB003DB"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1" w:type="pct"/>
            <w:tcBorders>
              <w:top w:val="nil"/>
              <w:left w:val="nil"/>
              <w:bottom w:val="nil"/>
              <w:right w:val="nil"/>
            </w:tcBorders>
            <w:vAlign w:val="center"/>
          </w:tcPr>
          <w:p w14:paraId="1D90AEC5"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6" w:type="pct"/>
            <w:gridSpan w:val="2"/>
            <w:tcBorders>
              <w:top w:val="nil"/>
              <w:left w:val="nil"/>
              <w:bottom w:val="nil"/>
              <w:right w:val="nil"/>
            </w:tcBorders>
            <w:vAlign w:val="center"/>
          </w:tcPr>
          <w:p w14:paraId="528D769C"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r>
      <w:tr w:rsidR="008D4E8F" w14:paraId="6CD9147F" w14:textId="77777777" w:rsidTr="00745BF5">
        <w:trPr>
          <w:cantSplit/>
          <w:trHeight w:val="143"/>
        </w:trPr>
        <w:tc>
          <w:tcPr>
            <w:tcW w:w="765" w:type="pct"/>
            <w:tcBorders>
              <w:top w:val="nil"/>
              <w:left w:val="nil"/>
              <w:bottom w:val="nil"/>
              <w:right w:val="nil"/>
            </w:tcBorders>
            <w:vAlign w:val="center"/>
          </w:tcPr>
          <w:p w14:paraId="23D8A278"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35" w:type="pct"/>
            <w:tcBorders>
              <w:top w:val="nil"/>
              <w:left w:val="nil"/>
              <w:bottom w:val="nil"/>
              <w:right w:val="nil"/>
            </w:tcBorders>
            <w:vAlign w:val="center"/>
          </w:tcPr>
          <w:p w14:paraId="48DDA34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248" w:type="pct"/>
            <w:tcBorders>
              <w:top w:val="nil"/>
              <w:left w:val="nil"/>
              <w:bottom w:val="nil"/>
              <w:right w:val="nil"/>
            </w:tcBorders>
            <w:vAlign w:val="center"/>
          </w:tcPr>
          <w:p w14:paraId="79CE5BF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96.5</w:t>
            </w:r>
          </w:p>
        </w:tc>
        <w:tc>
          <w:tcPr>
            <w:tcW w:w="369" w:type="pct"/>
            <w:tcBorders>
              <w:top w:val="nil"/>
              <w:left w:val="nil"/>
              <w:bottom w:val="nil"/>
              <w:right w:val="nil"/>
            </w:tcBorders>
            <w:vAlign w:val="center"/>
          </w:tcPr>
          <w:p w14:paraId="7CAA3BB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78" w:type="pct"/>
            <w:tcBorders>
              <w:top w:val="nil"/>
              <w:left w:val="nil"/>
              <w:bottom w:val="nil"/>
              <w:right w:val="nil"/>
            </w:tcBorders>
            <w:vAlign w:val="center"/>
          </w:tcPr>
          <w:p w14:paraId="29C29FF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8" w:type="pct"/>
            <w:tcBorders>
              <w:top w:val="nil"/>
              <w:left w:val="nil"/>
              <w:bottom w:val="nil"/>
              <w:right w:val="nil"/>
            </w:tcBorders>
            <w:vAlign w:val="center"/>
          </w:tcPr>
          <w:p w14:paraId="2A80C77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73" w:type="pct"/>
            <w:tcBorders>
              <w:top w:val="nil"/>
              <w:left w:val="nil"/>
              <w:bottom w:val="nil"/>
              <w:right w:val="nil"/>
            </w:tcBorders>
            <w:vAlign w:val="center"/>
          </w:tcPr>
          <w:p w14:paraId="2971D5B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95.3</w:t>
            </w:r>
          </w:p>
        </w:tc>
        <w:tc>
          <w:tcPr>
            <w:tcW w:w="218" w:type="pct"/>
            <w:tcBorders>
              <w:top w:val="nil"/>
              <w:left w:val="nil"/>
              <w:bottom w:val="nil"/>
              <w:right w:val="nil"/>
            </w:tcBorders>
            <w:vAlign w:val="center"/>
          </w:tcPr>
          <w:p w14:paraId="0F1F7B2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37" w:type="pct"/>
            <w:tcBorders>
              <w:top w:val="nil"/>
              <w:left w:val="nil"/>
              <w:bottom w:val="nil"/>
              <w:right w:val="nil"/>
            </w:tcBorders>
            <w:vAlign w:val="center"/>
          </w:tcPr>
          <w:p w14:paraId="45C48C8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4" w:type="pct"/>
            <w:tcBorders>
              <w:top w:val="nil"/>
              <w:left w:val="nil"/>
              <w:bottom w:val="nil"/>
              <w:right w:val="nil"/>
            </w:tcBorders>
            <w:vAlign w:val="center"/>
          </w:tcPr>
          <w:p w14:paraId="2050704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748" w:type="pct"/>
            <w:tcBorders>
              <w:top w:val="nil"/>
              <w:left w:val="nil"/>
              <w:bottom w:val="nil"/>
              <w:right w:val="nil"/>
            </w:tcBorders>
            <w:vAlign w:val="center"/>
          </w:tcPr>
          <w:p w14:paraId="48EF83E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321" w:type="pct"/>
            <w:tcBorders>
              <w:top w:val="nil"/>
              <w:left w:val="nil"/>
              <w:bottom w:val="nil"/>
              <w:right w:val="nil"/>
            </w:tcBorders>
            <w:vAlign w:val="center"/>
          </w:tcPr>
          <w:p w14:paraId="27A4B67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26" w:type="pct"/>
            <w:gridSpan w:val="2"/>
            <w:tcBorders>
              <w:top w:val="nil"/>
              <w:left w:val="nil"/>
              <w:bottom w:val="nil"/>
              <w:right w:val="nil"/>
            </w:tcBorders>
            <w:vAlign w:val="center"/>
          </w:tcPr>
          <w:p w14:paraId="74F818B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76F54E1A" w14:textId="77777777" w:rsidTr="00745BF5">
        <w:trPr>
          <w:cantSplit/>
          <w:trHeight w:val="170"/>
        </w:trPr>
        <w:tc>
          <w:tcPr>
            <w:tcW w:w="765" w:type="pct"/>
            <w:tcBorders>
              <w:top w:val="nil"/>
              <w:left w:val="nil"/>
              <w:bottom w:val="nil"/>
              <w:right w:val="nil"/>
            </w:tcBorders>
            <w:vAlign w:val="center"/>
          </w:tcPr>
          <w:p w14:paraId="5EF43B41"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35" w:type="pct"/>
            <w:tcBorders>
              <w:top w:val="nil"/>
              <w:left w:val="nil"/>
              <w:bottom w:val="nil"/>
              <w:right w:val="nil"/>
            </w:tcBorders>
            <w:vAlign w:val="center"/>
          </w:tcPr>
          <w:p w14:paraId="5A9214D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8" w:type="pct"/>
            <w:tcBorders>
              <w:top w:val="nil"/>
              <w:left w:val="nil"/>
              <w:bottom w:val="nil"/>
              <w:right w:val="nil"/>
            </w:tcBorders>
            <w:vAlign w:val="center"/>
          </w:tcPr>
          <w:p w14:paraId="313648F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69" w:type="pct"/>
            <w:tcBorders>
              <w:top w:val="nil"/>
              <w:left w:val="nil"/>
              <w:bottom w:val="nil"/>
              <w:right w:val="nil"/>
            </w:tcBorders>
            <w:vAlign w:val="center"/>
          </w:tcPr>
          <w:p w14:paraId="0A9AACF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8" w:type="pct"/>
            <w:tcBorders>
              <w:top w:val="nil"/>
              <w:left w:val="nil"/>
              <w:bottom w:val="nil"/>
              <w:right w:val="nil"/>
            </w:tcBorders>
            <w:vAlign w:val="center"/>
          </w:tcPr>
          <w:p w14:paraId="6AEA22C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18" w:type="pct"/>
            <w:tcBorders>
              <w:top w:val="nil"/>
              <w:left w:val="nil"/>
              <w:bottom w:val="nil"/>
              <w:right w:val="nil"/>
            </w:tcBorders>
            <w:vAlign w:val="center"/>
          </w:tcPr>
          <w:p w14:paraId="3345C64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73" w:type="pct"/>
            <w:tcBorders>
              <w:top w:val="nil"/>
              <w:left w:val="nil"/>
              <w:bottom w:val="nil"/>
              <w:right w:val="nil"/>
            </w:tcBorders>
            <w:vAlign w:val="center"/>
          </w:tcPr>
          <w:p w14:paraId="16D34C8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18" w:type="pct"/>
            <w:tcBorders>
              <w:top w:val="nil"/>
              <w:left w:val="nil"/>
              <w:bottom w:val="nil"/>
              <w:right w:val="nil"/>
            </w:tcBorders>
            <w:vAlign w:val="center"/>
          </w:tcPr>
          <w:p w14:paraId="432AE71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5FF09C0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2C9F5CC4"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48" w:type="pct"/>
            <w:tcBorders>
              <w:top w:val="nil"/>
              <w:left w:val="nil"/>
              <w:bottom w:val="nil"/>
              <w:right w:val="nil"/>
            </w:tcBorders>
            <w:vAlign w:val="center"/>
          </w:tcPr>
          <w:p w14:paraId="78B68DF6"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1" w:type="pct"/>
            <w:tcBorders>
              <w:top w:val="nil"/>
              <w:left w:val="nil"/>
              <w:bottom w:val="nil"/>
              <w:right w:val="nil"/>
            </w:tcBorders>
            <w:vAlign w:val="center"/>
          </w:tcPr>
          <w:p w14:paraId="0E711081"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 w:type="pct"/>
            <w:gridSpan w:val="2"/>
            <w:tcBorders>
              <w:top w:val="nil"/>
              <w:left w:val="nil"/>
              <w:bottom w:val="nil"/>
              <w:right w:val="nil"/>
            </w:tcBorders>
            <w:vAlign w:val="center"/>
          </w:tcPr>
          <w:p w14:paraId="2292DB57"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19C96886" w14:textId="77777777" w:rsidTr="00745BF5">
        <w:trPr>
          <w:cantSplit/>
          <w:trHeight w:val="197"/>
        </w:trPr>
        <w:tc>
          <w:tcPr>
            <w:tcW w:w="765" w:type="pct"/>
            <w:tcBorders>
              <w:top w:val="nil"/>
              <w:left w:val="nil"/>
              <w:bottom w:val="nil"/>
              <w:right w:val="nil"/>
            </w:tcBorders>
            <w:vAlign w:val="center"/>
          </w:tcPr>
          <w:p w14:paraId="3BC22FC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735" w:type="pct"/>
            <w:tcBorders>
              <w:top w:val="nil"/>
              <w:left w:val="nil"/>
              <w:bottom w:val="nil"/>
              <w:right w:val="nil"/>
            </w:tcBorders>
            <w:vAlign w:val="center"/>
          </w:tcPr>
          <w:p w14:paraId="23B0F57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48" w:type="pct"/>
            <w:tcBorders>
              <w:top w:val="nil"/>
              <w:left w:val="nil"/>
              <w:bottom w:val="nil"/>
              <w:right w:val="nil"/>
            </w:tcBorders>
            <w:vAlign w:val="center"/>
          </w:tcPr>
          <w:p w14:paraId="56C6755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69" w:type="pct"/>
            <w:tcBorders>
              <w:top w:val="nil"/>
              <w:left w:val="nil"/>
              <w:bottom w:val="nil"/>
              <w:right w:val="nil"/>
            </w:tcBorders>
            <w:vAlign w:val="center"/>
          </w:tcPr>
          <w:p w14:paraId="1690FFB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78" w:type="pct"/>
            <w:tcBorders>
              <w:top w:val="nil"/>
              <w:left w:val="nil"/>
              <w:bottom w:val="nil"/>
              <w:right w:val="nil"/>
            </w:tcBorders>
            <w:vAlign w:val="center"/>
          </w:tcPr>
          <w:p w14:paraId="53AE2F1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8" w:type="pct"/>
            <w:tcBorders>
              <w:top w:val="nil"/>
              <w:left w:val="nil"/>
              <w:bottom w:val="nil"/>
              <w:right w:val="nil"/>
            </w:tcBorders>
            <w:vAlign w:val="center"/>
          </w:tcPr>
          <w:p w14:paraId="5C52A1D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73" w:type="pct"/>
            <w:tcBorders>
              <w:top w:val="nil"/>
              <w:left w:val="nil"/>
              <w:bottom w:val="nil"/>
              <w:right w:val="nil"/>
            </w:tcBorders>
            <w:vAlign w:val="center"/>
          </w:tcPr>
          <w:p w14:paraId="691765F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18" w:type="pct"/>
            <w:tcBorders>
              <w:top w:val="nil"/>
              <w:left w:val="nil"/>
              <w:bottom w:val="nil"/>
              <w:right w:val="nil"/>
            </w:tcBorders>
            <w:vAlign w:val="center"/>
          </w:tcPr>
          <w:p w14:paraId="41AF525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7DF630A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68B6B769"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48" w:type="pct"/>
            <w:tcBorders>
              <w:top w:val="nil"/>
              <w:left w:val="nil"/>
              <w:bottom w:val="nil"/>
              <w:right w:val="nil"/>
            </w:tcBorders>
            <w:vAlign w:val="center"/>
          </w:tcPr>
          <w:p w14:paraId="44A73181"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1" w:type="pct"/>
            <w:tcBorders>
              <w:top w:val="nil"/>
              <w:left w:val="nil"/>
              <w:bottom w:val="nil"/>
              <w:right w:val="nil"/>
            </w:tcBorders>
            <w:vAlign w:val="center"/>
          </w:tcPr>
          <w:p w14:paraId="5D22ED17"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 w:type="pct"/>
            <w:gridSpan w:val="2"/>
            <w:tcBorders>
              <w:top w:val="nil"/>
              <w:left w:val="nil"/>
              <w:bottom w:val="nil"/>
              <w:right w:val="nil"/>
            </w:tcBorders>
            <w:vAlign w:val="center"/>
          </w:tcPr>
          <w:p w14:paraId="1FEE7349"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07AB9779" w14:textId="77777777" w:rsidTr="00745BF5">
        <w:trPr>
          <w:cantSplit/>
          <w:trHeight w:val="233"/>
        </w:trPr>
        <w:tc>
          <w:tcPr>
            <w:tcW w:w="2786" w:type="pct"/>
            <w:gridSpan w:val="7"/>
            <w:tcBorders>
              <w:top w:val="nil"/>
              <w:left w:val="nil"/>
              <w:bottom w:val="nil"/>
              <w:right w:val="nil"/>
            </w:tcBorders>
            <w:vAlign w:val="center"/>
          </w:tcPr>
          <w:p w14:paraId="5EBBAE93"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sz w:val="24"/>
                <w:szCs w:val="24"/>
              </w:rPr>
              <w:t>Exposure to risky sexual behaviour can lead to damage of reproductive organs</w:t>
            </w:r>
          </w:p>
        </w:tc>
        <w:tc>
          <w:tcPr>
            <w:tcW w:w="218" w:type="pct"/>
            <w:tcBorders>
              <w:top w:val="nil"/>
              <w:left w:val="nil"/>
              <w:bottom w:val="nil"/>
              <w:right w:val="nil"/>
            </w:tcBorders>
            <w:vAlign w:val="center"/>
          </w:tcPr>
          <w:p w14:paraId="61252BB2"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437" w:type="pct"/>
            <w:tcBorders>
              <w:top w:val="nil"/>
              <w:left w:val="nil"/>
              <w:bottom w:val="nil"/>
              <w:right w:val="nil"/>
            </w:tcBorders>
            <w:vAlign w:val="center"/>
          </w:tcPr>
          <w:p w14:paraId="6A0A33E3"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64" w:type="pct"/>
            <w:tcBorders>
              <w:top w:val="nil"/>
              <w:left w:val="nil"/>
              <w:bottom w:val="nil"/>
              <w:right w:val="nil"/>
            </w:tcBorders>
            <w:vAlign w:val="center"/>
          </w:tcPr>
          <w:p w14:paraId="24757EB5"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748" w:type="pct"/>
            <w:tcBorders>
              <w:top w:val="nil"/>
              <w:left w:val="nil"/>
              <w:bottom w:val="nil"/>
              <w:right w:val="nil"/>
            </w:tcBorders>
            <w:vAlign w:val="center"/>
          </w:tcPr>
          <w:p w14:paraId="4A8AA72A"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1" w:type="pct"/>
            <w:tcBorders>
              <w:top w:val="nil"/>
              <w:left w:val="nil"/>
              <w:bottom w:val="nil"/>
              <w:right w:val="nil"/>
            </w:tcBorders>
            <w:vAlign w:val="center"/>
          </w:tcPr>
          <w:p w14:paraId="443BE60D"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326" w:type="pct"/>
            <w:gridSpan w:val="2"/>
            <w:tcBorders>
              <w:top w:val="nil"/>
              <w:left w:val="nil"/>
              <w:bottom w:val="nil"/>
              <w:right w:val="nil"/>
            </w:tcBorders>
            <w:vAlign w:val="center"/>
          </w:tcPr>
          <w:p w14:paraId="48F55ADC"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r>
      <w:tr w:rsidR="008D4E8F" w14:paraId="04838461" w14:textId="77777777" w:rsidTr="00745BF5">
        <w:trPr>
          <w:cantSplit/>
          <w:trHeight w:val="260"/>
        </w:trPr>
        <w:tc>
          <w:tcPr>
            <w:tcW w:w="765" w:type="pct"/>
            <w:tcBorders>
              <w:top w:val="nil"/>
              <w:left w:val="nil"/>
              <w:bottom w:val="nil"/>
              <w:right w:val="nil"/>
            </w:tcBorders>
            <w:vAlign w:val="center"/>
          </w:tcPr>
          <w:p w14:paraId="5CDE9F7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35" w:type="pct"/>
            <w:tcBorders>
              <w:top w:val="nil"/>
              <w:left w:val="nil"/>
              <w:bottom w:val="nil"/>
              <w:right w:val="nil"/>
            </w:tcBorders>
            <w:vAlign w:val="center"/>
          </w:tcPr>
          <w:p w14:paraId="6399C13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248" w:type="pct"/>
            <w:tcBorders>
              <w:top w:val="nil"/>
              <w:left w:val="nil"/>
              <w:bottom w:val="nil"/>
              <w:right w:val="nil"/>
            </w:tcBorders>
            <w:vAlign w:val="center"/>
          </w:tcPr>
          <w:p w14:paraId="1C968BB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51.8</w:t>
            </w:r>
          </w:p>
        </w:tc>
        <w:tc>
          <w:tcPr>
            <w:tcW w:w="369" w:type="pct"/>
            <w:tcBorders>
              <w:top w:val="nil"/>
              <w:left w:val="nil"/>
              <w:bottom w:val="nil"/>
              <w:right w:val="nil"/>
            </w:tcBorders>
            <w:vAlign w:val="center"/>
          </w:tcPr>
          <w:p w14:paraId="567B97F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78" w:type="pct"/>
            <w:tcBorders>
              <w:top w:val="nil"/>
              <w:left w:val="nil"/>
              <w:bottom w:val="nil"/>
              <w:right w:val="nil"/>
            </w:tcBorders>
            <w:vAlign w:val="center"/>
          </w:tcPr>
          <w:p w14:paraId="5E80E0E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90.6</w:t>
            </w:r>
          </w:p>
        </w:tc>
        <w:tc>
          <w:tcPr>
            <w:tcW w:w="218" w:type="pct"/>
            <w:tcBorders>
              <w:top w:val="nil"/>
              <w:left w:val="nil"/>
              <w:bottom w:val="nil"/>
              <w:right w:val="nil"/>
            </w:tcBorders>
            <w:vAlign w:val="center"/>
          </w:tcPr>
          <w:p w14:paraId="1141BEE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273" w:type="pct"/>
            <w:tcBorders>
              <w:top w:val="nil"/>
              <w:left w:val="nil"/>
              <w:bottom w:val="nil"/>
              <w:right w:val="nil"/>
            </w:tcBorders>
            <w:vAlign w:val="center"/>
          </w:tcPr>
          <w:p w14:paraId="2245D02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65.9</w:t>
            </w:r>
          </w:p>
        </w:tc>
        <w:tc>
          <w:tcPr>
            <w:tcW w:w="218" w:type="pct"/>
            <w:tcBorders>
              <w:top w:val="nil"/>
              <w:left w:val="nil"/>
              <w:bottom w:val="nil"/>
              <w:right w:val="nil"/>
            </w:tcBorders>
            <w:vAlign w:val="center"/>
          </w:tcPr>
          <w:p w14:paraId="6B503EE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37" w:type="pct"/>
            <w:tcBorders>
              <w:top w:val="nil"/>
              <w:left w:val="nil"/>
              <w:bottom w:val="nil"/>
              <w:right w:val="nil"/>
            </w:tcBorders>
            <w:vAlign w:val="center"/>
          </w:tcPr>
          <w:p w14:paraId="008983E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4" w:type="pct"/>
            <w:tcBorders>
              <w:top w:val="nil"/>
              <w:left w:val="nil"/>
              <w:bottom w:val="nil"/>
              <w:right w:val="nil"/>
            </w:tcBorders>
            <w:vAlign w:val="center"/>
          </w:tcPr>
          <w:p w14:paraId="3696DF8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748" w:type="pct"/>
            <w:tcBorders>
              <w:top w:val="nil"/>
              <w:left w:val="nil"/>
              <w:bottom w:val="nil"/>
              <w:right w:val="nil"/>
            </w:tcBorders>
            <w:vAlign w:val="center"/>
          </w:tcPr>
          <w:p w14:paraId="550951D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321" w:type="pct"/>
            <w:tcBorders>
              <w:top w:val="nil"/>
              <w:left w:val="nil"/>
              <w:bottom w:val="nil"/>
              <w:right w:val="nil"/>
            </w:tcBorders>
            <w:vAlign w:val="center"/>
          </w:tcPr>
          <w:p w14:paraId="6195CC0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326" w:type="pct"/>
            <w:gridSpan w:val="2"/>
            <w:tcBorders>
              <w:top w:val="nil"/>
              <w:left w:val="nil"/>
              <w:bottom w:val="nil"/>
              <w:right w:val="nil"/>
            </w:tcBorders>
            <w:vAlign w:val="center"/>
          </w:tcPr>
          <w:p w14:paraId="4AC1B68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90.6</w:t>
            </w:r>
          </w:p>
        </w:tc>
      </w:tr>
      <w:tr w:rsidR="008D4E8F" w14:paraId="55980DE9" w14:textId="77777777" w:rsidTr="00745BF5">
        <w:trPr>
          <w:cantSplit/>
          <w:trHeight w:val="197"/>
        </w:trPr>
        <w:tc>
          <w:tcPr>
            <w:tcW w:w="765" w:type="pct"/>
            <w:tcBorders>
              <w:top w:val="nil"/>
              <w:left w:val="nil"/>
              <w:bottom w:val="nil"/>
              <w:right w:val="nil"/>
            </w:tcBorders>
            <w:vAlign w:val="center"/>
          </w:tcPr>
          <w:p w14:paraId="447A26F9"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35" w:type="pct"/>
            <w:tcBorders>
              <w:top w:val="nil"/>
              <w:left w:val="nil"/>
              <w:bottom w:val="nil"/>
              <w:right w:val="nil"/>
            </w:tcBorders>
            <w:vAlign w:val="center"/>
          </w:tcPr>
          <w:p w14:paraId="1D35FEF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48" w:type="pct"/>
            <w:tcBorders>
              <w:top w:val="nil"/>
              <w:left w:val="nil"/>
              <w:bottom w:val="nil"/>
              <w:right w:val="nil"/>
            </w:tcBorders>
            <w:vAlign w:val="center"/>
          </w:tcPr>
          <w:p w14:paraId="3B8321C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369" w:type="pct"/>
            <w:tcBorders>
              <w:top w:val="nil"/>
              <w:left w:val="nil"/>
              <w:bottom w:val="nil"/>
              <w:right w:val="nil"/>
            </w:tcBorders>
            <w:vAlign w:val="center"/>
          </w:tcPr>
          <w:p w14:paraId="30B36CD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8" w:type="pct"/>
            <w:tcBorders>
              <w:top w:val="nil"/>
              <w:left w:val="nil"/>
              <w:bottom w:val="nil"/>
              <w:right w:val="nil"/>
            </w:tcBorders>
            <w:vAlign w:val="center"/>
          </w:tcPr>
          <w:p w14:paraId="6E62572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18" w:type="pct"/>
            <w:tcBorders>
              <w:top w:val="nil"/>
              <w:left w:val="nil"/>
              <w:bottom w:val="nil"/>
              <w:right w:val="nil"/>
            </w:tcBorders>
            <w:vAlign w:val="center"/>
          </w:tcPr>
          <w:p w14:paraId="4DB5789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73" w:type="pct"/>
            <w:tcBorders>
              <w:top w:val="nil"/>
              <w:left w:val="nil"/>
              <w:bottom w:val="nil"/>
              <w:right w:val="nil"/>
            </w:tcBorders>
            <w:vAlign w:val="center"/>
          </w:tcPr>
          <w:p w14:paraId="45DFE60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218" w:type="pct"/>
            <w:tcBorders>
              <w:top w:val="nil"/>
              <w:left w:val="nil"/>
              <w:bottom w:val="nil"/>
              <w:right w:val="nil"/>
            </w:tcBorders>
            <w:vAlign w:val="center"/>
          </w:tcPr>
          <w:p w14:paraId="3988D56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51701DC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5533F03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748" w:type="pct"/>
            <w:tcBorders>
              <w:top w:val="nil"/>
              <w:left w:val="nil"/>
              <w:bottom w:val="nil"/>
              <w:right w:val="nil"/>
            </w:tcBorders>
            <w:vAlign w:val="center"/>
          </w:tcPr>
          <w:p w14:paraId="4493C81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321" w:type="pct"/>
            <w:tcBorders>
              <w:top w:val="nil"/>
              <w:left w:val="nil"/>
              <w:bottom w:val="nil"/>
              <w:right w:val="nil"/>
            </w:tcBorders>
            <w:vAlign w:val="center"/>
          </w:tcPr>
          <w:p w14:paraId="7470378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26" w:type="pct"/>
            <w:gridSpan w:val="2"/>
            <w:tcBorders>
              <w:top w:val="nil"/>
              <w:left w:val="nil"/>
              <w:bottom w:val="nil"/>
              <w:right w:val="nil"/>
            </w:tcBorders>
            <w:vAlign w:val="center"/>
          </w:tcPr>
          <w:p w14:paraId="10101F9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8D4E8F" w14:paraId="31EAA107" w14:textId="77777777" w:rsidTr="00745BF5">
        <w:trPr>
          <w:cantSplit/>
          <w:trHeight w:val="233"/>
        </w:trPr>
        <w:tc>
          <w:tcPr>
            <w:tcW w:w="765" w:type="pct"/>
            <w:tcBorders>
              <w:top w:val="nil"/>
              <w:left w:val="nil"/>
              <w:bottom w:val="nil"/>
              <w:right w:val="nil"/>
            </w:tcBorders>
            <w:vAlign w:val="center"/>
          </w:tcPr>
          <w:p w14:paraId="455A96BC"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735" w:type="pct"/>
            <w:tcBorders>
              <w:top w:val="nil"/>
              <w:left w:val="nil"/>
              <w:bottom w:val="nil"/>
              <w:right w:val="nil"/>
            </w:tcBorders>
            <w:vAlign w:val="center"/>
          </w:tcPr>
          <w:p w14:paraId="3F55842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248" w:type="pct"/>
            <w:tcBorders>
              <w:top w:val="nil"/>
              <w:left w:val="nil"/>
              <w:bottom w:val="nil"/>
              <w:right w:val="nil"/>
            </w:tcBorders>
            <w:vAlign w:val="center"/>
          </w:tcPr>
          <w:p w14:paraId="4EBB046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36.5</w:t>
            </w:r>
          </w:p>
        </w:tc>
        <w:tc>
          <w:tcPr>
            <w:tcW w:w="369" w:type="pct"/>
            <w:tcBorders>
              <w:top w:val="nil"/>
              <w:left w:val="nil"/>
              <w:bottom w:val="nil"/>
              <w:right w:val="nil"/>
            </w:tcBorders>
            <w:vAlign w:val="center"/>
          </w:tcPr>
          <w:p w14:paraId="77A4235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78" w:type="pct"/>
            <w:tcBorders>
              <w:top w:val="nil"/>
              <w:left w:val="nil"/>
              <w:bottom w:val="nil"/>
              <w:right w:val="nil"/>
            </w:tcBorders>
            <w:vAlign w:val="center"/>
          </w:tcPr>
          <w:p w14:paraId="6EED284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218" w:type="pct"/>
            <w:tcBorders>
              <w:top w:val="nil"/>
              <w:left w:val="nil"/>
              <w:bottom w:val="nil"/>
              <w:right w:val="nil"/>
            </w:tcBorders>
            <w:vAlign w:val="center"/>
          </w:tcPr>
          <w:p w14:paraId="1B2F444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273" w:type="pct"/>
            <w:tcBorders>
              <w:top w:val="nil"/>
              <w:left w:val="nil"/>
              <w:bottom w:val="nil"/>
              <w:right w:val="nil"/>
            </w:tcBorders>
            <w:vAlign w:val="center"/>
          </w:tcPr>
          <w:p w14:paraId="7F5AFD7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218" w:type="pct"/>
            <w:tcBorders>
              <w:top w:val="nil"/>
              <w:left w:val="nil"/>
              <w:bottom w:val="nil"/>
              <w:right w:val="nil"/>
            </w:tcBorders>
            <w:vAlign w:val="center"/>
          </w:tcPr>
          <w:p w14:paraId="60BB3F8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0A813B5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1ACD766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748" w:type="pct"/>
            <w:tcBorders>
              <w:top w:val="nil"/>
              <w:left w:val="nil"/>
              <w:bottom w:val="nil"/>
              <w:right w:val="nil"/>
            </w:tcBorders>
            <w:vAlign w:val="center"/>
          </w:tcPr>
          <w:p w14:paraId="57434CE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321" w:type="pct"/>
            <w:tcBorders>
              <w:top w:val="nil"/>
              <w:left w:val="nil"/>
              <w:bottom w:val="nil"/>
              <w:right w:val="nil"/>
            </w:tcBorders>
            <w:vAlign w:val="center"/>
          </w:tcPr>
          <w:p w14:paraId="4BEA998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26" w:type="pct"/>
            <w:gridSpan w:val="2"/>
            <w:tcBorders>
              <w:top w:val="nil"/>
              <w:left w:val="nil"/>
              <w:bottom w:val="nil"/>
              <w:right w:val="nil"/>
            </w:tcBorders>
            <w:vAlign w:val="center"/>
          </w:tcPr>
          <w:p w14:paraId="020FC44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r>
      <w:tr w:rsidR="008D4E8F" w14:paraId="72322349" w14:textId="77777777" w:rsidTr="00745BF5">
        <w:trPr>
          <w:cantSplit/>
          <w:trHeight w:val="170"/>
        </w:trPr>
        <w:tc>
          <w:tcPr>
            <w:tcW w:w="3005" w:type="pct"/>
            <w:gridSpan w:val="8"/>
            <w:tcBorders>
              <w:top w:val="nil"/>
              <w:left w:val="nil"/>
              <w:bottom w:val="nil"/>
              <w:right w:val="nil"/>
            </w:tcBorders>
            <w:vAlign w:val="center"/>
          </w:tcPr>
          <w:p w14:paraId="11306855"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sz w:val="24"/>
                <w:szCs w:val="24"/>
              </w:rPr>
              <w:t>Exposure to risky sexual behaviours can lead to HPV, cervical cancer and even death</w:t>
            </w:r>
          </w:p>
        </w:tc>
        <w:tc>
          <w:tcPr>
            <w:tcW w:w="437" w:type="pct"/>
            <w:tcBorders>
              <w:top w:val="nil"/>
              <w:left w:val="nil"/>
              <w:bottom w:val="nil"/>
              <w:right w:val="nil"/>
            </w:tcBorders>
            <w:vAlign w:val="center"/>
          </w:tcPr>
          <w:p w14:paraId="091F46BF"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64" w:type="pct"/>
            <w:tcBorders>
              <w:top w:val="nil"/>
              <w:left w:val="nil"/>
              <w:bottom w:val="nil"/>
              <w:right w:val="nil"/>
            </w:tcBorders>
            <w:vAlign w:val="center"/>
          </w:tcPr>
          <w:p w14:paraId="0FE9B3E7"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48" w:type="pct"/>
            <w:tcBorders>
              <w:top w:val="nil"/>
              <w:left w:val="nil"/>
              <w:bottom w:val="nil"/>
              <w:right w:val="nil"/>
            </w:tcBorders>
            <w:vAlign w:val="center"/>
          </w:tcPr>
          <w:p w14:paraId="13A76655"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1" w:type="pct"/>
            <w:tcBorders>
              <w:top w:val="nil"/>
              <w:left w:val="nil"/>
              <w:bottom w:val="nil"/>
              <w:right w:val="nil"/>
            </w:tcBorders>
            <w:vAlign w:val="center"/>
          </w:tcPr>
          <w:p w14:paraId="180D9450"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 w:type="pct"/>
            <w:gridSpan w:val="2"/>
            <w:tcBorders>
              <w:top w:val="nil"/>
              <w:left w:val="nil"/>
              <w:bottom w:val="nil"/>
              <w:right w:val="nil"/>
            </w:tcBorders>
            <w:vAlign w:val="center"/>
          </w:tcPr>
          <w:p w14:paraId="5BFF74D6"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3923B0FB" w14:textId="77777777" w:rsidTr="00745BF5">
        <w:trPr>
          <w:cantSplit/>
          <w:trHeight w:val="197"/>
        </w:trPr>
        <w:tc>
          <w:tcPr>
            <w:tcW w:w="765" w:type="pct"/>
            <w:tcBorders>
              <w:top w:val="nil"/>
              <w:left w:val="nil"/>
              <w:bottom w:val="nil"/>
              <w:right w:val="nil"/>
            </w:tcBorders>
            <w:vAlign w:val="center"/>
          </w:tcPr>
          <w:p w14:paraId="088096CB"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35" w:type="pct"/>
            <w:tcBorders>
              <w:top w:val="nil"/>
              <w:left w:val="nil"/>
              <w:bottom w:val="nil"/>
              <w:right w:val="nil"/>
            </w:tcBorders>
            <w:vAlign w:val="center"/>
          </w:tcPr>
          <w:p w14:paraId="4825932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248" w:type="pct"/>
            <w:tcBorders>
              <w:top w:val="nil"/>
              <w:left w:val="nil"/>
              <w:bottom w:val="nil"/>
              <w:right w:val="nil"/>
            </w:tcBorders>
            <w:vAlign w:val="center"/>
          </w:tcPr>
          <w:p w14:paraId="648C36B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369" w:type="pct"/>
            <w:tcBorders>
              <w:top w:val="nil"/>
              <w:left w:val="nil"/>
              <w:bottom w:val="nil"/>
              <w:right w:val="nil"/>
            </w:tcBorders>
            <w:vAlign w:val="center"/>
          </w:tcPr>
          <w:p w14:paraId="721BA64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78" w:type="pct"/>
            <w:tcBorders>
              <w:top w:val="nil"/>
              <w:left w:val="nil"/>
              <w:bottom w:val="nil"/>
              <w:right w:val="nil"/>
            </w:tcBorders>
            <w:vAlign w:val="center"/>
          </w:tcPr>
          <w:p w14:paraId="29C6DA8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83.5</w:t>
            </w:r>
          </w:p>
        </w:tc>
        <w:tc>
          <w:tcPr>
            <w:tcW w:w="218" w:type="pct"/>
            <w:tcBorders>
              <w:top w:val="nil"/>
              <w:left w:val="nil"/>
              <w:bottom w:val="nil"/>
              <w:right w:val="nil"/>
            </w:tcBorders>
            <w:vAlign w:val="center"/>
          </w:tcPr>
          <w:p w14:paraId="4CBADDF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273" w:type="pct"/>
            <w:tcBorders>
              <w:top w:val="nil"/>
              <w:left w:val="nil"/>
              <w:bottom w:val="nil"/>
              <w:right w:val="nil"/>
            </w:tcBorders>
            <w:vAlign w:val="center"/>
          </w:tcPr>
          <w:p w14:paraId="37E1190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218" w:type="pct"/>
            <w:tcBorders>
              <w:top w:val="nil"/>
              <w:left w:val="nil"/>
              <w:bottom w:val="nil"/>
              <w:right w:val="nil"/>
            </w:tcBorders>
            <w:vAlign w:val="center"/>
          </w:tcPr>
          <w:p w14:paraId="518AF1E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37" w:type="pct"/>
            <w:tcBorders>
              <w:top w:val="nil"/>
              <w:left w:val="nil"/>
              <w:bottom w:val="nil"/>
              <w:right w:val="nil"/>
            </w:tcBorders>
            <w:vAlign w:val="center"/>
          </w:tcPr>
          <w:p w14:paraId="5A6EC6C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4" w:type="pct"/>
            <w:tcBorders>
              <w:top w:val="nil"/>
              <w:left w:val="nil"/>
              <w:bottom w:val="nil"/>
              <w:right w:val="nil"/>
            </w:tcBorders>
            <w:vAlign w:val="center"/>
          </w:tcPr>
          <w:p w14:paraId="66CD231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748" w:type="pct"/>
            <w:tcBorders>
              <w:top w:val="nil"/>
              <w:left w:val="nil"/>
              <w:bottom w:val="nil"/>
              <w:right w:val="nil"/>
            </w:tcBorders>
            <w:vAlign w:val="center"/>
          </w:tcPr>
          <w:p w14:paraId="66C86F9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321" w:type="pct"/>
            <w:tcBorders>
              <w:top w:val="nil"/>
              <w:left w:val="nil"/>
              <w:bottom w:val="nil"/>
              <w:right w:val="nil"/>
            </w:tcBorders>
            <w:vAlign w:val="center"/>
          </w:tcPr>
          <w:p w14:paraId="326ECBB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326" w:type="pct"/>
            <w:gridSpan w:val="2"/>
            <w:tcBorders>
              <w:top w:val="nil"/>
              <w:left w:val="nil"/>
              <w:bottom w:val="nil"/>
              <w:right w:val="nil"/>
            </w:tcBorders>
            <w:vAlign w:val="center"/>
          </w:tcPr>
          <w:p w14:paraId="5F8980E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83.5</w:t>
            </w:r>
          </w:p>
        </w:tc>
      </w:tr>
      <w:tr w:rsidR="008D4E8F" w14:paraId="60EFFDE1" w14:textId="77777777" w:rsidTr="00745BF5">
        <w:trPr>
          <w:cantSplit/>
          <w:trHeight w:val="233"/>
        </w:trPr>
        <w:tc>
          <w:tcPr>
            <w:tcW w:w="765" w:type="pct"/>
            <w:tcBorders>
              <w:top w:val="nil"/>
              <w:left w:val="nil"/>
              <w:bottom w:val="nil"/>
              <w:right w:val="nil"/>
            </w:tcBorders>
            <w:vAlign w:val="center"/>
          </w:tcPr>
          <w:p w14:paraId="29495F75"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35" w:type="pct"/>
            <w:tcBorders>
              <w:top w:val="nil"/>
              <w:left w:val="nil"/>
              <w:bottom w:val="nil"/>
              <w:right w:val="nil"/>
            </w:tcBorders>
            <w:vAlign w:val="center"/>
          </w:tcPr>
          <w:p w14:paraId="7EDFCFE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48" w:type="pct"/>
            <w:tcBorders>
              <w:top w:val="nil"/>
              <w:left w:val="nil"/>
              <w:bottom w:val="nil"/>
              <w:right w:val="nil"/>
            </w:tcBorders>
            <w:vAlign w:val="center"/>
          </w:tcPr>
          <w:p w14:paraId="6B3817A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369" w:type="pct"/>
            <w:tcBorders>
              <w:top w:val="nil"/>
              <w:left w:val="nil"/>
              <w:bottom w:val="nil"/>
              <w:right w:val="nil"/>
            </w:tcBorders>
            <w:vAlign w:val="center"/>
          </w:tcPr>
          <w:p w14:paraId="61EF4A3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8" w:type="pct"/>
            <w:tcBorders>
              <w:top w:val="nil"/>
              <w:left w:val="nil"/>
              <w:bottom w:val="nil"/>
              <w:right w:val="nil"/>
            </w:tcBorders>
            <w:vAlign w:val="center"/>
          </w:tcPr>
          <w:p w14:paraId="33FFDC67"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218" w:type="pct"/>
            <w:tcBorders>
              <w:top w:val="nil"/>
              <w:left w:val="nil"/>
              <w:bottom w:val="nil"/>
              <w:right w:val="nil"/>
            </w:tcBorders>
            <w:vAlign w:val="center"/>
          </w:tcPr>
          <w:p w14:paraId="79B737E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273" w:type="pct"/>
            <w:tcBorders>
              <w:top w:val="nil"/>
              <w:left w:val="nil"/>
              <w:bottom w:val="nil"/>
              <w:right w:val="nil"/>
            </w:tcBorders>
            <w:vAlign w:val="center"/>
          </w:tcPr>
          <w:p w14:paraId="04E7922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218" w:type="pct"/>
            <w:tcBorders>
              <w:top w:val="nil"/>
              <w:left w:val="nil"/>
              <w:bottom w:val="nil"/>
              <w:right w:val="nil"/>
            </w:tcBorders>
            <w:vAlign w:val="center"/>
          </w:tcPr>
          <w:p w14:paraId="42DD91F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4934ACD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04D8336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48" w:type="pct"/>
            <w:tcBorders>
              <w:top w:val="nil"/>
              <w:left w:val="nil"/>
              <w:bottom w:val="nil"/>
              <w:right w:val="nil"/>
            </w:tcBorders>
            <w:vAlign w:val="center"/>
          </w:tcPr>
          <w:p w14:paraId="7538310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28.2</w:t>
            </w:r>
          </w:p>
        </w:tc>
        <w:tc>
          <w:tcPr>
            <w:tcW w:w="321" w:type="pct"/>
            <w:tcBorders>
              <w:top w:val="nil"/>
              <w:left w:val="nil"/>
              <w:bottom w:val="nil"/>
              <w:right w:val="nil"/>
            </w:tcBorders>
            <w:vAlign w:val="center"/>
          </w:tcPr>
          <w:p w14:paraId="07BDF87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26" w:type="pct"/>
            <w:gridSpan w:val="2"/>
            <w:tcBorders>
              <w:top w:val="nil"/>
              <w:left w:val="nil"/>
              <w:bottom w:val="nil"/>
              <w:right w:val="nil"/>
            </w:tcBorders>
            <w:vAlign w:val="center"/>
          </w:tcPr>
          <w:p w14:paraId="1DF1D11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r>
      <w:tr w:rsidR="008D4E8F" w14:paraId="62B37290" w14:textId="77777777" w:rsidTr="00745BF5">
        <w:trPr>
          <w:cantSplit/>
          <w:trHeight w:val="170"/>
        </w:trPr>
        <w:tc>
          <w:tcPr>
            <w:tcW w:w="765" w:type="pct"/>
            <w:tcBorders>
              <w:top w:val="nil"/>
              <w:left w:val="nil"/>
              <w:bottom w:val="nil"/>
              <w:right w:val="nil"/>
            </w:tcBorders>
            <w:vAlign w:val="center"/>
          </w:tcPr>
          <w:p w14:paraId="71EB915A"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735" w:type="pct"/>
            <w:tcBorders>
              <w:top w:val="nil"/>
              <w:left w:val="nil"/>
              <w:bottom w:val="nil"/>
              <w:right w:val="nil"/>
            </w:tcBorders>
            <w:vAlign w:val="center"/>
          </w:tcPr>
          <w:p w14:paraId="75342A1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48" w:type="pct"/>
            <w:tcBorders>
              <w:top w:val="nil"/>
              <w:left w:val="nil"/>
              <w:bottom w:val="nil"/>
              <w:right w:val="nil"/>
            </w:tcBorders>
            <w:vAlign w:val="center"/>
          </w:tcPr>
          <w:p w14:paraId="6D40CDF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47.1</w:t>
            </w:r>
          </w:p>
        </w:tc>
        <w:tc>
          <w:tcPr>
            <w:tcW w:w="369" w:type="pct"/>
            <w:tcBorders>
              <w:top w:val="nil"/>
              <w:left w:val="nil"/>
              <w:bottom w:val="nil"/>
              <w:right w:val="nil"/>
            </w:tcBorders>
            <w:vAlign w:val="center"/>
          </w:tcPr>
          <w:p w14:paraId="6A2B3DF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8" w:type="pct"/>
            <w:tcBorders>
              <w:top w:val="nil"/>
              <w:left w:val="nil"/>
              <w:bottom w:val="nil"/>
              <w:right w:val="nil"/>
            </w:tcBorders>
            <w:vAlign w:val="center"/>
          </w:tcPr>
          <w:p w14:paraId="17F4616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218" w:type="pct"/>
            <w:tcBorders>
              <w:top w:val="nil"/>
              <w:left w:val="nil"/>
              <w:bottom w:val="nil"/>
              <w:right w:val="nil"/>
            </w:tcBorders>
            <w:vAlign w:val="center"/>
          </w:tcPr>
          <w:p w14:paraId="154A7DB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73" w:type="pct"/>
            <w:tcBorders>
              <w:top w:val="nil"/>
              <w:left w:val="nil"/>
              <w:bottom w:val="nil"/>
              <w:right w:val="nil"/>
            </w:tcBorders>
            <w:vAlign w:val="center"/>
          </w:tcPr>
          <w:p w14:paraId="65C6D87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218" w:type="pct"/>
            <w:tcBorders>
              <w:top w:val="nil"/>
              <w:left w:val="nil"/>
              <w:bottom w:val="nil"/>
              <w:right w:val="nil"/>
            </w:tcBorders>
            <w:vAlign w:val="center"/>
          </w:tcPr>
          <w:p w14:paraId="186BED8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7F8538A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34DA3C6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748" w:type="pct"/>
            <w:tcBorders>
              <w:top w:val="nil"/>
              <w:left w:val="nil"/>
              <w:bottom w:val="nil"/>
              <w:right w:val="nil"/>
            </w:tcBorders>
            <w:vAlign w:val="center"/>
          </w:tcPr>
          <w:p w14:paraId="334AF83B"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321" w:type="pct"/>
            <w:tcBorders>
              <w:top w:val="nil"/>
              <w:left w:val="nil"/>
              <w:bottom w:val="nil"/>
              <w:right w:val="nil"/>
            </w:tcBorders>
            <w:vAlign w:val="center"/>
          </w:tcPr>
          <w:p w14:paraId="5E21C29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26" w:type="pct"/>
            <w:gridSpan w:val="2"/>
            <w:tcBorders>
              <w:top w:val="nil"/>
              <w:left w:val="nil"/>
              <w:bottom w:val="nil"/>
              <w:right w:val="nil"/>
            </w:tcBorders>
            <w:vAlign w:val="center"/>
          </w:tcPr>
          <w:p w14:paraId="50337F9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r>
      <w:tr w:rsidR="008D4E8F" w14:paraId="0D5D373C" w14:textId="77777777" w:rsidTr="00745BF5">
        <w:trPr>
          <w:cantSplit/>
          <w:trHeight w:val="107"/>
        </w:trPr>
        <w:tc>
          <w:tcPr>
            <w:tcW w:w="2513" w:type="pct"/>
            <w:gridSpan w:val="6"/>
            <w:tcBorders>
              <w:top w:val="nil"/>
              <w:left w:val="nil"/>
              <w:bottom w:val="nil"/>
              <w:right w:val="nil"/>
            </w:tcBorders>
            <w:vAlign w:val="center"/>
          </w:tcPr>
          <w:p w14:paraId="193EF7EC"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b/>
                <w:sz w:val="24"/>
                <w:szCs w:val="24"/>
              </w:rPr>
              <w:t>Exposure to risky sexual behaviours can give rise to illegal abortion</w:t>
            </w:r>
          </w:p>
        </w:tc>
        <w:tc>
          <w:tcPr>
            <w:tcW w:w="273" w:type="pct"/>
            <w:tcBorders>
              <w:top w:val="nil"/>
              <w:left w:val="nil"/>
              <w:bottom w:val="nil"/>
              <w:right w:val="nil"/>
            </w:tcBorders>
            <w:vAlign w:val="center"/>
          </w:tcPr>
          <w:p w14:paraId="1FB9EB02"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218" w:type="pct"/>
            <w:tcBorders>
              <w:top w:val="nil"/>
              <w:left w:val="nil"/>
              <w:bottom w:val="nil"/>
              <w:right w:val="nil"/>
            </w:tcBorders>
            <w:vAlign w:val="center"/>
          </w:tcPr>
          <w:p w14:paraId="3A797023"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437" w:type="pct"/>
            <w:tcBorders>
              <w:top w:val="nil"/>
              <w:left w:val="nil"/>
              <w:bottom w:val="nil"/>
              <w:right w:val="nil"/>
            </w:tcBorders>
            <w:vAlign w:val="center"/>
          </w:tcPr>
          <w:p w14:paraId="5FCFC255"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64" w:type="pct"/>
            <w:tcBorders>
              <w:top w:val="nil"/>
              <w:left w:val="nil"/>
              <w:bottom w:val="nil"/>
              <w:right w:val="nil"/>
            </w:tcBorders>
            <w:vAlign w:val="center"/>
          </w:tcPr>
          <w:p w14:paraId="405F2BFE"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48" w:type="pct"/>
            <w:tcBorders>
              <w:top w:val="nil"/>
              <w:left w:val="nil"/>
              <w:bottom w:val="nil"/>
              <w:right w:val="nil"/>
            </w:tcBorders>
            <w:vAlign w:val="center"/>
          </w:tcPr>
          <w:p w14:paraId="1E278572"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1" w:type="pct"/>
            <w:tcBorders>
              <w:top w:val="nil"/>
              <w:left w:val="nil"/>
              <w:bottom w:val="nil"/>
              <w:right w:val="nil"/>
            </w:tcBorders>
            <w:vAlign w:val="center"/>
          </w:tcPr>
          <w:p w14:paraId="6D37158B"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 w:type="pct"/>
            <w:gridSpan w:val="2"/>
            <w:tcBorders>
              <w:top w:val="nil"/>
              <w:left w:val="nil"/>
              <w:bottom w:val="nil"/>
              <w:right w:val="nil"/>
            </w:tcBorders>
            <w:vAlign w:val="center"/>
          </w:tcPr>
          <w:p w14:paraId="754258FF"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7C4EE20D" w14:textId="77777777" w:rsidTr="00745BF5">
        <w:trPr>
          <w:cantSplit/>
          <w:trHeight w:val="143"/>
        </w:trPr>
        <w:tc>
          <w:tcPr>
            <w:tcW w:w="765" w:type="pct"/>
            <w:tcBorders>
              <w:top w:val="nil"/>
              <w:left w:val="nil"/>
              <w:bottom w:val="nil"/>
              <w:right w:val="nil"/>
            </w:tcBorders>
            <w:vAlign w:val="center"/>
          </w:tcPr>
          <w:p w14:paraId="4C1CB15E"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735" w:type="pct"/>
            <w:tcBorders>
              <w:top w:val="nil"/>
              <w:left w:val="nil"/>
              <w:bottom w:val="nil"/>
              <w:right w:val="nil"/>
            </w:tcBorders>
            <w:vAlign w:val="center"/>
          </w:tcPr>
          <w:p w14:paraId="03CD425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248" w:type="pct"/>
            <w:tcBorders>
              <w:top w:val="nil"/>
              <w:left w:val="nil"/>
              <w:bottom w:val="nil"/>
              <w:right w:val="nil"/>
            </w:tcBorders>
            <w:vAlign w:val="center"/>
          </w:tcPr>
          <w:p w14:paraId="74759E6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85.9</w:t>
            </w:r>
          </w:p>
        </w:tc>
        <w:tc>
          <w:tcPr>
            <w:tcW w:w="369" w:type="pct"/>
            <w:tcBorders>
              <w:top w:val="nil"/>
              <w:left w:val="nil"/>
              <w:bottom w:val="nil"/>
              <w:right w:val="nil"/>
            </w:tcBorders>
            <w:vAlign w:val="center"/>
          </w:tcPr>
          <w:p w14:paraId="5F4A96C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78" w:type="pct"/>
            <w:tcBorders>
              <w:top w:val="nil"/>
              <w:left w:val="nil"/>
              <w:bottom w:val="nil"/>
              <w:right w:val="nil"/>
            </w:tcBorders>
            <w:vAlign w:val="center"/>
          </w:tcPr>
          <w:p w14:paraId="4B8652F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8" w:type="pct"/>
            <w:tcBorders>
              <w:top w:val="nil"/>
              <w:left w:val="nil"/>
              <w:bottom w:val="nil"/>
              <w:right w:val="nil"/>
            </w:tcBorders>
            <w:vAlign w:val="center"/>
          </w:tcPr>
          <w:p w14:paraId="7B289F7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273" w:type="pct"/>
            <w:tcBorders>
              <w:top w:val="nil"/>
              <w:left w:val="nil"/>
              <w:bottom w:val="nil"/>
              <w:right w:val="nil"/>
            </w:tcBorders>
            <w:vAlign w:val="center"/>
          </w:tcPr>
          <w:p w14:paraId="6079C59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78.8</w:t>
            </w:r>
          </w:p>
        </w:tc>
        <w:tc>
          <w:tcPr>
            <w:tcW w:w="218" w:type="pct"/>
            <w:tcBorders>
              <w:top w:val="nil"/>
              <w:left w:val="nil"/>
              <w:bottom w:val="nil"/>
              <w:right w:val="nil"/>
            </w:tcBorders>
            <w:vAlign w:val="center"/>
          </w:tcPr>
          <w:p w14:paraId="3A9DD7F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437" w:type="pct"/>
            <w:tcBorders>
              <w:top w:val="nil"/>
              <w:left w:val="nil"/>
              <w:bottom w:val="nil"/>
              <w:right w:val="nil"/>
            </w:tcBorders>
            <w:vAlign w:val="center"/>
          </w:tcPr>
          <w:p w14:paraId="5474169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4" w:type="pct"/>
            <w:tcBorders>
              <w:top w:val="nil"/>
              <w:left w:val="nil"/>
              <w:bottom w:val="nil"/>
              <w:right w:val="nil"/>
            </w:tcBorders>
            <w:vAlign w:val="center"/>
          </w:tcPr>
          <w:p w14:paraId="0492BD14"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748" w:type="pct"/>
            <w:tcBorders>
              <w:top w:val="nil"/>
              <w:left w:val="nil"/>
              <w:bottom w:val="nil"/>
              <w:right w:val="nil"/>
            </w:tcBorders>
            <w:vAlign w:val="center"/>
          </w:tcPr>
          <w:p w14:paraId="0C6C5A2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91.8</w:t>
            </w:r>
          </w:p>
        </w:tc>
        <w:tc>
          <w:tcPr>
            <w:tcW w:w="321" w:type="pct"/>
            <w:tcBorders>
              <w:top w:val="nil"/>
              <w:left w:val="nil"/>
              <w:bottom w:val="nil"/>
              <w:right w:val="nil"/>
            </w:tcBorders>
            <w:vAlign w:val="center"/>
          </w:tcPr>
          <w:p w14:paraId="33CBFC6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326" w:type="pct"/>
            <w:gridSpan w:val="2"/>
            <w:tcBorders>
              <w:top w:val="nil"/>
              <w:left w:val="nil"/>
              <w:bottom w:val="nil"/>
              <w:right w:val="nil"/>
            </w:tcBorders>
            <w:vAlign w:val="center"/>
          </w:tcPr>
          <w:p w14:paraId="339F2B5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8D4E8F" w14:paraId="36608408" w14:textId="77777777" w:rsidTr="00745BF5">
        <w:trPr>
          <w:cantSplit/>
          <w:trHeight w:val="170"/>
        </w:trPr>
        <w:tc>
          <w:tcPr>
            <w:tcW w:w="765" w:type="pct"/>
            <w:tcBorders>
              <w:top w:val="nil"/>
              <w:left w:val="nil"/>
              <w:bottom w:val="nil"/>
              <w:right w:val="nil"/>
            </w:tcBorders>
            <w:vAlign w:val="center"/>
          </w:tcPr>
          <w:p w14:paraId="7942FC10"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735" w:type="pct"/>
            <w:tcBorders>
              <w:top w:val="nil"/>
              <w:left w:val="nil"/>
              <w:bottom w:val="nil"/>
              <w:right w:val="nil"/>
            </w:tcBorders>
            <w:vAlign w:val="center"/>
          </w:tcPr>
          <w:p w14:paraId="19CCEF05"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8" w:type="pct"/>
            <w:tcBorders>
              <w:top w:val="nil"/>
              <w:left w:val="nil"/>
              <w:bottom w:val="nil"/>
              <w:right w:val="nil"/>
            </w:tcBorders>
            <w:vAlign w:val="center"/>
          </w:tcPr>
          <w:p w14:paraId="65FA5A5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369" w:type="pct"/>
            <w:tcBorders>
              <w:top w:val="nil"/>
              <w:left w:val="nil"/>
              <w:bottom w:val="nil"/>
              <w:right w:val="nil"/>
            </w:tcBorders>
            <w:vAlign w:val="center"/>
          </w:tcPr>
          <w:p w14:paraId="5069DA4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8" w:type="pct"/>
            <w:tcBorders>
              <w:top w:val="nil"/>
              <w:left w:val="nil"/>
              <w:bottom w:val="nil"/>
              <w:right w:val="nil"/>
            </w:tcBorders>
            <w:vAlign w:val="center"/>
          </w:tcPr>
          <w:p w14:paraId="07E6F776"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18" w:type="pct"/>
            <w:tcBorders>
              <w:top w:val="nil"/>
              <w:left w:val="nil"/>
              <w:bottom w:val="nil"/>
              <w:right w:val="nil"/>
            </w:tcBorders>
            <w:vAlign w:val="center"/>
          </w:tcPr>
          <w:p w14:paraId="42B0296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73" w:type="pct"/>
            <w:tcBorders>
              <w:top w:val="nil"/>
              <w:left w:val="nil"/>
              <w:bottom w:val="nil"/>
              <w:right w:val="nil"/>
            </w:tcBorders>
            <w:vAlign w:val="center"/>
          </w:tcPr>
          <w:p w14:paraId="7B3155D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218" w:type="pct"/>
            <w:tcBorders>
              <w:top w:val="nil"/>
              <w:left w:val="nil"/>
              <w:bottom w:val="nil"/>
              <w:right w:val="nil"/>
            </w:tcBorders>
            <w:vAlign w:val="center"/>
          </w:tcPr>
          <w:p w14:paraId="2EB6275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nil"/>
              <w:right w:val="nil"/>
            </w:tcBorders>
            <w:vAlign w:val="center"/>
          </w:tcPr>
          <w:p w14:paraId="1D10FF1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nil"/>
              <w:right w:val="nil"/>
            </w:tcBorders>
            <w:vAlign w:val="center"/>
          </w:tcPr>
          <w:p w14:paraId="3017DDB1"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48" w:type="pct"/>
            <w:tcBorders>
              <w:top w:val="nil"/>
              <w:left w:val="nil"/>
              <w:bottom w:val="nil"/>
              <w:right w:val="nil"/>
            </w:tcBorders>
            <w:vAlign w:val="center"/>
          </w:tcPr>
          <w:p w14:paraId="1EA0A73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21" w:type="pct"/>
            <w:tcBorders>
              <w:top w:val="nil"/>
              <w:left w:val="nil"/>
              <w:bottom w:val="nil"/>
              <w:right w:val="nil"/>
            </w:tcBorders>
            <w:vAlign w:val="center"/>
          </w:tcPr>
          <w:p w14:paraId="143ADF1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26" w:type="pct"/>
            <w:gridSpan w:val="2"/>
            <w:tcBorders>
              <w:top w:val="nil"/>
              <w:left w:val="nil"/>
              <w:bottom w:val="nil"/>
              <w:right w:val="nil"/>
            </w:tcBorders>
            <w:vAlign w:val="center"/>
          </w:tcPr>
          <w:p w14:paraId="318E2CF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8D4E8F" w14:paraId="4EAC91D8" w14:textId="77777777" w:rsidTr="00745BF5">
        <w:trPr>
          <w:cantSplit/>
          <w:trHeight w:val="107"/>
        </w:trPr>
        <w:tc>
          <w:tcPr>
            <w:tcW w:w="765" w:type="pct"/>
            <w:tcBorders>
              <w:top w:val="nil"/>
              <w:left w:val="nil"/>
              <w:bottom w:val="single" w:sz="4" w:space="0" w:color="auto"/>
              <w:right w:val="nil"/>
            </w:tcBorders>
            <w:vAlign w:val="center"/>
          </w:tcPr>
          <w:p w14:paraId="2FB6017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735" w:type="pct"/>
            <w:tcBorders>
              <w:top w:val="nil"/>
              <w:left w:val="nil"/>
              <w:bottom w:val="single" w:sz="4" w:space="0" w:color="auto"/>
              <w:right w:val="nil"/>
            </w:tcBorders>
            <w:vAlign w:val="center"/>
          </w:tcPr>
          <w:p w14:paraId="74642FC3"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48" w:type="pct"/>
            <w:tcBorders>
              <w:top w:val="nil"/>
              <w:left w:val="nil"/>
              <w:bottom w:val="single" w:sz="4" w:space="0" w:color="auto"/>
              <w:right w:val="nil"/>
            </w:tcBorders>
            <w:vAlign w:val="center"/>
          </w:tcPr>
          <w:p w14:paraId="428948B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369" w:type="pct"/>
            <w:tcBorders>
              <w:top w:val="nil"/>
              <w:left w:val="nil"/>
              <w:bottom w:val="single" w:sz="4" w:space="0" w:color="auto"/>
              <w:right w:val="nil"/>
            </w:tcBorders>
            <w:vAlign w:val="center"/>
          </w:tcPr>
          <w:p w14:paraId="27B8996F"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78" w:type="pct"/>
            <w:tcBorders>
              <w:top w:val="nil"/>
              <w:left w:val="nil"/>
              <w:bottom w:val="single" w:sz="4" w:space="0" w:color="auto"/>
              <w:right w:val="nil"/>
            </w:tcBorders>
            <w:vAlign w:val="center"/>
          </w:tcPr>
          <w:p w14:paraId="6FE30D3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18" w:type="pct"/>
            <w:tcBorders>
              <w:top w:val="nil"/>
              <w:left w:val="nil"/>
              <w:bottom w:val="single" w:sz="4" w:space="0" w:color="auto"/>
              <w:right w:val="nil"/>
            </w:tcBorders>
            <w:vAlign w:val="center"/>
          </w:tcPr>
          <w:p w14:paraId="747DF0C8"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73" w:type="pct"/>
            <w:tcBorders>
              <w:top w:val="nil"/>
              <w:left w:val="nil"/>
              <w:bottom w:val="single" w:sz="4" w:space="0" w:color="auto"/>
              <w:right w:val="nil"/>
            </w:tcBorders>
            <w:vAlign w:val="center"/>
          </w:tcPr>
          <w:p w14:paraId="1E8B1CB9"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18" w:type="pct"/>
            <w:tcBorders>
              <w:top w:val="nil"/>
              <w:left w:val="nil"/>
              <w:bottom w:val="single" w:sz="4" w:space="0" w:color="auto"/>
              <w:right w:val="nil"/>
            </w:tcBorders>
            <w:vAlign w:val="center"/>
          </w:tcPr>
          <w:p w14:paraId="59D9A69E"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7" w:type="pct"/>
            <w:tcBorders>
              <w:top w:val="nil"/>
              <w:left w:val="nil"/>
              <w:bottom w:val="single" w:sz="4" w:space="0" w:color="auto"/>
              <w:right w:val="nil"/>
            </w:tcBorders>
            <w:vAlign w:val="center"/>
          </w:tcPr>
          <w:p w14:paraId="0DD9EB32"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64" w:type="pct"/>
            <w:tcBorders>
              <w:top w:val="nil"/>
              <w:left w:val="nil"/>
              <w:bottom w:val="single" w:sz="4" w:space="0" w:color="auto"/>
              <w:right w:val="nil"/>
            </w:tcBorders>
            <w:vAlign w:val="center"/>
          </w:tcPr>
          <w:p w14:paraId="7C2090F0"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48" w:type="pct"/>
            <w:tcBorders>
              <w:top w:val="nil"/>
              <w:left w:val="nil"/>
              <w:bottom w:val="single" w:sz="4" w:space="0" w:color="auto"/>
              <w:right w:val="nil"/>
            </w:tcBorders>
            <w:vAlign w:val="center"/>
          </w:tcPr>
          <w:p w14:paraId="086534BD"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321" w:type="pct"/>
            <w:tcBorders>
              <w:top w:val="nil"/>
              <w:left w:val="nil"/>
              <w:bottom w:val="single" w:sz="4" w:space="0" w:color="auto"/>
              <w:right w:val="nil"/>
            </w:tcBorders>
            <w:vAlign w:val="center"/>
          </w:tcPr>
          <w:p w14:paraId="2DA4D95A"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326" w:type="pct"/>
            <w:gridSpan w:val="2"/>
            <w:tcBorders>
              <w:top w:val="nil"/>
              <w:left w:val="nil"/>
              <w:bottom w:val="single" w:sz="4" w:space="0" w:color="auto"/>
              <w:right w:val="nil"/>
            </w:tcBorders>
            <w:vAlign w:val="center"/>
          </w:tcPr>
          <w:p w14:paraId="28332F5C" w14:textId="77777777" w:rsidR="008D4E8F" w:rsidRDefault="00D90E3D">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bl>
    <w:p w14:paraId="4D63F8DD" w14:textId="77777777" w:rsidR="008D4E8F" w:rsidRDefault="008D4E8F">
      <w:pPr>
        <w:spacing w:after="0" w:line="240" w:lineRule="auto"/>
        <w:rPr>
          <w:rFonts w:ascii="Times New Roman" w:hAnsi="Times New Roman" w:cs="Times New Roman"/>
          <w:sz w:val="24"/>
          <w:szCs w:val="24"/>
        </w:rPr>
        <w:sectPr w:rsidR="008D4E8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9" w:footer="709" w:gutter="0"/>
          <w:cols w:space="708"/>
          <w:docGrid w:linePitch="360"/>
        </w:sectPr>
      </w:pPr>
    </w:p>
    <w:p w14:paraId="0F4F179F" w14:textId="77777777" w:rsidR="008D4E8F" w:rsidRDefault="00D90E3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w:t>
      </w:r>
      <w:r>
        <w:rPr>
          <w:rFonts w:ascii="Times New Roman" w:hAnsi="Times New Roman" w:cs="Times New Roman"/>
          <w:sz w:val="24"/>
          <w:szCs w:val="24"/>
          <w:lang w:val="en-US"/>
        </w:rPr>
        <w:t>2</w:t>
      </w:r>
      <w:r>
        <w:rPr>
          <w:rFonts w:ascii="Times New Roman" w:hAnsi="Times New Roman" w:cs="Times New Roman"/>
          <w:sz w:val="24"/>
          <w:szCs w:val="24"/>
        </w:rPr>
        <w:t xml:space="preserve">a shows that </w:t>
      </w:r>
      <w:r>
        <w:rPr>
          <w:rStyle w:val="bzpyqfadein"/>
          <w:rFonts w:ascii="Times New Roman" w:hAnsi="Times New Roman" w:cs="Times New Roman"/>
          <w:sz w:val="24"/>
          <w:szCs w:val="24"/>
        </w:rPr>
        <w:t>at pretest, most students across the Traditional Lecture Method (TLM), WhatsApp Method (WAM), and Artificial Intelligence Method (AIM) groups already demonstrated high knowledge that risky sexual behaviours are harmful and can lead to sexually transmitted infections, including HIV/AIDS. However, knowledge was relatively low regarding other consequences such as damage to reproductive organs and risks related to HPV, cervical cancer, and death. After the interventions, knowledge improved markedly across all groups, with several items such as teenage pregnancy and illegal abortion reaching perfect knowledge (100%) at post</w:t>
      </w:r>
      <w:r>
        <w:rPr>
          <w:rStyle w:val="bzpyqfadein"/>
          <w:rFonts w:ascii="Times New Roman" w:hAnsi="Times New Roman" w:cs="Times New Roman"/>
          <w:sz w:val="24"/>
          <w:szCs w:val="24"/>
          <w:lang w:val="en-US"/>
        </w:rPr>
        <w:t>-</w:t>
      </w:r>
      <w:r>
        <w:rPr>
          <w:rStyle w:val="bzpyqfadein"/>
          <w:rFonts w:ascii="Times New Roman" w:hAnsi="Times New Roman" w:cs="Times New Roman"/>
          <w:sz w:val="24"/>
          <w:szCs w:val="24"/>
        </w:rPr>
        <w:t>test.</w:t>
      </w:r>
    </w:p>
    <w:p w14:paraId="6849E05D" w14:textId="77777777" w:rsidR="008D4E8F" w:rsidRDefault="008D4E8F">
      <w:pPr>
        <w:autoSpaceDE w:val="0"/>
        <w:autoSpaceDN w:val="0"/>
        <w:adjustRightInd w:val="0"/>
        <w:spacing w:after="0" w:line="240" w:lineRule="auto"/>
        <w:rPr>
          <w:rFonts w:ascii="Times New Roman" w:hAnsi="Times New Roman" w:cs="Times New Roman"/>
          <w:sz w:val="24"/>
          <w:szCs w:val="24"/>
          <w:lang w:val="en-US"/>
        </w:rPr>
      </w:pPr>
    </w:p>
    <w:p w14:paraId="75313310" w14:textId="77777777" w:rsidR="008D4E8F" w:rsidRDefault="00D90E3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b:  Differences in Average Knowledge of consequences of risky sexual behaviours at pretest and posttest</w:t>
      </w:r>
    </w:p>
    <w:tbl>
      <w:tblPr>
        <w:tblW w:w="981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15"/>
        <w:gridCol w:w="1260"/>
        <w:gridCol w:w="1260"/>
        <w:gridCol w:w="1259"/>
        <w:gridCol w:w="1079"/>
        <w:gridCol w:w="1169"/>
        <w:gridCol w:w="989"/>
        <w:gridCol w:w="1079"/>
      </w:tblGrid>
      <w:tr w:rsidR="008D4E8F" w14:paraId="0528524D" w14:textId="77777777">
        <w:trPr>
          <w:cantSplit/>
          <w:trHeight w:val="272"/>
        </w:trPr>
        <w:tc>
          <w:tcPr>
            <w:tcW w:w="1715" w:type="dxa"/>
            <w:tcBorders>
              <w:top w:val="single" w:sz="4" w:space="0" w:color="auto"/>
              <w:left w:val="nil"/>
              <w:bottom w:val="single" w:sz="4" w:space="0" w:color="auto"/>
              <w:right w:val="nil"/>
            </w:tcBorders>
            <w:shd w:val="clear" w:color="auto" w:fill="FFFFFF"/>
          </w:tcPr>
          <w:p w14:paraId="7B80E080"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260" w:type="dxa"/>
            <w:tcBorders>
              <w:top w:val="single" w:sz="4" w:space="0" w:color="auto"/>
              <w:left w:val="nil"/>
              <w:bottom w:val="single" w:sz="4" w:space="0" w:color="auto"/>
              <w:right w:val="nil"/>
            </w:tcBorders>
            <w:shd w:val="clear" w:color="auto" w:fill="FFFFFF"/>
            <w:vAlign w:val="bottom"/>
          </w:tcPr>
          <w:p w14:paraId="1A3179BA"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w:t>
            </w:r>
          </w:p>
        </w:tc>
        <w:tc>
          <w:tcPr>
            <w:tcW w:w="1260" w:type="dxa"/>
            <w:tcBorders>
              <w:top w:val="single" w:sz="4" w:space="0" w:color="auto"/>
              <w:left w:val="nil"/>
              <w:bottom w:val="single" w:sz="4" w:space="0" w:color="auto"/>
              <w:right w:val="nil"/>
            </w:tcBorders>
            <w:shd w:val="clear" w:color="auto" w:fill="FFFFFF"/>
            <w:vAlign w:val="bottom"/>
          </w:tcPr>
          <w:p w14:paraId="77178558"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Std. Deviation</w:t>
            </w:r>
          </w:p>
        </w:tc>
        <w:tc>
          <w:tcPr>
            <w:tcW w:w="1259" w:type="dxa"/>
            <w:tcBorders>
              <w:top w:val="single" w:sz="4" w:space="0" w:color="auto"/>
              <w:left w:val="nil"/>
              <w:bottom w:val="single" w:sz="4" w:space="0" w:color="auto"/>
              <w:right w:val="nil"/>
            </w:tcBorders>
            <w:shd w:val="clear" w:color="auto" w:fill="FFFFFF"/>
            <w:vAlign w:val="bottom"/>
          </w:tcPr>
          <w:p w14:paraId="5C638AB0"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Std. Error Mean</w:t>
            </w:r>
          </w:p>
        </w:tc>
        <w:tc>
          <w:tcPr>
            <w:tcW w:w="1079" w:type="dxa"/>
            <w:tcBorders>
              <w:top w:val="single" w:sz="4" w:space="0" w:color="auto"/>
              <w:left w:val="nil"/>
              <w:bottom w:val="single" w:sz="4" w:space="0" w:color="auto"/>
              <w:right w:val="nil"/>
            </w:tcBorders>
            <w:shd w:val="clear" w:color="auto" w:fill="FFFFFF"/>
            <w:vAlign w:val="bottom"/>
          </w:tcPr>
          <w:p w14:paraId="71CC5661"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Lower</w:t>
            </w:r>
          </w:p>
        </w:tc>
        <w:tc>
          <w:tcPr>
            <w:tcW w:w="1169" w:type="dxa"/>
            <w:tcBorders>
              <w:top w:val="single" w:sz="4" w:space="0" w:color="auto"/>
              <w:left w:val="nil"/>
              <w:bottom w:val="single" w:sz="4" w:space="0" w:color="auto"/>
              <w:right w:val="nil"/>
            </w:tcBorders>
            <w:shd w:val="clear" w:color="auto" w:fill="FFFFFF"/>
            <w:vAlign w:val="bottom"/>
          </w:tcPr>
          <w:p w14:paraId="471ABC47"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Upper</w:t>
            </w:r>
          </w:p>
        </w:tc>
        <w:tc>
          <w:tcPr>
            <w:tcW w:w="989" w:type="dxa"/>
            <w:tcBorders>
              <w:top w:val="single" w:sz="4" w:space="0" w:color="auto"/>
              <w:left w:val="nil"/>
              <w:bottom w:val="single" w:sz="4" w:space="0" w:color="auto"/>
              <w:right w:val="nil"/>
            </w:tcBorders>
            <w:shd w:val="clear" w:color="auto" w:fill="FFFFFF"/>
          </w:tcPr>
          <w:p w14:paraId="67B5BF24" w14:textId="77777777" w:rsidR="008D4E8F" w:rsidRDefault="008D4E8F">
            <w:pPr>
              <w:autoSpaceDE w:val="0"/>
              <w:autoSpaceDN w:val="0"/>
              <w:adjustRightInd w:val="0"/>
              <w:spacing w:after="0" w:line="240" w:lineRule="auto"/>
              <w:ind w:left="60" w:right="60"/>
              <w:rPr>
                <w:rFonts w:ascii="Times New Roman" w:hAnsi="Times New Roman" w:cs="Times New Roman"/>
                <w:b/>
                <w:color w:val="000000"/>
                <w:sz w:val="24"/>
                <w:szCs w:val="24"/>
              </w:rPr>
            </w:pPr>
          </w:p>
          <w:p w14:paraId="4272AFA1"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T</w:t>
            </w:r>
          </w:p>
        </w:tc>
        <w:tc>
          <w:tcPr>
            <w:tcW w:w="1079" w:type="dxa"/>
            <w:tcBorders>
              <w:top w:val="single" w:sz="4" w:space="0" w:color="auto"/>
              <w:left w:val="nil"/>
              <w:bottom w:val="single" w:sz="4" w:space="0" w:color="auto"/>
              <w:right w:val="nil"/>
            </w:tcBorders>
            <w:shd w:val="clear" w:color="auto" w:fill="FFFFFF"/>
          </w:tcPr>
          <w:p w14:paraId="44C88E60"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p w14:paraId="5D0ADF60"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w:t>
            </w:r>
          </w:p>
        </w:tc>
      </w:tr>
      <w:tr w:rsidR="008D4E8F" w14:paraId="19063F4B" w14:textId="77777777">
        <w:trPr>
          <w:cantSplit/>
          <w:trHeight w:val="272"/>
        </w:trPr>
        <w:tc>
          <w:tcPr>
            <w:tcW w:w="1715" w:type="dxa"/>
            <w:tcBorders>
              <w:top w:val="single" w:sz="4" w:space="0" w:color="auto"/>
              <w:left w:val="nil"/>
              <w:bottom w:val="nil"/>
              <w:right w:val="nil"/>
            </w:tcBorders>
            <w:shd w:val="clear" w:color="auto" w:fill="FFFFFF"/>
          </w:tcPr>
          <w:p w14:paraId="76EA0114"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TLM</w:t>
            </w:r>
          </w:p>
        </w:tc>
        <w:tc>
          <w:tcPr>
            <w:tcW w:w="1260" w:type="dxa"/>
            <w:tcBorders>
              <w:top w:val="single" w:sz="4" w:space="0" w:color="auto"/>
              <w:left w:val="nil"/>
              <w:bottom w:val="nil"/>
              <w:right w:val="nil"/>
            </w:tcBorders>
            <w:shd w:val="clear" w:color="auto" w:fill="FFFFFF"/>
            <w:vAlign w:val="bottom"/>
          </w:tcPr>
          <w:p w14:paraId="0A384372"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260" w:type="dxa"/>
            <w:tcBorders>
              <w:top w:val="single" w:sz="4" w:space="0" w:color="auto"/>
              <w:left w:val="nil"/>
              <w:bottom w:val="nil"/>
              <w:right w:val="nil"/>
            </w:tcBorders>
            <w:shd w:val="clear" w:color="auto" w:fill="FFFFFF"/>
            <w:vAlign w:val="bottom"/>
          </w:tcPr>
          <w:p w14:paraId="2B802489"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259" w:type="dxa"/>
            <w:tcBorders>
              <w:top w:val="single" w:sz="4" w:space="0" w:color="auto"/>
              <w:left w:val="nil"/>
              <w:bottom w:val="nil"/>
              <w:right w:val="nil"/>
            </w:tcBorders>
            <w:shd w:val="clear" w:color="auto" w:fill="FFFFFF"/>
            <w:vAlign w:val="bottom"/>
          </w:tcPr>
          <w:p w14:paraId="6E06777B"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079" w:type="dxa"/>
            <w:tcBorders>
              <w:top w:val="single" w:sz="4" w:space="0" w:color="auto"/>
              <w:left w:val="nil"/>
              <w:bottom w:val="nil"/>
              <w:right w:val="nil"/>
            </w:tcBorders>
            <w:shd w:val="clear" w:color="auto" w:fill="FFFFFF"/>
            <w:vAlign w:val="bottom"/>
          </w:tcPr>
          <w:p w14:paraId="0922901D"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169" w:type="dxa"/>
            <w:tcBorders>
              <w:top w:val="single" w:sz="4" w:space="0" w:color="auto"/>
              <w:left w:val="nil"/>
              <w:bottom w:val="nil"/>
              <w:right w:val="nil"/>
            </w:tcBorders>
            <w:shd w:val="clear" w:color="auto" w:fill="FFFFFF"/>
            <w:vAlign w:val="bottom"/>
          </w:tcPr>
          <w:p w14:paraId="0DFF67B4"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89" w:type="dxa"/>
            <w:tcBorders>
              <w:top w:val="single" w:sz="4" w:space="0" w:color="auto"/>
              <w:left w:val="nil"/>
              <w:bottom w:val="nil"/>
              <w:right w:val="nil"/>
            </w:tcBorders>
            <w:shd w:val="clear" w:color="auto" w:fill="FFFFFF"/>
          </w:tcPr>
          <w:p w14:paraId="1A3A1C97" w14:textId="77777777" w:rsidR="008D4E8F" w:rsidRDefault="008D4E8F">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079" w:type="dxa"/>
            <w:tcBorders>
              <w:top w:val="single" w:sz="4" w:space="0" w:color="auto"/>
              <w:left w:val="nil"/>
              <w:bottom w:val="nil"/>
              <w:right w:val="nil"/>
            </w:tcBorders>
            <w:shd w:val="clear" w:color="auto" w:fill="FFFFFF"/>
          </w:tcPr>
          <w:p w14:paraId="4267892C"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5F0AA36C" w14:textId="77777777">
        <w:trPr>
          <w:cantSplit/>
          <w:trHeight w:val="272"/>
        </w:trPr>
        <w:tc>
          <w:tcPr>
            <w:tcW w:w="1715" w:type="dxa"/>
            <w:tcBorders>
              <w:top w:val="nil"/>
              <w:left w:val="nil"/>
              <w:bottom w:val="nil"/>
              <w:right w:val="nil"/>
            </w:tcBorders>
            <w:shd w:val="clear" w:color="auto" w:fill="FFFFFF"/>
          </w:tcPr>
          <w:p w14:paraId="1FB6DFB6" w14:textId="77777777" w:rsidR="008D4E8F" w:rsidRDefault="00D90E3D">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Pretest (n=85)</w:t>
            </w:r>
          </w:p>
        </w:tc>
        <w:tc>
          <w:tcPr>
            <w:tcW w:w="1260" w:type="dxa"/>
            <w:tcBorders>
              <w:top w:val="nil"/>
              <w:left w:val="nil"/>
              <w:bottom w:val="nil"/>
              <w:right w:val="nil"/>
            </w:tcBorders>
            <w:shd w:val="clear" w:color="auto" w:fill="FFFFFF"/>
            <w:vAlign w:val="center"/>
          </w:tcPr>
          <w:p w14:paraId="45B11D30"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2.6195</w:t>
            </w:r>
          </w:p>
        </w:tc>
        <w:tc>
          <w:tcPr>
            <w:tcW w:w="1260" w:type="dxa"/>
            <w:tcBorders>
              <w:top w:val="nil"/>
              <w:left w:val="nil"/>
              <w:bottom w:val="nil"/>
              <w:right w:val="nil"/>
            </w:tcBorders>
            <w:shd w:val="clear" w:color="auto" w:fill="FFFFFF"/>
            <w:vAlign w:val="center"/>
          </w:tcPr>
          <w:p w14:paraId="36B98CA2"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.31674</w:t>
            </w:r>
          </w:p>
        </w:tc>
        <w:tc>
          <w:tcPr>
            <w:tcW w:w="1259" w:type="dxa"/>
            <w:tcBorders>
              <w:top w:val="nil"/>
              <w:left w:val="nil"/>
              <w:bottom w:val="nil"/>
              <w:right w:val="nil"/>
            </w:tcBorders>
            <w:shd w:val="clear" w:color="auto" w:fill="FFFFFF"/>
            <w:vAlign w:val="center"/>
          </w:tcPr>
          <w:p w14:paraId="075506A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.03436</w:t>
            </w:r>
          </w:p>
        </w:tc>
        <w:tc>
          <w:tcPr>
            <w:tcW w:w="1079" w:type="dxa"/>
            <w:tcBorders>
              <w:top w:val="nil"/>
              <w:left w:val="nil"/>
              <w:bottom w:val="nil"/>
              <w:right w:val="nil"/>
            </w:tcBorders>
            <w:shd w:val="clear" w:color="auto" w:fill="FFFFFF"/>
            <w:vAlign w:val="bottom"/>
          </w:tcPr>
          <w:p w14:paraId="63ED32C5"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bottom"/>
          </w:tcPr>
          <w:p w14:paraId="1DC1A44F"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14:paraId="28C91E07" w14:textId="77777777" w:rsidR="008D4E8F" w:rsidRDefault="008D4E8F">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4691B647"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5DBBFE1C" w14:textId="77777777">
        <w:trPr>
          <w:cantSplit/>
          <w:trHeight w:val="272"/>
        </w:trPr>
        <w:tc>
          <w:tcPr>
            <w:tcW w:w="1715" w:type="dxa"/>
            <w:tcBorders>
              <w:top w:val="nil"/>
              <w:left w:val="nil"/>
              <w:bottom w:val="nil"/>
              <w:right w:val="nil"/>
            </w:tcBorders>
            <w:shd w:val="clear" w:color="auto" w:fill="FFFFFF"/>
          </w:tcPr>
          <w:p w14:paraId="362C5A13"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Posttest (n=85)</w:t>
            </w:r>
          </w:p>
        </w:tc>
        <w:tc>
          <w:tcPr>
            <w:tcW w:w="1260" w:type="dxa"/>
            <w:tcBorders>
              <w:top w:val="nil"/>
              <w:left w:val="nil"/>
              <w:bottom w:val="nil"/>
              <w:right w:val="nil"/>
            </w:tcBorders>
            <w:shd w:val="clear" w:color="auto" w:fill="FFFFFF"/>
            <w:vAlign w:val="center"/>
          </w:tcPr>
          <w:p w14:paraId="5E885DB2"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2.9236</w:t>
            </w:r>
          </w:p>
        </w:tc>
        <w:tc>
          <w:tcPr>
            <w:tcW w:w="1260" w:type="dxa"/>
            <w:tcBorders>
              <w:top w:val="nil"/>
              <w:left w:val="nil"/>
              <w:bottom w:val="nil"/>
              <w:right w:val="nil"/>
            </w:tcBorders>
            <w:shd w:val="clear" w:color="auto" w:fill="FFFFFF"/>
            <w:vAlign w:val="center"/>
          </w:tcPr>
          <w:p w14:paraId="307F6ADA"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.15110</w:t>
            </w:r>
          </w:p>
        </w:tc>
        <w:tc>
          <w:tcPr>
            <w:tcW w:w="1259" w:type="dxa"/>
            <w:tcBorders>
              <w:top w:val="nil"/>
              <w:left w:val="nil"/>
              <w:bottom w:val="nil"/>
              <w:right w:val="nil"/>
            </w:tcBorders>
            <w:shd w:val="clear" w:color="auto" w:fill="FFFFFF"/>
            <w:vAlign w:val="center"/>
          </w:tcPr>
          <w:p w14:paraId="23330A55"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.01639</w:t>
            </w:r>
          </w:p>
        </w:tc>
        <w:tc>
          <w:tcPr>
            <w:tcW w:w="1079" w:type="dxa"/>
            <w:tcBorders>
              <w:top w:val="nil"/>
              <w:left w:val="nil"/>
              <w:bottom w:val="nil"/>
              <w:right w:val="nil"/>
            </w:tcBorders>
            <w:shd w:val="clear" w:color="auto" w:fill="FFFFFF"/>
            <w:vAlign w:val="bottom"/>
          </w:tcPr>
          <w:p w14:paraId="7820303F"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bottom"/>
          </w:tcPr>
          <w:p w14:paraId="05E7EB22"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14:paraId="2D342FC6" w14:textId="77777777" w:rsidR="008D4E8F" w:rsidRDefault="008D4E8F">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46199027" w14:textId="77777777" w:rsidR="008D4E8F" w:rsidRDefault="008D4E8F">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8D4E8F" w14:paraId="550CF6EE" w14:textId="77777777">
        <w:trPr>
          <w:cantSplit/>
          <w:trHeight w:val="272"/>
        </w:trPr>
        <w:tc>
          <w:tcPr>
            <w:tcW w:w="1715" w:type="dxa"/>
            <w:tcBorders>
              <w:top w:val="nil"/>
              <w:left w:val="nil"/>
              <w:bottom w:val="nil"/>
              <w:right w:val="nil"/>
            </w:tcBorders>
            <w:shd w:val="clear" w:color="auto" w:fill="FFFFFF"/>
          </w:tcPr>
          <w:p w14:paraId="10105F20"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pretest - post</w:t>
            </w:r>
          </w:p>
        </w:tc>
        <w:tc>
          <w:tcPr>
            <w:tcW w:w="1260" w:type="dxa"/>
            <w:tcBorders>
              <w:top w:val="nil"/>
              <w:left w:val="nil"/>
              <w:bottom w:val="nil"/>
              <w:right w:val="nil"/>
            </w:tcBorders>
            <w:shd w:val="clear" w:color="auto" w:fill="FFFFFF"/>
            <w:vAlign w:val="center"/>
          </w:tcPr>
          <w:p w14:paraId="5F1E1821"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-.30402</w:t>
            </w:r>
          </w:p>
        </w:tc>
        <w:tc>
          <w:tcPr>
            <w:tcW w:w="1260" w:type="dxa"/>
            <w:tcBorders>
              <w:top w:val="nil"/>
              <w:left w:val="nil"/>
              <w:bottom w:val="nil"/>
              <w:right w:val="nil"/>
            </w:tcBorders>
            <w:shd w:val="clear" w:color="auto" w:fill="FFFFFF"/>
            <w:vAlign w:val="center"/>
          </w:tcPr>
          <w:p w14:paraId="20908B1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.35562</w:t>
            </w:r>
          </w:p>
        </w:tc>
        <w:tc>
          <w:tcPr>
            <w:tcW w:w="1259" w:type="dxa"/>
            <w:tcBorders>
              <w:top w:val="nil"/>
              <w:left w:val="nil"/>
              <w:bottom w:val="nil"/>
              <w:right w:val="nil"/>
            </w:tcBorders>
            <w:shd w:val="clear" w:color="auto" w:fill="FFFFFF"/>
            <w:vAlign w:val="center"/>
          </w:tcPr>
          <w:p w14:paraId="64350124"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.03857</w:t>
            </w:r>
          </w:p>
        </w:tc>
        <w:tc>
          <w:tcPr>
            <w:tcW w:w="1079" w:type="dxa"/>
            <w:tcBorders>
              <w:top w:val="nil"/>
              <w:left w:val="nil"/>
              <w:bottom w:val="nil"/>
              <w:right w:val="nil"/>
            </w:tcBorders>
            <w:shd w:val="clear" w:color="auto" w:fill="FFFFFF"/>
            <w:vAlign w:val="center"/>
          </w:tcPr>
          <w:p w14:paraId="6079B1B8"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-.38073</w:t>
            </w:r>
          </w:p>
        </w:tc>
        <w:tc>
          <w:tcPr>
            <w:tcW w:w="1169" w:type="dxa"/>
            <w:tcBorders>
              <w:top w:val="nil"/>
              <w:left w:val="nil"/>
              <w:bottom w:val="nil"/>
              <w:right w:val="nil"/>
            </w:tcBorders>
            <w:shd w:val="clear" w:color="auto" w:fill="FFFFFF"/>
            <w:vAlign w:val="center"/>
          </w:tcPr>
          <w:p w14:paraId="37A3D26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-.22732</w:t>
            </w:r>
          </w:p>
        </w:tc>
        <w:tc>
          <w:tcPr>
            <w:tcW w:w="989" w:type="dxa"/>
            <w:tcBorders>
              <w:top w:val="nil"/>
              <w:left w:val="nil"/>
              <w:bottom w:val="nil"/>
              <w:right w:val="nil"/>
            </w:tcBorders>
            <w:shd w:val="clear" w:color="auto" w:fill="FFFFFF"/>
            <w:vAlign w:val="center"/>
          </w:tcPr>
          <w:p w14:paraId="22CBD592"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7.882</w:t>
            </w:r>
          </w:p>
        </w:tc>
        <w:tc>
          <w:tcPr>
            <w:tcW w:w="1079" w:type="dxa"/>
            <w:tcBorders>
              <w:top w:val="nil"/>
              <w:left w:val="nil"/>
              <w:bottom w:val="nil"/>
              <w:right w:val="nil"/>
            </w:tcBorders>
            <w:shd w:val="clear" w:color="auto" w:fill="FFFFFF"/>
          </w:tcPr>
          <w:p w14:paraId="00CD0A33"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r w:rsidR="008D4E8F" w14:paraId="7E416901" w14:textId="77777777">
        <w:trPr>
          <w:cantSplit/>
          <w:trHeight w:val="272"/>
        </w:trPr>
        <w:tc>
          <w:tcPr>
            <w:tcW w:w="1715" w:type="dxa"/>
            <w:tcBorders>
              <w:top w:val="nil"/>
              <w:left w:val="nil"/>
              <w:bottom w:val="nil"/>
              <w:right w:val="nil"/>
            </w:tcBorders>
            <w:shd w:val="clear" w:color="auto" w:fill="FFFFFF"/>
          </w:tcPr>
          <w:p w14:paraId="6D69EF56"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WAM</w:t>
            </w:r>
          </w:p>
        </w:tc>
        <w:tc>
          <w:tcPr>
            <w:tcW w:w="1260" w:type="dxa"/>
            <w:tcBorders>
              <w:top w:val="nil"/>
              <w:left w:val="nil"/>
              <w:bottom w:val="nil"/>
              <w:right w:val="nil"/>
            </w:tcBorders>
            <w:shd w:val="clear" w:color="auto" w:fill="FFFFFF"/>
            <w:vAlign w:val="bottom"/>
          </w:tcPr>
          <w:p w14:paraId="140FAA9C"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260" w:type="dxa"/>
            <w:tcBorders>
              <w:top w:val="nil"/>
              <w:left w:val="nil"/>
              <w:bottom w:val="nil"/>
              <w:right w:val="nil"/>
            </w:tcBorders>
            <w:shd w:val="clear" w:color="auto" w:fill="FFFFFF"/>
            <w:vAlign w:val="bottom"/>
          </w:tcPr>
          <w:p w14:paraId="3810D998"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259" w:type="dxa"/>
            <w:tcBorders>
              <w:top w:val="nil"/>
              <w:left w:val="nil"/>
              <w:bottom w:val="nil"/>
              <w:right w:val="nil"/>
            </w:tcBorders>
            <w:shd w:val="clear" w:color="auto" w:fill="FFFFFF"/>
            <w:vAlign w:val="bottom"/>
          </w:tcPr>
          <w:p w14:paraId="79787B86"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vAlign w:val="bottom"/>
          </w:tcPr>
          <w:p w14:paraId="1E27C5AF"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1169" w:type="dxa"/>
            <w:tcBorders>
              <w:top w:val="nil"/>
              <w:left w:val="nil"/>
              <w:bottom w:val="nil"/>
              <w:right w:val="nil"/>
            </w:tcBorders>
            <w:shd w:val="clear" w:color="auto" w:fill="FFFFFF"/>
            <w:vAlign w:val="bottom"/>
          </w:tcPr>
          <w:p w14:paraId="76D783BE"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c>
          <w:tcPr>
            <w:tcW w:w="989" w:type="dxa"/>
            <w:tcBorders>
              <w:top w:val="nil"/>
              <w:left w:val="nil"/>
              <w:bottom w:val="nil"/>
              <w:right w:val="nil"/>
            </w:tcBorders>
            <w:shd w:val="clear" w:color="auto" w:fill="FFFFFF"/>
          </w:tcPr>
          <w:p w14:paraId="44E60091" w14:textId="77777777" w:rsidR="008D4E8F" w:rsidRDefault="008D4E8F">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tcPr>
          <w:p w14:paraId="46B08DEC" w14:textId="77777777" w:rsidR="008D4E8F" w:rsidRDefault="008D4E8F">
            <w:pPr>
              <w:autoSpaceDE w:val="0"/>
              <w:autoSpaceDN w:val="0"/>
              <w:adjustRightInd w:val="0"/>
              <w:spacing w:after="0" w:line="240" w:lineRule="auto"/>
              <w:ind w:left="60" w:right="60"/>
              <w:jc w:val="center"/>
              <w:rPr>
                <w:rFonts w:ascii="Times New Roman" w:hAnsi="Times New Roman" w:cs="Times New Roman"/>
                <w:b/>
                <w:color w:val="000000"/>
                <w:sz w:val="24"/>
                <w:szCs w:val="24"/>
              </w:rPr>
            </w:pPr>
          </w:p>
        </w:tc>
      </w:tr>
      <w:tr w:rsidR="008D4E8F" w14:paraId="5A6B35C4" w14:textId="77777777">
        <w:trPr>
          <w:cantSplit/>
          <w:trHeight w:val="543"/>
        </w:trPr>
        <w:tc>
          <w:tcPr>
            <w:tcW w:w="1715" w:type="dxa"/>
            <w:tcBorders>
              <w:top w:val="nil"/>
              <w:left w:val="nil"/>
              <w:bottom w:val="nil"/>
              <w:right w:val="nil"/>
            </w:tcBorders>
            <w:shd w:val="clear" w:color="auto" w:fill="FFFFFF"/>
          </w:tcPr>
          <w:p w14:paraId="2E663623" w14:textId="77777777" w:rsidR="008D4E8F" w:rsidRDefault="00D90E3D">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Pretest (n=85)</w:t>
            </w:r>
          </w:p>
        </w:tc>
        <w:tc>
          <w:tcPr>
            <w:tcW w:w="1260" w:type="dxa"/>
            <w:tcBorders>
              <w:top w:val="nil"/>
              <w:left w:val="nil"/>
              <w:bottom w:val="nil"/>
              <w:right w:val="nil"/>
            </w:tcBorders>
            <w:shd w:val="clear" w:color="auto" w:fill="FFFFFF"/>
            <w:vAlign w:val="center"/>
          </w:tcPr>
          <w:p w14:paraId="2237B06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2.7431</w:t>
            </w:r>
          </w:p>
        </w:tc>
        <w:tc>
          <w:tcPr>
            <w:tcW w:w="1260" w:type="dxa"/>
            <w:tcBorders>
              <w:top w:val="nil"/>
              <w:left w:val="nil"/>
              <w:bottom w:val="nil"/>
              <w:right w:val="nil"/>
            </w:tcBorders>
            <w:shd w:val="clear" w:color="auto" w:fill="FFFFFF"/>
            <w:vAlign w:val="center"/>
          </w:tcPr>
          <w:p w14:paraId="4D7781DD"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.30705</w:t>
            </w:r>
          </w:p>
        </w:tc>
        <w:tc>
          <w:tcPr>
            <w:tcW w:w="1259" w:type="dxa"/>
            <w:tcBorders>
              <w:top w:val="nil"/>
              <w:left w:val="nil"/>
              <w:bottom w:val="nil"/>
              <w:right w:val="nil"/>
            </w:tcBorders>
            <w:shd w:val="clear" w:color="auto" w:fill="FFFFFF"/>
            <w:vAlign w:val="center"/>
          </w:tcPr>
          <w:p w14:paraId="7CBDCD54"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.03330</w:t>
            </w:r>
          </w:p>
        </w:tc>
        <w:tc>
          <w:tcPr>
            <w:tcW w:w="1079" w:type="dxa"/>
            <w:tcBorders>
              <w:top w:val="nil"/>
              <w:left w:val="nil"/>
              <w:bottom w:val="nil"/>
              <w:right w:val="nil"/>
            </w:tcBorders>
            <w:shd w:val="clear" w:color="auto" w:fill="FFFFFF"/>
          </w:tcPr>
          <w:p w14:paraId="187B0BC0"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tcPr>
          <w:p w14:paraId="437E7E85"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14:paraId="66C88FE0"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3744833B"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8D4E8F" w14:paraId="1C402857" w14:textId="77777777">
        <w:trPr>
          <w:cantSplit/>
          <w:trHeight w:val="556"/>
        </w:trPr>
        <w:tc>
          <w:tcPr>
            <w:tcW w:w="1715" w:type="dxa"/>
            <w:tcBorders>
              <w:top w:val="nil"/>
              <w:left w:val="nil"/>
              <w:bottom w:val="nil"/>
              <w:right w:val="nil"/>
            </w:tcBorders>
            <w:shd w:val="clear" w:color="auto" w:fill="FFFFFF"/>
          </w:tcPr>
          <w:p w14:paraId="5DFA770B"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Posttest (n=85)</w:t>
            </w:r>
          </w:p>
        </w:tc>
        <w:tc>
          <w:tcPr>
            <w:tcW w:w="1260" w:type="dxa"/>
            <w:tcBorders>
              <w:top w:val="nil"/>
              <w:left w:val="nil"/>
              <w:bottom w:val="nil"/>
              <w:right w:val="nil"/>
            </w:tcBorders>
            <w:shd w:val="clear" w:color="auto" w:fill="FFFFFF"/>
            <w:vAlign w:val="center"/>
          </w:tcPr>
          <w:p w14:paraId="6CB5CED7"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3.0000</w:t>
            </w:r>
          </w:p>
        </w:tc>
        <w:tc>
          <w:tcPr>
            <w:tcW w:w="1260" w:type="dxa"/>
            <w:tcBorders>
              <w:top w:val="nil"/>
              <w:left w:val="nil"/>
              <w:bottom w:val="nil"/>
              <w:right w:val="nil"/>
            </w:tcBorders>
            <w:shd w:val="clear" w:color="auto" w:fill="FFFFFF"/>
            <w:vAlign w:val="center"/>
          </w:tcPr>
          <w:p w14:paraId="15CCF2E3"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.00000</w:t>
            </w:r>
          </w:p>
        </w:tc>
        <w:tc>
          <w:tcPr>
            <w:tcW w:w="1259" w:type="dxa"/>
            <w:tcBorders>
              <w:top w:val="nil"/>
              <w:left w:val="nil"/>
              <w:bottom w:val="nil"/>
              <w:right w:val="nil"/>
            </w:tcBorders>
            <w:shd w:val="clear" w:color="auto" w:fill="FFFFFF"/>
            <w:vAlign w:val="center"/>
          </w:tcPr>
          <w:p w14:paraId="728EADC7"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.00000</w:t>
            </w:r>
          </w:p>
        </w:tc>
        <w:tc>
          <w:tcPr>
            <w:tcW w:w="1079" w:type="dxa"/>
            <w:tcBorders>
              <w:top w:val="nil"/>
              <w:left w:val="nil"/>
              <w:bottom w:val="nil"/>
              <w:right w:val="nil"/>
            </w:tcBorders>
            <w:shd w:val="clear" w:color="auto" w:fill="FFFFFF"/>
          </w:tcPr>
          <w:p w14:paraId="66AD97C9"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tcPr>
          <w:p w14:paraId="2CA4FAD3"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tcPr>
          <w:p w14:paraId="50372D58"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6FD367C0"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8D4E8F" w14:paraId="5EB73D94" w14:textId="77777777">
        <w:trPr>
          <w:cantSplit/>
          <w:trHeight w:val="272"/>
        </w:trPr>
        <w:tc>
          <w:tcPr>
            <w:tcW w:w="1715" w:type="dxa"/>
            <w:tcBorders>
              <w:top w:val="nil"/>
              <w:left w:val="nil"/>
              <w:bottom w:val="nil"/>
              <w:right w:val="nil"/>
            </w:tcBorders>
            <w:shd w:val="clear" w:color="auto" w:fill="FFFFFF"/>
          </w:tcPr>
          <w:p w14:paraId="6458412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pretest - post</w:t>
            </w:r>
          </w:p>
        </w:tc>
        <w:tc>
          <w:tcPr>
            <w:tcW w:w="1260" w:type="dxa"/>
            <w:tcBorders>
              <w:top w:val="nil"/>
              <w:left w:val="nil"/>
              <w:bottom w:val="nil"/>
              <w:right w:val="nil"/>
            </w:tcBorders>
            <w:shd w:val="clear" w:color="auto" w:fill="FFFFFF"/>
            <w:vAlign w:val="center"/>
          </w:tcPr>
          <w:p w14:paraId="28C98F07"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-.25686</w:t>
            </w:r>
          </w:p>
        </w:tc>
        <w:tc>
          <w:tcPr>
            <w:tcW w:w="1260" w:type="dxa"/>
            <w:tcBorders>
              <w:top w:val="nil"/>
              <w:left w:val="nil"/>
              <w:bottom w:val="nil"/>
              <w:right w:val="nil"/>
            </w:tcBorders>
            <w:shd w:val="clear" w:color="auto" w:fill="FFFFFF"/>
            <w:vAlign w:val="center"/>
          </w:tcPr>
          <w:p w14:paraId="5780C90C"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.30705</w:t>
            </w:r>
          </w:p>
        </w:tc>
        <w:tc>
          <w:tcPr>
            <w:tcW w:w="1259" w:type="dxa"/>
            <w:tcBorders>
              <w:top w:val="nil"/>
              <w:left w:val="nil"/>
              <w:bottom w:val="nil"/>
              <w:right w:val="nil"/>
            </w:tcBorders>
            <w:shd w:val="clear" w:color="auto" w:fill="FFFFFF"/>
            <w:vAlign w:val="center"/>
          </w:tcPr>
          <w:p w14:paraId="02ADB278"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.03330</w:t>
            </w:r>
          </w:p>
        </w:tc>
        <w:tc>
          <w:tcPr>
            <w:tcW w:w="1079" w:type="dxa"/>
            <w:tcBorders>
              <w:top w:val="nil"/>
              <w:left w:val="nil"/>
              <w:bottom w:val="nil"/>
              <w:right w:val="nil"/>
            </w:tcBorders>
            <w:shd w:val="clear" w:color="auto" w:fill="FFFFFF"/>
            <w:vAlign w:val="center"/>
          </w:tcPr>
          <w:p w14:paraId="5CA468A7"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-.32309</w:t>
            </w:r>
          </w:p>
        </w:tc>
        <w:tc>
          <w:tcPr>
            <w:tcW w:w="1169" w:type="dxa"/>
            <w:tcBorders>
              <w:top w:val="nil"/>
              <w:left w:val="nil"/>
              <w:bottom w:val="nil"/>
              <w:right w:val="nil"/>
            </w:tcBorders>
            <w:shd w:val="clear" w:color="auto" w:fill="FFFFFF"/>
            <w:vAlign w:val="center"/>
          </w:tcPr>
          <w:p w14:paraId="2A4FBE51"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-.19063</w:t>
            </w:r>
          </w:p>
        </w:tc>
        <w:tc>
          <w:tcPr>
            <w:tcW w:w="989" w:type="dxa"/>
            <w:tcBorders>
              <w:top w:val="nil"/>
              <w:left w:val="nil"/>
              <w:bottom w:val="nil"/>
              <w:right w:val="nil"/>
            </w:tcBorders>
            <w:shd w:val="clear" w:color="auto" w:fill="FFFFFF"/>
            <w:vAlign w:val="center"/>
          </w:tcPr>
          <w:p w14:paraId="5044E644"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7.712</w:t>
            </w:r>
          </w:p>
        </w:tc>
        <w:tc>
          <w:tcPr>
            <w:tcW w:w="1079" w:type="dxa"/>
            <w:tcBorders>
              <w:top w:val="nil"/>
              <w:left w:val="nil"/>
              <w:bottom w:val="nil"/>
              <w:right w:val="nil"/>
            </w:tcBorders>
            <w:shd w:val="clear" w:color="auto" w:fill="FFFFFF"/>
          </w:tcPr>
          <w:p w14:paraId="7E42AB6C"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r w:rsidR="008D4E8F" w14:paraId="16D98632" w14:textId="77777777">
        <w:trPr>
          <w:cantSplit/>
          <w:trHeight w:val="272"/>
        </w:trPr>
        <w:tc>
          <w:tcPr>
            <w:tcW w:w="1715" w:type="dxa"/>
            <w:tcBorders>
              <w:top w:val="nil"/>
              <w:left w:val="nil"/>
              <w:bottom w:val="nil"/>
              <w:right w:val="nil"/>
            </w:tcBorders>
            <w:shd w:val="clear" w:color="auto" w:fill="FFFFFF"/>
          </w:tcPr>
          <w:p w14:paraId="36C22D9C"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AIM</w:t>
            </w:r>
          </w:p>
        </w:tc>
        <w:tc>
          <w:tcPr>
            <w:tcW w:w="1260" w:type="dxa"/>
            <w:tcBorders>
              <w:top w:val="nil"/>
              <w:left w:val="nil"/>
              <w:bottom w:val="nil"/>
              <w:right w:val="nil"/>
            </w:tcBorders>
            <w:shd w:val="clear" w:color="auto" w:fill="FFFFFF"/>
            <w:vAlign w:val="center"/>
          </w:tcPr>
          <w:p w14:paraId="525C8127"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260" w:type="dxa"/>
            <w:tcBorders>
              <w:top w:val="nil"/>
              <w:left w:val="nil"/>
              <w:bottom w:val="nil"/>
              <w:right w:val="nil"/>
            </w:tcBorders>
            <w:shd w:val="clear" w:color="auto" w:fill="FFFFFF"/>
            <w:vAlign w:val="center"/>
          </w:tcPr>
          <w:p w14:paraId="41D399F2"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259" w:type="dxa"/>
            <w:tcBorders>
              <w:top w:val="nil"/>
              <w:left w:val="nil"/>
              <w:bottom w:val="nil"/>
              <w:right w:val="nil"/>
            </w:tcBorders>
            <w:shd w:val="clear" w:color="auto" w:fill="FFFFFF"/>
            <w:vAlign w:val="center"/>
          </w:tcPr>
          <w:p w14:paraId="6DC5BE84"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vAlign w:val="center"/>
          </w:tcPr>
          <w:p w14:paraId="562AB37B"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169" w:type="dxa"/>
            <w:tcBorders>
              <w:top w:val="nil"/>
              <w:left w:val="nil"/>
              <w:bottom w:val="nil"/>
              <w:right w:val="nil"/>
            </w:tcBorders>
            <w:shd w:val="clear" w:color="auto" w:fill="FFFFFF"/>
            <w:vAlign w:val="center"/>
          </w:tcPr>
          <w:p w14:paraId="3F345452"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989" w:type="dxa"/>
            <w:tcBorders>
              <w:top w:val="nil"/>
              <w:left w:val="nil"/>
              <w:bottom w:val="nil"/>
              <w:right w:val="nil"/>
            </w:tcBorders>
            <w:shd w:val="clear" w:color="auto" w:fill="FFFFFF"/>
            <w:vAlign w:val="center"/>
          </w:tcPr>
          <w:p w14:paraId="55939113"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079" w:type="dxa"/>
            <w:tcBorders>
              <w:top w:val="nil"/>
              <w:left w:val="nil"/>
              <w:bottom w:val="nil"/>
              <w:right w:val="nil"/>
            </w:tcBorders>
            <w:shd w:val="clear" w:color="auto" w:fill="FFFFFF"/>
          </w:tcPr>
          <w:p w14:paraId="19316417"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r>
      <w:tr w:rsidR="008D4E8F" w14:paraId="649D5707" w14:textId="77777777">
        <w:trPr>
          <w:cantSplit/>
          <w:trHeight w:val="272"/>
        </w:trPr>
        <w:tc>
          <w:tcPr>
            <w:tcW w:w="1715" w:type="dxa"/>
            <w:tcBorders>
              <w:top w:val="nil"/>
              <w:left w:val="nil"/>
              <w:bottom w:val="nil"/>
              <w:right w:val="nil"/>
            </w:tcBorders>
            <w:shd w:val="clear" w:color="auto" w:fill="FFFFFF"/>
          </w:tcPr>
          <w:p w14:paraId="31FDFCB7" w14:textId="77777777" w:rsidR="008D4E8F" w:rsidRDefault="00D90E3D">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Pretest (n=85)</w:t>
            </w:r>
          </w:p>
        </w:tc>
        <w:tc>
          <w:tcPr>
            <w:tcW w:w="1260" w:type="dxa"/>
            <w:tcBorders>
              <w:top w:val="nil"/>
              <w:left w:val="nil"/>
              <w:bottom w:val="nil"/>
              <w:right w:val="nil"/>
            </w:tcBorders>
            <w:shd w:val="clear" w:color="auto" w:fill="FFFFFF"/>
            <w:vAlign w:val="center"/>
          </w:tcPr>
          <w:p w14:paraId="77D4B612"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2.6215</w:t>
            </w:r>
          </w:p>
        </w:tc>
        <w:tc>
          <w:tcPr>
            <w:tcW w:w="1260" w:type="dxa"/>
            <w:tcBorders>
              <w:top w:val="nil"/>
              <w:left w:val="nil"/>
              <w:bottom w:val="nil"/>
              <w:right w:val="nil"/>
            </w:tcBorders>
            <w:shd w:val="clear" w:color="auto" w:fill="FFFFFF"/>
            <w:vAlign w:val="center"/>
          </w:tcPr>
          <w:p w14:paraId="3659B638"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.29147</w:t>
            </w:r>
          </w:p>
        </w:tc>
        <w:tc>
          <w:tcPr>
            <w:tcW w:w="1259" w:type="dxa"/>
            <w:tcBorders>
              <w:top w:val="nil"/>
              <w:left w:val="nil"/>
              <w:bottom w:val="nil"/>
              <w:right w:val="nil"/>
            </w:tcBorders>
            <w:shd w:val="clear" w:color="auto" w:fill="FFFFFF"/>
            <w:vAlign w:val="center"/>
          </w:tcPr>
          <w:p w14:paraId="2AB0488E"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.03161</w:t>
            </w:r>
          </w:p>
        </w:tc>
        <w:tc>
          <w:tcPr>
            <w:tcW w:w="1079" w:type="dxa"/>
            <w:tcBorders>
              <w:top w:val="nil"/>
              <w:left w:val="nil"/>
              <w:bottom w:val="nil"/>
              <w:right w:val="nil"/>
            </w:tcBorders>
            <w:shd w:val="clear" w:color="auto" w:fill="FFFFFF"/>
            <w:vAlign w:val="center"/>
          </w:tcPr>
          <w:p w14:paraId="47DC2AA1"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center"/>
          </w:tcPr>
          <w:p w14:paraId="645C416C"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vAlign w:val="center"/>
          </w:tcPr>
          <w:p w14:paraId="4246AB65"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2C2A0F65"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8D4E8F" w14:paraId="09167E13" w14:textId="77777777">
        <w:trPr>
          <w:cantSplit/>
          <w:trHeight w:val="272"/>
        </w:trPr>
        <w:tc>
          <w:tcPr>
            <w:tcW w:w="1715" w:type="dxa"/>
            <w:tcBorders>
              <w:top w:val="nil"/>
              <w:left w:val="nil"/>
              <w:bottom w:val="nil"/>
              <w:right w:val="nil"/>
            </w:tcBorders>
            <w:shd w:val="clear" w:color="auto" w:fill="FFFFFF"/>
          </w:tcPr>
          <w:p w14:paraId="0320905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Posttest (n=85)</w:t>
            </w:r>
          </w:p>
        </w:tc>
        <w:tc>
          <w:tcPr>
            <w:tcW w:w="1260" w:type="dxa"/>
            <w:tcBorders>
              <w:top w:val="nil"/>
              <w:left w:val="nil"/>
              <w:bottom w:val="nil"/>
              <w:right w:val="nil"/>
            </w:tcBorders>
            <w:shd w:val="clear" w:color="auto" w:fill="FFFFFF"/>
            <w:vAlign w:val="center"/>
          </w:tcPr>
          <w:p w14:paraId="134F446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2.9236</w:t>
            </w:r>
          </w:p>
        </w:tc>
        <w:tc>
          <w:tcPr>
            <w:tcW w:w="1260" w:type="dxa"/>
            <w:tcBorders>
              <w:top w:val="nil"/>
              <w:left w:val="nil"/>
              <w:bottom w:val="nil"/>
              <w:right w:val="nil"/>
            </w:tcBorders>
            <w:shd w:val="clear" w:color="auto" w:fill="FFFFFF"/>
            <w:vAlign w:val="center"/>
          </w:tcPr>
          <w:p w14:paraId="630036F4"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.15110</w:t>
            </w:r>
          </w:p>
        </w:tc>
        <w:tc>
          <w:tcPr>
            <w:tcW w:w="1259" w:type="dxa"/>
            <w:tcBorders>
              <w:top w:val="nil"/>
              <w:left w:val="nil"/>
              <w:bottom w:val="nil"/>
              <w:right w:val="nil"/>
            </w:tcBorders>
            <w:shd w:val="clear" w:color="auto" w:fill="FFFFFF"/>
            <w:vAlign w:val="center"/>
          </w:tcPr>
          <w:p w14:paraId="1A491213"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.01639</w:t>
            </w:r>
          </w:p>
        </w:tc>
        <w:tc>
          <w:tcPr>
            <w:tcW w:w="1079" w:type="dxa"/>
            <w:tcBorders>
              <w:top w:val="nil"/>
              <w:left w:val="nil"/>
              <w:bottom w:val="nil"/>
              <w:right w:val="nil"/>
            </w:tcBorders>
            <w:shd w:val="clear" w:color="auto" w:fill="FFFFFF"/>
            <w:vAlign w:val="center"/>
          </w:tcPr>
          <w:p w14:paraId="004717CE"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169" w:type="dxa"/>
            <w:tcBorders>
              <w:top w:val="nil"/>
              <w:left w:val="nil"/>
              <w:bottom w:val="nil"/>
              <w:right w:val="nil"/>
            </w:tcBorders>
            <w:shd w:val="clear" w:color="auto" w:fill="FFFFFF"/>
            <w:vAlign w:val="center"/>
          </w:tcPr>
          <w:p w14:paraId="4268F674"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989" w:type="dxa"/>
            <w:tcBorders>
              <w:top w:val="nil"/>
              <w:left w:val="nil"/>
              <w:bottom w:val="nil"/>
              <w:right w:val="nil"/>
            </w:tcBorders>
            <w:shd w:val="clear" w:color="auto" w:fill="FFFFFF"/>
            <w:vAlign w:val="center"/>
          </w:tcPr>
          <w:p w14:paraId="4FC397F5"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079" w:type="dxa"/>
            <w:tcBorders>
              <w:top w:val="nil"/>
              <w:left w:val="nil"/>
              <w:bottom w:val="nil"/>
              <w:right w:val="nil"/>
            </w:tcBorders>
            <w:shd w:val="clear" w:color="auto" w:fill="FFFFFF"/>
          </w:tcPr>
          <w:p w14:paraId="1DA975BC" w14:textId="77777777" w:rsidR="008D4E8F" w:rsidRDefault="008D4E8F">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8D4E8F" w14:paraId="479EB626" w14:textId="77777777">
        <w:trPr>
          <w:cantSplit/>
          <w:trHeight w:val="272"/>
        </w:trPr>
        <w:tc>
          <w:tcPr>
            <w:tcW w:w="1715" w:type="dxa"/>
            <w:tcBorders>
              <w:top w:val="nil"/>
              <w:left w:val="nil"/>
              <w:bottom w:val="single" w:sz="4" w:space="0" w:color="auto"/>
              <w:right w:val="nil"/>
            </w:tcBorders>
            <w:shd w:val="clear" w:color="auto" w:fill="FFFFFF"/>
          </w:tcPr>
          <w:p w14:paraId="3EEF4B09"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pretest - post</w:t>
            </w:r>
          </w:p>
        </w:tc>
        <w:tc>
          <w:tcPr>
            <w:tcW w:w="1260" w:type="dxa"/>
            <w:tcBorders>
              <w:top w:val="nil"/>
              <w:left w:val="nil"/>
              <w:bottom w:val="single" w:sz="4" w:space="0" w:color="auto"/>
              <w:right w:val="nil"/>
            </w:tcBorders>
            <w:shd w:val="clear" w:color="auto" w:fill="FFFFFF"/>
            <w:vAlign w:val="center"/>
          </w:tcPr>
          <w:p w14:paraId="7D1E7195"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-.30206</w:t>
            </w:r>
          </w:p>
        </w:tc>
        <w:tc>
          <w:tcPr>
            <w:tcW w:w="1260" w:type="dxa"/>
            <w:tcBorders>
              <w:top w:val="nil"/>
              <w:left w:val="nil"/>
              <w:bottom w:val="single" w:sz="4" w:space="0" w:color="auto"/>
              <w:right w:val="nil"/>
            </w:tcBorders>
            <w:shd w:val="clear" w:color="auto" w:fill="FFFFFF"/>
            <w:vAlign w:val="center"/>
          </w:tcPr>
          <w:p w14:paraId="13F84EC1"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.28119</w:t>
            </w:r>
          </w:p>
        </w:tc>
        <w:tc>
          <w:tcPr>
            <w:tcW w:w="1259" w:type="dxa"/>
            <w:tcBorders>
              <w:top w:val="nil"/>
              <w:left w:val="nil"/>
              <w:bottom w:val="single" w:sz="4" w:space="0" w:color="auto"/>
              <w:right w:val="nil"/>
            </w:tcBorders>
            <w:shd w:val="clear" w:color="auto" w:fill="FFFFFF"/>
            <w:vAlign w:val="center"/>
          </w:tcPr>
          <w:p w14:paraId="37F1EBB3"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.03050</w:t>
            </w:r>
          </w:p>
        </w:tc>
        <w:tc>
          <w:tcPr>
            <w:tcW w:w="1079" w:type="dxa"/>
            <w:tcBorders>
              <w:top w:val="nil"/>
              <w:left w:val="nil"/>
              <w:bottom w:val="single" w:sz="4" w:space="0" w:color="auto"/>
              <w:right w:val="nil"/>
            </w:tcBorders>
            <w:shd w:val="clear" w:color="auto" w:fill="FFFFFF"/>
            <w:vAlign w:val="center"/>
          </w:tcPr>
          <w:p w14:paraId="56EC049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-.36271</w:t>
            </w:r>
          </w:p>
        </w:tc>
        <w:tc>
          <w:tcPr>
            <w:tcW w:w="1169" w:type="dxa"/>
            <w:tcBorders>
              <w:top w:val="nil"/>
              <w:left w:val="nil"/>
              <w:bottom w:val="single" w:sz="4" w:space="0" w:color="auto"/>
              <w:right w:val="nil"/>
            </w:tcBorders>
            <w:shd w:val="clear" w:color="auto" w:fill="FFFFFF"/>
            <w:vAlign w:val="center"/>
          </w:tcPr>
          <w:p w14:paraId="377941DE"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-.24141</w:t>
            </w:r>
          </w:p>
        </w:tc>
        <w:tc>
          <w:tcPr>
            <w:tcW w:w="989" w:type="dxa"/>
            <w:tcBorders>
              <w:top w:val="nil"/>
              <w:left w:val="nil"/>
              <w:bottom w:val="single" w:sz="4" w:space="0" w:color="auto"/>
              <w:right w:val="nil"/>
            </w:tcBorders>
            <w:shd w:val="clear" w:color="auto" w:fill="FFFFFF"/>
            <w:vAlign w:val="center"/>
          </w:tcPr>
          <w:p w14:paraId="41E0A4C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9.904</w:t>
            </w:r>
          </w:p>
        </w:tc>
        <w:tc>
          <w:tcPr>
            <w:tcW w:w="1079" w:type="dxa"/>
            <w:tcBorders>
              <w:top w:val="nil"/>
              <w:left w:val="nil"/>
              <w:bottom w:val="single" w:sz="4" w:space="0" w:color="auto"/>
              <w:right w:val="nil"/>
            </w:tcBorders>
            <w:shd w:val="clear" w:color="auto" w:fill="FFFFFF"/>
          </w:tcPr>
          <w:p w14:paraId="621E8344"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bl>
    <w:p w14:paraId="2EBE9F9B" w14:textId="77777777" w:rsidR="008D4E8F" w:rsidRDefault="008D4E8F">
      <w:pPr>
        <w:autoSpaceDE w:val="0"/>
        <w:autoSpaceDN w:val="0"/>
        <w:adjustRightInd w:val="0"/>
        <w:spacing w:after="0" w:line="240" w:lineRule="auto"/>
        <w:rPr>
          <w:rFonts w:ascii="Times New Roman" w:hAnsi="Times New Roman" w:cs="Times New Roman"/>
          <w:sz w:val="24"/>
          <w:szCs w:val="24"/>
        </w:rPr>
      </w:pPr>
    </w:p>
    <w:p w14:paraId="61FDC1F1" w14:textId="77777777" w:rsidR="008D4E8F" w:rsidRDefault="00D90E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table </w:t>
      </w:r>
      <w:r>
        <w:rPr>
          <w:rFonts w:ascii="Times New Roman" w:hAnsi="Times New Roman" w:cs="Times New Roman"/>
          <w:sz w:val="24"/>
          <w:szCs w:val="24"/>
          <w:lang w:val="en-US"/>
        </w:rPr>
        <w:t>2</w:t>
      </w:r>
      <w:r>
        <w:rPr>
          <w:rFonts w:ascii="Times New Roman" w:hAnsi="Times New Roman" w:cs="Times New Roman"/>
          <w:sz w:val="24"/>
          <w:szCs w:val="24"/>
        </w:rPr>
        <w:t xml:space="preserve">b, significant differences were found in mean knowledge  from pretest to posttest in the three study groups </w:t>
      </w:r>
      <w:r>
        <w:rPr>
          <w:rFonts w:ascii="Times New Roman" w:hAnsi="Times New Roman" w:cs="Times New Roman"/>
          <w:bCs/>
          <w:color w:val="000000"/>
          <w:sz w:val="24"/>
          <w:szCs w:val="24"/>
        </w:rPr>
        <w:t>TLM</w:t>
      </w:r>
      <w:r>
        <w:rPr>
          <w:rFonts w:ascii="Times New Roman" w:hAnsi="Times New Roman" w:cs="Times New Roman"/>
          <w:sz w:val="24"/>
          <w:szCs w:val="24"/>
        </w:rPr>
        <w:t xml:space="preserve"> (mean ± std. Dev= </w:t>
      </w:r>
      <w:r>
        <w:rPr>
          <w:rFonts w:ascii="Times New Roman" w:hAnsi="Times New Roman" w:cs="Times New Roman"/>
          <w:color w:val="000000"/>
          <w:sz w:val="24"/>
          <w:szCs w:val="24"/>
        </w:rPr>
        <w:t xml:space="preserve">.30402 </w:t>
      </w:r>
      <w:r>
        <w:rPr>
          <w:rFonts w:ascii="Times New Roman" w:hAnsi="Times New Roman" w:cs="Times New Roman"/>
          <w:sz w:val="24"/>
          <w:szCs w:val="24"/>
        </w:rPr>
        <w:t xml:space="preserve">± </w:t>
      </w:r>
      <w:r>
        <w:rPr>
          <w:rFonts w:ascii="Times New Roman" w:hAnsi="Times New Roman" w:cs="Times New Roman"/>
          <w:color w:val="000000"/>
          <w:sz w:val="24"/>
          <w:szCs w:val="24"/>
        </w:rPr>
        <w:t>.35562; p &lt;0.0001; 95% Conf. Int= 0.22732 to 0.38073</w:t>
      </w:r>
      <w:r>
        <w:rPr>
          <w:rFonts w:ascii="Times New Roman" w:hAnsi="Times New Roman" w:cs="Times New Roman"/>
          <w:sz w:val="24"/>
          <w:szCs w:val="24"/>
        </w:rPr>
        <w:t>); WA</w:t>
      </w:r>
      <w:r>
        <w:rPr>
          <w:rFonts w:ascii="Times New Roman" w:hAnsi="Times New Roman" w:cs="Times New Roman"/>
          <w:color w:val="000000"/>
          <w:sz w:val="24"/>
          <w:szCs w:val="24"/>
        </w:rPr>
        <w:t>M</w:t>
      </w:r>
      <w:r>
        <w:rPr>
          <w:rFonts w:ascii="Times New Roman" w:hAnsi="Times New Roman" w:cs="Times New Roman"/>
          <w:sz w:val="24"/>
          <w:szCs w:val="24"/>
        </w:rPr>
        <w:t xml:space="preserve"> (mean ± std. Dev= </w:t>
      </w:r>
      <w:r>
        <w:rPr>
          <w:rFonts w:ascii="Times New Roman" w:hAnsi="Times New Roman" w:cs="Times New Roman"/>
          <w:color w:val="000000"/>
          <w:sz w:val="24"/>
          <w:szCs w:val="24"/>
        </w:rPr>
        <w:t xml:space="preserve">.25686 </w:t>
      </w:r>
      <w:r>
        <w:rPr>
          <w:rFonts w:ascii="Times New Roman" w:hAnsi="Times New Roman" w:cs="Times New Roman"/>
          <w:sz w:val="24"/>
          <w:szCs w:val="24"/>
        </w:rPr>
        <w:t>± 0</w:t>
      </w:r>
      <w:r>
        <w:rPr>
          <w:rFonts w:ascii="Times New Roman" w:hAnsi="Times New Roman" w:cs="Times New Roman"/>
          <w:color w:val="000000"/>
          <w:sz w:val="24"/>
          <w:szCs w:val="24"/>
        </w:rPr>
        <w:t>.30705; p &lt;0.0001; 95% Conf. Int= 0.24141 to 0.32309</w:t>
      </w:r>
      <w:r>
        <w:rPr>
          <w:rFonts w:ascii="Times New Roman" w:hAnsi="Times New Roman" w:cs="Times New Roman"/>
          <w:sz w:val="24"/>
          <w:szCs w:val="24"/>
        </w:rPr>
        <w:t>); WA</w:t>
      </w:r>
      <w:r>
        <w:rPr>
          <w:rFonts w:ascii="Times New Roman" w:hAnsi="Times New Roman" w:cs="Times New Roman"/>
          <w:color w:val="000000"/>
          <w:sz w:val="24"/>
          <w:szCs w:val="24"/>
        </w:rPr>
        <w:t>M</w:t>
      </w:r>
      <w:r>
        <w:rPr>
          <w:rFonts w:ascii="Times New Roman" w:hAnsi="Times New Roman" w:cs="Times New Roman"/>
          <w:sz w:val="24"/>
          <w:szCs w:val="24"/>
        </w:rPr>
        <w:t xml:space="preserve"> (mean ± std. Dev= </w:t>
      </w:r>
      <w:r>
        <w:rPr>
          <w:rFonts w:ascii="Times New Roman" w:hAnsi="Times New Roman" w:cs="Times New Roman"/>
          <w:color w:val="000000"/>
          <w:sz w:val="24"/>
          <w:szCs w:val="24"/>
        </w:rPr>
        <w:t xml:space="preserve">.30206 </w:t>
      </w:r>
      <w:r>
        <w:rPr>
          <w:rFonts w:ascii="Times New Roman" w:hAnsi="Times New Roman" w:cs="Times New Roman"/>
          <w:sz w:val="24"/>
          <w:szCs w:val="24"/>
        </w:rPr>
        <w:t>± -0</w:t>
      </w:r>
      <w:r>
        <w:rPr>
          <w:rFonts w:ascii="Times New Roman" w:hAnsi="Times New Roman" w:cs="Times New Roman"/>
          <w:color w:val="000000"/>
          <w:sz w:val="24"/>
          <w:szCs w:val="24"/>
        </w:rPr>
        <w:t>.28119; p &lt;0.0001; 95% Conf. Int= 0.19063 to .36271</w:t>
      </w:r>
      <w:r>
        <w:rPr>
          <w:rFonts w:ascii="Times New Roman" w:hAnsi="Times New Roman" w:cs="Times New Roman"/>
          <w:sz w:val="24"/>
          <w:szCs w:val="24"/>
        </w:rPr>
        <w:t xml:space="preserve">). </w:t>
      </w:r>
    </w:p>
    <w:p w14:paraId="5F062313" w14:textId="77777777" w:rsidR="008D4E8F" w:rsidRDefault="008D4E8F">
      <w:pPr>
        <w:spacing w:after="0" w:line="240" w:lineRule="auto"/>
        <w:jc w:val="both"/>
        <w:rPr>
          <w:rFonts w:ascii="Times New Roman" w:hAnsi="Times New Roman" w:cs="Times New Roman"/>
          <w:sz w:val="24"/>
          <w:szCs w:val="24"/>
        </w:rPr>
      </w:pPr>
    </w:p>
    <w:p w14:paraId="097C78A8" w14:textId="77777777" w:rsidR="008D4E8F" w:rsidRDefault="00D90E3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2</w:t>
      </w:r>
      <w:r>
        <w:rPr>
          <w:rFonts w:ascii="Times New Roman" w:hAnsi="Times New Roman" w:cs="Times New Roman"/>
          <w:b/>
          <w:sz w:val="24"/>
          <w:szCs w:val="24"/>
        </w:rPr>
        <w:t>c: Summary Intervention Effect on Knowledge of consequences of risky sexual behaviours</w:t>
      </w:r>
    </w:p>
    <w:tbl>
      <w:tblPr>
        <w:tblW w:w="8370" w:type="dxa"/>
        <w:tblInd w:w="9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885"/>
        <w:gridCol w:w="1260"/>
        <w:gridCol w:w="1350"/>
        <w:gridCol w:w="990"/>
        <w:gridCol w:w="1625"/>
        <w:gridCol w:w="1260"/>
      </w:tblGrid>
      <w:tr w:rsidR="008D4E8F" w14:paraId="22018494" w14:textId="77777777">
        <w:trPr>
          <w:cantSplit/>
          <w:trHeight w:val="303"/>
        </w:trPr>
        <w:tc>
          <w:tcPr>
            <w:tcW w:w="1885" w:type="dxa"/>
            <w:vMerge w:val="restart"/>
            <w:tcBorders>
              <w:top w:val="single" w:sz="4" w:space="0" w:color="auto"/>
              <w:left w:val="nil"/>
              <w:bottom w:val="single" w:sz="4" w:space="0" w:color="auto"/>
              <w:right w:val="nil"/>
            </w:tcBorders>
            <w:shd w:val="clear" w:color="auto" w:fill="FFFFFF"/>
            <w:vAlign w:val="bottom"/>
          </w:tcPr>
          <w:p w14:paraId="072D75F7" w14:textId="77777777" w:rsidR="008D4E8F" w:rsidRDefault="00D90E3D">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Group</w:t>
            </w:r>
          </w:p>
        </w:tc>
        <w:tc>
          <w:tcPr>
            <w:tcW w:w="1260" w:type="dxa"/>
            <w:vMerge w:val="restart"/>
            <w:tcBorders>
              <w:top w:val="single" w:sz="4" w:space="0" w:color="auto"/>
              <w:left w:val="nil"/>
              <w:bottom w:val="single" w:sz="4" w:space="0" w:color="auto"/>
              <w:right w:val="nil"/>
            </w:tcBorders>
            <w:shd w:val="clear" w:color="auto" w:fill="FFFFFF"/>
            <w:vAlign w:val="bottom"/>
          </w:tcPr>
          <w:p w14:paraId="7613294B"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Mean Difference </w:t>
            </w:r>
          </w:p>
        </w:tc>
        <w:tc>
          <w:tcPr>
            <w:tcW w:w="1350" w:type="dxa"/>
            <w:vMerge w:val="restart"/>
            <w:tcBorders>
              <w:top w:val="single" w:sz="4" w:space="0" w:color="auto"/>
              <w:left w:val="nil"/>
              <w:bottom w:val="single" w:sz="4" w:space="0" w:color="auto"/>
              <w:right w:val="nil"/>
            </w:tcBorders>
            <w:shd w:val="clear" w:color="auto" w:fill="FFFFFF"/>
            <w:vAlign w:val="bottom"/>
          </w:tcPr>
          <w:p w14:paraId="582414A9"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Std. Error</w:t>
            </w:r>
          </w:p>
        </w:tc>
        <w:tc>
          <w:tcPr>
            <w:tcW w:w="990" w:type="dxa"/>
            <w:vMerge w:val="restart"/>
            <w:tcBorders>
              <w:top w:val="single" w:sz="4" w:space="0" w:color="auto"/>
              <w:left w:val="nil"/>
              <w:bottom w:val="single" w:sz="4" w:space="0" w:color="auto"/>
              <w:right w:val="nil"/>
            </w:tcBorders>
            <w:shd w:val="clear" w:color="auto" w:fill="FFFFFF"/>
            <w:vAlign w:val="bottom"/>
          </w:tcPr>
          <w:p w14:paraId="7B397F51"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 value</w:t>
            </w:r>
          </w:p>
        </w:tc>
        <w:tc>
          <w:tcPr>
            <w:tcW w:w="2885" w:type="dxa"/>
            <w:gridSpan w:val="2"/>
            <w:tcBorders>
              <w:top w:val="single" w:sz="4" w:space="0" w:color="auto"/>
              <w:left w:val="nil"/>
              <w:bottom w:val="nil"/>
              <w:right w:val="nil"/>
            </w:tcBorders>
            <w:shd w:val="clear" w:color="auto" w:fill="FFFFFF"/>
            <w:vAlign w:val="bottom"/>
          </w:tcPr>
          <w:p w14:paraId="67D64427"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95% Confidence Interval</w:t>
            </w:r>
          </w:p>
        </w:tc>
      </w:tr>
      <w:tr w:rsidR="008D4E8F" w14:paraId="068981F1" w14:textId="77777777">
        <w:trPr>
          <w:cantSplit/>
          <w:trHeight w:val="138"/>
        </w:trPr>
        <w:tc>
          <w:tcPr>
            <w:tcW w:w="1885" w:type="dxa"/>
            <w:vMerge/>
            <w:tcBorders>
              <w:top w:val="single" w:sz="4" w:space="0" w:color="auto"/>
              <w:left w:val="nil"/>
              <w:bottom w:val="single" w:sz="4" w:space="0" w:color="auto"/>
              <w:right w:val="nil"/>
            </w:tcBorders>
            <w:vAlign w:val="center"/>
          </w:tcPr>
          <w:p w14:paraId="2F47F7A3" w14:textId="77777777" w:rsidR="008D4E8F" w:rsidRDefault="008D4E8F">
            <w:pPr>
              <w:spacing w:after="0" w:line="240" w:lineRule="auto"/>
              <w:rPr>
                <w:rFonts w:ascii="Times New Roman" w:hAnsi="Times New Roman" w:cs="Times New Roman"/>
                <w:b/>
                <w:color w:val="000000"/>
                <w:sz w:val="24"/>
                <w:szCs w:val="24"/>
              </w:rPr>
            </w:pPr>
          </w:p>
        </w:tc>
        <w:tc>
          <w:tcPr>
            <w:tcW w:w="1260" w:type="dxa"/>
            <w:vMerge/>
            <w:tcBorders>
              <w:top w:val="single" w:sz="4" w:space="0" w:color="auto"/>
              <w:left w:val="nil"/>
              <w:bottom w:val="single" w:sz="4" w:space="0" w:color="auto"/>
              <w:right w:val="nil"/>
            </w:tcBorders>
            <w:vAlign w:val="center"/>
          </w:tcPr>
          <w:p w14:paraId="76F3E1D5" w14:textId="77777777" w:rsidR="008D4E8F" w:rsidRDefault="008D4E8F">
            <w:pPr>
              <w:spacing w:after="0" w:line="240" w:lineRule="auto"/>
              <w:rPr>
                <w:rFonts w:ascii="Times New Roman" w:hAnsi="Times New Roman" w:cs="Times New Roman"/>
                <w:b/>
                <w:color w:val="000000"/>
                <w:sz w:val="24"/>
                <w:szCs w:val="24"/>
              </w:rPr>
            </w:pPr>
          </w:p>
        </w:tc>
        <w:tc>
          <w:tcPr>
            <w:tcW w:w="1350" w:type="dxa"/>
            <w:vMerge/>
            <w:tcBorders>
              <w:top w:val="single" w:sz="4" w:space="0" w:color="auto"/>
              <w:left w:val="nil"/>
              <w:bottom w:val="single" w:sz="4" w:space="0" w:color="auto"/>
              <w:right w:val="nil"/>
            </w:tcBorders>
            <w:vAlign w:val="center"/>
          </w:tcPr>
          <w:p w14:paraId="052B9C5F" w14:textId="77777777" w:rsidR="008D4E8F" w:rsidRDefault="008D4E8F">
            <w:pPr>
              <w:spacing w:after="0" w:line="240" w:lineRule="auto"/>
              <w:rPr>
                <w:rFonts w:ascii="Times New Roman" w:hAnsi="Times New Roman" w:cs="Times New Roman"/>
                <w:b/>
                <w:color w:val="000000"/>
                <w:sz w:val="24"/>
                <w:szCs w:val="24"/>
              </w:rPr>
            </w:pPr>
          </w:p>
        </w:tc>
        <w:tc>
          <w:tcPr>
            <w:tcW w:w="990" w:type="dxa"/>
            <w:vMerge/>
            <w:tcBorders>
              <w:top w:val="single" w:sz="4" w:space="0" w:color="auto"/>
              <w:left w:val="nil"/>
              <w:bottom w:val="single" w:sz="4" w:space="0" w:color="auto"/>
              <w:right w:val="nil"/>
            </w:tcBorders>
            <w:vAlign w:val="center"/>
          </w:tcPr>
          <w:p w14:paraId="751AA2E1" w14:textId="77777777" w:rsidR="008D4E8F" w:rsidRDefault="008D4E8F">
            <w:pPr>
              <w:spacing w:after="0" w:line="240" w:lineRule="auto"/>
              <w:rPr>
                <w:rFonts w:ascii="Times New Roman" w:hAnsi="Times New Roman" w:cs="Times New Roman"/>
                <w:b/>
                <w:color w:val="000000"/>
                <w:sz w:val="24"/>
                <w:szCs w:val="24"/>
              </w:rPr>
            </w:pPr>
          </w:p>
        </w:tc>
        <w:tc>
          <w:tcPr>
            <w:tcW w:w="1625" w:type="dxa"/>
            <w:tcBorders>
              <w:top w:val="nil"/>
              <w:left w:val="nil"/>
              <w:bottom w:val="single" w:sz="4" w:space="0" w:color="auto"/>
              <w:right w:val="nil"/>
            </w:tcBorders>
            <w:shd w:val="clear" w:color="auto" w:fill="FFFFFF"/>
            <w:vAlign w:val="bottom"/>
          </w:tcPr>
          <w:p w14:paraId="19E77EB0"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Lower </w:t>
            </w:r>
          </w:p>
        </w:tc>
        <w:tc>
          <w:tcPr>
            <w:tcW w:w="1260" w:type="dxa"/>
            <w:tcBorders>
              <w:top w:val="nil"/>
              <w:left w:val="nil"/>
              <w:bottom w:val="single" w:sz="4" w:space="0" w:color="auto"/>
              <w:right w:val="nil"/>
            </w:tcBorders>
            <w:shd w:val="clear" w:color="auto" w:fill="FFFFFF"/>
            <w:vAlign w:val="bottom"/>
          </w:tcPr>
          <w:p w14:paraId="60F3DD9C" w14:textId="77777777" w:rsidR="008D4E8F" w:rsidRDefault="00D90E3D">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Upper </w:t>
            </w:r>
          </w:p>
        </w:tc>
      </w:tr>
      <w:tr w:rsidR="008D4E8F" w14:paraId="670434C4" w14:textId="77777777">
        <w:trPr>
          <w:cantSplit/>
          <w:trHeight w:val="303"/>
        </w:trPr>
        <w:tc>
          <w:tcPr>
            <w:tcW w:w="1885" w:type="dxa"/>
            <w:tcBorders>
              <w:top w:val="single" w:sz="4" w:space="0" w:color="auto"/>
              <w:left w:val="nil"/>
              <w:bottom w:val="nil"/>
              <w:right w:val="nil"/>
            </w:tcBorders>
            <w:shd w:val="clear" w:color="auto" w:fill="FFFFFF"/>
          </w:tcPr>
          <w:p w14:paraId="644AACFA" w14:textId="77777777" w:rsidR="008D4E8F" w:rsidRDefault="008D4E8F">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1260" w:type="dxa"/>
            <w:tcBorders>
              <w:top w:val="single" w:sz="4" w:space="0" w:color="auto"/>
              <w:left w:val="nil"/>
              <w:bottom w:val="nil"/>
              <w:right w:val="nil"/>
            </w:tcBorders>
            <w:shd w:val="clear" w:color="auto" w:fill="FFFFFF"/>
            <w:vAlign w:val="center"/>
          </w:tcPr>
          <w:p w14:paraId="1FDAD607"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350" w:type="dxa"/>
            <w:tcBorders>
              <w:top w:val="single" w:sz="4" w:space="0" w:color="auto"/>
              <w:left w:val="nil"/>
              <w:bottom w:val="nil"/>
              <w:right w:val="nil"/>
            </w:tcBorders>
            <w:shd w:val="clear" w:color="auto" w:fill="FFFFFF"/>
            <w:vAlign w:val="center"/>
          </w:tcPr>
          <w:p w14:paraId="295190E7"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990" w:type="dxa"/>
            <w:tcBorders>
              <w:top w:val="single" w:sz="4" w:space="0" w:color="auto"/>
              <w:left w:val="nil"/>
              <w:bottom w:val="nil"/>
              <w:right w:val="nil"/>
            </w:tcBorders>
            <w:shd w:val="clear" w:color="auto" w:fill="FFFFFF"/>
            <w:vAlign w:val="center"/>
          </w:tcPr>
          <w:p w14:paraId="3930B6E6"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625" w:type="dxa"/>
            <w:tcBorders>
              <w:top w:val="single" w:sz="4" w:space="0" w:color="auto"/>
              <w:left w:val="nil"/>
              <w:bottom w:val="nil"/>
              <w:right w:val="nil"/>
            </w:tcBorders>
            <w:shd w:val="clear" w:color="auto" w:fill="FFFFFF"/>
            <w:vAlign w:val="center"/>
          </w:tcPr>
          <w:p w14:paraId="1CE56C40"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c>
          <w:tcPr>
            <w:tcW w:w="1260" w:type="dxa"/>
            <w:tcBorders>
              <w:top w:val="single" w:sz="4" w:space="0" w:color="auto"/>
              <w:left w:val="nil"/>
              <w:bottom w:val="nil"/>
              <w:right w:val="nil"/>
            </w:tcBorders>
            <w:shd w:val="clear" w:color="auto" w:fill="FFFFFF"/>
            <w:vAlign w:val="center"/>
          </w:tcPr>
          <w:p w14:paraId="28768CCC" w14:textId="77777777" w:rsidR="008D4E8F" w:rsidRDefault="008D4E8F">
            <w:pPr>
              <w:autoSpaceDE w:val="0"/>
              <w:autoSpaceDN w:val="0"/>
              <w:adjustRightInd w:val="0"/>
              <w:spacing w:after="0" w:line="240" w:lineRule="auto"/>
              <w:ind w:left="60" w:right="60"/>
              <w:jc w:val="right"/>
              <w:rPr>
                <w:rFonts w:ascii="Times New Roman" w:hAnsi="Times New Roman" w:cs="Times New Roman"/>
                <w:b/>
                <w:color w:val="000000"/>
                <w:sz w:val="24"/>
                <w:szCs w:val="24"/>
              </w:rPr>
            </w:pPr>
          </w:p>
        </w:tc>
      </w:tr>
      <w:tr w:rsidR="008D4E8F" w14:paraId="74512506" w14:textId="77777777">
        <w:trPr>
          <w:cantSplit/>
          <w:trHeight w:val="606"/>
        </w:trPr>
        <w:tc>
          <w:tcPr>
            <w:tcW w:w="1885" w:type="dxa"/>
            <w:tcBorders>
              <w:top w:val="nil"/>
              <w:left w:val="nil"/>
              <w:bottom w:val="nil"/>
              <w:right w:val="nil"/>
            </w:tcBorders>
            <w:shd w:val="clear" w:color="auto" w:fill="FFFFFF"/>
          </w:tcPr>
          <w:p w14:paraId="2769280F"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TLM vs WAM</w:t>
            </w:r>
          </w:p>
        </w:tc>
        <w:tc>
          <w:tcPr>
            <w:tcW w:w="1260" w:type="dxa"/>
            <w:tcBorders>
              <w:top w:val="nil"/>
              <w:left w:val="nil"/>
              <w:bottom w:val="nil"/>
              <w:right w:val="nil"/>
            </w:tcBorders>
            <w:shd w:val="clear" w:color="auto" w:fill="FFFFFF"/>
            <w:vAlign w:val="center"/>
          </w:tcPr>
          <w:p w14:paraId="08328DA9"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.0764</w:t>
            </w:r>
            <w:r>
              <w:rPr>
                <w:rFonts w:ascii="Times New Roman" w:hAnsi="Times New Roman" w:cs="Times New Roman"/>
                <w:color w:val="000000"/>
                <w:sz w:val="24"/>
                <w:szCs w:val="24"/>
                <w:vertAlign w:val="superscript"/>
              </w:rPr>
              <w:t>*</w:t>
            </w:r>
          </w:p>
        </w:tc>
        <w:tc>
          <w:tcPr>
            <w:tcW w:w="1350" w:type="dxa"/>
            <w:tcBorders>
              <w:top w:val="nil"/>
              <w:left w:val="nil"/>
              <w:bottom w:val="nil"/>
              <w:right w:val="nil"/>
            </w:tcBorders>
            <w:shd w:val="clear" w:color="auto" w:fill="FFFFFF"/>
            <w:vAlign w:val="center"/>
          </w:tcPr>
          <w:p w14:paraId="16714771"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.01892</w:t>
            </w:r>
          </w:p>
        </w:tc>
        <w:tc>
          <w:tcPr>
            <w:tcW w:w="990" w:type="dxa"/>
            <w:tcBorders>
              <w:top w:val="nil"/>
              <w:left w:val="nil"/>
              <w:bottom w:val="nil"/>
              <w:right w:val="nil"/>
            </w:tcBorders>
            <w:shd w:val="clear" w:color="auto" w:fill="FFFFFF"/>
            <w:vAlign w:val="center"/>
          </w:tcPr>
          <w:p w14:paraId="12CE72A0"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625" w:type="dxa"/>
            <w:tcBorders>
              <w:top w:val="nil"/>
              <w:left w:val="nil"/>
              <w:bottom w:val="nil"/>
              <w:right w:val="nil"/>
            </w:tcBorders>
            <w:shd w:val="clear" w:color="auto" w:fill="FFFFFF"/>
            <w:vAlign w:val="center"/>
          </w:tcPr>
          <w:p w14:paraId="15101CEC"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.0308</w:t>
            </w:r>
          </w:p>
        </w:tc>
        <w:tc>
          <w:tcPr>
            <w:tcW w:w="1260" w:type="dxa"/>
            <w:tcBorders>
              <w:top w:val="nil"/>
              <w:left w:val="nil"/>
              <w:bottom w:val="nil"/>
              <w:right w:val="nil"/>
            </w:tcBorders>
            <w:shd w:val="clear" w:color="auto" w:fill="FFFFFF"/>
            <w:vAlign w:val="center"/>
          </w:tcPr>
          <w:p w14:paraId="26325770"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.1220</w:t>
            </w:r>
          </w:p>
        </w:tc>
      </w:tr>
      <w:tr w:rsidR="008D4E8F" w14:paraId="40774388" w14:textId="77777777">
        <w:trPr>
          <w:cantSplit/>
          <w:trHeight w:val="620"/>
        </w:trPr>
        <w:tc>
          <w:tcPr>
            <w:tcW w:w="1885" w:type="dxa"/>
            <w:tcBorders>
              <w:top w:val="nil"/>
              <w:left w:val="nil"/>
              <w:bottom w:val="nil"/>
              <w:right w:val="nil"/>
            </w:tcBorders>
            <w:shd w:val="clear" w:color="auto" w:fill="FFFFFF"/>
          </w:tcPr>
          <w:p w14:paraId="68064001"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TLM  vs AIM</w:t>
            </w:r>
          </w:p>
        </w:tc>
        <w:tc>
          <w:tcPr>
            <w:tcW w:w="1260" w:type="dxa"/>
            <w:tcBorders>
              <w:top w:val="nil"/>
              <w:left w:val="nil"/>
              <w:bottom w:val="nil"/>
              <w:right w:val="nil"/>
            </w:tcBorders>
            <w:shd w:val="clear" w:color="auto" w:fill="FFFFFF"/>
            <w:vAlign w:val="center"/>
          </w:tcPr>
          <w:p w14:paraId="52D244B2"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350" w:type="dxa"/>
            <w:tcBorders>
              <w:top w:val="nil"/>
              <w:left w:val="nil"/>
              <w:bottom w:val="nil"/>
              <w:right w:val="nil"/>
            </w:tcBorders>
            <w:shd w:val="clear" w:color="auto" w:fill="FFFFFF"/>
            <w:vAlign w:val="center"/>
          </w:tcPr>
          <w:p w14:paraId="67A254CD"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.01892</w:t>
            </w:r>
          </w:p>
        </w:tc>
        <w:tc>
          <w:tcPr>
            <w:tcW w:w="990" w:type="dxa"/>
            <w:tcBorders>
              <w:top w:val="nil"/>
              <w:left w:val="nil"/>
              <w:bottom w:val="nil"/>
              <w:right w:val="nil"/>
            </w:tcBorders>
            <w:shd w:val="clear" w:color="auto" w:fill="FFFFFF"/>
            <w:vAlign w:val="center"/>
          </w:tcPr>
          <w:p w14:paraId="599C2B24"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25" w:type="dxa"/>
            <w:tcBorders>
              <w:top w:val="nil"/>
              <w:left w:val="nil"/>
              <w:bottom w:val="nil"/>
              <w:right w:val="nil"/>
            </w:tcBorders>
            <w:shd w:val="clear" w:color="auto" w:fill="FFFFFF"/>
            <w:vAlign w:val="center"/>
          </w:tcPr>
          <w:p w14:paraId="572FE8C8"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-.0456</w:t>
            </w:r>
          </w:p>
        </w:tc>
        <w:tc>
          <w:tcPr>
            <w:tcW w:w="1260" w:type="dxa"/>
            <w:tcBorders>
              <w:top w:val="nil"/>
              <w:left w:val="nil"/>
              <w:bottom w:val="nil"/>
              <w:right w:val="nil"/>
            </w:tcBorders>
            <w:shd w:val="clear" w:color="auto" w:fill="FFFFFF"/>
            <w:vAlign w:val="center"/>
          </w:tcPr>
          <w:p w14:paraId="64021F4A"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.0456</w:t>
            </w:r>
          </w:p>
        </w:tc>
      </w:tr>
      <w:tr w:rsidR="008D4E8F" w14:paraId="4819095B" w14:textId="77777777">
        <w:trPr>
          <w:cantSplit/>
          <w:trHeight w:val="606"/>
        </w:trPr>
        <w:tc>
          <w:tcPr>
            <w:tcW w:w="1885" w:type="dxa"/>
            <w:tcBorders>
              <w:top w:val="nil"/>
              <w:left w:val="nil"/>
              <w:bottom w:val="single" w:sz="4" w:space="0" w:color="auto"/>
              <w:right w:val="nil"/>
            </w:tcBorders>
            <w:shd w:val="clear" w:color="auto" w:fill="FFFFFF"/>
          </w:tcPr>
          <w:p w14:paraId="3A669697" w14:textId="77777777" w:rsidR="008D4E8F" w:rsidRDefault="00D90E3D">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WAM  vs AIM</w:t>
            </w:r>
          </w:p>
        </w:tc>
        <w:tc>
          <w:tcPr>
            <w:tcW w:w="1260" w:type="dxa"/>
            <w:tcBorders>
              <w:top w:val="nil"/>
              <w:left w:val="nil"/>
              <w:bottom w:val="single" w:sz="4" w:space="0" w:color="auto"/>
              <w:right w:val="nil"/>
            </w:tcBorders>
            <w:shd w:val="clear" w:color="auto" w:fill="FFFFFF"/>
            <w:vAlign w:val="center"/>
          </w:tcPr>
          <w:p w14:paraId="0CAC0510"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.0764</w:t>
            </w:r>
            <w:r>
              <w:rPr>
                <w:rFonts w:ascii="Times New Roman" w:hAnsi="Times New Roman" w:cs="Times New Roman"/>
                <w:color w:val="000000"/>
                <w:sz w:val="24"/>
                <w:szCs w:val="24"/>
                <w:vertAlign w:val="superscript"/>
              </w:rPr>
              <w:t>*</w:t>
            </w:r>
          </w:p>
        </w:tc>
        <w:tc>
          <w:tcPr>
            <w:tcW w:w="1350" w:type="dxa"/>
            <w:tcBorders>
              <w:top w:val="nil"/>
              <w:left w:val="nil"/>
              <w:bottom w:val="single" w:sz="4" w:space="0" w:color="auto"/>
              <w:right w:val="nil"/>
            </w:tcBorders>
            <w:shd w:val="clear" w:color="auto" w:fill="FFFFFF"/>
            <w:vAlign w:val="center"/>
          </w:tcPr>
          <w:p w14:paraId="3E4AE0FF"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.01892</w:t>
            </w:r>
          </w:p>
        </w:tc>
        <w:tc>
          <w:tcPr>
            <w:tcW w:w="990" w:type="dxa"/>
            <w:tcBorders>
              <w:top w:val="nil"/>
              <w:left w:val="nil"/>
              <w:bottom w:val="single" w:sz="4" w:space="0" w:color="auto"/>
              <w:right w:val="nil"/>
            </w:tcBorders>
            <w:shd w:val="clear" w:color="auto" w:fill="FFFFFF"/>
            <w:vAlign w:val="center"/>
          </w:tcPr>
          <w:p w14:paraId="59A67A97"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625" w:type="dxa"/>
            <w:tcBorders>
              <w:top w:val="nil"/>
              <w:left w:val="nil"/>
              <w:bottom w:val="single" w:sz="4" w:space="0" w:color="auto"/>
              <w:right w:val="nil"/>
            </w:tcBorders>
            <w:shd w:val="clear" w:color="auto" w:fill="FFFFFF"/>
            <w:vAlign w:val="center"/>
          </w:tcPr>
          <w:p w14:paraId="62B9D888"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.0308</w:t>
            </w:r>
          </w:p>
        </w:tc>
        <w:tc>
          <w:tcPr>
            <w:tcW w:w="1260" w:type="dxa"/>
            <w:tcBorders>
              <w:top w:val="nil"/>
              <w:left w:val="nil"/>
              <w:bottom w:val="single" w:sz="4" w:space="0" w:color="auto"/>
              <w:right w:val="nil"/>
            </w:tcBorders>
            <w:shd w:val="clear" w:color="auto" w:fill="FFFFFF"/>
            <w:vAlign w:val="center"/>
          </w:tcPr>
          <w:p w14:paraId="0EB4C5E8" w14:textId="77777777" w:rsidR="008D4E8F" w:rsidRDefault="00D90E3D">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.1220</w:t>
            </w:r>
          </w:p>
        </w:tc>
      </w:tr>
    </w:tbl>
    <w:p w14:paraId="0388CB1E" w14:textId="77777777" w:rsidR="008D4E8F" w:rsidRDefault="008D4E8F">
      <w:pPr>
        <w:autoSpaceDE w:val="0"/>
        <w:autoSpaceDN w:val="0"/>
        <w:adjustRightInd w:val="0"/>
        <w:spacing w:after="0" w:line="240" w:lineRule="auto"/>
        <w:rPr>
          <w:rFonts w:ascii="Times New Roman" w:hAnsi="Times New Roman" w:cs="Times New Roman"/>
          <w:sz w:val="24"/>
          <w:szCs w:val="24"/>
        </w:rPr>
      </w:pPr>
    </w:p>
    <w:p w14:paraId="31E4F652" w14:textId="33CBD6A6" w:rsidR="008D4E8F" w:rsidRDefault="00D90E3D">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Bonferroni test for multiple comparison in Table </w:t>
      </w:r>
      <w:r w:rsidR="005A2FC2">
        <w:rPr>
          <w:rFonts w:ascii="Times New Roman" w:hAnsi="Times New Roman" w:cs="Times New Roman"/>
          <w:sz w:val="24"/>
          <w:szCs w:val="24"/>
          <w:lang w:val="en-IN"/>
        </w:rPr>
        <w:t>2</w:t>
      </w:r>
      <w:r>
        <w:rPr>
          <w:rFonts w:ascii="Times New Roman" w:hAnsi="Times New Roman" w:cs="Times New Roman"/>
          <w:sz w:val="24"/>
          <w:szCs w:val="24"/>
        </w:rPr>
        <w:t xml:space="preserve">c indicates that significant difference was found between </w:t>
      </w:r>
      <w:r>
        <w:rPr>
          <w:rFonts w:ascii="Times New Roman" w:hAnsi="Times New Roman" w:cs="Times New Roman"/>
          <w:color w:val="000000"/>
          <w:sz w:val="24"/>
          <w:szCs w:val="24"/>
        </w:rPr>
        <w:t xml:space="preserve">TLM and WAM, </w:t>
      </w:r>
      <w:r>
        <w:rPr>
          <w:rFonts w:ascii="Times New Roman" w:hAnsi="Times New Roman" w:cs="Times New Roman"/>
          <w:sz w:val="24"/>
          <w:szCs w:val="24"/>
        </w:rPr>
        <w:t xml:space="preserve">and also between </w:t>
      </w:r>
      <w:r>
        <w:rPr>
          <w:rFonts w:ascii="Times New Roman" w:hAnsi="Times New Roman" w:cs="Times New Roman"/>
          <w:color w:val="000000"/>
          <w:sz w:val="24"/>
          <w:szCs w:val="24"/>
        </w:rPr>
        <w:t>WAM and AIM (p &lt; 0.0001, 95% CI =.0308 to .1220.</w:t>
      </w:r>
    </w:p>
    <w:p w14:paraId="37CA7903" w14:textId="77777777" w:rsidR="008D4E8F" w:rsidRDefault="00D90E3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Across the groups, figure 1 is a descriptive boxplot assessing difference between the three groups. Some differences are observable from the plots. For instance, the data for WAM seemed to be skewed upwards while that of AIM skewed downwards, </w:t>
      </w:r>
    </w:p>
    <w:p w14:paraId="6D913E08" w14:textId="77777777" w:rsidR="008D4E8F" w:rsidRDefault="008D4E8F">
      <w:pPr>
        <w:autoSpaceDE w:val="0"/>
        <w:autoSpaceDN w:val="0"/>
        <w:adjustRightInd w:val="0"/>
        <w:spacing w:after="0" w:line="240" w:lineRule="auto"/>
        <w:jc w:val="both"/>
        <w:rPr>
          <w:rFonts w:ascii="Times New Roman" w:hAnsi="Times New Roman" w:cs="Times New Roman"/>
          <w:sz w:val="24"/>
          <w:szCs w:val="24"/>
        </w:rPr>
      </w:pPr>
    </w:p>
    <w:p w14:paraId="78059FDB" w14:textId="77777777" w:rsidR="008D4E8F" w:rsidRDefault="00D90E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object w:dxaOrig="9366" w:dyaOrig="7719" w14:anchorId="74F05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87pt" o:ole="">
            <v:imagedata r:id="rId18" o:title="" embosscolor="white"/>
          </v:shape>
          <o:OLEObject Type="Embed" ProgID="Excel.Sheet.8" ShapeID="_x0000_i1025" DrawAspect="Content" ObjectID="_1839217738" r:id="rId19"/>
        </w:object>
      </w:r>
    </w:p>
    <w:p w14:paraId="0AD28494" w14:textId="77777777" w:rsidR="008D4E8F" w:rsidRDefault="00D90E3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Figure 1: Comparative Boxplots for post-test differences in the three study groups for knowledge on the consequences of sexual risk</w:t>
      </w:r>
    </w:p>
    <w:p w14:paraId="4934EA85" w14:textId="77777777" w:rsidR="008D4E8F" w:rsidRDefault="008D4E8F">
      <w:pPr>
        <w:spacing w:line="480" w:lineRule="auto"/>
        <w:rPr>
          <w:rFonts w:ascii="Times New Roman" w:hAnsi="Times New Roman" w:cs="Times New Roman"/>
          <w:b/>
          <w:bCs/>
          <w:sz w:val="24"/>
          <w:szCs w:val="24"/>
        </w:rPr>
      </w:pPr>
    </w:p>
    <w:p w14:paraId="0E15D878" w14:textId="77777777" w:rsidR="008D4E8F" w:rsidRDefault="008D4E8F">
      <w:pPr>
        <w:spacing w:line="480" w:lineRule="auto"/>
        <w:rPr>
          <w:rFonts w:ascii="Times New Roman" w:hAnsi="Times New Roman" w:cs="Times New Roman"/>
          <w:sz w:val="24"/>
          <w:szCs w:val="24"/>
          <w:lang w:val="en-US"/>
        </w:rPr>
      </w:pPr>
    </w:p>
    <w:p w14:paraId="771E3980" w14:textId="77777777" w:rsidR="008D4E8F" w:rsidRDefault="00D90E3D">
      <w:pPr>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3a</w:t>
      </w:r>
      <w:r>
        <w:rPr>
          <w:rFonts w:ascii="Times New Roman" w:hAnsi="Times New Roman" w:cs="Times New Roman"/>
          <w:b/>
          <w:sz w:val="24"/>
          <w:szCs w:val="24"/>
        </w:rPr>
        <w:t xml:space="preserve">:  Pretest and Post-test Perceptions of consequences of sexual risk behaviours </w:t>
      </w:r>
    </w:p>
    <w:tbl>
      <w:tblPr>
        <w:tblW w:w="9540" w:type="dxa"/>
        <w:tblInd w:w="18" w:type="dxa"/>
        <w:tblBorders>
          <w:top w:val="single" w:sz="4" w:space="0" w:color="auto"/>
          <w:bottom w:val="single" w:sz="4" w:space="0" w:color="auto"/>
        </w:tblBorders>
        <w:tblLayout w:type="fixed"/>
        <w:tblLook w:val="04A0" w:firstRow="1" w:lastRow="0" w:firstColumn="1" w:lastColumn="0" w:noHBand="0" w:noVBand="1"/>
      </w:tblPr>
      <w:tblGrid>
        <w:gridCol w:w="434"/>
        <w:gridCol w:w="3256"/>
        <w:gridCol w:w="1080"/>
        <w:gridCol w:w="810"/>
        <w:gridCol w:w="990"/>
        <w:gridCol w:w="990"/>
        <w:gridCol w:w="990"/>
        <w:gridCol w:w="990"/>
      </w:tblGrid>
      <w:tr w:rsidR="008D4E8F" w14:paraId="37D0FEF2" w14:textId="77777777">
        <w:tc>
          <w:tcPr>
            <w:tcW w:w="434" w:type="dxa"/>
            <w:tcBorders>
              <w:top w:val="single" w:sz="4" w:space="0" w:color="auto"/>
              <w:left w:val="nil"/>
              <w:bottom w:val="single" w:sz="4" w:space="0" w:color="auto"/>
              <w:right w:val="nil"/>
            </w:tcBorders>
          </w:tcPr>
          <w:p w14:paraId="5D90CF65" w14:textId="77777777" w:rsidR="008D4E8F" w:rsidRDefault="008D4E8F">
            <w:pPr>
              <w:rPr>
                <w:rFonts w:ascii="Times New Roman" w:hAnsi="Times New Roman" w:cs="Times New Roman"/>
                <w:sz w:val="24"/>
                <w:szCs w:val="24"/>
              </w:rPr>
            </w:pPr>
          </w:p>
        </w:tc>
        <w:tc>
          <w:tcPr>
            <w:tcW w:w="3256" w:type="dxa"/>
            <w:tcBorders>
              <w:top w:val="single" w:sz="4" w:space="0" w:color="auto"/>
              <w:left w:val="nil"/>
              <w:bottom w:val="single" w:sz="4" w:space="0" w:color="auto"/>
              <w:right w:val="nil"/>
            </w:tcBorders>
          </w:tcPr>
          <w:p w14:paraId="1771451D" w14:textId="77777777" w:rsidR="008D4E8F" w:rsidRDefault="008D4E8F">
            <w:pPr>
              <w:rPr>
                <w:rFonts w:ascii="Times New Roman" w:hAnsi="Times New Roman" w:cs="Times New Roman"/>
                <w:sz w:val="24"/>
                <w:szCs w:val="24"/>
              </w:rPr>
            </w:pPr>
          </w:p>
        </w:tc>
        <w:tc>
          <w:tcPr>
            <w:tcW w:w="1890" w:type="dxa"/>
            <w:gridSpan w:val="2"/>
            <w:tcBorders>
              <w:top w:val="single" w:sz="4" w:space="0" w:color="auto"/>
              <w:left w:val="nil"/>
              <w:bottom w:val="single" w:sz="4" w:space="0" w:color="auto"/>
              <w:right w:val="nil"/>
            </w:tcBorders>
          </w:tcPr>
          <w:p w14:paraId="6F7520D4" w14:textId="77777777" w:rsidR="008D4E8F" w:rsidRDefault="00D90E3D">
            <w:pPr>
              <w:tabs>
                <w:tab w:val="center" w:pos="843"/>
                <w:tab w:val="left" w:pos="1575"/>
              </w:tabs>
              <w:rPr>
                <w:rFonts w:ascii="Times New Roman" w:hAnsi="Times New Roman" w:cs="Times New Roman"/>
                <w:b/>
                <w:sz w:val="24"/>
                <w:szCs w:val="24"/>
              </w:rPr>
            </w:pPr>
            <w:r>
              <w:rPr>
                <w:rFonts w:ascii="Times New Roman" w:hAnsi="Times New Roman" w:cs="Times New Roman"/>
                <w:b/>
                <w:sz w:val="24"/>
                <w:szCs w:val="24"/>
              </w:rPr>
              <w:tab/>
              <w:t>TLM</w:t>
            </w:r>
            <w:r>
              <w:rPr>
                <w:rFonts w:ascii="Times New Roman" w:hAnsi="Times New Roman" w:cs="Times New Roman"/>
                <w:b/>
                <w:sz w:val="24"/>
                <w:szCs w:val="24"/>
              </w:rPr>
              <w:tab/>
            </w:r>
          </w:p>
        </w:tc>
        <w:tc>
          <w:tcPr>
            <w:tcW w:w="1980" w:type="dxa"/>
            <w:gridSpan w:val="2"/>
            <w:tcBorders>
              <w:top w:val="single" w:sz="4" w:space="0" w:color="auto"/>
              <w:left w:val="nil"/>
              <w:bottom w:val="single" w:sz="4" w:space="0" w:color="auto"/>
              <w:right w:val="nil"/>
            </w:tcBorders>
          </w:tcPr>
          <w:p w14:paraId="7B79672A"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WAM</w:t>
            </w:r>
          </w:p>
        </w:tc>
        <w:tc>
          <w:tcPr>
            <w:tcW w:w="1980" w:type="dxa"/>
            <w:gridSpan w:val="2"/>
            <w:tcBorders>
              <w:top w:val="single" w:sz="4" w:space="0" w:color="auto"/>
              <w:left w:val="nil"/>
              <w:bottom w:val="single" w:sz="4" w:space="0" w:color="auto"/>
              <w:right w:val="nil"/>
            </w:tcBorders>
          </w:tcPr>
          <w:p w14:paraId="7B77A3BA"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AIM</w:t>
            </w:r>
          </w:p>
        </w:tc>
      </w:tr>
      <w:tr w:rsidR="008D4E8F" w14:paraId="471300FA" w14:textId="77777777">
        <w:tc>
          <w:tcPr>
            <w:tcW w:w="434" w:type="dxa"/>
            <w:tcBorders>
              <w:top w:val="nil"/>
              <w:left w:val="nil"/>
              <w:bottom w:val="single" w:sz="4" w:space="0" w:color="auto"/>
              <w:right w:val="nil"/>
            </w:tcBorders>
          </w:tcPr>
          <w:p w14:paraId="67D164CD" w14:textId="77777777" w:rsidR="008D4E8F" w:rsidRDefault="008D4E8F">
            <w:pPr>
              <w:rPr>
                <w:rFonts w:ascii="Times New Roman" w:hAnsi="Times New Roman" w:cs="Times New Roman"/>
                <w:sz w:val="24"/>
                <w:szCs w:val="24"/>
              </w:rPr>
            </w:pPr>
          </w:p>
        </w:tc>
        <w:tc>
          <w:tcPr>
            <w:tcW w:w="3256" w:type="dxa"/>
            <w:tcBorders>
              <w:top w:val="nil"/>
              <w:left w:val="nil"/>
              <w:bottom w:val="single" w:sz="4" w:space="0" w:color="auto"/>
              <w:right w:val="nil"/>
            </w:tcBorders>
          </w:tcPr>
          <w:p w14:paraId="6714F2F9"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ITEM</w:t>
            </w:r>
          </w:p>
        </w:tc>
        <w:tc>
          <w:tcPr>
            <w:tcW w:w="1080" w:type="dxa"/>
            <w:tcBorders>
              <w:top w:val="nil"/>
              <w:left w:val="nil"/>
              <w:bottom w:val="single" w:sz="4" w:space="0" w:color="auto"/>
              <w:right w:val="nil"/>
            </w:tcBorders>
          </w:tcPr>
          <w:p w14:paraId="29BA26E1"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810" w:type="dxa"/>
            <w:tcBorders>
              <w:top w:val="nil"/>
              <w:left w:val="nil"/>
              <w:bottom w:val="single" w:sz="4" w:space="0" w:color="auto"/>
              <w:right w:val="nil"/>
            </w:tcBorders>
          </w:tcPr>
          <w:p w14:paraId="65725935"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St.Dev</w:t>
            </w:r>
          </w:p>
        </w:tc>
        <w:tc>
          <w:tcPr>
            <w:tcW w:w="990" w:type="dxa"/>
            <w:tcBorders>
              <w:top w:val="nil"/>
              <w:left w:val="nil"/>
              <w:bottom w:val="single" w:sz="4" w:space="0" w:color="auto"/>
              <w:right w:val="nil"/>
            </w:tcBorders>
          </w:tcPr>
          <w:p w14:paraId="6ED52D6D"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990" w:type="dxa"/>
            <w:tcBorders>
              <w:top w:val="nil"/>
              <w:left w:val="nil"/>
              <w:bottom w:val="single" w:sz="4" w:space="0" w:color="auto"/>
              <w:right w:val="nil"/>
            </w:tcBorders>
          </w:tcPr>
          <w:p w14:paraId="033CB360"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Mean</w:t>
            </w:r>
          </w:p>
        </w:tc>
        <w:tc>
          <w:tcPr>
            <w:tcW w:w="990" w:type="dxa"/>
            <w:tcBorders>
              <w:top w:val="nil"/>
              <w:left w:val="nil"/>
              <w:bottom w:val="single" w:sz="4" w:space="0" w:color="auto"/>
              <w:right w:val="nil"/>
            </w:tcBorders>
          </w:tcPr>
          <w:p w14:paraId="4ABA1841"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St.Dev</w:t>
            </w:r>
          </w:p>
        </w:tc>
        <w:tc>
          <w:tcPr>
            <w:tcW w:w="990" w:type="dxa"/>
            <w:tcBorders>
              <w:top w:val="nil"/>
              <w:left w:val="nil"/>
              <w:bottom w:val="single" w:sz="4" w:space="0" w:color="auto"/>
              <w:right w:val="nil"/>
            </w:tcBorders>
          </w:tcPr>
          <w:p w14:paraId="60416029" w14:textId="77777777" w:rsidR="008D4E8F" w:rsidRDefault="00D90E3D">
            <w:pPr>
              <w:jc w:val="center"/>
              <w:rPr>
                <w:rFonts w:ascii="Times New Roman" w:hAnsi="Times New Roman" w:cs="Times New Roman"/>
                <w:b/>
                <w:sz w:val="24"/>
                <w:szCs w:val="24"/>
              </w:rPr>
            </w:pPr>
            <w:r>
              <w:rPr>
                <w:rFonts w:ascii="Times New Roman" w:hAnsi="Times New Roman" w:cs="Times New Roman"/>
                <w:b/>
                <w:sz w:val="24"/>
                <w:szCs w:val="24"/>
              </w:rPr>
              <w:t>Mean</w:t>
            </w:r>
          </w:p>
        </w:tc>
      </w:tr>
      <w:tr w:rsidR="008D4E8F" w14:paraId="1508BBBD" w14:textId="77777777">
        <w:tc>
          <w:tcPr>
            <w:tcW w:w="434" w:type="dxa"/>
            <w:tcBorders>
              <w:top w:val="single" w:sz="4" w:space="0" w:color="auto"/>
              <w:left w:val="nil"/>
              <w:bottom w:val="nil"/>
              <w:right w:val="nil"/>
            </w:tcBorders>
          </w:tcPr>
          <w:p w14:paraId="3F1948DE" w14:textId="77777777" w:rsidR="008D4E8F" w:rsidRDefault="008D4E8F">
            <w:pPr>
              <w:rPr>
                <w:rFonts w:ascii="Times New Roman" w:hAnsi="Times New Roman" w:cs="Times New Roman"/>
                <w:b/>
                <w:sz w:val="24"/>
                <w:szCs w:val="24"/>
              </w:rPr>
            </w:pPr>
          </w:p>
        </w:tc>
        <w:tc>
          <w:tcPr>
            <w:tcW w:w="3256" w:type="dxa"/>
            <w:tcBorders>
              <w:top w:val="single" w:sz="4" w:space="0" w:color="auto"/>
              <w:left w:val="nil"/>
              <w:bottom w:val="nil"/>
              <w:right w:val="nil"/>
            </w:tcBorders>
          </w:tcPr>
          <w:p w14:paraId="480D4284" w14:textId="77777777" w:rsidR="008D4E8F" w:rsidRDefault="00D90E3D">
            <w:pPr>
              <w:rPr>
                <w:rFonts w:ascii="Times New Roman" w:hAnsi="Times New Roman" w:cs="Times New Roman"/>
                <w:b/>
                <w:sz w:val="24"/>
                <w:szCs w:val="24"/>
              </w:rPr>
            </w:pPr>
            <w:r>
              <w:rPr>
                <w:rFonts w:ascii="Times New Roman" w:hAnsi="Times New Roman" w:cs="Times New Roman"/>
                <w:b/>
                <w:sz w:val="24"/>
                <w:szCs w:val="24"/>
              </w:rPr>
              <w:t>PRETEST</w:t>
            </w:r>
          </w:p>
        </w:tc>
        <w:tc>
          <w:tcPr>
            <w:tcW w:w="1080" w:type="dxa"/>
            <w:tcBorders>
              <w:top w:val="single" w:sz="4" w:space="0" w:color="auto"/>
              <w:left w:val="nil"/>
              <w:bottom w:val="nil"/>
              <w:right w:val="nil"/>
            </w:tcBorders>
          </w:tcPr>
          <w:p w14:paraId="3FBDA1F0" w14:textId="77777777" w:rsidR="008D4E8F" w:rsidRDefault="008D4E8F">
            <w:pPr>
              <w:rPr>
                <w:rFonts w:ascii="Times New Roman" w:hAnsi="Times New Roman" w:cs="Times New Roman"/>
                <w:b/>
                <w:sz w:val="24"/>
                <w:szCs w:val="24"/>
              </w:rPr>
            </w:pPr>
          </w:p>
        </w:tc>
        <w:tc>
          <w:tcPr>
            <w:tcW w:w="810" w:type="dxa"/>
            <w:tcBorders>
              <w:top w:val="single" w:sz="4" w:space="0" w:color="auto"/>
              <w:left w:val="nil"/>
              <w:bottom w:val="nil"/>
              <w:right w:val="nil"/>
            </w:tcBorders>
          </w:tcPr>
          <w:p w14:paraId="68FA41D0" w14:textId="77777777" w:rsidR="008D4E8F" w:rsidRDefault="008D4E8F">
            <w:pPr>
              <w:rPr>
                <w:rFonts w:ascii="Times New Roman" w:hAnsi="Times New Roman" w:cs="Times New Roman"/>
                <w:b/>
                <w:sz w:val="24"/>
                <w:szCs w:val="24"/>
              </w:rPr>
            </w:pPr>
          </w:p>
        </w:tc>
        <w:tc>
          <w:tcPr>
            <w:tcW w:w="990" w:type="dxa"/>
            <w:tcBorders>
              <w:top w:val="single" w:sz="4" w:space="0" w:color="auto"/>
              <w:left w:val="nil"/>
              <w:bottom w:val="nil"/>
              <w:right w:val="nil"/>
            </w:tcBorders>
          </w:tcPr>
          <w:p w14:paraId="63BBA94B" w14:textId="77777777" w:rsidR="008D4E8F" w:rsidRDefault="008D4E8F">
            <w:pPr>
              <w:rPr>
                <w:rFonts w:ascii="Times New Roman" w:hAnsi="Times New Roman" w:cs="Times New Roman"/>
                <w:b/>
                <w:sz w:val="24"/>
                <w:szCs w:val="24"/>
              </w:rPr>
            </w:pPr>
          </w:p>
        </w:tc>
        <w:tc>
          <w:tcPr>
            <w:tcW w:w="990" w:type="dxa"/>
            <w:tcBorders>
              <w:top w:val="single" w:sz="4" w:space="0" w:color="auto"/>
              <w:left w:val="nil"/>
              <w:bottom w:val="nil"/>
              <w:right w:val="nil"/>
            </w:tcBorders>
          </w:tcPr>
          <w:p w14:paraId="315A8F31" w14:textId="77777777" w:rsidR="008D4E8F" w:rsidRDefault="008D4E8F">
            <w:pPr>
              <w:rPr>
                <w:rFonts w:ascii="Times New Roman" w:hAnsi="Times New Roman" w:cs="Times New Roman"/>
                <w:b/>
                <w:sz w:val="24"/>
                <w:szCs w:val="24"/>
              </w:rPr>
            </w:pPr>
          </w:p>
        </w:tc>
        <w:tc>
          <w:tcPr>
            <w:tcW w:w="990" w:type="dxa"/>
            <w:tcBorders>
              <w:top w:val="single" w:sz="4" w:space="0" w:color="auto"/>
              <w:left w:val="nil"/>
              <w:bottom w:val="nil"/>
              <w:right w:val="nil"/>
            </w:tcBorders>
          </w:tcPr>
          <w:p w14:paraId="7A3428AF" w14:textId="77777777" w:rsidR="008D4E8F" w:rsidRDefault="008D4E8F">
            <w:pPr>
              <w:rPr>
                <w:rFonts w:ascii="Times New Roman" w:hAnsi="Times New Roman" w:cs="Times New Roman"/>
                <w:b/>
                <w:sz w:val="24"/>
                <w:szCs w:val="24"/>
              </w:rPr>
            </w:pPr>
          </w:p>
        </w:tc>
        <w:tc>
          <w:tcPr>
            <w:tcW w:w="990" w:type="dxa"/>
            <w:tcBorders>
              <w:top w:val="single" w:sz="4" w:space="0" w:color="auto"/>
              <w:left w:val="nil"/>
              <w:bottom w:val="nil"/>
              <w:right w:val="nil"/>
            </w:tcBorders>
          </w:tcPr>
          <w:p w14:paraId="3E09B244" w14:textId="77777777" w:rsidR="008D4E8F" w:rsidRDefault="008D4E8F">
            <w:pPr>
              <w:rPr>
                <w:rFonts w:ascii="Times New Roman" w:hAnsi="Times New Roman" w:cs="Times New Roman"/>
                <w:b/>
                <w:sz w:val="24"/>
                <w:szCs w:val="24"/>
              </w:rPr>
            </w:pPr>
          </w:p>
        </w:tc>
      </w:tr>
      <w:tr w:rsidR="008D4E8F" w14:paraId="2E36B243" w14:textId="77777777">
        <w:tc>
          <w:tcPr>
            <w:tcW w:w="434" w:type="dxa"/>
            <w:tcBorders>
              <w:top w:val="nil"/>
              <w:left w:val="nil"/>
              <w:bottom w:val="nil"/>
              <w:right w:val="nil"/>
            </w:tcBorders>
          </w:tcPr>
          <w:p w14:paraId="0B16FDC2"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I</w:t>
            </w:r>
          </w:p>
        </w:tc>
        <w:tc>
          <w:tcPr>
            <w:tcW w:w="3256" w:type="dxa"/>
            <w:tcBorders>
              <w:top w:val="nil"/>
              <w:left w:val="nil"/>
              <w:bottom w:val="nil"/>
              <w:right w:val="nil"/>
            </w:tcBorders>
          </w:tcPr>
          <w:p w14:paraId="0C11A285"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Engaging in risky sexual behaviour is harmful</w:t>
            </w:r>
          </w:p>
        </w:tc>
        <w:tc>
          <w:tcPr>
            <w:tcW w:w="1080" w:type="dxa"/>
            <w:tcBorders>
              <w:top w:val="nil"/>
              <w:left w:val="nil"/>
              <w:bottom w:val="nil"/>
              <w:right w:val="nil"/>
            </w:tcBorders>
          </w:tcPr>
          <w:p w14:paraId="1B946DC8"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4.612</w:t>
            </w:r>
          </w:p>
        </w:tc>
        <w:tc>
          <w:tcPr>
            <w:tcW w:w="810" w:type="dxa"/>
            <w:tcBorders>
              <w:top w:val="nil"/>
              <w:left w:val="nil"/>
              <w:bottom w:val="nil"/>
              <w:right w:val="nil"/>
            </w:tcBorders>
          </w:tcPr>
          <w:p w14:paraId="2844649B"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.579</w:t>
            </w:r>
          </w:p>
        </w:tc>
        <w:tc>
          <w:tcPr>
            <w:tcW w:w="990" w:type="dxa"/>
            <w:tcBorders>
              <w:top w:val="nil"/>
              <w:left w:val="nil"/>
              <w:bottom w:val="nil"/>
              <w:right w:val="nil"/>
            </w:tcBorders>
          </w:tcPr>
          <w:p w14:paraId="62D444B4"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4.118</w:t>
            </w:r>
          </w:p>
        </w:tc>
        <w:tc>
          <w:tcPr>
            <w:tcW w:w="990" w:type="dxa"/>
            <w:tcBorders>
              <w:top w:val="nil"/>
              <w:left w:val="nil"/>
              <w:bottom w:val="nil"/>
              <w:right w:val="nil"/>
            </w:tcBorders>
          </w:tcPr>
          <w:p w14:paraId="045CA8A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.822</w:t>
            </w:r>
          </w:p>
        </w:tc>
        <w:tc>
          <w:tcPr>
            <w:tcW w:w="990" w:type="dxa"/>
            <w:tcBorders>
              <w:top w:val="nil"/>
              <w:left w:val="nil"/>
              <w:bottom w:val="nil"/>
              <w:right w:val="nil"/>
            </w:tcBorders>
          </w:tcPr>
          <w:p w14:paraId="71BEBA6C"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4.482</w:t>
            </w:r>
          </w:p>
        </w:tc>
        <w:tc>
          <w:tcPr>
            <w:tcW w:w="990" w:type="dxa"/>
            <w:tcBorders>
              <w:top w:val="nil"/>
              <w:left w:val="nil"/>
              <w:bottom w:val="nil"/>
              <w:right w:val="nil"/>
            </w:tcBorders>
          </w:tcPr>
          <w:p w14:paraId="3D02C46F"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.590</w:t>
            </w:r>
          </w:p>
        </w:tc>
      </w:tr>
      <w:tr w:rsidR="008D4E8F" w14:paraId="35647DDD" w14:textId="77777777">
        <w:tc>
          <w:tcPr>
            <w:tcW w:w="434" w:type="dxa"/>
            <w:tcBorders>
              <w:top w:val="nil"/>
              <w:left w:val="nil"/>
              <w:bottom w:val="nil"/>
              <w:right w:val="nil"/>
            </w:tcBorders>
          </w:tcPr>
          <w:p w14:paraId="03618950"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lastRenderedPageBreak/>
              <w:t>ii</w:t>
            </w:r>
          </w:p>
        </w:tc>
        <w:tc>
          <w:tcPr>
            <w:tcW w:w="3256" w:type="dxa"/>
            <w:tcBorders>
              <w:top w:val="nil"/>
              <w:left w:val="nil"/>
              <w:bottom w:val="nil"/>
              <w:right w:val="nil"/>
            </w:tcBorders>
          </w:tcPr>
          <w:p w14:paraId="4FDD74CA"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Engaging in risky sexual behaviours can lead to sexually transmitted diseases including HIV and genital herpes</w:t>
            </w:r>
          </w:p>
        </w:tc>
        <w:tc>
          <w:tcPr>
            <w:tcW w:w="1080" w:type="dxa"/>
            <w:tcBorders>
              <w:top w:val="nil"/>
              <w:left w:val="nil"/>
              <w:bottom w:val="nil"/>
              <w:right w:val="nil"/>
            </w:tcBorders>
          </w:tcPr>
          <w:p w14:paraId="7DD64218"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4.588</w:t>
            </w:r>
          </w:p>
        </w:tc>
        <w:tc>
          <w:tcPr>
            <w:tcW w:w="810" w:type="dxa"/>
            <w:tcBorders>
              <w:top w:val="nil"/>
              <w:left w:val="nil"/>
              <w:bottom w:val="nil"/>
              <w:right w:val="nil"/>
            </w:tcBorders>
          </w:tcPr>
          <w:p w14:paraId="1FB2955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.583</w:t>
            </w:r>
          </w:p>
        </w:tc>
        <w:tc>
          <w:tcPr>
            <w:tcW w:w="990" w:type="dxa"/>
            <w:tcBorders>
              <w:top w:val="nil"/>
              <w:left w:val="nil"/>
              <w:bottom w:val="nil"/>
              <w:right w:val="nil"/>
            </w:tcBorders>
          </w:tcPr>
          <w:p w14:paraId="21173558"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4.271</w:t>
            </w:r>
          </w:p>
        </w:tc>
        <w:tc>
          <w:tcPr>
            <w:tcW w:w="990" w:type="dxa"/>
            <w:tcBorders>
              <w:top w:val="nil"/>
              <w:left w:val="nil"/>
              <w:bottom w:val="nil"/>
              <w:right w:val="nil"/>
            </w:tcBorders>
          </w:tcPr>
          <w:p w14:paraId="1266408C"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.585</w:t>
            </w:r>
          </w:p>
        </w:tc>
        <w:tc>
          <w:tcPr>
            <w:tcW w:w="990" w:type="dxa"/>
            <w:tcBorders>
              <w:top w:val="nil"/>
              <w:left w:val="nil"/>
              <w:bottom w:val="nil"/>
              <w:right w:val="nil"/>
            </w:tcBorders>
          </w:tcPr>
          <w:p w14:paraId="77C6EA96"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4.459</w:t>
            </w:r>
          </w:p>
        </w:tc>
        <w:tc>
          <w:tcPr>
            <w:tcW w:w="990" w:type="dxa"/>
            <w:tcBorders>
              <w:top w:val="nil"/>
              <w:left w:val="nil"/>
              <w:bottom w:val="nil"/>
              <w:right w:val="nil"/>
            </w:tcBorders>
          </w:tcPr>
          <w:p w14:paraId="2522716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.524</w:t>
            </w:r>
          </w:p>
        </w:tc>
      </w:tr>
      <w:tr w:rsidR="008D4E8F" w14:paraId="77A0A611" w14:textId="77777777">
        <w:tc>
          <w:tcPr>
            <w:tcW w:w="434" w:type="dxa"/>
            <w:tcBorders>
              <w:top w:val="nil"/>
              <w:left w:val="nil"/>
              <w:bottom w:val="nil"/>
              <w:right w:val="nil"/>
            </w:tcBorders>
          </w:tcPr>
          <w:p w14:paraId="6B3D6924"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iii</w:t>
            </w:r>
          </w:p>
        </w:tc>
        <w:tc>
          <w:tcPr>
            <w:tcW w:w="3256" w:type="dxa"/>
            <w:tcBorders>
              <w:top w:val="nil"/>
              <w:left w:val="nil"/>
              <w:bottom w:val="nil"/>
              <w:right w:val="nil"/>
            </w:tcBorders>
          </w:tcPr>
          <w:p w14:paraId="2DF76C76"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Engaging in risky sexual behaviours can lead to unintended teenage pregnancies.</w:t>
            </w:r>
          </w:p>
        </w:tc>
        <w:tc>
          <w:tcPr>
            <w:tcW w:w="1080" w:type="dxa"/>
            <w:tcBorders>
              <w:top w:val="nil"/>
              <w:left w:val="nil"/>
              <w:bottom w:val="nil"/>
              <w:right w:val="nil"/>
            </w:tcBorders>
          </w:tcPr>
          <w:p w14:paraId="0808B161"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4.471</w:t>
            </w:r>
          </w:p>
        </w:tc>
        <w:tc>
          <w:tcPr>
            <w:tcW w:w="810" w:type="dxa"/>
            <w:tcBorders>
              <w:top w:val="nil"/>
              <w:left w:val="nil"/>
              <w:bottom w:val="nil"/>
              <w:right w:val="nil"/>
            </w:tcBorders>
          </w:tcPr>
          <w:p w14:paraId="508986CB"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.717</w:t>
            </w:r>
          </w:p>
        </w:tc>
        <w:tc>
          <w:tcPr>
            <w:tcW w:w="990" w:type="dxa"/>
            <w:tcBorders>
              <w:top w:val="nil"/>
              <w:left w:val="nil"/>
              <w:bottom w:val="nil"/>
              <w:right w:val="nil"/>
            </w:tcBorders>
          </w:tcPr>
          <w:p w14:paraId="4704E83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4.259</w:t>
            </w:r>
          </w:p>
        </w:tc>
        <w:tc>
          <w:tcPr>
            <w:tcW w:w="990" w:type="dxa"/>
            <w:tcBorders>
              <w:top w:val="nil"/>
              <w:left w:val="nil"/>
              <w:bottom w:val="nil"/>
              <w:right w:val="nil"/>
            </w:tcBorders>
          </w:tcPr>
          <w:p w14:paraId="224CA6D3"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.580</w:t>
            </w:r>
          </w:p>
        </w:tc>
        <w:tc>
          <w:tcPr>
            <w:tcW w:w="990" w:type="dxa"/>
            <w:tcBorders>
              <w:top w:val="nil"/>
              <w:left w:val="nil"/>
              <w:bottom w:val="nil"/>
              <w:right w:val="nil"/>
            </w:tcBorders>
          </w:tcPr>
          <w:p w14:paraId="71A8AC44"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4.376</w:t>
            </w:r>
          </w:p>
        </w:tc>
        <w:tc>
          <w:tcPr>
            <w:tcW w:w="990" w:type="dxa"/>
            <w:tcBorders>
              <w:top w:val="nil"/>
              <w:left w:val="nil"/>
              <w:bottom w:val="nil"/>
              <w:right w:val="nil"/>
            </w:tcBorders>
          </w:tcPr>
          <w:p w14:paraId="6EE58EB5"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.511</w:t>
            </w:r>
          </w:p>
        </w:tc>
      </w:tr>
      <w:tr w:rsidR="008D4E8F" w14:paraId="0B4EE33E" w14:textId="77777777">
        <w:tc>
          <w:tcPr>
            <w:tcW w:w="434" w:type="dxa"/>
            <w:tcBorders>
              <w:top w:val="nil"/>
              <w:left w:val="nil"/>
              <w:bottom w:val="nil"/>
              <w:right w:val="nil"/>
            </w:tcBorders>
          </w:tcPr>
          <w:p w14:paraId="690FE52A"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iv</w:t>
            </w:r>
          </w:p>
        </w:tc>
        <w:tc>
          <w:tcPr>
            <w:tcW w:w="3256" w:type="dxa"/>
            <w:tcBorders>
              <w:top w:val="nil"/>
              <w:left w:val="nil"/>
              <w:bottom w:val="nil"/>
              <w:right w:val="nil"/>
            </w:tcBorders>
          </w:tcPr>
          <w:p w14:paraId="21D77A5D"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Exposure to risky sexual behaviours can lead to damage of reproductive organs.</w:t>
            </w:r>
          </w:p>
        </w:tc>
        <w:tc>
          <w:tcPr>
            <w:tcW w:w="1080" w:type="dxa"/>
            <w:tcBorders>
              <w:top w:val="nil"/>
              <w:left w:val="nil"/>
              <w:bottom w:val="nil"/>
              <w:right w:val="nil"/>
            </w:tcBorders>
          </w:tcPr>
          <w:p w14:paraId="627E1029"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3.871</w:t>
            </w:r>
          </w:p>
        </w:tc>
        <w:tc>
          <w:tcPr>
            <w:tcW w:w="810" w:type="dxa"/>
            <w:tcBorders>
              <w:top w:val="nil"/>
              <w:left w:val="nil"/>
              <w:bottom w:val="nil"/>
              <w:right w:val="nil"/>
            </w:tcBorders>
          </w:tcPr>
          <w:p w14:paraId="193ECE96"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1.033</w:t>
            </w:r>
          </w:p>
        </w:tc>
        <w:tc>
          <w:tcPr>
            <w:tcW w:w="990" w:type="dxa"/>
            <w:tcBorders>
              <w:top w:val="nil"/>
              <w:left w:val="nil"/>
              <w:bottom w:val="nil"/>
              <w:right w:val="nil"/>
            </w:tcBorders>
          </w:tcPr>
          <w:p w14:paraId="1988143B"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3.835</w:t>
            </w:r>
          </w:p>
        </w:tc>
        <w:tc>
          <w:tcPr>
            <w:tcW w:w="990" w:type="dxa"/>
            <w:tcBorders>
              <w:top w:val="nil"/>
              <w:left w:val="nil"/>
              <w:bottom w:val="nil"/>
              <w:right w:val="nil"/>
            </w:tcBorders>
          </w:tcPr>
          <w:p w14:paraId="147CD6B4"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1.033</w:t>
            </w:r>
          </w:p>
        </w:tc>
        <w:tc>
          <w:tcPr>
            <w:tcW w:w="990" w:type="dxa"/>
            <w:tcBorders>
              <w:top w:val="nil"/>
              <w:left w:val="nil"/>
              <w:bottom w:val="nil"/>
              <w:right w:val="nil"/>
            </w:tcBorders>
          </w:tcPr>
          <w:p w14:paraId="144584DF"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4.059</w:t>
            </w:r>
          </w:p>
        </w:tc>
        <w:tc>
          <w:tcPr>
            <w:tcW w:w="990" w:type="dxa"/>
            <w:tcBorders>
              <w:top w:val="nil"/>
              <w:left w:val="nil"/>
              <w:bottom w:val="nil"/>
              <w:right w:val="nil"/>
            </w:tcBorders>
          </w:tcPr>
          <w:p w14:paraId="4A070B7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1.016</w:t>
            </w:r>
          </w:p>
        </w:tc>
      </w:tr>
      <w:tr w:rsidR="008D4E8F" w14:paraId="569D58D6" w14:textId="77777777">
        <w:tc>
          <w:tcPr>
            <w:tcW w:w="434" w:type="dxa"/>
            <w:tcBorders>
              <w:top w:val="nil"/>
              <w:left w:val="nil"/>
              <w:bottom w:val="nil"/>
              <w:right w:val="nil"/>
            </w:tcBorders>
          </w:tcPr>
          <w:p w14:paraId="6C70784B"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V</w:t>
            </w:r>
          </w:p>
        </w:tc>
        <w:tc>
          <w:tcPr>
            <w:tcW w:w="3256" w:type="dxa"/>
            <w:tcBorders>
              <w:top w:val="nil"/>
              <w:left w:val="nil"/>
              <w:bottom w:val="nil"/>
              <w:right w:val="nil"/>
            </w:tcBorders>
          </w:tcPr>
          <w:p w14:paraId="31C3CCFC"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Engaging in risky sexual behaviours can lead to cervical cancer, HPV and even death.</w:t>
            </w:r>
          </w:p>
        </w:tc>
        <w:tc>
          <w:tcPr>
            <w:tcW w:w="1080" w:type="dxa"/>
            <w:tcBorders>
              <w:top w:val="nil"/>
              <w:left w:val="nil"/>
              <w:bottom w:val="nil"/>
              <w:right w:val="nil"/>
            </w:tcBorders>
          </w:tcPr>
          <w:p w14:paraId="3F9B9D3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3.906</w:t>
            </w:r>
          </w:p>
        </w:tc>
        <w:tc>
          <w:tcPr>
            <w:tcW w:w="810" w:type="dxa"/>
            <w:tcBorders>
              <w:top w:val="nil"/>
              <w:left w:val="nil"/>
              <w:bottom w:val="nil"/>
              <w:right w:val="nil"/>
            </w:tcBorders>
          </w:tcPr>
          <w:p w14:paraId="4FEB0D43"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.895</w:t>
            </w:r>
          </w:p>
        </w:tc>
        <w:tc>
          <w:tcPr>
            <w:tcW w:w="990" w:type="dxa"/>
            <w:tcBorders>
              <w:top w:val="nil"/>
              <w:left w:val="nil"/>
              <w:bottom w:val="nil"/>
              <w:right w:val="nil"/>
            </w:tcBorders>
          </w:tcPr>
          <w:p w14:paraId="0768ABB8"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3.847</w:t>
            </w:r>
          </w:p>
        </w:tc>
        <w:tc>
          <w:tcPr>
            <w:tcW w:w="990" w:type="dxa"/>
            <w:tcBorders>
              <w:top w:val="nil"/>
              <w:left w:val="nil"/>
              <w:bottom w:val="nil"/>
              <w:right w:val="nil"/>
            </w:tcBorders>
          </w:tcPr>
          <w:p w14:paraId="5590664B"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.880</w:t>
            </w:r>
          </w:p>
        </w:tc>
        <w:tc>
          <w:tcPr>
            <w:tcW w:w="990" w:type="dxa"/>
            <w:tcBorders>
              <w:top w:val="nil"/>
              <w:left w:val="nil"/>
              <w:bottom w:val="nil"/>
              <w:right w:val="nil"/>
            </w:tcBorders>
          </w:tcPr>
          <w:p w14:paraId="1FB12AC8"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3.765</w:t>
            </w:r>
          </w:p>
        </w:tc>
        <w:tc>
          <w:tcPr>
            <w:tcW w:w="990" w:type="dxa"/>
            <w:tcBorders>
              <w:top w:val="nil"/>
              <w:left w:val="nil"/>
              <w:bottom w:val="nil"/>
              <w:right w:val="nil"/>
            </w:tcBorders>
          </w:tcPr>
          <w:p w14:paraId="6AC304D5"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1.231</w:t>
            </w:r>
          </w:p>
        </w:tc>
      </w:tr>
      <w:tr w:rsidR="008D4E8F" w14:paraId="0A1298B5" w14:textId="77777777">
        <w:tc>
          <w:tcPr>
            <w:tcW w:w="434" w:type="dxa"/>
            <w:tcBorders>
              <w:top w:val="nil"/>
              <w:left w:val="nil"/>
              <w:bottom w:val="nil"/>
              <w:right w:val="nil"/>
            </w:tcBorders>
          </w:tcPr>
          <w:p w14:paraId="6D65F470" w14:textId="77777777" w:rsidR="008D4E8F" w:rsidRDefault="00D90E3D">
            <w:pPr>
              <w:rPr>
                <w:rFonts w:ascii="Times New Roman" w:hAnsi="Times New Roman" w:cs="Times New Roman"/>
                <w:b/>
                <w:sz w:val="24"/>
                <w:szCs w:val="24"/>
              </w:rPr>
            </w:pPr>
            <w:r>
              <w:rPr>
                <w:rFonts w:ascii="Times New Roman" w:hAnsi="Times New Roman" w:cs="Times New Roman"/>
                <w:bCs/>
                <w:sz w:val="24"/>
                <w:szCs w:val="24"/>
              </w:rPr>
              <w:t>vi</w:t>
            </w:r>
          </w:p>
        </w:tc>
        <w:tc>
          <w:tcPr>
            <w:tcW w:w="3256" w:type="dxa"/>
            <w:tcBorders>
              <w:top w:val="nil"/>
              <w:left w:val="nil"/>
              <w:bottom w:val="nil"/>
              <w:right w:val="nil"/>
            </w:tcBorders>
          </w:tcPr>
          <w:p w14:paraId="7B5F5FB3"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Exposure to risky sexual behaviours can give rise to illegal abortions.</w:t>
            </w:r>
          </w:p>
        </w:tc>
        <w:tc>
          <w:tcPr>
            <w:tcW w:w="1080" w:type="dxa"/>
            <w:tcBorders>
              <w:top w:val="nil"/>
              <w:left w:val="nil"/>
              <w:bottom w:val="nil"/>
              <w:right w:val="nil"/>
            </w:tcBorders>
          </w:tcPr>
          <w:p w14:paraId="14E74F5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4.212</w:t>
            </w:r>
          </w:p>
        </w:tc>
        <w:tc>
          <w:tcPr>
            <w:tcW w:w="810" w:type="dxa"/>
            <w:tcBorders>
              <w:top w:val="nil"/>
              <w:left w:val="nil"/>
              <w:bottom w:val="nil"/>
              <w:right w:val="nil"/>
            </w:tcBorders>
          </w:tcPr>
          <w:p w14:paraId="08DB7315"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.638</w:t>
            </w:r>
          </w:p>
        </w:tc>
        <w:tc>
          <w:tcPr>
            <w:tcW w:w="990" w:type="dxa"/>
            <w:tcBorders>
              <w:top w:val="nil"/>
              <w:left w:val="nil"/>
              <w:bottom w:val="nil"/>
              <w:right w:val="nil"/>
            </w:tcBorders>
          </w:tcPr>
          <w:p w14:paraId="65DAA220"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4.463</w:t>
            </w:r>
          </w:p>
        </w:tc>
        <w:tc>
          <w:tcPr>
            <w:tcW w:w="990" w:type="dxa"/>
            <w:tcBorders>
              <w:top w:val="nil"/>
              <w:left w:val="nil"/>
              <w:bottom w:val="nil"/>
              <w:right w:val="nil"/>
            </w:tcBorders>
          </w:tcPr>
          <w:p w14:paraId="0F8A99FE"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.670</w:t>
            </w:r>
          </w:p>
        </w:tc>
        <w:tc>
          <w:tcPr>
            <w:tcW w:w="990" w:type="dxa"/>
            <w:tcBorders>
              <w:top w:val="nil"/>
              <w:left w:val="nil"/>
              <w:bottom w:val="nil"/>
              <w:right w:val="nil"/>
            </w:tcBorders>
          </w:tcPr>
          <w:p w14:paraId="53425C1F"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4.341</w:t>
            </w:r>
          </w:p>
        </w:tc>
        <w:tc>
          <w:tcPr>
            <w:tcW w:w="990" w:type="dxa"/>
            <w:tcBorders>
              <w:top w:val="nil"/>
              <w:left w:val="nil"/>
              <w:bottom w:val="nil"/>
              <w:right w:val="nil"/>
            </w:tcBorders>
          </w:tcPr>
          <w:p w14:paraId="33D4E99A"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.589</w:t>
            </w:r>
          </w:p>
        </w:tc>
      </w:tr>
      <w:tr w:rsidR="008D4E8F" w14:paraId="182846C0" w14:textId="77777777">
        <w:tc>
          <w:tcPr>
            <w:tcW w:w="434" w:type="dxa"/>
            <w:tcBorders>
              <w:top w:val="nil"/>
              <w:left w:val="nil"/>
              <w:bottom w:val="nil"/>
              <w:right w:val="nil"/>
            </w:tcBorders>
          </w:tcPr>
          <w:p w14:paraId="0679107A" w14:textId="77777777" w:rsidR="008D4E8F" w:rsidRDefault="008D4E8F">
            <w:pPr>
              <w:rPr>
                <w:rFonts w:ascii="Times New Roman" w:hAnsi="Times New Roman" w:cs="Times New Roman"/>
                <w:bCs/>
                <w:sz w:val="24"/>
                <w:szCs w:val="24"/>
              </w:rPr>
            </w:pPr>
          </w:p>
        </w:tc>
        <w:tc>
          <w:tcPr>
            <w:tcW w:w="3256" w:type="dxa"/>
            <w:tcBorders>
              <w:top w:val="nil"/>
              <w:left w:val="nil"/>
              <w:bottom w:val="nil"/>
              <w:right w:val="nil"/>
            </w:tcBorders>
          </w:tcPr>
          <w:p w14:paraId="6D79DF0D"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ANOVA Teat</w:t>
            </w:r>
          </w:p>
        </w:tc>
        <w:tc>
          <w:tcPr>
            <w:tcW w:w="1080" w:type="dxa"/>
            <w:tcBorders>
              <w:top w:val="nil"/>
              <w:left w:val="nil"/>
              <w:bottom w:val="nil"/>
              <w:right w:val="nil"/>
            </w:tcBorders>
          </w:tcPr>
          <w:p w14:paraId="776EE18B" w14:textId="77777777" w:rsidR="008D4E8F" w:rsidRDefault="008D4E8F">
            <w:pPr>
              <w:rPr>
                <w:rFonts w:ascii="Times New Roman" w:hAnsi="Times New Roman" w:cs="Times New Roman"/>
                <w:sz w:val="24"/>
                <w:szCs w:val="24"/>
              </w:rPr>
            </w:pPr>
          </w:p>
        </w:tc>
        <w:tc>
          <w:tcPr>
            <w:tcW w:w="810" w:type="dxa"/>
            <w:tcBorders>
              <w:top w:val="nil"/>
              <w:left w:val="nil"/>
              <w:bottom w:val="nil"/>
              <w:right w:val="nil"/>
            </w:tcBorders>
          </w:tcPr>
          <w:p w14:paraId="73CF7A05" w14:textId="77777777" w:rsidR="008D4E8F" w:rsidRDefault="008D4E8F">
            <w:pPr>
              <w:rPr>
                <w:rFonts w:ascii="Times New Roman" w:hAnsi="Times New Roman" w:cs="Times New Roman"/>
                <w:sz w:val="24"/>
                <w:szCs w:val="24"/>
              </w:rPr>
            </w:pPr>
          </w:p>
        </w:tc>
        <w:tc>
          <w:tcPr>
            <w:tcW w:w="990" w:type="dxa"/>
            <w:tcBorders>
              <w:top w:val="nil"/>
              <w:left w:val="nil"/>
              <w:bottom w:val="nil"/>
              <w:right w:val="nil"/>
            </w:tcBorders>
          </w:tcPr>
          <w:p w14:paraId="7988FAA3" w14:textId="77777777" w:rsidR="008D4E8F" w:rsidRDefault="008D4E8F">
            <w:pPr>
              <w:rPr>
                <w:rFonts w:ascii="Times New Roman" w:hAnsi="Times New Roman" w:cs="Times New Roman"/>
                <w:sz w:val="24"/>
                <w:szCs w:val="24"/>
              </w:rPr>
            </w:pPr>
          </w:p>
        </w:tc>
        <w:tc>
          <w:tcPr>
            <w:tcW w:w="990" w:type="dxa"/>
            <w:tcBorders>
              <w:top w:val="nil"/>
              <w:left w:val="nil"/>
              <w:bottom w:val="nil"/>
              <w:right w:val="nil"/>
            </w:tcBorders>
          </w:tcPr>
          <w:p w14:paraId="170443EA" w14:textId="77777777" w:rsidR="008D4E8F" w:rsidRDefault="008D4E8F">
            <w:pPr>
              <w:rPr>
                <w:rFonts w:ascii="Times New Roman" w:hAnsi="Times New Roman" w:cs="Times New Roman"/>
                <w:sz w:val="24"/>
                <w:szCs w:val="24"/>
              </w:rPr>
            </w:pPr>
          </w:p>
        </w:tc>
        <w:tc>
          <w:tcPr>
            <w:tcW w:w="990" w:type="dxa"/>
            <w:tcBorders>
              <w:top w:val="nil"/>
              <w:left w:val="nil"/>
              <w:bottom w:val="nil"/>
              <w:right w:val="nil"/>
            </w:tcBorders>
          </w:tcPr>
          <w:p w14:paraId="19AE35DC" w14:textId="77777777" w:rsidR="008D4E8F" w:rsidRDefault="008D4E8F">
            <w:pPr>
              <w:rPr>
                <w:rFonts w:ascii="Times New Roman" w:hAnsi="Times New Roman" w:cs="Times New Roman"/>
                <w:sz w:val="24"/>
                <w:szCs w:val="24"/>
              </w:rPr>
            </w:pPr>
          </w:p>
        </w:tc>
        <w:tc>
          <w:tcPr>
            <w:tcW w:w="990" w:type="dxa"/>
            <w:tcBorders>
              <w:top w:val="nil"/>
              <w:left w:val="nil"/>
              <w:bottom w:val="nil"/>
              <w:right w:val="nil"/>
            </w:tcBorders>
          </w:tcPr>
          <w:p w14:paraId="4B550832" w14:textId="77777777" w:rsidR="008D4E8F" w:rsidRDefault="008D4E8F">
            <w:pPr>
              <w:rPr>
                <w:rFonts w:ascii="Times New Roman" w:hAnsi="Times New Roman" w:cs="Times New Roman"/>
                <w:sz w:val="24"/>
                <w:szCs w:val="24"/>
              </w:rPr>
            </w:pPr>
          </w:p>
        </w:tc>
      </w:tr>
      <w:tr w:rsidR="008D4E8F" w14:paraId="631D79D7" w14:textId="77777777">
        <w:tc>
          <w:tcPr>
            <w:tcW w:w="434" w:type="dxa"/>
            <w:tcBorders>
              <w:top w:val="nil"/>
              <w:left w:val="nil"/>
              <w:bottom w:val="nil"/>
              <w:right w:val="nil"/>
            </w:tcBorders>
          </w:tcPr>
          <w:p w14:paraId="5C2EEC65" w14:textId="77777777" w:rsidR="008D4E8F" w:rsidRDefault="008D4E8F">
            <w:pPr>
              <w:rPr>
                <w:rFonts w:ascii="Times New Roman" w:hAnsi="Times New Roman" w:cs="Times New Roman"/>
                <w:b/>
                <w:bCs/>
                <w:sz w:val="24"/>
                <w:szCs w:val="24"/>
              </w:rPr>
            </w:pPr>
          </w:p>
        </w:tc>
        <w:tc>
          <w:tcPr>
            <w:tcW w:w="3256" w:type="dxa"/>
            <w:tcBorders>
              <w:top w:val="nil"/>
              <w:left w:val="nil"/>
              <w:bottom w:val="nil"/>
              <w:right w:val="nil"/>
            </w:tcBorders>
          </w:tcPr>
          <w:p w14:paraId="0F2FC4D2" w14:textId="77777777" w:rsidR="008D4E8F" w:rsidRDefault="00D90E3D">
            <w:pPr>
              <w:rPr>
                <w:rFonts w:ascii="Times New Roman" w:hAnsi="Times New Roman" w:cs="Times New Roman"/>
                <w:b/>
                <w:sz w:val="24"/>
                <w:szCs w:val="24"/>
              </w:rPr>
            </w:pPr>
            <w:r>
              <w:rPr>
                <w:rFonts w:ascii="Times New Roman" w:hAnsi="Times New Roman" w:cs="Times New Roman"/>
                <w:b/>
                <w:sz w:val="24"/>
                <w:szCs w:val="24"/>
              </w:rPr>
              <w:t>POSTTEST</w:t>
            </w:r>
          </w:p>
        </w:tc>
        <w:tc>
          <w:tcPr>
            <w:tcW w:w="1080" w:type="dxa"/>
            <w:tcBorders>
              <w:top w:val="nil"/>
              <w:left w:val="nil"/>
              <w:bottom w:val="nil"/>
              <w:right w:val="nil"/>
            </w:tcBorders>
          </w:tcPr>
          <w:p w14:paraId="369E75DF" w14:textId="77777777" w:rsidR="008D4E8F" w:rsidRDefault="008D4E8F">
            <w:pPr>
              <w:rPr>
                <w:rFonts w:ascii="Times New Roman" w:hAnsi="Times New Roman" w:cs="Times New Roman"/>
                <w:b/>
                <w:sz w:val="24"/>
                <w:szCs w:val="24"/>
              </w:rPr>
            </w:pPr>
          </w:p>
        </w:tc>
        <w:tc>
          <w:tcPr>
            <w:tcW w:w="810" w:type="dxa"/>
            <w:tcBorders>
              <w:top w:val="nil"/>
              <w:left w:val="nil"/>
              <w:bottom w:val="nil"/>
              <w:right w:val="nil"/>
            </w:tcBorders>
          </w:tcPr>
          <w:p w14:paraId="781CADB9" w14:textId="77777777" w:rsidR="008D4E8F" w:rsidRDefault="008D4E8F">
            <w:pPr>
              <w:rPr>
                <w:rFonts w:ascii="Times New Roman" w:hAnsi="Times New Roman" w:cs="Times New Roman"/>
                <w:b/>
                <w:sz w:val="24"/>
                <w:szCs w:val="24"/>
              </w:rPr>
            </w:pPr>
          </w:p>
        </w:tc>
        <w:tc>
          <w:tcPr>
            <w:tcW w:w="990" w:type="dxa"/>
            <w:tcBorders>
              <w:top w:val="nil"/>
              <w:left w:val="nil"/>
              <w:bottom w:val="nil"/>
              <w:right w:val="nil"/>
            </w:tcBorders>
          </w:tcPr>
          <w:p w14:paraId="7F417782" w14:textId="77777777" w:rsidR="008D4E8F" w:rsidRDefault="008D4E8F">
            <w:pPr>
              <w:rPr>
                <w:rFonts w:ascii="Times New Roman" w:hAnsi="Times New Roman" w:cs="Times New Roman"/>
                <w:b/>
                <w:sz w:val="24"/>
                <w:szCs w:val="24"/>
              </w:rPr>
            </w:pPr>
          </w:p>
        </w:tc>
        <w:tc>
          <w:tcPr>
            <w:tcW w:w="990" w:type="dxa"/>
            <w:tcBorders>
              <w:top w:val="nil"/>
              <w:left w:val="nil"/>
              <w:bottom w:val="nil"/>
              <w:right w:val="nil"/>
            </w:tcBorders>
          </w:tcPr>
          <w:p w14:paraId="0D92A63F" w14:textId="77777777" w:rsidR="008D4E8F" w:rsidRDefault="008D4E8F">
            <w:pPr>
              <w:rPr>
                <w:rFonts w:ascii="Times New Roman" w:hAnsi="Times New Roman" w:cs="Times New Roman"/>
                <w:b/>
                <w:sz w:val="24"/>
                <w:szCs w:val="24"/>
              </w:rPr>
            </w:pPr>
          </w:p>
        </w:tc>
        <w:tc>
          <w:tcPr>
            <w:tcW w:w="990" w:type="dxa"/>
            <w:tcBorders>
              <w:top w:val="nil"/>
              <w:left w:val="nil"/>
              <w:bottom w:val="nil"/>
              <w:right w:val="nil"/>
            </w:tcBorders>
          </w:tcPr>
          <w:p w14:paraId="4E0087A4" w14:textId="77777777" w:rsidR="008D4E8F" w:rsidRDefault="008D4E8F">
            <w:pPr>
              <w:rPr>
                <w:rFonts w:ascii="Times New Roman" w:hAnsi="Times New Roman" w:cs="Times New Roman"/>
                <w:b/>
                <w:sz w:val="24"/>
                <w:szCs w:val="24"/>
              </w:rPr>
            </w:pPr>
          </w:p>
        </w:tc>
        <w:tc>
          <w:tcPr>
            <w:tcW w:w="990" w:type="dxa"/>
            <w:tcBorders>
              <w:top w:val="nil"/>
              <w:left w:val="nil"/>
              <w:bottom w:val="nil"/>
              <w:right w:val="nil"/>
            </w:tcBorders>
          </w:tcPr>
          <w:p w14:paraId="056086BB" w14:textId="77777777" w:rsidR="008D4E8F" w:rsidRDefault="008D4E8F">
            <w:pPr>
              <w:rPr>
                <w:rFonts w:ascii="Times New Roman" w:hAnsi="Times New Roman" w:cs="Times New Roman"/>
                <w:b/>
                <w:sz w:val="24"/>
                <w:szCs w:val="24"/>
              </w:rPr>
            </w:pPr>
          </w:p>
        </w:tc>
      </w:tr>
      <w:tr w:rsidR="008D4E8F" w14:paraId="5A7147EC" w14:textId="77777777">
        <w:tc>
          <w:tcPr>
            <w:tcW w:w="434" w:type="dxa"/>
            <w:tcBorders>
              <w:top w:val="nil"/>
              <w:left w:val="nil"/>
              <w:bottom w:val="nil"/>
              <w:right w:val="nil"/>
            </w:tcBorders>
          </w:tcPr>
          <w:p w14:paraId="7CD81900"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I</w:t>
            </w:r>
          </w:p>
        </w:tc>
        <w:tc>
          <w:tcPr>
            <w:tcW w:w="3256" w:type="dxa"/>
            <w:tcBorders>
              <w:top w:val="nil"/>
              <w:left w:val="nil"/>
              <w:bottom w:val="nil"/>
              <w:right w:val="nil"/>
            </w:tcBorders>
          </w:tcPr>
          <w:p w14:paraId="0944046C"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Engaging in risky sexual behaviour is harmful</w:t>
            </w:r>
          </w:p>
        </w:tc>
        <w:tc>
          <w:tcPr>
            <w:tcW w:w="1080" w:type="dxa"/>
            <w:tcBorders>
              <w:top w:val="nil"/>
              <w:left w:val="nil"/>
              <w:bottom w:val="nil"/>
              <w:right w:val="nil"/>
            </w:tcBorders>
          </w:tcPr>
          <w:p w14:paraId="116A5A9C"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4.753</w:t>
            </w:r>
          </w:p>
        </w:tc>
        <w:tc>
          <w:tcPr>
            <w:tcW w:w="810" w:type="dxa"/>
            <w:tcBorders>
              <w:top w:val="nil"/>
              <w:left w:val="nil"/>
              <w:bottom w:val="nil"/>
              <w:right w:val="nil"/>
            </w:tcBorders>
          </w:tcPr>
          <w:p w14:paraId="3822CF11"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.434</w:t>
            </w:r>
          </w:p>
        </w:tc>
        <w:tc>
          <w:tcPr>
            <w:tcW w:w="990" w:type="dxa"/>
            <w:tcBorders>
              <w:top w:val="nil"/>
              <w:left w:val="nil"/>
              <w:bottom w:val="nil"/>
              <w:right w:val="nil"/>
            </w:tcBorders>
          </w:tcPr>
          <w:p w14:paraId="2A6E821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6C8167B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.152</w:t>
            </w:r>
          </w:p>
        </w:tc>
        <w:tc>
          <w:tcPr>
            <w:tcW w:w="990" w:type="dxa"/>
            <w:tcBorders>
              <w:top w:val="nil"/>
              <w:left w:val="nil"/>
              <w:bottom w:val="nil"/>
              <w:right w:val="nil"/>
            </w:tcBorders>
          </w:tcPr>
          <w:p w14:paraId="3B741279"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6EF57AB4"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.152</w:t>
            </w:r>
          </w:p>
        </w:tc>
      </w:tr>
      <w:tr w:rsidR="008D4E8F" w14:paraId="1611D9ED" w14:textId="77777777">
        <w:tc>
          <w:tcPr>
            <w:tcW w:w="434" w:type="dxa"/>
            <w:tcBorders>
              <w:top w:val="nil"/>
              <w:left w:val="nil"/>
              <w:bottom w:val="nil"/>
              <w:right w:val="nil"/>
            </w:tcBorders>
          </w:tcPr>
          <w:p w14:paraId="46E0FE61"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ii</w:t>
            </w:r>
          </w:p>
        </w:tc>
        <w:tc>
          <w:tcPr>
            <w:tcW w:w="3256" w:type="dxa"/>
            <w:tcBorders>
              <w:top w:val="nil"/>
              <w:left w:val="nil"/>
              <w:bottom w:val="nil"/>
              <w:right w:val="nil"/>
            </w:tcBorders>
          </w:tcPr>
          <w:p w14:paraId="408B9A51"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Engaging in risky sexual behaviours can lead to sexually transmitted diseases including HIV and genital herpes</w:t>
            </w:r>
          </w:p>
        </w:tc>
        <w:tc>
          <w:tcPr>
            <w:tcW w:w="1080" w:type="dxa"/>
            <w:tcBorders>
              <w:top w:val="nil"/>
              <w:left w:val="nil"/>
              <w:bottom w:val="nil"/>
              <w:right w:val="nil"/>
            </w:tcBorders>
          </w:tcPr>
          <w:p w14:paraId="46ABEF6A"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4.729</w:t>
            </w:r>
          </w:p>
        </w:tc>
        <w:tc>
          <w:tcPr>
            <w:tcW w:w="810" w:type="dxa"/>
            <w:tcBorders>
              <w:top w:val="nil"/>
              <w:left w:val="nil"/>
              <w:bottom w:val="nil"/>
              <w:right w:val="nil"/>
            </w:tcBorders>
          </w:tcPr>
          <w:p w14:paraId="4D0C951E"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.447</w:t>
            </w:r>
          </w:p>
        </w:tc>
        <w:tc>
          <w:tcPr>
            <w:tcW w:w="990" w:type="dxa"/>
            <w:tcBorders>
              <w:top w:val="nil"/>
              <w:left w:val="nil"/>
              <w:bottom w:val="nil"/>
              <w:right w:val="nil"/>
            </w:tcBorders>
          </w:tcPr>
          <w:p w14:paraId="76C1710B"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761AA855"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.152</w:t>
            </w:r>
          </w:p>
        </w:tc>
        <w:tc>
          <w:tcPr>
            <w:tcW w:w="990" w:type="dxa"/>
            <w:tcBorders>
              <w:top w:val="nil"/>
              <w:left w:val="nil"/>
              <w:bottom w:val="nil"/>
              <w:right w:val="nil"/>
            </w:tcBorders>
          </w:tcPr>
          <w:p w14:paraId="77B8B019"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0348AC9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.152</w:t>
            </w:r>
          </w:p>
        </w:tc>
      </w:tr>
      <w:tr w:rsidR="008D4E8F" w14:paraId="1A9D226D" w14:textId="77777777">
        <w:tc>
          <w:tcPr>
            <w:tcW w:w="434" w:type="dxa"/>
            <w:tcBorders>
              <w:top w:val="nil"/>
              <w:left w:val="nil"/>
              <w:bottom w:val="nil"/>
              <w:right w:val="nil"/>
            </w:tcBorders>
          </w:tcPr>
          <w:p w14:paraId="45E20E00"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iii</w:t>
            </w:r>
          </w:p>
        </w:tc>
        <w:tc>
          <w:tcPr>
            <w:tcW w:w="3256" w:type="dxa"/>
            <w:tcBorders>
              <w:top w:val="nil"/>
              <w:left w:val="nil"/>
              <w:bottom w:val="nil"/>
              <w:right w:val="nil"/>
            </w:tcBorders>
          </w:tcPr>
          <w:p w14:paraId="0C3FE9A0"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Engaging in risky sexual behaviours can lead to unintended teenage pregnancies.</w:t>
            </w:r>
          </w:p>
        </w:tc>
        <w:tc>
          <w:tcPr>
            <w:tcW w:w="1080" w:type="dxa"/>
            <w:tcBorders>
              <w:top w:val="nil"/>
              <w:left w:val="nil"/>
              <w:bottom w:val="nil"/>
              <w:right w:val="nil"/>
            </w:tcBorders>
          </w:tcPr>
          <w:p w14:paraId="0AF24784"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4.694</w:t>
            </w:r>
          </w:p>
        </w:tc>
        <w:tc>
          <w:tcPr>
            <w:tcW w:w="810" w:type="dxa"/>
            <w:tcBorders>
              <w:top w:val="nil"/>
              <w:left w:val="nil"/>
              <w:bottom w:val="nil"/>
              <w:right w:val="nil"/>
            </w:tcBorders>
          </w:tcPr>
          <w:p w14:paraId="0BAE42C3"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.464</w:t>
            </w:r>
          </w:p>
        </w:tc>
        <w:tc>
          <w:tcPr>
            <w:tcW w:w="990" w:type="dxa"/>
            <w:tcBorders>
              <w:top w:val="nil"/>
              <w:left w:val="nil"/>
              <w:bottom w:val="nil"/>
              <w:right w:val="nil"/>
            </w:tcBorders>
          </w:tcPr>
          <w:p w14:paraId="3743E1F8"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4240CA99"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.152</w:t>
            </w:r>
          </w:p>
        </w:tc>
        <w:tc>
          <w:tcPr>
            <w:tcW w:w="990" w:type="dxa"/>
            <w:tcBorders>
              <w:top w:val="nil"/>
              <w:left w:val="nil"/>
              <w:bottom w:val="nil"/>
              <w:right w:val="nil"/>
            </w:tcBorders>
          </w:tcPr>
          <w:p w14:paraId="4AA931D0"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4.976</w:t>
            </w:r>
          </w:p>
        </w:tc>
        <w:tc>
          <w:tcPr>
            <w:tcW w:w="990" w:type="dxa"/>
            <w:tcBorders>
              <w:top w:val="nil"/>
              <w:left w:val="nil"/>
              <w:bottom w:val="nil"/>
              <w:right w:val="nil"/>
            </w:tcBorders>
          </w:tcPr>
          <w:p w14:paraId="57E8D76C"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.152</w:t>
            </w:r>
          </w:p>
        </w:tc>
      </w:tr>
      <w:tr w:rsidR="008D4E8F" w14:paraId="42127EDD" w14:textId="77777777">
        <w:tc>
          <w:tcPr>
            <w:tcW w:w="434" w:type="dxa"/>
            <w:tcBorders>
              <w:top w:val="nil"/>
              <w:left w:val="nil"/>
              <w:bottom w:val="nil"/>
              <w:right w:val="nil"/>
            </w:tcBorders>
          </w:tcPr>
          <w:p w14:paraId="193E816C"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iv</w:t>
            </w:r>
          </w:p>
        </w:tc>
        <w:tc>
          <w:tcPr>
            <w:tcW w:w="3256" w:type="dxa"/>
            <w:tcBorders>
              <w:top w:val="nil"/>
              <w:left w:val="nil"/>
              <w:bottom w:val="nil"/>
              <w:right w:val="nil"/>
            </w:tcBorders>
          </w:tcPr>
          <w:p w14:paraId="0DF7CD33"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Exposure to risky sexual behaviours can lead to damage of reproductive organs.</w:t>
            </w:r>
          </w:p>
        </w:tc>
        <w:tc>
          <w:tcPr>
            <w:tcW w:w="1080" w:type="dxa"/>
            <w:tcBorders>
              <w:top w:val="nil"/>
              <w:left w:val="nil"/>
              <w:bottom w:val="nil"/>
              <w:right w:val="nil"/>
            </w:tcBorders>
          </w:tcPr>
          <w:p w14:paraId="7687E38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4.624</w:t>
            </w:r>
          </w:p>
        </w:tc>
        <w:tc>
          <w:tcPr>
            <w:tcW w:w="810" w:type="dxa"/>
            <w:tcBorders>
              <w:top w:val="nil"/>
              <w:left w:val="nil"/>
              <w:bottom w:val="nil"/>
              <w:right w:val="nil"/>
            </w:tcBorders>
          </w:tcPr>
          <w:p w14:paraId="562FE51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.577</w:t>
            </w:r>
          </w:p>
        </w:tc>
        <w:tc>
          <w:tcPr>
            <w:tcW w:w="990" w:type="dxa"/>
            <w:tcBorders>
              <w:top w:val="nil"/>
              <w:left w:val="nil"/>
              <w:bottom w:val="nil"/>
              <w:right w:val="nil"/>
            </w:tcBorders>
          </w:tcPr>
          <w:p w14:paraId="06748EBB"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4.529</w:t>
            </w:r>
          </w:p>
        </w:tc>
        <w:tc>
          <w:tcPr>
            <w:tcW w:w="990" w:type="dxa"/>
            <w:tcBorders>
              <w:top w:val="nil"/>
              <w:left w:val="nil"/>
              <w:bottom w:val="nil"/>
              <w:right w:val="nil"/>
            </w:tcBorders>
          </w:tcPr>
          <w:p w14:paraId="40945A93"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.569</w:t>
            </w:r>
          </w:p>
        </w:tc>
        <w:tc>
          <w:tcPr>
            <w:tcW w:w="990" w:type="dxa"/>
            <w:tcBorders>
              <w:top w:val="nil"/>
              <w:left w:val="nil"/>
              <w:bottom w:val="nil"/>
              <w:right w:val="nil"/>
            </w:tcBorders>
          </w:tcPr>
          <w:p w14:paraId="16638D8D"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4.529</w:t>
            </w:r>
          </w:p>
        </w:tc>
        <w:tc>
          <w:tcPr>
            <w:tcW w:w="990" w:type="dxa"/>
            <w:tcBorders>
              <w:top w:val="nil"/>
              <w:left w:val="nil"/>
              <w:bottom w:val="nil"/>
              <w:right w:val="nil"/>
            </w:tcBorders>
          </w:tcPr>
          <w:p w14:paraId="043A0D0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.569</w:t>
            </w:r>
          </w:p>
        </w:tc>
      </w:tr>
      <w:tr w:rsidR="008D4E8F" w14:paraId="69F370F0" w14:textId="77777777">
        <w:tc>
          <w:tcPr>
            <w:tcW w:w="434" w:type="dxa"/>
            <w:tcBorders>
              <w:top w:val="nil"/>
              <w:left w:val="nil"/>
              <w:bottom w:val="nil"/>
              <w:right w:val="nil"/>
            </w:tcBorders>
          </w:tcPr>
          <w:p w14:paraId="5A99BC66" w14:textId="77777777" w:rsidR="008D4E8F" w:rsidRDefault="00D90E3D">
            <w:pPr>
              <w:rPr>
                <w:rFonts w:ascii="Times New Roman" w:hAnsi="Times New Roman" w:cs="Times New Roman"/>
                <w:bCs/>
                <w:sz w:val="24"/>
                <w:szCs w:val="24"/>
              </w:rPr>
            </w:pPr>
            <w:r>
              <w:rPr>
                <w:rFonts w:ascii="Times New Roman" w:hAnsi="Times New Roman" w:cs="Times New Roman"/>
                <w:bCs/>
                <w:sz w:val="24"/>
                <w:szCs w:val="24"/>
              </w:rPr>
              <w:t>V</w:t>
            </w:r>
          </w:p>
        </w:tc>
        <w:tc>
          <w:tcPr>
            <w:tcW w:w="3256" w:type="dxa"/>
            <w:tcBorders>
              <w:top w:val="nil"/>
              <w:left w:val="nil"/>
              <w:bottom w:val="nil"/>
              <w:right w:val="nil"/>
            </w:tcBorders>
          </w:tcPr>
          <w:p w14:paraId="56DD8645"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Engaging in risky sexual behaviours can lead to cervical cancer, HPV and even death.</w:t>
            </w:r>
          </w:p>
        </w:tc>
        <w:tc>
          <w:tcPr>
            <w:tcW w:w="1080" w:type="dxa"/>
            <w:tcBorders>
              <w:top w:val="nil"/>
              <w:left w:val="nil"/>
              <w:bottom w:val="nil"/>
              <w:right w:val="nil"/>
            </w:tcBorders>
          </w:tcPr>
          <w:p w14:paraId="0B74F084"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4.400</w:t>
            </w:r>
          </w:p>
        </w:tc>
        <w:tc>
          <w:tcPr>
            <w:tcW w:w="810" w:type="dxa"/>
            <w:tcBorders>
              <w:top w:val="nil"/>
              <w:left w:val="nil"/>
              <w:bottom w:val="nil"/>
              <w:right w:val="nil"/>
            </w:tcBorders>
          </w:tcPr>
          <w:p w14:paraId="203BBD90"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.743</w:t>
            </w:r>
          </w:p>
        </w:tc>
        <w:tc>
          <w:tcPr>
            <w:tcW w:w="990" w:type="dxa"/>
            <w:tcBorders>
              <w:top w:val="nil"/>
              <w:left w:val="nil"/>
              <w:bottom w:val="nil"/>
              <w:right w:val="nil"/>
            </w:tcBorders>
          </w:tcPr>
          <w:p w14:paraId="2EE40D56"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4.706</w:t>
            </w:r>
          </w:p>
        </w:tc>
        <w:tc>
          <w:tcPr>
            <w:tcW w:w="990" w:type="dxa"/>
            <w:tcBorders>
              <w:top w:val="nil"/>
              <w:left w:val="nil"/>
              <w:bottom w:val="nil"/>
              <w:right w:val="nil"/>
            </w:tcBorders>
          </w:tcPr>
          <w:p w14:paraId="7DE075C7"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.484</w:t>
            </w:r>
          </w:p>
        </w:tc>
        <w:tc>
          <w:tcPr>
            <w:tcW w:w="990" w:type="dxa"/>
            <w:tcBorders>
              <w:top w:val="nil"/>
              <w:left w:val="nil"/>
              <w:bottom w:val="nil"/>
              <w:right w:val="nil"/>
            </w:tcBorders>
          </w:tcPr>
          <w:p w14:paraId="271355D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4.706</w:t>
            </w:r>
          </w:p>
        </w:tc>
        <w:tc>
          <w:tcPr>
            <w:tcW w:w="990" w:type="dxa"/>
            <w:tcBorders>
              <w:top w:val="nil"/>
              <w:left w:val="nil"/>
              <w:bottom w:val="nil"/>
              <w:right w:val="nil"/>
            </w:tcBorders>
          </w:tcPr>
          <w:p w14:paraId="2BD01CF3"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.484</w:t>
            </w:r>
          </w:p>
        </w:tc>
      </w:tr>
      <w:tr w:rsidR="008D4E8F" w14:paraId="14C9AC8F" w14:textId="77777777">
        <w:tc>
          <w:tcPr>
            <w:tcW w:w="434" w:type="dxa"/>
            <w:tcBorders>
              <w:top w:val="nil"/>
              <w:left w:val="nil"/>
              <w:bottom w:val="nil"/>
              <w:right w:val="nil"/>
            </w:tcBorders>
          </w:tcPr>
          <w:p w14:paraId="3B409F26" w14:textId="77777777" w:rsidR="008D4E8F" w:rsidRDefault="00D90E3D">
            <w:pPr>
              <w:rPr>
                <w:rFonts w:ascii="Times New Roman" w:hAnsi="Times New Roman" w:cs="Times New Roman"/>
                <w:b/>
                <w:sz w:val="24"/>
                <w:szCs w:val="24"/>
              </w:rPr>
            </w:pPr>
            <w:r>
              <w:rPr>
                <w:rFonts w:ascii="Times New Roman" w:hAnsi="Times New Roman" w:cs="Times New Roman"/>
                <w:bCs/>
                <w:sz w:val="24"/>
                <w:szCs w:val="24"/>
              </w:rPr>
              <w:lastRenderedPageBreak/>
              <w:t>vi</w:t>
            </w:r>
          </w:p>
        </w:tc>
        <w:tc>
          <w:tcPr>
            <w:tcW w:w="3256" w:type="dxa"/>
            <w:tcBorders>
              <w:top w:val="nil"/>
              <w:left w:val="nil"/>
              <w:bottom w:val="nil"/>
              <w:right w:val="nil"/>
            </w:tcBorders>
          </w:tcPr>
          <w:p w14:paraId="3926473A"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Exposure to risky sexual behaviours can give rise to illegal abortions.</w:t>
            </w:r>
          </w:p>
        </w:tc>
        <w:tc>
          <w:tcPr>
            <w:tcW w:w="1080" w:type="dxa"/>
            <w:tcBorders>
              <w:top w:val="nil"/>
              <w:left w:val="nil"/>
              <w:bottom w:val="nil"/>
              <w:right w:val="nil"/>
            </w:tcBorders>
          </w:tcPr>
          <w:p w14:paraId="0C874E6C"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4.859</w:t>
            </w:r>
          </w:p>
        </w:tc>
        <w:tc>
          <w:tcPr>
            <w:tcW w:w="810" w:type="dxa"/>
            <w:tcBorders>
              <w:top w:val="nil"/>
              <w:left w:val="nil"/>
              <w:bottom w:val="nil"/>
              <w:right w:val="nil"/>
            </w:tcBorders>
          </w:tcPr>
          <w:p w14:paraId="3DD82A40"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.350</w:t>
            </w:r>
          </w:p>
        </w:tc>
        <w:tc>
          <w:tcPr>
            <w:tcW w:w="990" w:type="dxa"/>
            <w:tcBorders>
              <w:top w:val="nil"/>
              <w:left w:val="nil"/>
              <w:bottom w:val="nil"/>
              <w:right w:val="nil"/>
            </w:tcBorders>
          </w:tcPr>
          <w:p w14:paraId="28D9A8C0"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5.000</w:t>
            </w:r>
          </w:p>
        </w:tc>
        <w:tc>
          <w:tcPr>
            <w:tcW w:w="990" w:type="dxa"/>
            <w:tcBorders>
              <w:top w:val="nil"/>
              <w:left w:val="nil"/>
              <w:bottom w:val="nil"/>
              <w:right w:val="nil"/>
            </w:tcBorders>
          </w:tcPr>
          <w:p w14:paraId="412B9CE0"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.000</w:t>
            </w:r>
          </w:p>
        </w:tc>
        <w:tc>
          <w:tcPr>
            <w:tcW w:w="990" w:type="dxa"/>
            <w:tcBorders>
              <w:top w:val="nil"/>
              <w:left w:val="nil"/>
              <w:bottom w:val="nil"/>
              <w:right w:val="nil"/>
            </w:tcBorders>
          </w:tcPr>
          <w:p w14:paraId="412E1005"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4.859</w:t>
            </w:r>
          </w:p>
        </w:tc>
        <w:tc>
          <w:tcPr>
            <w:tcW w:w="990" w:type="dxa"/>
            <w:tcBorders>
              <w:top w:val="nil"/>
              <w:left w:val="nil"/>
              <w:bottom w:val="nil"/>
              <w:right w:val="nil"/>
            </w:tcBorders>
          </w:tcPr>
          <w:p w14:paraId="1F297712" w14:textId="77777777" w:rsidR="008D4E8F" w:rsidRDefault="00D90E3D">
            <w:pPr>
              <w:rPr>
                <w:rFonts w:ascii="Times New Roman" w:hAnsi="Times New Roman" w:cs="Times New Roman"/>
                <w:sz w:val="24"/>
                <w:szCs w:val="24"/>
              </w:rPr>
            </w:pPr>
            <w:r>
              <w:rPr>
                <w:rFonts w:ascii="Times New Roman" w:hAnsi="Times New Roman" w:cs="Times New Roman"/>
                <w:sz w:val="24"/>
                <w:szCs w:val="24"/>
              </w:rPr>
              <w:t>.350</w:t>
            </w:r>
          </w:p>
        </w:tc>
      </w:tr>
      <w:tr w:rsidR="008D4E8F" w14:paraId="309154D8" w14:textId="77777777">
        <w:tc>
          <w:tcPr>
            <w:tcW w:w="434" w:type="dxa"/>
            <w:tcBorders>
              <w:top w:val="nil"/>
              <w:left w:val="nil"/>
              <w:bottom w:val="single" w:sz="4" w:space="0" w:color="auto"/>
              <w:right w:val="nil"/>
            </w:tcBorders>
          </w:tcPr>
          <w:p w14:paraId="17ED9436" w14:textId="77777777" w:rsidR="008D4E8F" w:rsidRDefault="008D4E8F">
            <w:pPr>
              <w:rPr>
                <w:rFonts w:ascii="Times New Roman" w:hAnsi="Times New Roman" w:cs="Times New Roman"/>
                <w:bCs/>
                <w:sz w:val="24"/>
                <w:szCs w:val="24"/>
              </w:rPr>
            </w:pPr>
          </w:p>
        </w:tc>
        <w:tc>
          <w:tcPr>
            <w:tcW w:w="3256" w:type="dxa"/>
            <w:tcBorders>
              <w:top w:val="nil"/>
              <w:left w:val="nil"/>
              <w:bottom w:val="single" w:sz="4" w:space="0" w:color="auto"/>
              <w:right w:val="nil"/>
            </w:tcBorders>
          </w:tcPr>
          <w:p w14:paraId="105BA02E" w14:textId="77777777" w:rsidR="008D4E8F" w:rsidRDefault="008D4E8F">
            <w:pPr>
              <w:rPr>
                <w:rFonts w:ascii="Times New Roman" w:hAnsi="Times New Roman" w:cs="Times New Roman"/>
                <w:sz w:val="24"/>
                <w:szCs w:val="24"/>
              </w:rPr>
            </w:pPr>
          </w:p>
        </w:tc>
        <w:tc>
          <w:tcPr>
            <w:tcW w:w="1080" w:type="dxa"/>
            <w:tcBorders>
              <w:top w:val="nil"/>
              <w:left w:val="nil"/>
              <w:bottom w:val="single" w:sz="4" w:space="0" w:color="auto"/>
              <w:right w:val="nil"/>
            </w:tcBorders>
          </w:tcPr>
          <w:p w14:paraId="261CBFE8" w14:textId="77777777" w:rsidR="008D4E8F" w:rsidRDefault="008D4E8F">
            <w:pPr>
              <w:rPr>
                <w:rFonts w:ascii="Times New Roman" w:hAnsi="Times New Roman" w:cs="Times New Roman"/>
                <w:sz w:val="24"/>
                <w:szCs w:val="24"/>
              </w:rPr>
            </w:pPr>
          </w:p>
        </w:tc>
        <w:tc>
          <w:tcPr>
            <w:tcW w:w="810" w:type="dxa"/>
            <w:tcBorders>
              <w:top w:val="nil"/>
              <w:left w:val="nil"/>
              <w:bottom w:val="single" w:sz="4" w:space="0" w:color="auto"/>
              <w:right w:val="nil"/>
            </w:tcBorders>
          </w:tcPr>
          <w:p w14:paraId="37FAEDCA" w14:textId="77777777" w:rsidR="008D4E8F" w:rsidRDefault="008D4E8F">
            <w:pPr>
              <w:rPr>
                <w:rFonts w:ascii="Times New Roman" w:hAnsi="Times New Roman" w:cs="Times New Roman"/>
                <w:sz w:val="24"/>
                <w:szCs w:val="24"/>
              </w:rPr>
            </w:pPr>
          </w:p>
        </w:tc>
        <w:tc>
          <w:tcPr>
            <w:tcW w:w="990" w:type="dxa"/>
            <w:tcBorders>
              <w:top w:val="nil"/>
              <w:left w:val="nil"/>
              <w:bottom w:val="single" w:sz="4" w:space="0" w:color="auto"/>
              <w:right w:val="nil"/>
            </w:tcBorders>
          </w:tcPr>
          <w:p w14:paraId="3081354D" w14:textId="77777777" w:rsidR="008D4E8F" w:rsidRDefault="008D4E8F">
            <w:pPr>
              <w:rPr>
                <w:rFonts w:ascii="Times New Roman" w:hAnsi="Times New Roman" w:cs="Times New Roman"/>
                <w:sz w:val="24"/>
                <w:szCs w:val="24"/>
              </w:rPr>
            </w:pPr>
          </w:p>
        </w:tc>
        <w:tc>
          <w:tcPr>
            <w:tcW w:w="990" w:type="dxa"/>
            <w:tcBorders>
              <w:top w:val="nil"/>
              <w:left w:val="nil"/>
              <w:bottom w:val="single" w:sz="4" w:space="0" w:color="auto"/>
              <w:right w:val="nil"/>
            </w:tcBorders>
          </w:tcPr>
          <w:p w14:paraId="67E6996C" w14:textId="77777777" w:rsidR="008D4E8F" w:rsidRDefault="008D4E8F">
            <w:pPr>
              <w:rPr>
                <w:rFonts w:ascii="Times New Roman" w:hAnsi="Times New Roman" w:cs="Times New Roman"/>
                <w:sz w:val="24"/>
                <w:szCs w:val="24"/>
              </w:rPr>
            </w:pPr>
          </w:p>
        </w:tc>
        <w:tc>
          <w:tcPr>
            <w:tcW w:w="990" w:type="dxa"/>
            <w:tcBorders>
              <w:top w:val="nil"/>
              <w:left w:val="nil"/>
              <w:bottom w:val="single" w:sz="4" w:space="0" w:color="auto"/>
              <w:right w:val="nil"/>
            </w:tcBorders>
          </w:tcPr>
          <w:p w14:paraId="1498A4E5" w14:textId="77777777" w:rsidR="008D4E8F" w:rsidRDefault="008D4E8F">
            <w:pPr>
              <w:rPr>
                <w:rFonts w:ascii="Times New Roman" w:hAnsi="Times New Roman" w:cs="Times New Roman"/>
                <w:sz w:val="24"/>
                <w:szCs w:val="24"/>
              </w:rPr>
            </w:pPr>
          </w:p>
        </w:tc>
        <w:tc>
          <w:tcPr>
            <w:tcW w:w="990" w:type="dxa"/>
            <w:tcBorders>
              <w:top w:val="nil"/>
              <w:left w:val="nil"/>
              <w:bottom w:val="single" w:sz="4" w:space="0" w:color="auto"/>
              <w:right w:val="nil"/>
            </w:tcBorders>
          </w:tcPr>
          <w:p w14:paraId="3EFAA4CE" w14:textId="77777777" w:rsidR="008D4E8F" w:rsidRDefault="008D4E8F">
            <w:pPr>
              <w:rPr>
                <w:rFonts w:ascii="Times New Roman" w:hAnsi="Times New Roman" w:cs="Times New Roman"/>
                <w:sz w:val="24"/>
                <w:szCs w:val="24"/>
              </w:rPr>
            </w:pPr>
          </w:p>
        </w:tc>
      </w:tr>
    </w:tbl>
    <w:p w14:paraId="5270AC6C" w14:textId="77777777" w:rsidR="008D4E8F" w:rsidRDefault="008D4E8F">
      <w:pPr>
        <w:spacing w:line="360" w:lineRule="auto"/>
        <w:jc w:val="both"/>
        <w:rPr>
          <w:rFonts w:ascii="Times New Roman" w:hAnsi="Times New Roman" w:cs="Times New Roman"/>
          <w:sz w:val="24"/>
          <w:szCs w:val="24"/>
          <w:lang w:val="en-US"/>
        </w:rPr>
      </w:pPr>
    </w:p>
    <w:p w14:paraId="47938FCA" w14:textId="77777777" w:rsidR="008D4E8F" w:rsidRDefault="00D90E3D">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w:t>
      </w:r>
      <w:r>
        <w:rPr>
          <w:rFonts w:ascii="Times New Roman" w:hAnsi="Times New Roman" w:cs="Times New Roman"/>
          <w:sz w:val="24"/>
          <w:szCs w:val="24"/>
        </w:rPr>
        <w:t>he pretest and post-test perceptions of consequences of sexual risk behaviours amo</w:t>
      </w:r>
      <w:r>
        <w:rPr>
          <w:rFonts w:ascii="Times New Roman" w:hAnsi="Times New Roman" w:cs="Times New Roman"/>
          <w:sz w:val="24"/>
          <w:szCs w:val="24"/>
          <w:lang w:val="en-US"/>
        </w:rPr>
        <w:t xml:space="preserve">ng </w:t>
      </w:r>
      <w:r>
        <w:rPr>
          <w:rFonts w:ascii="Times New Roman" w:hAnsi="Times New Roman" w:cs="Times New Roman"/>
          <w:sz w:val="24"/>
          <w:szCs w:val="24"/>
        </w:rPr>
        <w:t xml:space="preserve">the study groups is presented in table </w:t>
      </w:r>
      <w:r>
        <w:rPr>
          <w:rFonts w:ascii="Times New Roman" w:hAnsi="Times New Roman" w:cs="Times New Roman"/>
          <w:sz w:val="24"/>
          <w:szCs w:val="24"/>
          <w:lang w:val="en-US"/>
        </w:rPr>
        <w:t>3a</w:t>
      </w:r>
      <w:r>
        <w:rPr>
          <w:rFonts w:ascii="Times New Roman" w:hAnsi="Times New Roman" w:cs="Times New Roman"/>
          <w:sz w:val="24"/>
          <w:szCs w:val="24"/>
        </w:rPr>
        <w:t>. It can be observed from the table that the average scores were quite high at both pretest and posttest score, with not less than 3-point scores (out of 5 points) obtained in each case. There were slight variations in the scores at pretest between the three study groups (TLM, WAM and AIM) were not quite wider. The score for responses that “Engaging in risky sexual behaviour is harmful” is quite high and similar for all the three groups (TLM = 4.612, WAM= 4.118 and AIM= 4.482). The scores were also high and similar in other items assessed at pretest.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post-test, the scores were relatively higher in the WAM group and the AIM group than in the TLM group in most of the items though with just slight margins (Figure </w:t>
      </w:r>
      <w:r>
        <w:rPr>
          <w:rFonts w:ascii="Times New Roman" w:hAnsi="Times New Roman" w:cs="Times New Roman"/>
          <w:sz w:val="24"/>
          <w:szCs w:val="24"/>
          <w:lang w:val="en-US"/>
        </w:rPr>
        <w:t>3</w:t>
      </w:r>
      <w:r>
        <w:rPr>
          <w:rFonts w:ascii="Times New Roman" w:hAnsi="Times New Roman" w:cs="Times New Roman"/>
          <w:sz w:val="24"/>
          <w:szCs w:val="24"/>
        </w:rPr>
        <w:t>).</w:t>
      </w:r>
    </w:p>
    <w:p w14:paraId="03000916" w14:textId="77777777" w:rsidR="008D4E8F" w:rsidRDefault="008D4E8F">
      <w:pPr>
        <w:spacing w:line="360" w:lineRule="auto"/>
        <w:jc w:val="both"/>
        <w:rPr>
          <w:rFonts w:ascii="Times New Roman" w:hAnsi="Times New Roman" w:cs="Times New Roman"/>
          <w:sz w:val="24"/>
          <w:szCs w:val="24"/>
        </w:rPr>
      </w:pPr>
    </w:p>
    <w:p w14:paraId="33693628" w14:textId="77777777" w:rsidR="008D4E8F" w:rsidRDefault="008D4E8F">
      <w:pPr>
        <w:spacing w:line="360" w:lineRule="auto"/>
        <w:jc w:val="both"/>
        <w:rPr>
          <w:rFonts w:ascii="Times New Roman" w:hAnsi="Times New Roman" w:cs="Times New Roman"/>
          <w:b/>
          <w:sz w:val="24"/>
          <w:szCs w:val="24"/>
        </w:rPr>
      </w:pPr>
    </w:p>
    <w:p w14:paraId="664F79F8" w14:textId="77777777" w:rsidR="008D4E8F" w:rsidRDefault="008D4E8F">
      <w:pPr>
        <w:spacing w:line="360" w:lineRule="auto"/>
        <w:jc w:val="both"/>
        <w:rPr>
          <w:rFonts w:ascii="Times New Roman" w:hAnsi="Times New Roman" w:cs="Times New Roman"/>
          <w:b/>
          <w:sz w:val="24"/>
          <w:szCs w:val="24"/>
        </w:rPr>
      </w:pPr>
    </w:p>
    <w:p w14:paraId="1206FCFB" w14:textId="77777777" w:rsidR="008D4E8F" w:rsidRDefault="00D90E3D">
      <w:pPr>
        <w:spacing w:line="360" w:lineRule="auto"/>
        <w:jc w:val="both"/>
        <w:rPr>
          <w:rFonts w:ascii="Times New Roman" w:hAnsi="Times New Roman" w:cs="Times New Roman"/>
          <w:b/>
          <w:sz w:val="24"/>
          <w:szCs w:val="24"/>
        </w:rPr>
      </w:pPr>
      <w:r>
        <w:rPr>
          <w:rFonts w:ascii="Times New Roman" w:hAnsi="Times New Roman" w:cs="Times New Roman"/>
          <w:noProof/>
          <w:sz w:val="24"/>
          <w:szCs w:val="24"/>
        </w:rPr>
        <w:lastRenderedPageBreak/>
        <w:drawing>
          <wp:inline distT="0" distB="0" distL="0" distR="0" wp14:anchorId="42F35C7A" wp14:editId="0D2F79C8">
            <wp:extent cx="5635625" cy="4818380"/>
            <wp:effectExtent l="0" t="0" r="3175" b="1270"/>
            <wp:docPr id="1043" name="Chart 10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23F384" w14:textId="77777777" w:rsidR="008D4E8F" w:rsidRDefault="00D90E3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w:t>
      </w:r>
      <w:r>
        <w:rPr>
          <w:rFonts w:ascii="Times New Roman" w:hAnsi="Times New Roman" w:cs="Times New Roman"/>
          <w:b/>
          <w:sz w:val="24"/>
          <w:szCs w:val="24"/>
          <w:lang w:val="en-US"/>
        </w:rPr>
        <w:t>2</w:t>
      </w:r>
      <w:r>
        <w:rPr>
          <w:rFonts w:ascii="Times New Roman" w:hAnsi="Times New Roman" w:cs="Times New Roman"/>
          <w:b/>
          <w:sz w:val="24"/>
          <w:szCs w:val="24"/>
        </w:rPr>
        <w:t>: Post-test Perception on consequences of risky sexual behaviours</w:t>
      </w:r>
    </w:p>
    <w:p w14:paraId="097B20C0" w14:textId="77777777" w:rsidR="008D4E8F" w:rsidRDefault="00D90E3D">
      <w:pPr>
        <w:autoSpaceDE w:val="0"/>
        <w:autoSpaceDN w:val="0"/>
        <w:adjustRightInd w:val="0"/>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3b</w:t>
      </w:r>
      <w:r>
        <w:rPr>
          <w:rFonts w:ascii="Times New Roman" w:hAnsi="Times New Roman" w:cs="Times New Roman"/>
          <w:b/>
          <w:sz w:val="24"/>
          <w:szCs w:val="24"/>
        </w:rPr>
        <w:t>: Summary of effects of study Intervention on Perception of consequences of sexual risk behaviours</w:t>
      </w:r>
      <w:r>
        <w:rPr>
          <w:rFonts w:ascii="Times New Roman" w:hAnsi="Times New Roman" w:cs="Times New Roman"/>
          <w:b/>
          <w:sz w:val="24"/>
          <w:szCs w:val="24"/>
          <w:highlight w:val="yellow"/>
        </w:rPr>
        <w:t xml:space="preserve"> </w:t>
      </w:r>
    </w:p>
    <w:p w14:paraId="53A40B37" w14:textId="77777777" w:rsidR="008D4E8F" w:rsidRDefault="008D4E8F">
      <w:pPr>
        <w:autoSpaceDE w:val="0"/>
        <w:autoSpaceDN w:val="0"/>
        <w:adjustRightInd w:val="0"/>
        <w:rPr>
          <w:rFonts w:ascii="Times New Roman" w:hAnsi="Times New Roman" w:cs="Times New Roman"/>
          <w:b/>
          <w:sz w:val="24"/>
          <w:szCs w:val="24"/>
        </w:rPr>
      </w:pPr>
    </w:p>
    <w:tbl>
      <w:tblPr>
        <w:tblW w:w="88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177"/>
        <w:gridCol w:w="1696"/>
        <w:gridCol w:w="1468"/>
        <w:gridCol w:w="1024"/>
        <w:gridCol w:w="1407"/>
        <w:gridCol w:w="1024"/>
        <w:gridCol w:w="1024"/>
      </w:tblGrid>
      <w:tr w:rsidR="008D4E8F" w14:paraId="6CBBD48A" w14:textId="77777777">
        <w:trPr>
          <w:cantSplit/>
        </w:trPr>
        <w:tc>
          <w:tcPr>
            <w:tcW w:w="2873" w:type="dxa"/>
            <w:gridSpan w:val="2"/>
            <w:tcBorders>
              <w:top w:val="single" w:sz="4" w:space="0" w:color="auto"/>
              <w:left w:val="nil"/>
              <w:bottom w:val="single" w:sz="4" w:space="0" w:color="auto"/>
              <w:right w:val="nil"/>
            </w:tcBorders>
            <w:shd w:val="clear" w:color="auto" w:fill="FFFFFF"/>
            <w:vAlign w:val="bottom"/>
          </w:tcPr>
          <w:p w14:paraId="574F0FED" w14:textId="77777777" w:rsidR="008D4E8F" w:rsidRDefault="008D4E8F">
            <w:pPr>
              <w:autoSpaceDE w:val="0"/>
              <w:autoSpaceDN w:val="0"/>
              <w:adjustRightInd w:val="0"/>
              <w:rPr>
                <w:rFonts w:ascii="Times New Roman" w:hAnsi="Times New Roman" w:cs="Times New Roman"/>
                <w:sz w:val="24"/>
                <w:szCs w:val="24"/>
              </w:rPr>
            </w:pPr>
          </w:p>
        </w:tc>
        <w:tc>
          <w:tcPr>
            <w:tcW w:w="1468" w:type="dxa"/>
            <w:tcBorders>
              <w:top w:val="single" w:sz="4" w:space="0" w:color="auto"/>
              <w:left w:val="nil"/>
              <w:bottom w:val="single" w:sz="4" w:space="0" w:color="auto"/>
              <w:right w:val="nil"/>
            </w:tcBorders>
            <w:shd w:val="clear" w:color="auto" w:fill="FFFFFF"/>
            <w:vAlign w:val="bottom"/>
          </w:tcPr>
          <w:p w14:paraId="0F22D3DD"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sz="4" w:space="0" w:color="auto"/>
              <w:left w:val="nil"/>
              <w:bottom w:val="single" w:sz="4" w:space="0" w:color="auto"/>
              <w:right w:val="nil"/>
            </w:tcBorders>
            <w:shd w:val="clear" w:color="auto" w:fill="FFFFFF"/>
            <w:vAlign w:val="bottom"/>
          </w:tcPr>
          <w:p w14:paraId="462673D1"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7" w:type="dxa"/>
            <w:tcBorders>
              <w:top w:val="single" w:sz="4" w:space="0" w:color="auto"/>
              <w:left w:val="nil"/>
              <w:bottom w:val="single" w:sz="4" w:space="0" w:color="auto"/>
              <w:right w:val="nil"/>
            </w:tcBorders>
            <w:shd w:val="clear" w:color="auto" w:fill="FFFFFF"/>
            <w:vAlign w:val="bottom"/>
          </w:tcPr>
          <w:p w14:paraId="4C35EB0C"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4" w:type="dxa"/>
            <w:tcBorders>
              <w:top w:val="single" w:sz="4" w:space="0" w:color="auto"/>
              <w:left w:val="nil"/>
              <w:bottom w:val="single" w:sz="4" w:space="0" w:color="auto"/>
              <w:right w:val="nil"/>
            </w:tcBorders>
            <w:shd w:val="clear" w:color="auto" w:fill="FFFFFF"/>
            <w:vAlign w:val="bottom"/>
          </w:tcPr>
          <w:p w14:paraId="4B870832"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sz="4" w:space="0" w:color="auto"/>
              <w:left w:val="nil"/>
              <w:bottom w:val="single" w:sz="4" w:space="0" w:color="auto"/>
              <w:right w:val="nil"/>
            </w:tcBorders>
            <w:shd w:val="clear" w:color="auto" w:fill="FFFFFF"/>
            <w:vAlign w:val="bottom"/>
          </w:tcPr>
          <w:p w14:paraId="16524207"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8D4E8F" w14:paraId="74A800E7" w14:textId="77777777">
        <w:trPr>
          <w:cantSplit/>
        </w:trPr>
        <w:tc>
          <w:tcPr>
            <w:tcW w:w="1177" w:type="dxa"/>
            <w:vMerge w:val="restart"/>
            <w:tcBorders>
              <w:top w:val="single" w:sz="4" w:space="0" w:color="auto"/>
              <w:left w:val="nil"/>
              <w:bottom w:val="nil"/>
              <w:right w:val="nil"/>
            </w:tcBorders>
            <w:shd w:val="clear" w:color="auto" w:fill="FFFFFF"/>
          </w:tcPr>
          <w:p w14:paraId="7CD5B5B4"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Pretest</w:t>
            </w:r>
          </w:p>
        </w:tc>
        <w:tc>
          <w:tcPr>
            <w:tcW w:w="1696" w:type="dxa"/>
            <w:tcBorders>
              <w:top w:val="single" w:sz="4" w:space="0" w:color="auto"/>
              <w:left w:val="nil"/>
              <w:bottom w:val="nil"/>
              <w:right w:val="nil"/>
            </w:tcBorders>
            <w:shd w:val="clear" w:color="auto" w:fill="FFFFFF"/>
          </w:tcPr>
          <w:p w14:paraId="2DA8B919"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Between Groups</w:t>
            </w:r>
          </w:p>
        </w:tc>
        <w:tc>
          <w:tcPr>
            <w:tcW w:w="1468" w:type="dxa"/>
            <w:tcBorders>
              <w:top w:val="single" w:sz="4" w:space="0" w:color="auto"/>
              <w:left w:val="nil"/>
              <w:bottom w:val="nil"/>
              <w:right w:val="nil"/>
            </w:tcBorders>
            <w:shd w:val="clear" w:color="auto" w:fill="FFFFFF"/>
            <w:vAlign w:val="center"/>
          </w:tcPr>
          <w:p w14:paraId="3CD1AD8D"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.070</w:t>
            </w:r>
          </w:p>
        </w:tc>
        <w:tc>
          <w:tcPr>
            <w:tcW w:w="1024" w:type="dxa"/>
            <w:tcBorders>
              <w:top w:val="single" w:sz="4" w:space="0" w:color="auto"/>
              <w:left w:val="nil"/>
              <w:bottom w:val="nil"/>
              <w:right w:val="nil"/>
            </w:tcBorders>
            <w:shd w:val="clear" w:color="auto" w:fill="FFFFFF"/>
            <w:vAlign w:val="center"/>
          </w:tcPr>
          <w:p w14:paraId="52FBE046"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07" w:type="dxa"/>
            <w:tcBorders>
              <w:top w:val="single" w:sz="4" w:space="0" w:color="auto"/>
              <w:left w:val="nil"/>
              <w:bottom w:val="nil"/>
              <w:right w:val="nil"/>
            </w:tcBorders>
            <w:shd w:val="clear" w:color="auto" w:fill="FFFFFF"/>
            <w:vAlign w:val="center"/>
          </w:tcPr>
          <w:p w14:paraId="23D7C668"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1024" w:type="dxa"/>
            <w:tcBorders>
              <w:top w:val="single" w:sz="4" w:space="0" w:color="auto"/>
              <w:left w:val="nil"/>
              <w:bottom w:val="nil"/>
              <w:right w:val="nil"/>
            </w:tcBorders>
            <w:shd w:val="clear" w:color="auto" w:fill="FFFFFF"/>
            <w:vAlign w:val="center"/>
          </w:tcPr>
          <w:p w14:paraId="27E3499E"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.416</w:t>
            </w:r>
          </w:p>
        </w:tc>
        <w:tc>
          <w:tcPr>
            <w:tcW w:w="1024" w:type="dxa"/>
            <w:tcBorders>
              <w:top w:val="single" w:sz="4" w:space="0" w:color="auto"/>
              <w:left w:val="nil"/>
              <w:bottom w:val="nil"/>
              <w:right w:val="nil"/>
            </w:tcBorders>
            <w:shd w:val="clear" w:color="auto" w:fill="FFFFFF"/>
            <w:vAlign w:val="center"/>
          </w:tcPr>
          <w:p w14:paraId="558BF0F6"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8D4E8F" w14:paraId="2B17CC79" w14:textId="77777777">
        <w:trPr>
          <w:cantSplit/>
        </w:trPr>
        <w:tc>
          <w:tcPr>
            <w:tcW w:w="1177" w:type="dxa"/>
            <w:vMerge/>
            <w:tcBorders>
              <w:top w:val="single" w:sz="4" w:space="0" w:color="auto"/>
              <w:left w:val="nil"/>
              <w:bottom w:val="nil"/>
              <w:right w:val="nil"/>
            </w:tcBorders>
            <w:vAlign w:val="center"/>
          </w:tcPr>
          <w:p w14:paraId="6C37A191" w14:textId="77777777" w:rsidR="008D4E8F" w:rsidRDefault="008D4E8F">
            <w:pPr>
              <w:spacing w:after="0"/>
              <w:rPr>
                <w:rFonts w:ascii="Times New Roman" w:hAnsi="Times New Roman" w:cs="Times New Roman"/>
                <w:color w:val="000000"/>
                <w:sz w:val="24"/>
                <w:szCs w:val="24"/>
                <w:lang w:val="en-US"/>
              </w:rPr>
            </w:pPr>
          </w:p>
        </w:tc>
        <w:tc>
          <w:tcPr>
            <w:tcW w:w="1696" w:type="dxa"/>
            <w:tcBorders>
              <w:top w:val="nil"/>
              <w:left w:val="nil"/>
              <w:bottom w:val="nil"/>
              <w:right w:val="nil"/>
            </w:tcBorders>
            <w:shd w:val="clear" w:color="auto" w:fill="FFFFFF"/>
          </w:tcPr>
          <w:p w14:paraId="2D3E1710"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Within Groups</w:t>
            </w:r>
          </w:p>
        </w:tc>
        <w:tc>
          <w:tcPr>
            <w:tcW w:w="1468" w:type="dxa"/>
            <w:tcBorders>
              <w:top w:val="nil"/>
              <w:left w:val="nil"/>
              <w:bottom w:val="nil"/>
              <w:right w:val="nil"/>
            </w:tcBorders>
            <w:shd w:val="clear" w:color="auto" w:fill="FFFFFF"/>
            <w:vAlign w:val="center"/>
          </w:tcPr>
          <w:p w14:paraId="42077D21"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1.261</w:t>
            </w:r>
          </w:p>
        </w:tc>
        <w:tc>
          <w:tcPr>
            <w:tcW w:w="1024" w:type="dxa"/>
            <w:tcBorders>
              <w:top w:val="nil"/>
              <w:left w:val="nil"/>
              <w:bottom w:val="nil"/>
              <w:right w:val="nil"/>
            </w:tcBorders>
            <w:shd w:val="clear" w:color="auto" w:fill="FFFFFF"/>
            <w:vAlign w:val="center"/>
          </w:tcPr>
          <w:p w14:paraId="34583D4C"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407" w:type="dxa"/>
            <w:tcBorders>
              <w:top w:val="nil"/>
              <w:left w:val="nil"/>
              <w:bottom w:val="nil"/>
              <w:right w:val="nil"/>
            </w:tcBorders>
            <w:shd w:val="clear" w:color="auto" w:fill="FFFFFF"/>
            <w:vAlign w:val="center"/>
          </w:tcPr>
          <w:p w14:paraId="38344C13"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.084</w:t>
            </w:r>
          </w:p>
        </w:tc>
        <w:tc>
          <w:tcPr>
            <w:tcW w:w="1024" w:type="dxa"/>
            <w:tcBorders>
              <w:top w:val="nil"/>
              <w:left w:val="nil"/>
              <w:bottom w:val="nil"/>
              <w:right w:val="nil"/>
            </w:tcBorders>
            <w:shd w:val="clear" w:color="auto" w:fill="FFFFFF"/>
            <w:vAlign w:val="center"/>
          </w:tcPr>
          <w:p w14:paraId="495748F9" w14:textId="77777777" w:rsidR="008D4E8F" w:rsidRDefault="008D4E8F">
            <w:pPr>
              <w:autoSpaceDE w:val="0"/>
              <w:autoSpaceDN w:val="0"/>
              <w:adjustRightInd w:val="0"/>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14:paraId="34974AA8" w14:textId="77777777" w:rsidR="008D4E8F" w:rsidRDefault="008D4E8F">
            <w:pPr>
              <w:autoSpaceDE w:val="0"/>
              <w:autoSpaceDN w:val="0"/>
              <w:adjustRightInd w:val="0"/>
              <w:rPr>
                <w:rFonts w:ascii="Times New Roman" w:hAnsi="Times New Roman" w:cs="Times New Roman"/>
                <w:sz w:val="24"/>
                <w:szCs w:val="24"/>
              </w:rPr>
            </w:pPr>
          </w:p>
        </w:tc>
      </w:tr>
      <w:tr w:rsidR="008D4E8F" w14:paraId="198F2B4C" w14:textId="77777777">
        <w:trPr>
          <w:cantSplit/>
        </w:trPr>
        <w:tc>
          <w:tcPr>
            <w:tcW w:w="1177" w:type="dxa"/>
            <w:vMerge/>
            <w:tcBorders>
              <w:top w:val="single" w:sz="4" w:space="0" w:color="auto"/>
              <w:left w:val="nil"/>
              <w:bottom w:val="nil"/>
              <w:right w:val="nil"/>
            </w:tcBorders>
            <w:vAlign w:val="center"/>
          </w:tcPr>
          <w:p w14:paraId="4B0C15B3" w14:textId="77777777" w:rsidR="008D4E8F" w:rsidRDefault="008D4E8F">
            <w:pPr>
              <w:spacing w:after="0"/>
              <w:rPr>
                <w:rFonts w:ascii="Times New Roman" w:hAnsi="Times New Roman" w:cs="Times New Roman"/>
                <w:color w:val="000000"/>
                <w:sz w:val="24"/>
                <w:szCs w:val="24"/>
                <w:lang w:val="en-US"/>
              </w:rPr>
            </w:pPr>
          </w:p>
        </w:tc>
        <w:tc>
          <w:tcPr>
            <w:tcW w:w="1696" w:type="dxa"/>
            <w:tcBorders>
              <w:top w:val="nil"/>
              <w:left w:val="nil"/>
              <w:bottom w:val="nil"/>
              <w:right w:val="nil"/>
            </w:tcBorders>
            <w:shd w:val="clear" w:color="auto" w:fill="FFFFFF"/>
          </w:tcPr>
          <w:p w14:paraId="29A94267"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nil"/>
              <w:bottom w:val="nil"/>
              <w:right w:val="nil"/>
            </w:tcBorders>
            <w:shd w:val="clear" w:color="auto" w:fill="FFFFFF"/>
            <w:vAlign w:val="center"/>
          </w:tcPr>
          <w:p w14:paraId="5D65431B"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1.331</w:t>
            </w:r>
          </w:p>
        </w:tc>
        <w:tc>
          <w:tcPr>
            <w:tcW w:w="1024" w:type="dxa"/>
            <w:tcBorders>
              <w:top w:val="nil"/>
              <w:left w:val="nil"/>
              <w:bottom w:val="nil"/>
              <w:right w:val="nil"/>
            </w:tcBorders>
            <w:shd w:val="clear" w:color="auto" w:fill="FFFFFF"/>
            <w:vAlign w:val="center"/>
          </w:tcPr>
          <w:p w14:paraId="10CC4CE9"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407" w:type="dxa"/>
            <w:tcBorders>
              <w:top w:val="nil"/>
              <w:left w:val="nil"/>
              <w:bottom w:val="nil"/>
              <w:right w:val="nil"/>
            </w:tcBorders>
            <w:shd w:val="clear" w:color="auto" w:fill="FFFFFF"/>
            <w:vAlign w:val="center"/>
          </w:tcPr>
          <w:p w14:paraId="08AF41EB" w14:textId="77777777" w:rsidR="008D4E8F" w:rsidRDefault="008D4E8F">
            <w:pPr>
              <w:autoSpaceDE w:val="0"/>
              <w:autoSpaceDN w:val="0"/>
              <w:adjustRightInd w:val="0"/>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14:paraId="46807B7C" w14:textId="77777777" w:rsidR="008D4E8F" w:rsidRDefault="008D4E8F">
            <w:pPr>
              <w:autoSpaceDE w:val="0"/>
              <w:autoSpaceDN w:val="0"/>
              <w:adjustRightInd w:val="0"/>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14:paraId="4A0E16D8" w14:textId="77777777" w:rsidR="008D4E8F" w:rsidRDefault="008D4E8F">
            <w:pPr>
              <w:autoSpaceDE w:val="0"/>
              <w:autoSpaceDN w:val="0"/>
              <w:adjustRightInd w:val="0"/>
              <w:rPr>
                <w:rFonts w:ascii="Times New Roman" w:hAnsi="Times New Roman" w:cs="Times New Roman"/>
                <w:sz w:val="24"/>
                <w:szCs w:val="24"/>
              </w:rPr>
            </w:pPr>
          </w:p>
        </w:tc>
      </w:tr>
      <w:tr w:rsidR="008D4E8F" w14:paraId="4C0D9FD4" w14:textId="77777777">
        <w:trPr>
          <w:cantSplit/>
        </w:trPr>
        <w:tc>
          <w:tcPr>
            <w:tcW w:w="1177" w:type="dxa"/>
            <w:vMerge w:val="restart"/>
            <w:tcBorders>
              <w:top w:val="nil"/>
              <w:left w:val="nil"/>
              <w:bottom w:val="single" w:sz="4" w:space="0" w:color="auto"/>
              <w:right w:val="nil"/>
            </w:tcBorders>
            <w:shd w:val="clear" w:color="auto" w:fill="FFFFFF"/>
          </w:tcPr>
          <w:p w14:paraId="247CB962"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Posttest</w:t>
            </w:r>
          </w:p>
        </w:tc>
        <w:tc>
          <w:tcPr>
            <w:tcW w:w="1696" w:type="dxa"/>
            <w:tcBorders>
              <w:top w:val="nil"/>
              <w:left w:val="nil"/>
              <w:bottom w:val="nil"/>
              <w:right w:val="nil"/>
            </w:tcBorders>
            <w:shd w:val="clear" w:color="auto" w:fill="FFFFFF"/>
          </w:tcPr>
          <w:p w14:paraId="5FE0B5F9"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Between Groups</w:t>
            </w:r>
          </w:p>
        </w:tc>
        <w:tc>
          <w:tcPr>
            <w:tcW w:w="1468" w:type="dxa"/>
            <w:tcBorders>
              <w:top w:val="nil"/>
              <w:left w:val="nil"/>
              <w:bottom w:val="nil"/>
              <w:right w:val="nil"/>
            </w:tcBorders>
            <w:shd w:val="clear" w:color="auto" w:fill="FFFFFF"/>
            <w:vAlign w:val="center"/>
          </w:tcPr>
          <w:p w14:paraId="4AB1F556"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024" w:type="dxa"/>
            <w:tcBorders>
              <w:top w:val="nil"/>
              <w:left w:val="nil"/>
              <w:bottom w:val="nil"/>
              <w:right w:val="nil"/>
            </w:tcBorders>
            <w:shd w:val="clear" w:color="auto" w:fill="FFFFFF"/>
            <w:vAlign w:val="center"/>
          </w:tcPr>
          <w:p w14:paraId="281DC2F4"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07" w:type="dxa"/>
            <w:tcBorders>
              <w:top w:val="nil"/>
              <w:left w:val="nil"/>
              <w:bottom w:val="nil"/>
              <w:right w:val="nil"/>
            </w:tcBorders>
            <w:shd w:val="clear" w:color="auto" w:fill="FFFFFF"/>
            <w:vAlign w:val="center"/>
          </w:tcPr>
          <w:p w14:paraId="18CCD4E6"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.097</w:t>
            </w:r>
          </w:p>
        </w:tc>
        <w:tc>
          <w:tcPr>
            <w:tcW w:w="1024" w:type="dxa"/>
            <w:tcBorders>
              <w:top w:val="nil"/>
              <w:left w:val="nil"/>
              <w:bottom w:val="nil"/>
              <w:right w:val="nil"/>
            </w:tcBorders>
            <w:shd w:val="clear" w:color="auto" w:fill="FFFFFF"/>
            <w:vAlign w:val="center"/>
          </w:tcPr>
          <w:p w14:paraId="05102F42"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5.339</w:t>
            </w:r>
          </w:p>
        </w:tc>
        <w:tc>
          <w:tcPr>
            <w:tcW w:w="1024" w:type="dxa"/>
            <w:tcBorders>
              <w:top w:val="nil"/>
              <w:left w:val="nil"/>
              <w:bottom w:val="nil"/>
              <w:right w:val="nil"/>
            </w:tcBorders>
            <w:shd w:val="clear" w:color="auto" w:fill="FFFFFF"/>
            <w:vAlign w:val="center"/>
          </w:tcPr>
          <w:p w14:paraId="58F1B730"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.018</w:t>
            </w:r>
          </w:p>
        </w:tc>
      </w:tr>
      <w:tr w:rsidR="008D4E8F" w14:paraId="6DE8EF60" w14:textId="77777777">
        <w:trPr>
          <w:cantSplit/>
        </w:trPr>
        <w:tc>
          <w:tcPr>
            <w:tcW w:w="1177" w:type="dxa"/>
            <w:vMerge/>
            <w:tcBorders>
              <w:top w:val="nil"/>
              <w:left w:val="nil"/>
              <w:bottom w:val="single" w:sz="4" w:space="0" w:color="auto"/>
              <w:right w:val="nil"/>
            </w:tcBorders>
            <w:vAlign w:val="center"/>
          </w:tcPr>
          <w:p w14:paraId="41B9575D" w14:textId="77777777" w:rsidR="008D4E8F" w:rsidRDefault="008D4E8F">
            <w:pPr>
              <w:spacing w:after="0"/>
              <w:rPr>
                <w:rFonts w:ascii="Times New Roman" w:hAnsi="Times New Roman" w:cs="Times New Roman"/>
                <w:color w:val="000000"/>
                <w:sz w:val="24"/>
                <w:szCs w:val="24"/>
                <w:lang w:val="en-US"/>
              </w:rPr>
            </w:pPr>
          </w:p>
        </w:tc>
        <w:tc>
          <w:tcPr>
            <w:tcW w:w="1696" w:type="dxa"/>
            <w:tcBorders>
              <w:top w:val="nil"/>
              <w:left w:val="nil"/>
              <w:bottom w:val="nil"/>
              <w:right w:val="nil"/>
            </w:tcBorders>
            <w:shd w:val="clear" w:color="auto" w:fill="FFFFFF"/>
          </w:tcPr>
          <w:p w14:paraId="7E597255"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Within Groups</w:t>
            </w:r>
          </w:p>
        </w:tc>
        <w:tc>
          <w:tcPr>
            <w:tcW w:w="1468" w:type="dxa"/>
            <w:tcBorders>
              <w:top w:val="nil"/>
              <w:left w:val="nil"/>
              <w:bottom w:val="nil"/>
              <w:right w:val="nil"/>
            </w:tcBorders>
            <w:shd w:val="clear" w:color="auto" w:fill="FFFFFF"/>
            <w:vAlign w:val="center"/>
          </w:tcPr>
          <w:p w14:paraId="48842821"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.271</w:t>
            </w:r>
          </w:p>
        </w:tc>
        <w:tc>
          <w:tcPr>
            <w:tcW w:w="1024" w:type="dxa"/>
            <w:tcBorders>
              <w:top w:val="nil"/>
              <w:left w:val="nil"/>
              <w:bottom w:val="nil"/>
              <w:right w:val="nil"/>
            </w:tcBorders>
            <w:shd w:val="clear" w:color="auto" w:fill="FFFFFF"/>
            <w:vAlign w:val="center"/>
          </w:tcPr>
          <w:p w14:paraId="11046091"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407" w:type="dxa"/>
            <w:tcBorders>
              <w:top w:val="nil"/>
              <w:left w:val="nil"/>
              <w:bottom w:val="nil"/>
              <w:right w:val="nil"/>
            </w:tcBorders>
            <w:shd w:val="clear" w:color="auto" w:fill="FFFFFF"/>
            <w:vAlign w:val="center"/>
          </w:tcPr>
          <w:p w14:paraId="6FF967B3"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.018</w:t>
            </w:r>
          </w:p>
        </w:tc>
        <w:tc>
          <w:tcPr>
            <w:tcW w:w="1024" w:type="dxa"/>
            <w:tcBorders>
              <w:top w:val="nil"/>
              <w:left w:val="nil"/>
              <w:bottom w:val="nil"/>
              <w:right w:val="nil"/>
            </w:tcBorders>
            <w:shd w:val="clear" w:color="auto" w:fill="FFFFFF"/>
            <w:vAlign w:val="center"/>
          </w:tcPr>
          <w:p w14:paraId="4E0C33BD" w14:textId="77777777" w:rsidR="008D4E8F" w:rsidRDefault="008D4E8F">
            <w:pPr>
              <w:autoSpaceDE w:val="0"/>
              <w:autoSpaceDN w:val="0"/>
              <w:adjustRightInd w:val="0"/>
              <w:rPr>
                <w:rFonts w:ascii="Times New Roman" w:hAnsi="Times New Roman" w:cs="Times New Roman"/>
                <w:sz w:val="24"/>
                <w:szCs w:val="24"/>
              </w:rPr>
            </w:pPr>
          </w:p>
        </w:tc>
        <w:tc>
          <w:tcPr>
            <w:tcW w:w="1024" w:type="dxa"/>
            <w:tcBorders>
              <w:top w:val="nil"/>
              <w:left w:val="nil"/>
              <w:bottom w:val="nil"/>
              <w:right w:val="nil"/>
            </w:tcBorders>
            <w:shd w:val="clear" w:color="auto" w:fill="FFFFFF"/>
            <w:vAlign w:val="center"/>
          </w:tcPr>
          <w:p w14:paraId="4529C149" w14:textId="77777777" w:rsidR="008D4E8F" w:rsidRDefault="008D4E8F">
            <w:pPr>
              <w:autoSpaceDE w:val="0"/>
              <w:autoSpaceDN w:val="0"/>
              <w:adjustRightInd w:val="0"/>
              <w:rPr>
                <w:rFonts w:ascii="Times New Roman" w:hAnsi="Times New Roman" w:cs="Times New Roman"/>
                <w:sz w:val="24"/>
                <w:szCs w:val="24"/>
              </w:rPr>
            </w:pPr>
          </w:p>
        </w:tc>
      </w:tr>
      <w:tr w:rsidR="008D4E8F" w14:paraId="2A2B8597" w14:textId="77777777">
        <w:trPr>
          <w:cantSplit/>
        </w:trPr>
        <w:tc>
          <w:tcPr>
            <w:tcW w:w="1177" w:type="dxa"/>
            <w:vMerge/>
            <w:tcBorders>
              <w:top w:val="nil"/>
              <w:left w:val="nil"/>
              <w:bottom w:val="single" w:sz="4" w:space="0" w:color="auto"/>
              <w:right w:val="nil"/>
            </w:tcBorders>
            <w:vAlign w:val="center"/>
          </w:tcPr>
          <w:p w14:paraId="1C341842" w14:textId="77777777" w:rsidR="008D4E8F" w:rsidRDefault="008D4E8F">
            <w:pPr>
              <w:spacing w:after="0"/>
              <w:rPr>
                <w:rFonts w:ascii="Times New Roman" w:hAnsi="Times New Roman" w:cs="Times New Roman"/>
                <w:color w:val="000000"/>
                <w:sz w:val="24"/>
                <w:szCs w:val="24"/>
                <w:lang w:val="en-US"/>
              </w:rPr>
            </w:pPr>
          </w:p>
        </w:tc>
        <w:tc>
          <w:tcPr>
            <w:tcW w:w="1696" w:type="dxa"/>
            <w:tcBorders>
              <w:top w:val="nil"/>
              <w:left w:val="nil"/>
              <w:bottom w:val="single" w:sz="4" w:space="0" w:color="auto"/>
              <w:right w:val="nil"/>
            </w:tcBorders>
            <w:shd w:val="clear" w:color="auto" w:fill="FFFFFF"/>
          </w:tcPr>
          <w:p w14:paraId="1593627D"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nil"/>
              <w:bottom w:val="single" w:sz="4" w:space="0" w:color="auto"/>
              <w:right w:val="nil"/>
            </w:tcBorders>
            <w:shd w:val="clear" w:color="auto" w:fill="FFFFFF"/>
            <w:vAlign w:val="center"/>
          </w:tcPr>
          <w:p w14:paraId="523605F7"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1024" w:type="dxa"/>
            <w:tcBorders>
              <w:top w:val="nil"/>
              <w:left w:val="nil"/>
              <w:bottom w:val="single" w:sz="4" w:space="0" w:color="auto"/>
              <w:right w:val="nil"/>
            </w:tcBorders>
            <w:shd w:val="clear" w:color="auto" w:fill="FFFFFF"/>
            <w:vAlign w:val="center"/>
          </w:tcPr>
          <w:p w14:paraId="7D8FA32D" w14:textId="77777777" w:rsidR="008D4E8F" w:rsidRDefault="00D90E3D">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407" w:type="dxa"/>
            <w:tcBorders>
              <w:top w:val="nil"/>
              <w:left w:val="nil"/>
              <w:bottom w:val="single" w:sz="4" w:space="0" w:color="auto"/>
              <w:right w:val="nil"/>
            </w:tcBorders>
            <w:shd w:val="clear" w:color="auto" w:fill="FFFFFF"/>
            <w:vAlign w:val="center"/>
          </w:tcPr>
          <w:p w14:paraId="0A73FC5F" w14:textId="77777777" w:rsidR="008D4E8F" w:rsidRDefault="008D4E8F">
            <w:pPr>
              <w:autoSpaceDE w:val="0"/>
              <w:autoSpaceDN w:val="0"/>
              <w:adjustRightInd w:val="0"/>
              <w:rPr>
                <w:rFonts w:ascii="Times New Roman" w:hAnsi="Times New Roman" w:cs="Times New Roman"/>
                <w:sz w:val="24"/>
                <w:szCs w:val="24"/>
              </w:rPr>
            </w:pPr>
          </w:p>
        </w:tc>
        <w:tc>
          <w:tcPr>
            <w:tcW w:w="1024" w:type="dxa"/>
            <w:tcBorders>
              <w:top w:val="nil"/>
              <w:left w:val="nil"/>
              <w:bottom w:val="single" w:sz="4" w:space="0" w:color="auto"/>
              <w:right w:val="nil"/>
            </w:tcBorders>
            <w:shd w:val="clear" w:color="auto" w:fill="FFFFFF"/>
            <w:vAlign w:val="center"/>
          </w:tcPr>
          <w:p w14:paraId="1EA58847" w14:textId="77777777" w:rsidR="008D4E8F" w:rsidRDefault="008D4E8F">
            <w:pPr>
              <w:autoSpaceDE w:val="0"/>
              <w:autoSpaceDN w:val="0"/>
              <w:adjustRightInd w:val="0"/>
              <w:rPr>
                <w:rFonts w:ascii="Times New Roman" w:hAnsi="Times New Roman" w:cs="Times New Roman"/>
                <w:sz w:val="24"/>
                <w:szCs w:val="24"/>
              </w:rPr>
            </w:pPr>
          </w:p>
        </w:tc>
        <w:tc>
          <w:tcPr>
            <w:tcW w:w="1024" w:type="dxa"/>
            <w:tcBorders>
              <w:top w:val="nil"/>
              <w:left w:val="nil"/>
              <w:bottom w:val="single" w:sz="4" w:space="0" w:color="auto"/>
              <w:right w:val="nil"/>
            </w:tcBorders>
            <w:shd w:val="clear" w:color="auto" w:fill="FFFFFF"/>
            <w:vAlign w:val="center"/>
          </w:tcPr>
          <w:p w14:paraId="4F69D55F" w14:textId="77777777" w:rsidR="008D4E8F" w:rsidRDefault="008D4E8F">
            <w:pPr>
              <w:autoSpaceDE w:val="0"/>
              <w:autoSpaceDN w:val="0"/>
              <w:adjustRightInd w:val="0"/>
              <w:rPr>
                <w:rFonts w:ascii="Times New Roman" w:hAnsi="Times New Roman" w:cs="Times New Roman"/>
                <w:sz w:val="24"/>
                <w:szCs w:val="24"/>
              </w:rPr>
            </w:pPr>
          </w:p>
        </w:tc>
      </w:tr>
    </w:tbl>
    <w:p w14:paraId="62B0B0CB" w14:textId="77777777" w:rsidR="008D4E8F" w:rsidRDefault="008D4E8F">
      <w:pPr>
        <w:autoSpaceDE w:val="0"/>
        <w:autoSpaceDN w:val="0"/>
        <w:adjustRightInd w:val="0"/>
        <w:spacing w:line="400" w:lineRule="atLeast"/>
        <w:rPr>
          <w:rFonts w:ascii="Times New Roman" w:hAnsi="Times New Roman" w:cs="Times New Roman"/>
          <w:sz w:val="24"/>
          <w:szCs w:val="24"/>
          <w:lang w:val="en-US"/>
        </w:rPr>
      </w:pPr>
    </w:p>
    <w:p w14:paraId="2F7B4BC4" w14:textId="77777777" w:rsidR="008D4E8F" w:rsidRDefault="00D90E3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lang w:val="en-US"/>
        </w:rPr>
        <w:t>3b</w:t>
      </w:r>
      <w:r>
        <w:rPr>
          <w:rFonts w:ascii="Times New Roman" w:hAnsi="Times New Roman" w:cs="Times New Roman"/>
          <w:sz w:val="24"/>
          <w:szCs w:val="24"/>
        </w:rPr>
        <w:t xml:space="preserve"> summarized the effects of the study intervention on perception of consequences of sexual risk behaviours among the study group. Clearly the table showed that there were no significant differences between the group mean scores at pretest but significant difference was achieved at posttest (p=0.018, F = 5.339), signaling positive intervention effects on the perception .</w:t>
      </w:r>
    </w:p>
    <w:p w14:paraId="281666E3" w14:textId="77777777" w:rsidR="008D4E8F" w:rsidRDefault="008D4E8F">
      <w:pPr>
        <w:autoSpaceDE w:val="0"/>
        <w:autoSpaceDN w:val="0"/>
        <w:adjustRightInd w:val="0"/>
        <w:spacing w:line="400" w:lineRule="atLeast"/>
        <w:rPr>
          <w:rFonts w:ascii="Times New Roman" w:hAnsi="Times New Roman" w:cs="Times New Roman"/>
          <w:sz w:val="24"/>
          <w:szCs w:val="24"/>
        </w:rPr>
      </w:pPr>
    </w:p>
    <w:p w14:paraId="7E75CD48" w14:textId="77777777" w:rsidR="008D4E8F" w:rsidRDefault="00D90E3D">
      <w:pPr>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 xml:space="preserve">Table </w:t>
      </w:r>
      <w:r>
        <w:rPr>
          <w:rFonts w:ascii="Times New Roman" w:hAnsi="Times New Roman" w:cs="Times New Roman"/>
          <w:b/>
          <w:color w:val="000000"/>
          <w:sz w:val="24"/>
          <w:szCs w:val="24"/>
          <w:shd w:val="clear" w:color="auto" w:fill="FFFFFF"/>
          <w:lang w:val="en-US"/>
        </w:rPr>
        <w:t>3c:</w:t>
      </w:r>
      <w:r>
        <w:rPr>
          <w:rFonts w:ascii="Times New Roman" w:hAnsi="Times New Roman" w:cs="Times New Roman"/>
          <w:b/>
          <w:color w:val="000000"/>
          <w:sz w:val="24"/>
          <w:szCs w:val="24"/>
          <w:shd w:val="clear" w:color="auto" w:fill="FFFFFF"/>
        </w:rPr>
        <w:t xml:space="preserve"> Bonferroni comparison test for differences between group effects on </w:t>
      </w:r>
      <w:r>
        <w:rPr>
          <w:rFonts w:ascii="Times New Roman" w:hAnsi="Times New Roman" w:cs="Times New Roman"/>
          <w:b/>
          <w:sz w:val="24"/>
          <w:szCs w:val="24"/>
        </w:rPr>
        <w:t>consequences of sexual risk behaviours</w:t>
      </w:r>
    </w:p>
    <w:tbl>
      <w:tblPr>
        <w:tblW w:w="892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643"/>
        <w:gridCol w:w="1677"/>
        <w:gridCol w:w="1222"/>
        <w:gridCol w:w="1169"/>
        <w:gridCol w:w="1606"/>
        <w:gridCol w:w="1608"/>
      </w:tblGrid>
      <w:tr w:rsidR="008D4E8F" w14:paraId="364DBBEB" w14:textId="77777777">
        <w:trPr>
          <w:cantSplit/>
          <w:trHeight w:val="738"/>
        </w:trPr>
        <w:tc>
          <w:tcPr>
            <w:tcW w:w="1643" w:type="dxa"/>
            <w:vMerge w:val="restart"/>
            <w:tcBorders>
              <w:top w:val="single" w:sz="4" w:space="0" w:color="auto"/>
              <w:left w:val="nil"/>
              <w:bottom w:val="single" w:sz="4" w:space="0" w:color="auto"/>
              <w:right w:val="nil"/>
            </w:tcBorders>
            <w:shd w:val="clear" w:color="auto" w:fill="FFFFFF"/>
            <w:vAlign w:val="bottom"/>
          </w:tcPr>
          <w:p w14:paraId="0851338D" w14:textId="77777777" w:rsidR="008D4E8F" w:rsidRDefault="00D90E3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Group compared</w:t>
            </w:r>
          </w:p>
        </w:tc>
        <w:tc>
          <w:tcPr>
            <w:tcW w:w="1677" w:type="dxa"/>
            <w:vMerge w:val="restart"/>
            <w:tcBorders>
              <w:top w:val="single" w:sz="4" w:space="0" w:color="auto"/>
              <w:left w:val="nil"/>
              <w:bottom w:val="single" w:sz="4" w:space="0" w:color="auto"/>
              <w:right w:val="nil"/>
            </w:tcBorders>
            <w:shd w:val="clear" w:color="auto" w:fill="FFFFFF"/>
            <w:vAlign w:val="bottom"/>
          </w:tcPr>
          <w:p w14:paraId="2E336D62"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Difference</w:t>
            </w:r>
          </w:p>
        </w:tc>
        <w:tc>
          <w:tcPr>
            <w:tcW w:w="1222" w:type="dxa"/>
            <w:vMerge w:val="restart"/>
            <w:tcBorders>
              <w:top w:val="single" w:sz="4" w:space="0" w:color="auto"/>
              <w:left w:val="nil"/>
              <w:bottom w:val="single" w:sz="4" w:space="0" w:color="auto"/>
              <w:right w:val="nil"/>
            </w:tcBorders>
            <w:shd w:val="clear" w:color="auto" w:fill="FFFFFF"/>
            <w:vAlign w:val="bottom"/>
          </w:tcPr>
          <w:p w14:paraId="05F8152F"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169" w:type="dxa"/>
            <w:vMerge w:val="restart"/>
            <w:tcBorders>
              <w:top w:val="single" w:sz="4" w:space="0" w:color="auto"/>
              <w:left w:val="nil"/>
              <w:bottom w:val="single" w:sz="4" w:space="0" w:color="auto"/>
              <w:right w:val="nil"/>
            </w:tcBorders>
            <w:shd w:val="clear" w:color="auto" w:fill="FFFFFF"/>
            <w:vAlign w:val="bottom"/>
          </w:tcPr>
          <w:p w14:paraId="1951519E"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3214" w:type="dxa"/>
            <w:gridSpan w:val="2"/>
            <w:tcBorders>
              <w:top w:val="single" w:sz="4" w:space="0" w:color="auto"/>
              <w:left w:val="nil"/>
              <w:bottom w:val="nil"/>
              <w:right w:val="nil"/>
            </w:tcBorders>
            <w:shd w:val="clear" w:color="auto" w:fill="FFFFFF"/>
            <w:vAlign w:val="bottom"/>
          </w:tcPr>
          <w:p w14:paraId="5FB4CDF3"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95% Confidence Interval</w:t>
            </w:r>
          </w:p>
        </w:tc>
      </w:tr>
      <w:tr w:rsidR="008D4E8F" w14:paraId="77B22418" w14:textId="77777777">
        <w:trPr>
          <w:cantSplit/>
          <w:trHeight w:val="323"/>
        </w:trPr>
        <w:tc>
          <w:tcPr>
            <w:tcW w:w="1643" w:type="dxa"/>
            <w:vMerge/>
            <w:tcBorders>
              <w:top w:val="single" w:sz="4" w:space="0" w:color="auto"/>
              <w:left w:val="nil"/>
              <w:bottom w:val="single" w:sz="4" w:space="0" w:color="auto"/>
              <w:right w:val="nil"/>
            </w:tcBorders>
            <w:vAlign w:val="center"/>
          </w:tcPr>
          <w:p w14:paraId="5F2EFBA3" w14:textId="77777777" w:rsidR="008D4E8F" w:rsidRDefault="008D4E8F">
            <w:pPr>
              <w:spacing w:after="0"/>
              <w:rPr>
                <w:rFonts w:ascii="Times New Roman" w:hAnsi="Times New Roman" w:cs="Times New Roman"/>
                <w:color w:val="000000"/>
                <w:sz w:val="24"/>
                <w:szCs w:val="24"/>
                <w:lang w:val="en-US"/>
              </w:rPr>
            </w:pPr>
          </w:p>
        </w:tc>
        <w:tc>
          <w:tcPr>
            <w:tcW w:w="1677" w:type="dxa"/>
            <w:vMerge/>
            <w:tcBorders>
              <w:top w:val="single" w:sz="4" w:space="0" w:color="auto"/>
              <w:left w:val="nil"/>
              <w:bottom w:val="single" w:sz="4" w:space="0" w:color="auto"/>
              <w:right w:val="nil"/>
            </w:tcBorders>
            <w:vAlign w:val="center"/>
          </w:tcPr>
          <w:p w14:paraId="2878912E" w14:textId="77777777" w:rsidR="008D4E8F" w:rsidRDefault="008D4E8F">
            <w:pPr>
              <w:spacing w:after="0"/>
              <w:rPr>
                <w:rFonts w:ascii="Times New Roman" w:hAnsi="Times New Roman" w:cs="Times New Roman"/>
                <w:color w:val="000000"/>
                <w:sz w:val="24"/>
                <w:szCs w:val="24"/>
                <w:lang w:val="en-US"/>
              </w:rPr>
            </w:pPr>
          </w:p>
        </w:tc>
        <w:tc>
          <w:tcPr>
            <w:tcW w:w="1222" w:type="dxa"/>
            <w:vMerge/>
            <w:tcBorders>
              <w:top w:val="single" w:sz="4" w:space="0" w:color="auto"/>
              <w:left w:val="nil"/>
              <w:bottom w:val="single" w:sz="4" w:space="0" w:color="auto"/>
              <w:right w:val="nil"/>
            </w:tcBorders>
            <w:vAlign w:val="center"/>
          </w:tcPr>
          <w:p w14:paraId="346659F1" w14:textId="77777777" w:rsidR="008D4E8F" w:rsidRDefault="008D4E8F">
            <w:pPr>
              <w:spacing w:after="0"/>
              <w:rPr>
                <w:rFonts w:ascii="Times New Roman" w:hAnsi="Times New Roman" w:cs="Times New Roman"/>
                <w:color w:val="000000"/>
                <w:sz w:val="24"/>
                <w:szCs w:val="24"/>
                <w:lang w:val="en-US"/>
              </w:rPr>
            </w:pPr>
          </w:p>
        </w:tc>
        <w:tc>
          <w:tcPr>
            <w:tcW w:w="1169" w:type="dxa"/>
            <w:vMerge/>
            <w:tcBorders>
              <w:top w:val="single" w:sz="4" w:space="0" w:color="auto"/>
              <w:left w:val="nil"/>
              <w:bottom w:val="single" w:sz="4" w:space="0" w:color="auto"/>
              <w:right w:val="nil"/>
            </w:tcBorders>
            <w:vAlign w:val="center"/>
          </w:tcPr>
          <w:p w14:paraId="55955049" w14:textId="77777777" w:rsidR="008D4E8F" w:rsidRDefault="008D4E8F">
            <w:pPr>
              <w:spacing w:after="0"/>
              <w:rPr>
                <w:rFonts w:ascii="Times New Roman" w:hAnsi="Times New Roman" w:cs="Times New Roman"/>
                <w:color w:val="000000"/>
                <w:sz w:val="24"/>
                <w:szCs w:val="24"/>
                <w:lang w:val="en-US"/>
              </w:rPr>
            </w:pPr>
          </w:p>
        </w:tc>
        <w:tc>
          <w:tcPr>
            <w:tcW w:w="1606" w:type="dxa"/>
            <w:tcBorders>
              <w:top w:val="nil"/>
              <w:left w:val="nil"/>
              <w:bottom w:val="single" w:sz="4" w:space="0" w:color="auto"/>
              <w:right w:val="nil"/>
            </w:tcBorders>
            <w:shd w:val="clear" w:color="auto" w:fill="FFFFFF"/>
            <w:vAlign w:val="bottom"/>
          </w:tcPr>
          <w:p w14:paraId="5C35E346"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Lower Bound</w:t>
            </w:r>
          </w:p>
        </w:tc>
        <w:tc>
          <w:tcPr>
            <w:tcW w:w="1608" w:type="dxa"/>
            <w:tcBorders>
              <w:top w:val="nil"/>
              <w:left w:val="nil"/>
              <w:bottom w:val="single" w:sz="4" w:space="0" w:color="auto"/>
              <w:right w:val="nil"/>
            </w:tcBorders>
            <w:shd w:val="clear" w:color="auto" w:fill="FFFFFF"/>
            <w:vAlign w:val="bottom"/>
          </w:tcPr>
          <w:p w14:paraId="1A5CDDB5"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Upper Bound</w:t>
            </w:r>
          </w:p>
        </w:tc>
      </w:tr>
      <w:tr w:rsidR="008D4E8F" w14:paraId="4496E314" w14:textId="77777777">
        <w:trPr>
          <w:cantSplit/>
          <w:trHeight w:val="705"/>
        </w:trPr>
        <w:tc>
          <w:tcPr>
            <w:tcW w:w="1643" w:type="dxa"/>
            <w:tcBorders>
              <w:top w:val="single" w:sz="4" w:space="0" w:color="auto"/>
              <w:left w:val="nil"/>
              <w:bottom w:val="nil"/>
              <w:right w:val="nil"/>
            </w:tcBorders>
            <w:shd w:val="clear" w:color="auto" w:fill="FFFFFF"/>
            <w:vAlign w:val="center"/>
          </w:tcPr>
          <w:p w14:paraId="081FA788"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TLM vs WAM</w:t>
            </w:r>
          </w:p>
        </w:tc>
        <w:tc>
          <w:tcPr>
            <w:tcW w:w="1677" w:type="dxa"/>
            <w:tcBorders>
              <w:top w:val="single" w:sz="4" w:space="0" w:color="auto"/>
              <w:left w:val="nil"/>
              <w:bottom w:val="nil"/>
              <w:right w:val="nil"/>
            </w:tcBorders>
            <w:shd w:val="clear" w:color="auto" w:fill="FFFFFF"/>
            <w:vAlign w:val="center"/>
          </w:tcPr>
          <w:p w14:paraId="416AB4CB"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.217333</w:t>
            </w:r>
            <w:r>
              <w:rPr>
                <w:rFonts w:ascii="Times New Roman" w:hAnsi="Times New Roman" w:cs="Times New Roman"/>
                <w:color w:val="000000"/>
                <w:sz w:val="24"/>
                <w:szCs w:val="24"/>
                <w:vertAlign w:val="superscript"/>
              </w:rPr>
              <w:t>*</w:t>
            </w:r>
          </w:p>
        </w:tc>
        <w:tc>
          <w:tcPr>
            <w:tcW w:w="1222" w:type="dxa"/>
            <w:tcBorders>
              <w:top w:val="single" w:sz="4" w:space="0" w:color="auto"/>
              <w:left w:val="nil"/>
              <w:bottom w:val="nil"/>
              <w:right w:val="nil"/>
            </w:tcBorders>
            <w:shd w:val="clear" w:color="auto" w:fill="FFFFFF"/>
            <w:vAlign w:val="center"/>
          </w:tcPr>
          <w:p w14:paraId="35A6A5EA"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.077666</w:t>
            </w:r>
          </w:p>
        </w:tc>
        <w:tc>
          <w:tcPr>
            <w:tcW w:w="1169" w:type="dxa"/>
            <w:tcBorders>
              <w:top w:val="single" w:sz="4" w:space="0" w:color="auto"/>
              <w:left w:val="nil"/>
              <w:bottom w:val="nil"/>
              <w:right w:val="nil"/>
            </w:tcBorders>
            <w:shd w:val="clear" w:color="auto" w:fill="FFFFFF"/>
            <w:vAlign w:val="center"/>
          </w:tcPr>
          <w:p w14:paraId="5537D780"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.041</w:t>
            </w:r>
          </w:p>
        </w:tc>
        <w:tc>
          <w:tcPr>
            <w:tcW w:w="1606" w:type="dxa"/>
            <w:tcBorders>
              <w:top w:val="single" w:sz="4" w:space="0" w:color="auto"/>
              <w:left w:val="nil"/>
              <w:bottom w:val="nil"/>
              <w:right w:val="nil"/>
            </w:tcBorders>
            <w:shd w:val="clear" w:color="auto" w:fill="FFFFFF"/>
            <w:vAlign w:val="center"/>
          </w:tcPr>
          <w:p w14:paraId="5A532D01"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.00812</w:t>
            </w:r>
          </w:p>
        </w:tc>
        <w:tc>
          <w:tcPr>
            <w:tcW w:w="1608" w:type="dxa"/>
            <w:tcBorders>
              <w:top w:val="single" w:sz="4" w:space="0" w:color="auto"/>
              <w:left w:val="nil"/>
              <w:bottom w:val="nil"/>
              <w:right w:val="nil"/>
            </w:tcBorders>
            <w:shd w:val="clear" w:color="auto" w:fill="FFFFFF"/>
            <w:vAlign w:val="center"/>
          </w:tcPr>
          <w:p w14:paraId="43F26198"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.42655</w:t>
            </w:r>
          </w:p>
        </w:tc>
      </w:tr>
      <w:tr w:rsidR="008D4E8F" w14:paraId="1C71477D" w14:textId="77777777">
        <w:trPr>
          <w:cantSplit/>
          <w:trHeight w:val="705"/>
        </w:trPr>
        <w:tc>
          <w:tcPr>
            <w:tcW w:w="1643" w:type="dxa"/>
            <w:tcBorders>
              <w:top w:val="nil"/>
              <w:left w:val="nil"/>
              <w:bottom w:val="nil"/>
              <w:right w:val="nil"/>
            </w:tcBorders>
            <w:shd w:val="clear" w:color="auto" w:fill="FFFFFF"/>
            <w:vAlign w:val="center"/>
          </w:tcPr>
          <w:p w14:paraId="6B924E74"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TLM vs AIM</w:t>
            </w:r>
          </w:p>
        </w:tc>
        <w:tc>
          <w:tcPr>
            <w:tcW w:w="1677" w:type="dxa"/>
            <w:tcBorders>
              <w:top w:val="nil"/>
              <w:left w:val="nil"/>
              <w:bottom w:val="nil"/>
              <w:right w:val="nil"/>
            </w:tcBorders>
            <w:shd w:val="clear" w:color="auto" w:fill="FFFFFF"/>
            <w:vAlign w:val="center"/>
          </w:tcPr>
          <w:p w14:paraId="66D8B053"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.222167</w:t>
            </w:r>
            <w:r>
              <w:rPr>
                <w:rFonts w:ascii="Times New Roman" w:hAnsi="Times New Roman" w:cs="Times New Roman"/>
                <w:color w:val="000000"/>
                <w:sz w:val="24"/>
                <w:szCs w:val="24"/>
                <w:vertAlign w:val="superscript"/>
              </w:rPr>
              <w:t>*</w:t>
            </w:r>
          </w:p>
        </w:tc>
        <w:tc>
          <w:tcPr>
            <w:tcW w:w="1222" w:type="dxa"/>
            <w:tcBorders>
              <w:top w:val="nil"/>
              <w:left w:val="nil"/>
              <w:bottom w:val="nil"/>
              <w:right w:val="nil"/>
            </w:tcBorders>
            <w:shd w:val="clear" w:color="auto" w:fill="FFFFFF"/>
            <w:vAlign w:val="center"/>
          </w:tcPr>
          <w:p w14:paraId="21F1477B"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.077666</w:t>
            </w:r>
          </w:p>
        </w:tc>
        <w:tc>
          <w:tcPr>
            <w:tcW w:w="1169" w:type="dxa"/>
            <w:tcBorders>
              <w:top w:val="nil"/>
              <w:left w:val="nil"/>
              <w:bottom w:val="nil"/>
              <w:right w:val="nil"/>
            </w:tcBorders>
            <w:shd w:val="clear" w:color="auto" w:fill="FFFFFF"/>
            <w:vAlign w:val="center"/>
          </w:tcPr>
          <w:p w14:paraId="404FFFAB"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.036</w:t>
            </w:r>
          </w:p>
        </w:tc>
        <w:tc>
          <w:tcPr>
            <w:tcW w:w="1606" w:type="dxa"/>
            <w:tcBorders>
              <w:top w:val="nil"/>
              <w:left w:val="nil"/>
              <w:bottom w:val="nil"/>
              <w:right w:val="nil"/>
            </w:tcBorders>
            <w:shd w:val="clear" w:color="auto" w:fill="FFFFFF"/>
            <w:vAlign w:val="center"/>
          </w:tcPr>
          <w:p w14:paraId="58100F9F"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.01295</w:t>
            </w:r>
          </w:p>
        </w:tc>
        <w:tc>
          <w:tcPr>
            <w:tcW w:w="1608" w:type="dxa"/>
            <w:tcBorders>
              <w:top w:val="nil"/>
              <w:left w:val="nil"/>
              <w:bottom w:val="nil"/>
              <w:right w:val="nil"/>
            </w:tcBorders>
            <w:shd w:val="clear" w:color="auto" w:fill="FFFFFF"/>
            <w:vAlign w:val="center"/>
          </w:tcPr>
          <w:p w14:paraId="7B34320E"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.43138</w:t>
            </w:r>
          </w:p>
        </w:tc>
      </w:tr>
      <w:tr w:rsidR="008D4E8F" w14:paraId="08811C54" w14:textId="77777777">
        <w:trPr>
          <w:cantSplit/>
          <w:trHeight w:val="738"/>
        </w:trPr>
        <w:tc>
          <w:tcPr>
            <w:tcW w:w="1643" w:type="dxa"/>
            <w:tcBorders>
              <w:top w:val="nil"/>
              <w:left w:val="nil"/>
              <w:bottom w:val="single" w:sz="4" w:space="0" w:color="auto"/>
              <w:right w:val="nil"/>
            </w:tcBorders>
            <w:shd w:val="clear" w:color="auto" w:fill="FFFFFF"/>
            <w:vAlign w:val="center"/>
          </w:tcPr>
          <w:p w14:paraId="40D03863"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WAM vs AIM</w:t>
            </w:r>
          </w:p>
        </w:tc>
        <w:tc>
          <w:tcPr>
            <w:tcW w:w="1677" w:type="dxa"/>
            <w:tcBorders>
              <w:top w:val="nil"/>
              <w:left w:val="nil"/>
              <w:bottom w:val="single" w:sz="4" w:space="0" w:color="auto"/>
              <w:right w:val="nil"/>
            </w:tcBorders>
            <w:shd w:val="clear" w:color="auto" w:fill="FFFFFF"/>
            <w:vAlign w:val="center"/>
          </w:tcPr>
          <w:p w14:paraId="0F100DBA"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.004833</w:t>
            </w:r>
          </w:p>
        </w:tc>
        <w:tc>
          <w:tcPr>
            <w:tcW w:w="1222" w:type="dxa"/>
            <w:tcBorders>
              <w:top w:val="nil"/>
              <w:left w:val="nil"/>
              <w:bottom w:val="single" w:sz="4" w:space="0" w:color="auto"/>
              <w:right w:val="nil"/>
            </w:tcBorders>
            <w:shd w:val="clear" w:color="auto" w:fill="FFFFFF"/>
            <w:vAlign w:val="center"/>
          </w:tcPr>
          <w:p w14:paraId="75EB514A"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.077666</w:t>
            </w:r>
          </w:p>
        </w:tc>
        <w:tc>
          <w:tcPr>
            <w:tcW w:w="1169" w:type="dxa"/>
            <w:tcBorders>
              <w:top w:val="nil"/>
              <w:left w:val="nil"/>
              <w:bottom w:val="single" w:sz="4" w:space="0" w:color="auto"/>
              <w:right w:val="nil"/>
            </w:tcBorders>
            <w:shd w:val="clear" w:color="auto" w:fill="FFFFFF"/>
            <w:vAlign w:val="center"/>
          </w:tcPr>
          <w:p w14:paraId="5F9A70FA"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06" w:type="dxa"/>
            <w:tcBorders>
              <w:top w:val="nil"/>
              <w:left w:val="nil"/>
              <w:bottom w:val="single" w:sz="4" w:space="0" w:color="auto"/>
              <w:right w:val="nil"/>
            </w:tcBorders>
            <w:shd w:val="clear" w:color="auto" w:fill="FFFFFF"/>
            <w:vAlign w:val="center"/>
          </w:tcPr>
          <w:p w14:paraId="42ED12A4"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-.20438</w:t>
            </w:r>
          </w:p>
        </w:tc>
        <w:tc>
          <w:tcPr>
            <w:tcW w:w="1608" w:type="dxa"/>
            <w:tcBorders>
              <w:top w:val="nil"/>
              <w:left w:val="nil"/>
              <w:bottom w:val="single" w:sz="4" w:space="0" w:color="auto"/>
              <w:right w:val="nil"/>
            </w:tcBorders>
            <w:shd w:val="clear" w:color="auto" w:fill="FFFFFF"/>
            <w:vAlign w:val="center"/>
          </w:tcPr>
          <w:p w14:paraId="1BF10608" w14:textId="77777777" w:rsidR="008D4E8F" w:rsidRDefault="00D90E3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.21405</w:t>
            </w:r>
          </w:p>
        </w:tc>
      </w:tr>
    </w:tbl>
    <w:p w14:paraId="5C287790" w14:textId="77777777" w:rsidR="008D4E8F" w:rsidRDefault="008D4E8F">
      <w:pPr>
        <w:autoSpaceDE w:val="0"/>
        <w:autoSpaceDN w:val="0"/>
        <w:adjustRightInd w:val="0"/>
        <w:spacing w:line="480" w:lineRule="auto"/>
        <w:jc w:val="both"/>
        <w:rPr>
          <w:rFonts w:ascii="Times New Roman" w:hAnsi="Times New Roman" w:cs="Times New Roman"/>
          <w:sz w:val="24"/>
          <w:szCs w:val="24"/>
        </w:rPr>
      </w:pPr>
    </w:p>
    <w:p w14:paraId="177FC03B" w14:textId="77777777" w:rsidR="008D4E8F" w:rsidRDefault="00D90E3D">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sz w:val="24"/>
          <w:szCs w:val="24"/>
          <w:lang w:val="en-US"/>
        </w:rPr>
        <w:t>T</w:t>
      </w:r>
      <w:r>
        <w:rPr>
          <w:rFonts w:ascii="Times New Roman" w:hAnsi="Times New Roman" w:cs="Times New Roman"/>
          <w:sz w:val="24"/>
          <w:szCs w:val="24"/>
        </w:rPr>
        <w:t xml:space="preserve">able </w:t>
      </w:r>
      <w:r>
        <w:rPr>
          <w:rFonts w:ascii="Times New Roman" w:hAnsi="Times New Roman" w:cs="Times New Roman"/>
          <w:sz w:val="24"/>
          <w:szCs w:val="24"/>
          <w:lang w:val="en-US"/>
        </w:rPr>
        <w:t>3c</w:t>
      </w:r>
      <w:r>
        <w:rPr>
          <w:rFonts w:ascii="Times New Roman" w:hAnsi="Times New Roman" w:cs="Times New Roman"/>
          <w:sz w:val="24"/>
          <w:szCs w:val="24"/>
        </w:rPr>
        <w:t xml:space="preserve"> shows that significant difference exist between </w:t>
      </w:r>
      <w:r>
        <w:rPr>
          <w:rFonts w:ascii="Times New Roman" w:hAnsi="Times New Roman" w:cs="Times New Roman"/>
          <w:color w:val="000000"/>
          <w:sz w:val="24"/>
          <w:szCs w:val="24"/>
        </w:rPr>
        <w:t>TLM and WAM groups ( p=0.041, 96% CI = .00812, 0.42655) and between also between TLM group with  AIM group (p=0.036, 96% CI = 0.0129, 0.4318). there was no evidence of significance difference between the WAN group and the AIM group in this study.</w:t>
      </w:r>
    </w:p>
    <w:p w14:paraId="1AFE6703" w14:textId="77777777" w:rsidR="008D4E8F" w:rsidRDefault="008D4E8F">
      <w:pPr>
        <w:spacing w:line="480" w:lineRule="auto"/>
        <w:rPr>
          <w:rFonts w:ascii="Times New Roman" w:hAnsi="Times New Roman" w:cs="Times New Roman"/>
          <w:sz w:val="24"/>
          <w:szCs w:val="24"/>
          <w:lang w:val="en-US"/>
        </w:rPr>
      </w:pPr>
    </w:p>
    <w:p w14:paraId="2CC28DD2" w14:textId="77777777" w:rsidR="008D4E8F" w:rsidRDefault="00D90E3D">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Discussion</w:t>
      </w:r>
    </w:p>
    <w:p w14:paraId="3EC77FD0" w14:textId="77777777" w:rsidR="008D4E8F" w:rsidRDefault="00D90E3D">
      <w:pPr>
        <w:spacing w:before="100" w:beforeAutospacing="1" w:after="100" w:afterAutospacing="1"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en-US" w:eastAsia="zh-CN"/>
        </w:rPr>
        <w:t xml:space="preserve">From the findings, </w:t>
      </w:r>
      <w:r>
        <w:rPr>
          <w:rFonts w:ascii="Times New Roman" w:eastAsia="Times New Roman" w:hAnsi="Times New Roman" w:cs="Times New Roman"/>
          <w:sz w:val="24"/>
          <w:szCs w:val="24"/>
          <w:lang w:eastAsia="zh-CN"/>
        </w:rPr>
        <w:t xml:space="preserve">all three educational methods: Traditional Lecture Method (TLM), WhatsApp Method (WAM), and Artificial Intelligent Method (AIM) significantly improved adolescents’ knowledge of the consequences of risky sexual behaviours. Baseline knowledge was high for widely publicized outcomes, particularly HIV/AIDS and teenage pregnancy (95.3–100%), reflecting decades of Nigerian HIV education </w:t>
      </w:r>
      <w:r>
        <w:rPr>
          <w:rFonts w:ascii="Times New Roman" w:eastAsia="Times New Roman" w:hAnsi="Times New Roman" w:cs="Times New Roman"/>
          <w:sz w:val="24"/>
          <w:szCs w:val="24"/>
          <w:lang w:val="en-US" w:eastAsia="zh-CN"/>
        </w:rPr>
        <w:t>[10, [11]</w:t>
      </w:r>
      <w:r>
        <w:rPr>
          <w:rFonts w:ascii="Times New Roman" w:eastAsia="Times New Roman" w:hAnsi="Times New Roman" w:cs="Times New Roman"/>
          <w:sz w:val="24"/>
          <w:szCs w:val="24"/>
          <w:lang w:eastAsia="zh-CN"/>
        </w:rPr>
        <w:t>, whose longitudinal study reported consistent HIV/AIDS consequence awareness of over 90% among adolescents across cohorts since 2010. In contrast, baseline knowledge was low for less publicized consequences, including reproductive organ damage (TLM: 51.8%, WAM: 65.9%, AIM: 42.4%) and HPV/cervical cancer risks (TLM: 40.0%, WAM: 60.0%, AIM: 29.4%). This mirror</w:t>
      </w:r>
      <w:r>
        <w:rPr>
          <w:rFonts w:ascii="Times New Roman" w:eastAsia="Times New Roman" w:hAnsi="Times New Roman" w:cs="Times New Roman"/>
          <w:sz w:val="24"/>
          <w:szCs w:val="24"/>
          <w:lang w:val="en-US" w:eastAsia="zh-CN"/>
        </w:rPr>
        <w:t>s</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en-US" w:eastAsia="zh-CN"/>
        </w:rPr>
        <w:t xml:space="preserve">[12] </w:t>
      </w:r>
      <w:r>
        <w:rPr>
          <w:rFonts w:ascii="Times New Roman" w:eastAsia="Times New Roman" w:hAnsi="Times New Roman" w:cs="Times New Roman"/>
          <w:sz w:val="24"/>
          <w:szCs w:val="24"/>
          <w:lang w:eastAsia="zh-CN"/>
        </w:rPr>
        <w:t>findings in south-eastern Nigeria, where only 35% of secondary school students had heard of HPV, and even fewer understood its link to cervical cancer. Similarly,</w:t>
      </w:r>
      <w:r>
        <w:rPr>
          <w:rFonts w:ascii="Times New Roman" w:eastAsia="Times New Roman" w:hAnsi="Times New Roman" w:cs="Times New Roman"/>
          <w:sz w:val="24"/>
          <w:szCs w:val="24"/>
          <w:lang w:val="en-US" w:eastAsia="zh-CN"/>
        </w:rPr>
        <w:t xml:space="preserve"> [13] </w:t>
      </w:r>
      <w:r>
        <w:rPr>
          <w:rFonts w:ascii="Times New Roman" w:eastAsia="Times New Roman" w:hAnsi="Times New Roman" w:cs="Times New Roman"/>
          <w:sz w:val="24"/>
          <w:szCs w:val="24"/>
          <w:lang w:eastAsia="zh-CN"/>
        </w:rPr>
        <w:t xml:space="preserve">reported approximately 14,943 new cervical cancer cases and 10,403 deaths annually in Nigeria, emphasizing the critical public health gap. The low HPV and cervical cancer knowledge reflect the traditional HIV-focused sexuality education’s failure to address broader STI consequences </w:t>
      </w:r>
      <w:r>
        <w:rPr>
          <w:rFonts w:ascii="Times New Roman" w:eastAsia="Times New Roman" w:hAnsi="Times New Roman" w:cs="Times New Roman"/>
          <w:sz w:val="24"/>
          <w:szCs w:val="24"/>
          <w:lang w:val="en-US" w:eastAsia="zh-CN"/>
        </w:rPr>
        <w:t>[14]</w:t>
      </w:r>
      <w:r>
        <w:rPr>
          <w:rFonts w:ascii="Times New Roman" w:eastAsia="Times New Roman" w:hAnsi="Times New Roman" w:cs="Times New Roman"/>
          <w:sz w:val="24"/>
          <w:szCs w:val="24"/>
          <w:lang w:eastAsia="zh-CN"/>
        </w:rPr>
        <w:t xml:space="preserve">. After the interventions, knowledge improved significantly in all groups: TLM (mean difference: 0.304±0.356, p&lt;0.0001), WAM (0.257±0.307, p&lt;0.0001), and AIM (0.302±0.281, p&lt;0.0001). The WAM group achieved perfect scores (100%) in several domains, including reproductive organ damage and HPV-related risks, suggesting particular effectiveness for complex content. Bonferroni comparisons indicated significant differences between TLM and WAM (p&lt;0.0001, 95% CI: 0.031–0.122) and WAM and AIM (p&lt;0.0001, 95% CI: 0.031–0.122), but not between TLM and AIM (p=1.000). Supporting evidence from </w:t>
      </w:r>
      <w:r>
        <w:rPr>
          <w:rFonts w:ascii="Times New Roman" w:eastAsia="Times New Roman" w:hAnsi="Times New Roman" w:cs="Times New Roman"/>
          <w:sz w:val="24"/>
          <w:szCs w:val="24"/>
          <w:lang w:val="en-US" w:eastAsia="zh-CN"/>
        </w:rPr>
        <w:t xml:space="preserve">[15] </w:t>
      </w:r>
      <w:r>
        <w:rPr>
          <w:rFonts w:ascii="Times New Roman" w:eastAsia="Times New Roman" w:hAnsi="Times New Roman" w:cs="Times New Roman"/>
          <w:sz w:val="24"/>
          <w:szCs w:val="24"/>
          <w:lang w:eastAsia="zh-CN"/>
        </w:rPr>
        <w:t>in India showed that WhatsApp-based medical education led to 94% retention of detailed anatomical information compared to 78% in lecture-</w:t>
      </w:r>
      <w:r>
        <w:rPr>
          <w:rFonts w:ascii="Times New Roman" w:eastAsia="Times New Roman" w:hAnsi="Times New Roman" w:cs="Times New Roman"/>
          <w:sz w:val="24"/>
          <w:szCs w:val="24"/>
          <w:lang w:eastAsia="zh-CN"/>
        </w:rPr>
        <w:lastRenderedPageBreak/>
        <w:t xml:space="preserve">based groups (p&lt;0.01), reinforcing WAM’s effectiveness for conveying complex sexual health consequences. Furthermore, </w:t>
      </w:r>
      <w:r>
        <w:rPr>
          <w:rFonts w:ascii="Times New Roman" w:eastAsia="Times New Roman" w:hAnsi="Times New Roman" w:cs="Times New Roman"/>
          <w:sz w:val="24"/>
          <w:szCs w:val="24"/>
          <w:lang w:val="en-US" w:eastAsia="zh-CN"/>
        </w:rPr>
        <w:t xml:space="preserve">[13] </w:t>
      </w:r>
      <w:r>
        <w:rPr>
          <w:rFonts w:ascii="Times New Roman" w:eastAsia="Times New Roman" w:hAnsi="Times New Roman" w:cs="Times New Roman"/>
          <w:sz w:val="24"/>
          <w:szCs w:val="24"/>
          <w:lang w:eastAsia="zh-CN"/>
        </w:rPr>
        <w:t>documented only 28–35% HPV awareness among adolescents in south-eastern Nigeria, while the present study raised post-intervention HPV knowledge to 83.5–100%. These results indicate that structured, targeted education can quickly bridge knowledge gaps, potentially supporting future HPV vaccination uptake and cervical cancer screening adherence</w:t>
      </w:r>
      <w:r>
        <w:rPr>
          <w:rFonts w:ascii="Times New Roman" w:eastAsia="Times New Roman" w:hAnsi="Times New Roman" w:cs="Times New Roman"/>
          <w:sz w:val="24"/>
          <w:szCs w:val="24"/>
          <w:lang w:val="en-US" w:eastAsia="zh-CN"/>
        </w:rPr>
        <w:t xml:space="preserve"> [16]</w:t>
      </w:r>
      <w:r>
        <w:rPr>
          <w:rFonts w:ascii="Times New Roman" w:eastAsia="Times New Roman" w:hAnsi="Times New Roman" w:cs="Times New Roman"/>
          <w:sz w:val="24"/>
          <w:szCs w:val="24"/>
          <w:lang w:eastAsia="zh-CN"/>
        </w:rPr>
        <w:t>. Overall, the study confirms that comprehensive sexuality education, whether traditional, digital, or AI-mediated can significantly expand adolescents’ understanding of sexual risk consequences beyond HIV. This aligns with</w:t>
      </w:r>
      <w:r>
        <w:rPr>
          <w:rFonts w:ascii="Times New Roman" w:eastAsia="Times New Roman" w:hAnsi="Times New Roman" w:cs="Times New Roman"/>
          <w:sz w:val="24"/>
          <w:szCs w:val="24"/>
          <w:lang w:val="en-US" w:eastAsia="zh-CN"/>
        </w:rPr>
        <w:t xml:space="preserve"> [17]</w:t>
      </w:r>
      <w:r>
        <w:rPr>
          <w:rFonts w:ascii="Times New Roman" w:eastAsia="Times New Roman" w:hAnsi="Times New Roman" w:cs="Times New Roman"/>
          <w:sz w:val="24"/>
          <w:szCs w:val="24"/>
          <w:lang w:eastAsia="zh-CN"/>
        </w:rPr>
        <w:t>, who found that consequence knowledge is relatively easy to improve through structured programs, whereas behavior change often requires more sophisticated interventions.</w:t>
      </w:r>
    </w:p>
    <w:p w14:paraId="067F3631" w14:textId="77777777" w:rsidR="008D4E8F" w:rsidRDefault="00D90E3D">
      <w:pPr>
        <w:pStyle w:val="NormalWeb"/>
        <w:spacing w:line="480" w:lineRule="auto"/>
      </w:pPr>
      <w:r>
        <w:rPr>
          <w:lang w:val="en-US"/>
        </w:rPr>
        <w:t>Again, a</w:t>
      </w:r>
      <w:r>
        <w:t>t baseline, students already showed moderately strong awareness of consequences of risky sexual behaviours (mean 3.765–4.612/5), likely reflecting Nigeria’s long-standing HIV/AIDS education efforts (NACA, 2020), though gaps existed for reproductive organ damage (3.835–4.059) and HPV/cervical cancer risks (3.765–3.906). After the intervention, perceptions improved across all groups, but technology-based approaches (WAM and AIM) achieved higher post-test scores than the Traditional Lecture Method (TLM). ANOVA showed no significant baseline difference (F=0.416, p=0.667) but significant post-test differences (F=5.339, p=0.018).</w:t>
      </w:r>
      <w:r>
        <w:rPr>
          <w:lang w:val="en-US"/>
        </w:rPr>
        <w:t xml:space="preserve"> </w:t>
      </w:r>
      <w:r>
        <w:t>Post-hoc Bonferroni analysis confirmed that WAM (MD=0.217, p=0.041, 95% CI: 0.008–0.427) and AIM (MD=0.222, p=0.036, 95% CI: 0.013–0.431) significantly outperformed TLM, while WAM and AIM showed no significant difference (MD=0.005, p=1.000, 95% CI: −0.204–0.214), indicating similar effectiveness. These results align with studies showing digital sexual-health education platforms improve adolescents’ understanding and engagement more than lecture-only approaches</w:t>
      </w:r>
      <w:r>
        <w:rPr>
          <w:lang w:val="en-US"/>
        </w:rPr>
        <w:t xml:space="preserve"> [18]</w:t>
      </w:r>
      <w:r>
        <w:t xml:space="preserve">. A systematic review across 34 studies in 18 </w:t>
      </w:r>
      <w:r>
        <w:rPr>
          <w:rStyle w:val="bzpyqfadein"/>
        </w:rPr>
        <w:t xml:space="preserve">Low- and Middle-Income </w:t>
      </w:r>
      <w:r>
        <w:rPr>
          <w:rStyle w:val="bzpyqfadein"/>
        </w:rPr>
        <w:lastRenderedPageBreak/>
        <w:t>Countries.</w:t>
      </w:r>
      <w:r>
        <w:t xml:space="preserve"> reported that digital interventions increased perceived severity of STI and pregnancy risks by 28% compared with 12% in traditional education (p&lt;0.001) </w:t>
      </w:r>
      <w:r>
        <w:rPr>
          <w:lang w:val="en-US"/>
        </w:rPr>
        <w:t>[19]</w:t>
      </w:r>
      <w:r>
        <w:t xml:space="preserve">. However, effectiveness depends on design, cultural relevance, and implementation context </w:t>
      </w:r>
      <w:r>
        <w:rPr>
          <w:lang w:val="en-US"/>
        </w:rPr>
        <w:t>[20], [21]</w:t>
      </w:r>
      <w:r>
        <w:t>, suggesting technology works best when integrated with broader, culturally sensitive sexual-health education strategies.</w:t>
      </w:r>
    </w:p>
    <w:p w14:paraId="594EB14B" w14:textId="77777777" w:rsidR="008D4E8F" w:rsidRDefault="00D90E3D">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3AF46CA1" w14:textId="77777777" w:rsidR="008D4E8F" w:rsidRDefault="00D90E3D">
      <w:pPr>
        <w:spacing w:line="480" w:lineRule="auto"/>
        <w:rPr>
          <w:rFonts w:ascii="Times New Roman" w:hAnsi="Times New Roman" w:cs="Times New Roman"/>
          <w:b/>
          <w:bCs/>
          <w:sz w:val="24"/>
          <w:szCs w:val="24"/>
          <w:lang w:val="en-US"/>
        </w:rPr>
      </w:pPr>
      <w:r>
        <w:rPr>
          <w:rStyle w:val="bzpyqfadein"/>
          <w:rFonts w:ascii="Times New Roman" w:hAnsi="Times New Roman" w:cs="Times New Roman"/>
          <w:sz w:val="24"/>
          <w:szCs w:val="24"/>
        </w:rPr>
        <w:t>Digital platform–based education significantly improved adolescents’ knowledge and perceptions regarding the consequences of sexual-risk behaviours in Owerri Municipal secondary schools. Although knowledge increased across all intervention groups, WhatsApp-based and AI-supported learning approaches demonstrated stronger improvements in perception and comparable gains in knowledge compared with traditional lectures. These findings highlight the potential of integrating digital platforms into adolescent sexual health education to strengthen awareness and promote informed decision-making</w:t>
      </w:r>
      <w:r>
        <w:rPr>
          <w:rStyle w:val="bzpyqfadein"/>
        </w:rPr>
        <w:t>.</w:t>
      </w:r>
    </w:p>
    <w:p w14:paraId="4DF822EC" w14:textId="77777777" w:rsidR="008D4E8F" w:rsidRDefault="00D90E3D">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Recommendations</w:t>
      </w:r>
    </w:p>
    <w:p w14:paraId="436087AF" w14:textId="77777777" w:rsidR="008D4E8F" w:rsidRDefault="00D90E3D">
      <w:pPr>
        <w:pStyle w:val="ListParagraph1"/>
        <w:numPr>
          <w:ilvl w:val="0"/>
          <w:numId w:val="1"/>
        </w:numPr>
        <w:spacing w:before="100" w:beforeAutospacing="1" w:after="100" w:afterAutospacing="1"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Government and public health agencies should develop accurate and age-appropriate digital sexual health educational materials for adolescents.</w:t>
      </w:r>
    </w:p>
    <w:p w14:paraId="69421725" w14:textId="77777777" w:rsidR="008D4E8F" w:rsidRDefault="00D90E3D">
      <w:pPr>
        <w:pStyle w:val="ListParagraph1"/>
        <w:numPr>
          <w:ilvl w:val="0"/>
          <w:numId w:val="1"/>
        </w:numPr>
        <w:spacing w:before="100" w:beforeAutospacing="1" w:after="100" w:afterAutospacing="1"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Teachers should be trained to effectively use digital platforms to deliver sexual health education in schools.</w:t>
      </w:r>
    </w:p>
    <w:p w14:paraId="277EC6BA" w14:textId="77777777" w:rsidR="008D4E8F" w:rsidRDefault="00D90E3D">
      <w:pPr>
        <w:pStyle w:val="ListParagraph1"/>
        <w:numPr>
          <w:ilvl w:val="0"/>
          <w:numId w:val="1"/>
        </w:numPr>
        <w:spacing w:before="100" w:beforeAutospacing="1" w:after="100" w:afterAutospacing="1"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Sexual health education programs should include information on HPV, cervical cancer, reproductive organ damage, and other consequences of risky sexual behaviours.</w:t>
      </w:r>
    </w:p>
    <w:p w14:paraId="459A90B5" w14:textId="77777777" w:rsidR="008D4E8F" w:rsidRDefault="00D90E3D">
      <w:pPr>
        <w:pStyle w:val="ListParagraph1"/>
        <w:numPr>
          <w:ilvl w:val="0"/>
          <w:numId w:val="1"/>
        </w:numPr>
        <w:spacing w:before="100" w:beforeAutospacing="1" w:after="100" w:afterAutospacing="1"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Ministries of Health and Education should support the integration of digital technologies into adolescent health education.</w:t>
      </w:r>
    </w:p>
    <w:p w14:paraId="55AE4000" w14:textId="77777777" w:rsidR="008D4E8F" w:rsidRPr="00507579" w:rsidRDefault="00D90E3D">
      <w:pPr>
        <w:pStyle w:val="ListParagraph1"/>
        <w:numPr>
          <w:ilvl w:val="0"/>
          <w:numId w:val="1"/>
        </w:numPr>
        <w:spacing w:before="100" w:beforeAutospacing="1" w:after="100" w:afterAutospacing="1"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Further studies should examine the long-term behavioural effects of digital platform–based sexual health education among adolescents in Nigeria.</w:t>
      </w:r>
    </w:p>
    <w:p w14:paraId="69B4E23B" w14:textId="77777777" w:rsidR="00507579" w:rsidRDefault="00507579" w:rsidP="00507579">
      <w:pPr>
        <w:pStyle w:val="ListParagraph1"/>
        <w:spacing w:before="100" w:beforeAutospacing="1" w:after="100" w:afterAutospacing="1" w:line="240" w:lineRule="auto"/>
        <w:rPr>
          <w:rFonts w:ascii="Times New Roman" w:eastAsia="Times New Roman" w:hAnsi="Times New Roman" w:cs="Times New Roman"/>
          <w:sz w:val="24"/>
          <w:szCs w:val="24"/>
          <w:lang w:val="en-IN" w:eastAsia="zh-CN"/>
        </w:rPr>
      </w:pPr>
    </w:p>
    <w:p w14:paraId="426C84C1" w14:textId="77777777" w:rsidR="00507579" w:rsidRDefault="00507579" w:rsidP="00507579">
      <w:pPr>
        <w:pStyle w:val="NormalWeb"/>
        <w:spacing w:beforeAutospacing="0" w:after="120" w:afterAutospacing="0" w:line="36" w:lineRule="atLeast"/>
        <w:jc w:val="both"/>
        <w:rPr>
          <w:rFonts w:ascii="-webkit-standard" w:eastAsia="-webkit-standard" w:hAnsi="-webkit-standard" w:cs="-webkit-standard"/>
          <w:color w:val="000000"/>
        </w:rPr>
      </w:pPr>
      <w:r>
        <w:rPr>
          <w:rFonts w:eastAsia="-webkit-standard"/>
          <w:b/>
          <w:color w:val="121212"/>
        </w:rPr>
        <w:t>Declarations</w:t>
      </w:r>
    </w:p>
    <w:p w14:paraId="582DB8C1" w14:textId="77777777" w:rsidR="00507579" w:rsidRDefault="00507579" w:rsidP="00507579">
      <w:pPr>
        <w:pStyle w:val="NormalWeb"/>
        <w:spacing w:beforeAutospacing="0" w:after="120" w:afterAutospacing="0" w:line="36" w:lineRule="atLeast"/>
        <w:rPr>
          <w:rFonts w:ascii="-webkit-standard" w:eastAsia="-webkit-standard" w:hAnsi="-webkit-standard" w:cs="-webkit-standard"/>
          <w:color w:val="000000"/>
        </w:rPr>
      </w:pPr>
      <w:r>
        <w:rPr>
          <w:rFonts w:eastAsia="-webkit-standard"/>
          <w:b/>
          <w:color w:val="121212"/>
        </w:rPr>
        <w:t>Abbreviations</w:t>
      </w:r>
    </w:p>
    <w:p w14:paraId="6D159961" w14:textId="77777777" w:rsidR="00507579" w:rsidRDefault="00507579" w:rsidP="00507579">
      <w:pPr>
        <w:pStyle w:val="NormalWeb"/>
        <w:spacing w:beforeAutospacing="0" w:after="120" w:afterAutospacing="0" w:line="36" w:lineRule="atLeast"/>
        <w:rPr>
          <w:rFonts w:ascii="-webkit-standard" w:eastAsia="-webkit-standard" w:hAnsi="-webkit-standard" w:cs="-webkit-standard"/>
          <w:color w:val="000000"/>
        </w:rPr>
      </w:pPr>
      <w:r>
        <w:rPr>
          <w:rFonts w:eastAsia="-webkit-standard"/>
          <w:color w:val="121212"/>
        </w:rPr>
        <w:lastRenderedPageBreak/>
        <w:t>Not applicable</w:t>
      </w:r>
    </w:p>
    <w:p w14:paraId="70AA1333" w14:textId="77777777" w:rsidR="00507579" w:rsidRDefault="00507579" w:rsidP="00507579">
      <w:pPr>
        <w:pStyle w:val="NormalWeb"/>
        <w:spacing w:beforeAutospacing="0" w:after="120" w:afterAutospacing="0" w:line="36" w:lineRule="atLeast"/>
        <w:rPr>
          <w:rFonts w:ascii="-webkit-standard" w:eastAsia="-webkit-standard" w:hAnsi="-webkit-standard" w:cs="-webkit-standard"/>
          <w:color w:val="000000"/>
        </w:rPr>
      </w:pPr>
      <w:r>
        <w:rPr>
          <w:rFonts w:eastAsia="-webkit-standard"/>
          <w:b/>
          <w:color w:val="121212"/>
        </w:rPr>
        <w:t>Ethics approval and consent to participate</w:t>
      </w:r>
    </w:p>
    <w:p w14:paraId="47AF7A32" w14:textId="77777777" w:rsidR="00507579" w:rsidRDefault="00507579" w:rsidP="00507579">
      <w:pPr>
        <w:pStyle w:val="NormalWeb"/>
        <w:spacing w:beforeAutospacing="0" w:after="120" w:afterAutospacing="0" w:line="36" w:lineRule="atLeast"/>
        <w:rPr>
          <w:rFonts w:ascii="-webkit-standard" w:eastAsia="-webkit-standard" w:hAnsi="-webkit-standard" w:cs="-webkit-standard"/>
          <w:color w:val="000000"/>
        </w:rPr>
      </w:pPr>
      <w:r>
        <w:rPr>
          <w:rFonts w:eastAsia="-webkit-standard"/>
          <w:color w:val="121212"/>
        </w:rPr>
        <w:t>All methods were performed in accordance with the relevant guidelines and regulations provided by the research and ethical committee of the Department of Public Health, Federal University of technology, Owerri, Imo State, Nigeria. Informed consent was sought from all study participants as approved by the research and ethical committee of the Department of Public Health, Federal University of technology, Owerri, Imo State, Nigeria </w:t>
      </w:r>
      <w:r>
        <w:rPr>
          <w:rFonts w:eastAsia="-webkit-standard"/>
          <w:color w:val="121212"/>
        </w:rPr>
        <w:br/>
      </w:r>
      <w:r>
        <w:rPr>
          <w:rFonts w:eastAsia="-webkit-standard"/>
          <w:b/>
          <w:color w:val="121212"/>
        </w:rPr>
        <w:t>Consent for publication</w:t>
      </w:r>
    </w:p>
    <w:p w14:paraId="31EFB4F2" w14:textId="77777777" w:rsidR="00507579" w:rsidRDefault="00507579" w:rsidP="00507579">
      <w:pPr>
        <w:pStyle w:val="NormalWeb"/>
        <w:spacing w:beforeAutospacing="0" w:after="120" w:afterAutospacing="0" w:line="36" w:lineRule="atLeast"/>
        <w:rPr>
          <w:rFonts w:ascii="-webkit-standard" w:eastAsia="-webkit-standard" w:hAnsi="-webkit-standard" w:cs="-webkit-standard"/>
          <w:color w:val="000000"/>
        </w:rPr>
      </w:pPr>
      <w:r>
        <w:rPr>
          <w:rFonts w:eastAsia="-webkit-standard"/>
          <w:color w:val="121212"/>
        </w:rPr>
        <w:t>Not applicable</w:t>
      </w:r>
      <w:r>
        <w:rPr>
          <w:rFonts w:eastAsia="-webkit-standard"/>
          <w:color w:val="121212"/>
        </w:rPr>
        <w:br/>
      </w:r>
      <w:r>
        <w:rPr>
          <w:rFonts w:eastAsia="-webkit-standard"/>
          <w:b/>
          <w:color w:val="121212"/>
        </w:rPr>
        <w:t>Availability of data and materials</w:t>
      </w:r>
    </w:p>
    <w:p w14:paraId="53FD6727" w14:textId="77777777" w:rsidR="00507579" w:rsidRDefault="00507579" w:rsidP="00507579">
      <w:pPr>
        <w:pStyle w:val="NormalWeb"/>
        <w:spacing w:beforeAutospacing="0" w:after="120" w:afterAutospacing="0" w:line="36" w:lineRule="atLeast"/>
        <w:rPr>
          <w:rFonts w:ascii="-webkit-standard" w:eastAsia="-webkit-standard" w:hAnsi="-webkit-standard" w:cs="-webkit-standard"/>
          <w:color w:val="000000"/>
        </w:rPr>
      </w:pPr>
      <w:r>
        <w:rPr>
          <w:rFonts w:eastAsia="-webkit-standard"/>
          <w:color w:val="121212"/>
        </w:rPr>
        <w:t>The datasets used and/or analysed during the current study are available from the corresponding author on reasonable request.</w:t>
      </w:r>
    </w:p>
    <w:p w14:paraId="3B6B28B2" w14:textId="77777777" w:rsidR="00507579" w:rsidRDefault="00507579" w:rsidP="00507579">
      <w:pPr>
        <w:pStyle w:val="NormalWeb"/>
        <w:spacing w:beforeAutospacing="0" w:after="120" w:afterAutospacing="0" w:line="36" w:lineRule="atLeast"/>
        <w:rPr>
          <w:rFonts w:ascii="-webkit-standard" w:eastAsia="-webkit-standard" w:hAnsi="-webkit-standard" w:cs="-webkit-standard"/>
          <w:color w:val="000000"/>
        </w:rPr>
      </w:pPr>
      <w:r>
        <w:rPr>
          <w:rFonts w:eastAsia="-webkit-standard"/>
          <w:b/>
          <w:color w:val="121212"/>
        </w:rPr>
        <w:t>Competing Interests</w:t>
      </w:r>
    </w:p>
    <w:p w14:paraId="16B608E6" w14:textId="0E882585" w:rsidR="00507579" w:rsidRDefault="00507579" w:rsidP="00347A54">
      <w:pPr>
        <w:pStyle w:val="NormalWeb"/>
        <w:spacing w:beforeAutospacing="0" w:after="120" w:afterAutospacing="0" w:line="36" w:lineRule="atLeast"/>
        <w:rPr>
          <w:rFonts w:ascii="-webkit-standard" w:eastAsia="-webkit-standard" w:hAnsi="-webkit-standard" w:cs="-webkit-standard"/>
          <w:color w:val="000000"/>
        </w:rPr>
      </w:pPr>
      <w:r>
        <w:rPr>
          <w:rFonts w:eastAsia="-webkit-standard"/>
          <w:color w:val="121212"/>
        </w:rPr>
        <w:t>Not applicable</w:t>
      </w:r>
      <w:r>
        <w:rPr>
          <w:rFonts w:eastAsia="-webkit-standard"/>
          <w:color w:val="121212"/>
        </w:rPr>
        <w:br/>
      </w:r>
    </w:p>
    <w:p w14:paraId="5417F757" w14:textId="77777777" w:rsidR="00507579" w:rsidRDefault="00507579" w:rsidP="00507579">
      <w:pPr>
        <w:pStyle w:val="ListParagraph1"/>
        <w:spacing w:before="100" w:beforeAutospacing="1" w:after="100" w:afterAutospacing="1" w:line="240" w:lineRule="auto"/>
        <w:rPr>
          <w:rFonts w:ascii="Times New Roman" w:eastAsia="Times New Roman" w:hAnsi="Times New Roman" w:cs="Times New Roman"/>
          <w:sz w:val="24"/>
          <w:szCs w:val="24"/>
          <w:lang w:val="zh-CN" w:eastAsia="zh-CN"/>
        </w:rPr>
      </w:pPr>
    </w:p>
    <w:p w14:paraId="34910B02" w14:textId="77777777" w:rsidR="008D4E8F" w:rsidRDefault="00D90E3D">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3B60239E" w14:textId="77777777" w:rsidR="008D4E8F" w:rsidRDefault="00D90E3D">
      <w:pPr>
        <w:pStyle w:val="ListParagraph1"/>
        <w:numPr>
          <w:ilvl w:val="0"/>
          <w:numId w:val="2"/>
        </w:numPr>
        <w:spacing w:before="100" w:beforeAutospacing="1" w:after="100" w:afterAutospacing="1" w:line="240" w:lineRule="auto"/>
        <w:rPr>
          <w:rFonts w:ascii="Times New Roman" w:hAnsi="Times New Roman" w:cs="Times New Roman"/>
          <w:sz w:val="24"/>
          <w:szCs w:val="24"/>
        </w:rPr>
      </w:pPr>
      <w:r>
        <w:rPr>
          <w:rStyle w:val="bzpyqfadein"/>
          <w:rFonts w:ascii="Times New Roman" w:hAnsi="Times New Roman" w:cs="Times New Roman"/>
          <w:sz w:val="24"/>
          <w:szCs w:val="24"/>
        </w:rPr>
        <w:t xml:space="preserve">World Health Organization. (2024). </w:t>
      </w:r>
      <w:r>
        <w:rPr>
          <w:rStyle w:val="bzpyqfadein"/>
          <w:rFonts w:ascii="Times New Roman" w:hAnsi="Times New Roman" w:cs="Times New Roman"/>
          <w:i/>
          <w:iCs/>
          <w:sz w:val="24"/>
          <w:szCs w:val="24"/>
        </w:rPr>
        <w:t>Adolescent health</w:t>
      </w:r>
      <w:r>
        <w:rPr>
          <w:rStyle w:val="bzpyqfadein"/>
          <w:rFonts w:ascii="Times New Roman" w:hAnsi="Times New Roman" w:cs="Times New Roman"/>
          <w:sz w:val="24"/>
          <w:szCs w:val="24"/>
        </w:rPr>
        <w:t xml:space="preserve">. </w:t>
      </w:r>
      <w:hyperlink r:id="rId21" w:tgtFrame="_new" w:history="1">
        <w:r>
          <w:rPr>
            <w:rStyle w:val="bzpyqfadein"/>
            <w:rFonts w:ascii="Times New Roman" w:hAnsi="Times New Roman" w:cs="Times New Roman"/>
            <w:sz w:val="24"/>
            <w:szCs w:val="24"/>
            <w:u w:val="single"/>
          </w:rPr>
          <w:t>https://www.who.int/health-topics/adolescent-health</w:t>
        </w:r>
      </w:hyperlink>
    </w:p>
    <w:p w14:paraId="724340B5" w14:textId="77777777" w:rsidR="008D4E8F" w:rsidRDefault="00D90E3D">
      <w:pPr>
        <w:pStyle w:val="ListParagraph1"/>
        <w:numPr>
          <w:ilvl w:val="0"/>
          <w:numId w:val="2"/>
        </w:numPr>
        <w:spacing w:line="240" w:lineRule="auto"/>
        <w:jc w:val="both"/>
        <w:rPr>
          <w:rFonts w:ascii="Times New Roman" w:eastAsia="Arial" w:hAnsi="Times New Roman" w:cs="Times New Roman"/>
          <w:sz w:val="24"/>
          <w:szCs w:val="24"/>
        </w:rPr>
      </w:pPr>
      <w:r>
        <w:rPr>
          <w:rFonts w:ascii="Times New Roman" w:eastAsia="Times New Roman" w:hAnsi="Times New Roman" w:cs="Times New Roman"/>
          <w:sz w:val="24"/>
          <w:szCs w:val="24"/>
        </w:rPr>
        <w:t>Sserwanja Q, Mwamba D, Poon P, Kim JH. Prevalence and factors associated with risky sexual behaviors Among sexually active female adolescents in Zambia. Arch Sex Behav. 2023;52(1):205–215.</w:t>
      </w:r>
    </w:p>
    <w:p w14:paraId="19165791"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Ndagijimana E, Biracyaza E, Nzayirambaho M. (2023)vRisky sexual behaviors and their associated factors within high school students from Collège Saint André in Kigali, Rwanda: An institution-based cross-sectional study. Front Reprod Health. 2023;5:1029465. </w:t>
      </w:r>
      <w:hyperlink r:id="rId22" w:tgtFrame="_base" w:history="1">
        <w:r>
          <w:rPr>
            <w:rStyle w:val="Hyperlink"/>
            <w:rFonts w:ascii="Times New Roman" w:eastAsia="Times New Roman" w:hAnsi="Times New Roman" w:cs="Times New Roman"/>
            <w:bCs/>
            <w:color w:val="auto"/>
            <w:sz w:val="24"/>
            <w:szCs w:val="24"/>
          </w:rPr>
          <w:t>https://doi.org/10.3389/FRPH.2023.1029465</w:t>
        </w:r>
      </w:hyperlink>
    </w:p>
    <w:p w14:paraId="092A1A3D"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Adewumi, O. M., Falola, O. O., &amp; Nwokocha, E. E. (2025). Comprehensive sexuality education in curbing adolescent pregnancy in Nigeria and Rwanda. Discover Public Health, 22, 475. https://doi.org/10.1186/s12982-025-00475-z</w:t>
      </w:r>
    </w:p>
    <w:p w14:paraId="2F3D515B"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Nwokocha, E., Isiugo-Abanihe, I., Omololu, F., Isiugo-Abanihe, U., &amp; Udegbe, B. (2021). Variable implementation of sexuality education in three Nigerian states. Reproductive Health Matters, 29(57), 188-201. https://doi.org/10.1080/09688080.2021.1965442</w:t>
      </w:r>
    </w:p>
    <w:p w14:paraId="5E66D691"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Lai, C. (2019). Technology and learner autonomy: An argument in favor of the nexus of formal and informal language learning. Annual Reveiw on Applied Linguistics. 39, 52–58.</w:t>
      </w:r>
    </w:p>
    <w:p w14:paraId="2A424F98"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Megan, L., Monique, T., Amita, S., &amp; Susan, W. (2017). Social media and sexual Behavior among Adolescents: Is there a link? Public Health Surveillance, 3(2), 28-35.</w:t>
      </w:r>
    </w:p>
    <w:p w14:paraId="4CF448AB"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Bouhnik, D., &amp; Deshen, M. (2023). Student readiness for WhatsApp-supported learning: A structural equation model. Interactive Learning Environments, 31(5), 2847-2862. </w:t>
      </w:r>
      <w:hyperlink r:id="rId23" w:history="1">
        <w:r>
          <w:rPr>
            <w:rStyle w:val="Hyperlink"/>
            <w:rFonts w:ascii="Times New Roman" w:hAnsi="Times New Roman" w:cs="Times New Roman"/>
            <w:color w:val="auto"/>
            <w:sz w:val="24"/>
            <w:szCs w:val="24"/>
          </w:rPr>
          <w:t>https://doi.org/10.1080/10494820.2021.1917811</w:t>
        </w:r>
      </w:hyperlink>
    </w:p>
    <w:p w14:paraId="5294A8C7" w14:textId="77777777" w:rsidR="008D4E8F" w:rsidRDefault="00D90E3D">
      <w:pPr>
        <w:pStyle w:val="ListParagraph1"/>
        <w:numPr>
          <w:ilvl w:val="0"/>
          <w:numId w:val="2"/>
        </w:numPr>
        <w:spacing w:line="240" w:lineRule="auto"/>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lastRenderedPageBreak/>
        <w:t xml:space="preserve">Ramgade, A., &amp; Divakaran, J. (2021). Mobile learning and its impact on student learning: A review. International Journal of Modern Education and Computer Science, 13(2), 1-12. </w:t>
      </w:r>
      <w:hyperlink r:id="rId24" w:history="1">
        <w:r>
          <w:rPr>
            <w:rStyle w:val="Hyperlink"/>
            <w:rFonts w:ascii="Times New Roman" w:hAnsi="Times New Roman" w:cs="Times New Roman"/>
            <w:color w:val="auto"/>
            <w:sz w:val="24"/>
            <w:szCs w:val="24"/>
          </w:rPr>
          <w:t>https://doi.org/10.5815/ijmecs.2021.02.01</w:t>
        </w:r>
      </w:hyperlink>
    </w:p>
    <w:p w14:paraId="2C1BC046" w14:textId="77777777" w:rsidR="008D4E8F" w:rsidRDefault="00D90E3D">
      <w:pPr>
        <w:pStyle w:val="ListParagraph1"/>
        <w:numPr>
          <w:ilvl w:val="0"/>
          <w:numId w:val="2"/>
        </w:numPr>
        <w:spacing w:line="360" w:lineRule="auto"/>
        <w:jc w:val="both"/>
        <w:rPr>
          <w:rFonts w:ascii="Times New Roman" w:hAnsi="Times New Roman" w:cs="Times New Roman"/>
          <w:sz w:val="24"/>
          <w:szCs w:val="24"/>
        </w:rPr>
      </w:pPr>
      <w:bookmarkStart w:id="29" w:name="_Hlk224483416"/>
      <w:r>
        <w:rPr>
          <w:rFonts w:ascii="Times New Roman" w:hAnsi="Times New Roman" w:cs="Times New Roman"/>
          <w:sz w:val="24"/>
          <w:szCs w:val="24"/>
        </w:rPr>
        <w:t>NACA (National Agency for the Control of AIDS). (2023). Nigeria HIV/AIDS indicator and impact survey (NAIIS) 2023: Technical report. Federal Republic of Nigeria.</w:t>
      </w:r>
    </w:p>
    <w:bookmarkEnd w:id="29"/>
    <w:p w14:paraId="3FABF913" w14:textId="77777777" w:rsidR="008D4E8F" w:rsidRDefault="00D90E3D">
      <w:pPr>
        <w:pStyle w:val="ListParagraph1"/>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Folayan, M. O., Odetoyinbo, M., Brown, B., &amp; Harrison, A. (2021). Differences in sexual behavior and sexual practices of adolescents in Nigeria based on sex and self-reported HIV status. BMC Public Health, 21(1), 634. https://doi.org/10.1186/s12889-021-10667-9</w:t>
      </w:r>
    </w:p>
    <w:p w14:paraId="437F17DB"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Okunola, H., &amp; Akika, O. (2020). Knowledge of human papillomavirus and its vaccine among secondary school adolescents in a rural community in Nigeria. African Journal of Reproductive Health, 23(1), 103-110.</w:t>
      </w:r>
    </w:p>
    <w:p w14:paraId="7DC3111C" w14:textId="77777777" w:rsidR="008D4E8F" w:rsidRDefault="00D90E3D">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Okunola, H., Ndikom, C. M., Adejumo, O., &amp; Oluwatosin, O. A. (2022). Human papillomavirus knowledge, vaccine acceptability and educational needs among adolescents in Lagos, Nigeria. BMC Women's Health, 22(1), 234.</w:t>
      </w:r>
    </w:p>
    <w:p w14:paraId="3F74563C"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Eze, I.R., Eze, J.N., Nnachi, A.U., &amp; Onwe, R.I. (2021).</w:t>
      </w:r>
      <w:r>
        <w:rPr>
          <w:rFonts w:ascii="Times New Roman" w:hAnsi="Times New Roman" w:cs="Times New Roman"/>
          <w:sz w:val="24"/>
          <w:szCs w:val="24"/>
        </w:rPr>
        <w:t xml:space="preserve"> Beliefs and misconceptions about contraception and condom use among adolescents in south-east Nigeria. </w:t>
      </w:r>
      <w:r>
        <w:rPr>
          <w:rStyle w:val="Emphasis"/>
          <w:rFonts w:ascii="Times New Roman" w:hAnsi="Times New Roman" w:cs="Times New Roman"/>
          <w:sz w:val="24"/>
          <w:szCs w:val="24"/>
        </w:rPr>
        <w:t>Reproductive Health</w:t>
      </w:r>
      <w:r>
        <w:rPr>
          <w:rFonts w:ascii="Times New Roman" w:hAnsi="Times New Roman" w:cs="Times New Roman"/>
          <w:sz w:val="24"/>
          <w:szCs w:val="24"/>
        </w:rPr>
        <w:t xml:space="preserve">, </w:t>
      </w:r>
      <w:r>
        <w:rPr>
          <w:rStyle w:val="Emphasis"/>
          <w:rFonts w:ascii="Times New Roman" w:hAnsi="Times New Roman" w:cs="Times New Roman"/>
          <w:sz w:val="24"/>
          <w:szCs w:val="24"/>
        </w:rPr>
        <w:t>18</w:t>
      </w:r>
      <w:r>
        <w:rPr>
          <w:rFonts w:ascii="Times New Roman" w:hAnsi="Times New Roman" w:cs="Times New Roman"/>
          <w:sz w:val="24"/>
          <w:szCs w:val="24"/>
        </w:rPr>
        <w:t xml:space="preserve">(1), 7. </w:t>
      </w:r>
      <w:hyperlink r:id="rId25" w:history="1">
        <w:r>
          <w:rPr>
            <w:rStyle w:val="Hyperlink"/>
            <w:rFonts w:ascii="Times New Roman" w:hAnsi="Times New Roman" w:cs="Times New Roman"/>
            <w:sz w:val="24"/>
            <w:szCs w:val="24"/>
          </w:rPr>
          <w:t>https://doi.org/10.1186/s12978-020-01062-y</w:t>
        </w:r>
      </w:hyperlink>
    </w:p>
    <w:p w14:paraId="6D1D0766"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Gon, S., &amp; Rawekar, A. (2022). Impact of WhatsApp as a collaborative tool to supplement medical education. Journal of Medical Education and Curricular Development, 9, 1-6. </w:t>
      </w:r>
      <w:hyperlink r:id="rId26" w:history="1">
        <w:r>
          <w:rPr>
            <w:rStyle w:val="Hyperlink"/>
            <w:rFonts w:ascii="Times New Roman" w:hAnsi="Times New Roman" w:cs="Times New Roman"/>
            <w:sz w:val="24"/>
            <w:szCs w:val="24"/>
          </w:rPr>
          <w:t>https://doi.org/10.1177/23821205221089146</w:t>
        </w:r>
      </w:hyperlink>
    </w:p>
    <w:p w14:paraId="0DB1B876"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Ezem, B. U., &amp; Okoro, R. N. (2023). Sexually transmitted infections knowledge gaps among Nigerian adolescents: A call for comprehensive education. African Journal of Reproductive Health, 27(2), 45-56.</w:t>
      </w:r>
    </w:p>
    <w:p w14:paraId="75FE49A0" w14:textId="77777777" w:rsidR="008D4E8F" w:rsidRDefault="00D90E3D">
      <w:pPr>
        <w:pStyle w:val="ListParagraph1"/>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Kirby, D., &amp; Laris, B. A. (2023). Effective curriculum-based sex and STD/HIV education programs for adolescents. Journal of Adolescent Health, 72(3), 345–352. https://doi.org/10.1016/j.jadohealth.2022.10.01</w:t>
      </w:r>
    </w:p>
    <w:p w14:paraId="375B7942" w14:textId="77777777" w:rsidR="008D4E8F" w:rsidRDefault="00D90E3D">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Yusuf, O. B., Akinyemi, J. O., &amp; Adebowale, A. S. (2023). Digital health education and sexual risk perception among Nigerian undergraduates. BMC Public Health, 23, Article 1124. https://doi.org/10.1186/s12889-023-15987-4</w:t>
      </w:r>
    </w:p>
    <w:p w14:paraId="4B47B5D0" w14:textId="77777777" w:rsidR="008D4E8F" w:rsidRDefault="00D90E3D">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Noar, S. M., Willoughby, J. F., Myrick, J. G., &amp; Brown, J. (2023). Public health campaigns to change health behaviors: Capitalizing on new media and technology. In T. Thompson (Ed.), Encyclopedia of health communication (2nd ed., pp. 1215-1228). Sage Publications.</w:t>
      </w:r>
    </w:p>
    <w:p w14:paraId="1916C86D" w14:textId="77777777" w:rsidR="008D4E8F" w:rsidRDefault="00D90E3D">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Salam, R. A., Faqqah, A., Sajjad, N., Lassi, Z. S., Das, J. K., Kaufman, M., &amp; Bhutta, Z. A. (2022). Improving adolescent sexual and reproductive health: A systematic review of digital health interventions. Journal of Adolescent Health, 70(1), S1–S14. https://doi.org/10.1016/j.jadohealth.2021.10.003</w:t>
      </w:r>
    </w:p>
    <w:p w14:paraId="1A13CB9A" w14:textId="77777777" w:rsidR="008D4E8F" w:rsidRDefault="00D90E3D">
      <w:pPr>
        <w:pStyle w:val="ListParagraph1"/>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Sani, A. S., Abraham, C., Denford, S., &amp; Ball, S. (2021). School-based sexual health education interventions to prevent STI/HIV in sub-Saharan Africa: A systematic review </w:t>
      </w:r>
      <w:r>
        <w:rPr>
          <w:rFonts w:ascii="Times New Roman" w:hAnsi="Times New Roman" w:cs="Times New Roman"/>
          <w:sz w:val="24"/>
          <w:szCs w:val="24"/>
        </w:rPr>
        <w:lastRenderedPageBreak/>
        <w:t>and meta-analysis. BMC Public Health, 21, Article 1540. https://doi.org/10.1186/s12889-021-11589-5</w:t>
      </w:r>
    </w:p>
    <w:p w14:paraId="047689CC" w14:textId="77777777" w:rsidR="008D4E8F" w:rsidRDefault="008D4E8F">
      <w:pPr>
        <w:pStyle w:val="ListParagraph1"/>
        <w:spacing w:line="240" w:lineRule="auto"/>
        <w:jc w:val="both"/>
        <w:rPr>
          <w:rFonts w:ascii="Times New Roman" w:hAnsi="Times New Roman" w:cs="Times New Roman"/>
          <w:sz w:val="24"/>
          <w:szCs w:val="24"/>
        </w:rPr>
      </w:pPr>
    </w:p>
    <w:sectPr w:rsidR="008D4E8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5-02T08:42:00Z" w:initials="U">
    <w:p w14:paraId="18CD5F07" w14:textId="6FC58834" w:rsidR="00CE56E7" w:rsidRPr="00CE56E7" w:rsidRDefault="00CE56E7">
      <w:pPr>
        <w:pStyle w:val="CommentText"/>
        <w:rPr>
          <w:lang w:val="en-GB"/>
        </w:rPr>
      </w:pPr>
      <w:r>
        <w:rPr>
          <w:rStyle w:val="CommentReference"/>
        </w:rPr>
        <w:annotationRef/>
      </w:r>
      <w:r>
        <w:rPr>
          <w:lang w:val="en-GB"/>
        </w:rPr>
        <w:t>Junior or senior</w:t>
      </w:r>
    </w:p>
  </w:comment>
  <w:comment w:id="4" w:author="USER" w:date="2026-05-02T08:57:00Z" w:initials="U">
    <w:p w14:paraId="3C4783C1" w14:textId="3C54A16B" w:rsidR="001944BF" w:rsidRPr="001944BF" w:rsidRDefault="001944BF">
      <w:pPr>
        <w:pStyle w:val="CommentText"/>
        <w:rPr>
          <w:lang w:val="en-GB"/>
        </w:rPr>
      </w:pPr>
      <w:r>
        <w:rPr>
          <w:rStyle w:val="CommentReference"/>
        </w:rPr>
        <w:annotationRef/>
      </w:r>
      <w:r>
        <w:rPr>
          <w:lang w:val="en-GB"/>
        </w:rPr>
        <w:t xml:space="preserve">There was no test questions and treatment, therefore, the design </w:t>
      </w:r>
      <w:r w:rsidR="007C6631">
        <w:rPr>
          <w:lang w:val="en-GB"/>
        </w:rPr>
        <w:t>is not appropriate.</w:t>
      </w:r>
    </w:p>
  </w:comment>
  <w:comment w:id="5" w:author="USER" w:date="2026-05-02T08:36:00Z" w:initials="U">
    <w:p w14:paraId="759FADE2" w14:textId="5654E25C" w:rsidR="00666976" w:rsidRPr="00666976" w:rsidRDefault="00666976">
      <w:pPr>
        <w:pStyle w:val="CommentText"/>
        <w:rPr>
          <w:lang w:val="en-GB"/>
        </w:rPr>
      </w:pPr>
      <w:r>
        <w:rPr>
          <w:rStyle w:val="CommentReference"/>
        </w:rPr>
        <w:annotationRef/>
      </w:r>
      <w:r>
        <w:rPr>
          <w:lang w:val="en-GB"/>
        </w:rPr>
        <w:t>Include validity and reliability of the instruments used.</w:t>
      </w:r>
    </w:p>
  </w:comment>
  <w:comment w:id="22" w:author="USER" w:date="2026-05-02T08:48:00Z" w:initials="U">
    <w:p w14:paraId="29208824" w14:textId="207ACA0F" w:rsidR="00CE56E7" w:rsidRPr="00CE56E7" w:rsidRDefault="00CE56E7">
      <w:pPr>
        <w:pStyle w:val="CommentText"/>
        <w:rPr>
          <w:lang w:val="en-GB"/>
        </w:rPr>
      </w:pPr>
      <w:r>
        <w:rPr>
          <w:rStyle w:val="CommentReference"/>
        </w:rPr>
        <w:annotationRef/>
      </w:r>
      <w:r>
        <w:rPr>
          <w:lang w:val="en-GB"/>
        </w:rPr>
        <w:t>Systematically, explain how you sample</w:t>
      </w:r>
      <w:r w:rsidR="001944BF">
        <w:rPr>
          <w:lang w:val="en-GB"/>
        </w:rPr>
        <w:t>d</w:t>
      </w:r>
      <w:r>
        <w:rPr>
          <w:lang w:val="en-GB"/>
        </w:rPr>
        <w:t xml:space="preserve"> the schools</w:t>
      </w:r>
      <w:r w:rsidR="001944BF">
        <w:rPr>
          <w:lang w:val="en-GB"/>
        </w:rPr>
        <w:t>.</w:t>
      </w:r>
      <w:r>
        <w:rPr>
          <w:lang w:val="en-GB"/>
        </w:rPr>
        <w:t xml:space="preserve"> </w:t>
      </w:r>
      <w:r w:rsidR="001944BF">
        <w:rPr>
          <w:lang w:val="en-GB"/>
        </w:rPr>
        <w:t>What was the sampling technique?</w:t>
      </w:r>
    </w:p>
  </w:comment>
  <w:comment w:id="27" w:author="USER" w:date="2026-05-02T08:56:00Z" w:initials="U">
    <w:p w14:paraId="088EBB49" w14:textId="4AFC210D" w:rsidR="001944BF" w:rsidRPr="001944BF" w:rsidRDefault="001944BF">
      <w:pPr>
        <w:pStyle w:val="CommentText"/>
        <w:rPr>
          <w:lang w:val="en-GB"/>
        </w:rPr>
      </w:pPr>
      <w:r>
        <w:rPr>
          <w:rStyle w:val="CommentReference"/>
        </w:rPr>
        <w:annotationRef/>
      </w:r>
      <w:r>
        <w:rPr>
          <w:lang w:val="en-GB"/>
        </w:rPr>
        <w:t>Where were the objectives?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CD5F07" w15:done="0"/>
  <w15:commentEx w15:paraId="3C4783C1" w15:done="0"/>
  <w15:commentEx w15:paraId="759FADE2" w15:done="0"/>
  <w15:commentEx w15:paraId="29208824" w15:done="0"/>
  <w15:commentEx w15:paraId="088EBB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ABFF76" w16cex:dateUtc="2026-05-02T07:42:00Z"/>
  <w16cex:commentExtensible w16cex:durableId="7FD61C2B" w16cex:dateUtc="2026-05-02T07:57:00Z"/>
  <w16cex:commentExtensible w16cex:durableId="0E36F112" w16cex:dateUtc="2026-05-02T07:36:00Z"/>
  <w16cex:commentExtensible w16cex:durableId="64DF4FC5" w16cex:dateUtc="2026-05-02T07:48:00Z"/>
  <w16cex:commentExtensible w16cex:durableId="598A2EC7" w16cex:dateUtc="2026-05-02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CD5F07" w16cid:durableId="5FABFF76"/>
  <w16cid:commentId w16cid:paraId="3C4783C1" w16cid:durableId="7FD61C2B"/>
  <w16cid:commentId w16cid:paraId="759FADE2" w16cid:durableId="0E36F112"/>
  <w16cid:commentId w16cid:paraId="29208824" w16cid:durableId="64DF4FC5"/>
  <w16cid:commentId w16cid:paraId="088EBB49" w16cid:durableId="598A2E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81B4" w14:textId="77777777" w:rsidR="002F1A5C" w:rsidRDefault="002F1A5C" w:rsidP="00347A54">
      <w:pPr>
        <w:spacing w:after="0" w:line="240" w:lineRule="auto"/>
      </w:pPr>
      <w:r>
        <w:separator/>
      </w:r>
    </w:p>
  </w:endnote>
  <w:endnote w:type="continuationSeparator" w:id="0">
    <w:p w14:paraId="613ECDED" w14:textId="77777777" w:rsidR="002F1A5C" w:rsidRDefault="002F1A5C" w:rsidP="0034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8A7F" w14:textId="77777777" w:rsidR="00347A54" w:rsidRDefault="00347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ED67" w14:textId="77777777" w:rsidR="00347A54" w:rsidRDefault="00347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73AA" w14:textId="77777777" w:rsidR="00347A54" w:rsidRDefault="00347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3BFF" w14:textId="77777777" w:rsidR="002F1A5C" w:rsidRDefault="002F1A5C" w:rsidP="00347A54">
      <w:pPr>
        <w:spacing w:after="0" w:line="240" w:lineRule="auto"/>
      </w:pPr>
      <w:r>
        <w:separator/>
      </w:r>
    </w:p>
  </w:footnote>
  <w:footnote w:type="continuationSeparator" w:id="0">
    <w:p w14:paraId="3478D76F" w14:textId="77777777" w:rsidR="002F1A5C" w:rsidRDefault="002F1A5C" w:rsidP="0034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E416" w14:textId="0E5DC2BD" w:rsidR="00347A54" w:rsidRDefault="00000000">
    <w:pPr>
      <w:pStyle w:val="Header"/>
    </w:pPr>
    <w:r>
      <w:rPr>
        <w:noProof/>
      </w:rPr>
      <w:pict w14:anchorId="2F6D4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9429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EFC8" w14:textId="5A641233" w:rsidR="00347A54" w:rsidRDefault="00000000">
    <w:pPr>
      <w:pStyle w:val="Header"/>
    </w:pPr>
    <w:r>
      <w:rPr>
        <w:noProof/>
      </w:rPr>
      <w:pict w14:anchorId="13E88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9429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6781" w14:textId="733163A8" w:rsidR="00347A54" w:rsidRDefault="00000000">
    <w:pPr>
      <w:pStyle w:val="Header"/>
    </w:pPr>
    <w:r>
      <w:rPr>
        <w:noProof/>
      </w:rPr>
      <w:pict w14:anchorId="4BFAE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9429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05E73"/>
    <w:multiLevelType w:val="multilevel"/>
    <w:tmpl w:val="43C05E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B13D69"/>
    <w:multiLevelType w:val="multilevel"/>
    <w:tmpl w:val="6EB13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4416344">
    <w:abstractNumId w:val="0"/>
  </w:num>
  <w:num w:numId="2" w16cid:durableId="10818768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E8F"/>
    <w:rsid w:val="001944BF"/>
    <w:rsid w:val="002F1A5C"/>
    <w:rsid w:val="00347A54"/>
    <w:rsid w:val="00507579"/>
    <w:rsid w:val="00520B91"/>
    <w:rsid w:val="005A2FC2"/>
    <w:rsid w:val="00666976"/>
    <w:rsid w:val="00745BF5"/>
    <w:rsid w:val="007C6631"/>
    <w:rsid w:val="008560BB"/>
    <w:rsid w:val="008D4E8F"/>
    <w:rsid w:val="00CE56E7"/>
    <w:rsid w:val="00D90E3D"/>
    <w:rsid w:val="00F2365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D17E8C0"/>
  <w15:docId w15:val="{8E82BED2-489A-42DA-807B-CCCD4EF3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heme="minorHAnsi" w:eastAsiaTheme="minorHAnsi" w:hAnsiTheme="minorHAnsi" w:cstheme="minorBidi"/>
      <w:sz w:val="22"/>
      <w:szCs w:val="22"/>
      <w:lang w:val="zh-CN" w:eastAsia="en-US"/>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customStyle="1" w:styleId="bzpyqfadein">
    <w:name w:val="bz_pyq_fadein"/>
    <w:basedOn w:val="DefaultParagraphFont"/>
  </w:style>
  <w:style w:type="paragraph" w:customStyle="1" w:styleId="z-TopofForm1">
    <w:name w:val="z-Top of Form1"/>
    <w:basedOn w:val="Normal"/>
    <w:next w:val="Normal"/>
    <w:link w:val="z-TopofFormChar"/>
    <w:uiPriority w:val="99"/>
    <w:unhideWhenUsed/>
    <w:pPr>
      <w:pBdr>
        <w:bottom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lang w:eastAsia="zh-CN"/>
    </w:rPr>
  </w:style>
  <w:style w:type="paragraph" w:customStyle="1" w:styleId="placeholder">
    <w:name w:val="placeholder"/>
    <w:basedOn w:val="Normal"/>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z-BottomofForm1">
    <w:name w:val="z-Bottom of Form1"/>
    <w:basedOn w:val="Normal"/>
    <w:next w:val="Normal"/>
    <w:link w:val="z-BottomofFormChar"/>
    <w:uiPriority w:val="99"/>
    <w:unhideWhenUsed/>
    <w:pPr>
      <w:pBdr>
        <w:top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lang w:eastAsia="zh-CN"/>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zh-CN"/>
    </w:rPr>
  </w:style>
  <w:style w:type="character" w:customStyle="1" w:styleId="whitespace-normal">
    <w:name w:val="whitespace-normal"/>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paragraph" w:customStyle="1" w:styleId="ListParagraph1">
    <w:name w:val="List Paragraph1"/>
    <w:basedOn w:val="Normal"/>
    <w:uiPriority w:val="34"/>
    <w:qFormat/>
    <w:pPr>
      <w:spacing w:after="200" w:line="276" w:lineRule="auto"/>
      <w:ind w:left="720"/>
      <w:contextualSpacing/>
    </w:pPr>
    <w:rPr>
      <w:rFonts w:ascii="Calibri" w:eastAsia="Calibri" w:hAnsi="Calibri" w:cs="SimSun"/>
      <w:lang w:val="en-US"/>
    </w:rPr>
  </w:style>
  <w:style w:type="character" w:customStyle="1" w:styleId="UnresolvedMention1">
    <w:name w:val="Unresolved Mention1"/>
    <w:basedOn w:val="DefaultParagraphFont"/>
    <w:uiPriority w:val="99"/>
    <w:unhideWhenUsed/>
    <w:rPr>
      <w:color w:val="605E5C"/>
      <w:shd w:val="clear" w:color="auto" w:fill="E1DFDD"/>
    </w:rPr>
  </w:style>
  <w:style w:type="character" w:styleId="UnresolvedMention">
    <w:name w:val="Unresolved Mention"/>
    <w:basedOn w:val="DefaultParagraphFont"/>
    <w:uiPriority w:val="99"/>
    <w:semiHidden/>
    <w:unhideWhenUsed/>
    <w:rsid w:val="00507579"/>
    <w:rPr>
      <w:color w:val="605E5C"/>
      <w:shd w:val="clear" w:color="auto" w:fill="E1DFDD"/>
    </w:rPr>
  </w:style>
  <w:style w:type="paragraph" w:styleId="Header">
    <w:name w:val="header"/>
    <w:basedOn w:val="Normal"/>
    <w:link w:val="HeaderChar"/>
    <w:uiPriority w:val="99"/>
    <w:unhideWhenUsed/>
    <w:rsid w:val="00347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A54"/>
    <w:rPr>
      <w:rFonts w:asciiTheme="minorHAnsi" w:eastAsiaTheme="minorHAnsi" w:hAnsiTheme="minorHAnsi" w:cstheme="minorBidi"/>
      <w:sz w:val="22"/>
      <w:szCs w:val="22"/>
      <w:lang w:val="zh-CN" w:eastAsia="en-US"/>
    </w:rPr>
  </w:style>
  <w:style w:type="paragraph" w:styleId="Footer">
    <w:name w:val="footer"/>
    <w:basedOn w:val="Normal"/>
    <w:link w:val="FooterChar"/>
    <w:uiPriority w:val="99"/>
    <w:unhideWhenUsed/>
    <w:rsid w:val="00347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A54"/>
    <w:rPr>
      <w:rFonts w:asciiTheme="minorHAnsi" w:eastAsiaTheme="minorHAnsi" w:hAnsiTheme="minorHAnsi" w:cstheme="minorBidi"/>
      <w:sz w:val="22"/>
      <w:szCs w:val="22"/>
      <w:lang w:val="zh-CN" w:eastAsia="en-US"/>
    </w:rPr>
  </w:style>
  <w:style w:type="paragraph" w:styleId="Revision">
    <w:name w:val="Revision"/>
    <w:hidden/>
    <w:uiPriority w:val="99"/>
    <w:unhideWhenUsed/>
    <w:rsid w:val="00666976"/>
    <w:pPr>
      <w:spacing w:after="0" w:line="240" w:lineRule="auto"/>
    </w:pPr>
    <w:rPr>
      <w:rFonts w:asciiTheme="minorHAnsi" w:eastAsiaTheme="minorHAnsi" w:hAnsiTheme="minorHAnsi" w:cstheme="minorBidi"/>
      <w:sz w:val="22"/>
      <w:szCs w:val="22"/>
      <w:lang w:val="zh-CN" w:eastAsia="en-US"/>
    </w:rPr>
  </w:style>
  <w:style w:type="character" w:styleId="CommentReference">
    <w:name w:val="annotation reference"/>
    <w:basedOn w:val="DefaultParagraphFont"/>
    <w:uiPriority w:val="99"/>
    <w:semiHidden/>
    <w:unhideWhenUsed/>
    <w:rsid w:val="00666976"/>
    <w:rPr>
      <w:sz w:val="16"/>
      <w:szCs w:val="16"/>
    </w:rPr>
  </w:style>
  <w:style w:type="paragraph" w:styleId="CommentText">
    <w:name w:val="annotation text"/>
    <w:basedOn w:val="Normal"/>
    <w:link w:val="CommentTextChar"/>
    <w:uiPriority w:val="99"/>
    <w:semiHidden/>
    <w:unhideWhenUsed/>
    <w:rsid w:val="00666976"/>
    <w:pPr>
      <w:spacing w:line="240" w:lineRule="auto"/>
    </w:pPr>
    <w:rPr>
      <w:sz w:val="20"/>
      <w:szCs w:val="20"/>
    </w:rPr>
  </w:style>
  <w:style w:type="character" w:customStyle="1" w:styleId="CommentTextChar">
    <w:name w:val="Comment Text Char"/>
    <w:basedOn w:val="DefaultParagraphFont"/>
    <w:link w:val="CommentText"/>
    <w:uiPriority w:val="99"/>
    <w:semiHidden/>
    <w:rsid w:val="00666976"/>
    <w:rPr>
      <w:rFonts w:asciiTheme="minorHAnsi" w:eastAsiaTheme="minorHAnsi" w:hAnsiTheme="minorHAnsi" w:cstheme="minorBidi"/>
      <w:lang w:val="zh-CN" w:eastAsia="en-US"/>
    </w:rPr>
  </w:style>
  <w:style w:type="paragraph" w:styleId="CommentSubject">
    <w:name w:val="annotation subject"/>
    <w:basedOn w:val="CommentText"/>
    <w:next w:val="CommentText"/>
    <w:link w:val="CommentSubjectChar"/>
    <w:uiPriority w:val="99"/>
    <w:semiHidden/>
    <w:unhideWhenUsed/>
    <w:rsid w:val="00666976"/>
    <w:rPr>
      <w:b/>
      <w:bCs/>
    </w:rPr>
  </w:style>
  <w:style w:type="character" w:customStyle="1" w:styleId="CommentSubjectChar">
    <w:name w:val="Comment Subject Char"/>
    <w:basedOn w:val="CommentTextChar"/>
    <w:link w:val="CommentSubject"/>
    <w:uiPriority w:val="99"/>
    <w:semiHidden/>
    <w:rsid w:val="00666976"/>
    <w:rPr>
      <w:rFonts w:asciiTheme="minorHAnsi" w:eastAsiaTheme="minorHAnsi" w:hAnsiTheme="minorHAnsi" w:cstheme="minorBidi"/>
      <w:b/>
      <w:bCs/>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https://doi.org/10.1177/23821205221089146" TargetMode="External"/><Relationship Id="rId3" Type="http://schemas.openxmlformats.org/officeDocument/2006/relationships/styles" Target="styles.xml"/><Relationship Id="rId21" Type="http://schemas.openxmlformats.org/officeDocument/2006/relationships/hyperlink" Target="https://www.who.int/health-topics/adolescent-health"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186/s12978-020-01062-y"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5815/ijmecs.2021.02.01"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1080/10494820.2021.1917811" TargetMode="Externa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oleObject" Target="embeddings/oleObject1.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3389/FRPH.2023.1029465"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Users/dell/Desktop/Chukwuoch%20Adanna/Adanna%20Chukwucha%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164390618685396E-2"/>
          <c:y val="2.93135833268366E-2"/>
          <c:w val="0.84845810517340203"/>
          <c:h val="0.61452269951404603"/>
        </c:manualLayout>
      </c:layout>
      <c:lineChart>
        <c:grouping val="standard"/>
        <c:varyColors val="0"/>
        <c:ser>
          <c:idx val="0"/>
          <c:order val="0"/>
          <c:tx>
            <c:strRef>
              <c:f>Sheet15!$O$39</c:f>
              <c:strCache>
                <c:ptCount val="1"/>
                <c:pt idx="0">
                  <c:v>TLM</c:v>
                </c:pt>
              </c:strCache>
            </c:strRef>
          </c:tx>
          <c:cat>
            <c:strRef>
              <c:f>Sheet15!$N$40:$N$45</c:f>
              <c:strCache>
                <c:ptCount val="6"/>
                <c:pt idx="0">
                  <c:v>Engaging in risky sexual behaviour is harmful</c:v>
                </c:pt>
                <c:pt idx="1">
                  <c:v>Engaging in risky sexual behaviours can lead to sexually transmitted diseases including HIV and genital herpes</c:v>
                </c:pt>
                <c:pt idx="2">
                  <c:v>Engaging in risky sexual behaviours can lead to unintended teenage pregnancies.</c:v>
                </c:pt>
                <c:pt idx="3">
                  <c:v>Exposure to risky sexual behaviours can lead to damage of reproductive organs.</c:v>
                </c:pt>
                <c:pt idx="4">
                  <c:v>Engaging in risky sexual behaviours can lead to cervical cancer, HPV and even death.</c:v>
                </c:pt>
                <c:pt idx="5">
                  <c:v>Exposure to risky sexual behaviours can give rise to illegal abortions.</c:v>
                </c:pt>
              </c:strCache>
            </c:strRef>
          </c:cat>
          <c:val>
            <c:numRef>
              <c:f>Sheet15!$O$40:$O$45</c:f>
              <c:numCache>
                <c:formatCode>General</c:formatCode>
                <c:ptCount val="6"/>
                <c:pt idx="0">
                  <c:v>4.7530000000000001</c:v>
                </c:pt>
                <c:pt idx="1">
                  <c:v>4.7290000000000001</c:v>
                </c:pt>
                <c:pt idx="2">
                  <c:v>4.694</c:v>
                </c:pt>
                <c:pt idx="3">
                  <c:v>4.6239999999999899</c:v>
                </c:pt>
                <c:pt idx="4">
                  <c:v>4.4000000000000004</c:v>
                </c:pt>
                <c:pt idx="5">
                  <c:v>4.859</c:v>
                </c:pt>
              </c:numCache>
            </c:numRef>
          </c:val>
          <c:smooth val="0"/>
          <c:extLst>
            <c:ext xmlns:c16="http://schemas.microsoft.com/office/drawing/2014/chart" uri="{C3380CC4-5D6E-409C-BE32-E72D297353CC}">
              <c16:uniqueId val="{00000000-8E08-42FF-9FAA-B7E9B55ED057}"/>
            </c:ext>
          </c:extLst>
        </c:ser>
        <c:ser>
          <c:idx val="1"/>
          <c:order val="1"/>
          <c:tx>
            <c:strRef>
              <c:f>Sheet15!$P$39</c:f>
              <c:strCache>
                <c:ptCount val="1"/>
                <c:pt idx="0">
                  <c:v>WAM</c:v>
                </c:pt>
              </c:strCache>
            </c:strRef>
          </c:tx>
          <c:spPr>
            <a:ln w="19050" cap="rnd" cmpd="sng" algn="ctr">
              <a:solidFill>
                <a:schemeClr val="accent2"/>
              </a:solidFill>
              <a:prstDash val="dash"/>
              <a:round/>
            </a:ln>
          </c:spPr>
          <c:marker>
            <c:spPr>
              <a:ln w="6350" cap="flat" cmpd="sng" algn="ctr">
                <a:solidFill>
                  <a:schemeClr val="accent2"/>
                </a:solidFill>
                <a:prstDash val="dash"/>
                <a:round/>
              </a:ln>
            </c:spPr>
          </c:marker>
          <c:cat>
            <c:strRef>
              <c:f>Sheet15!$N$40:$N$45</c:f>
              <c:strCache>
                <c:ptCount val="6"/>
                <c:pt idx="0">
                  <c:v>Engaging in risky sexual behaviour is harmful</c:v>
                </c:pt>
                <c:pt idx="1">
                  <c:v>Engaging in risky sexual behaviours can lead to sexually transmitted diseases including HIV and genital herpes</c:v>
                </c:pt>
                <c:pt idx="2">
                  <c:v>Engaging in risky sexual behaviours can lead to unintended teenage pregnancies.</c:v>
                </c:pt>
                <c:pt idx="3">
                  <c:v>Exposure to risky sexual behaviours can lead to damage of reproductive organs.</c:v>
                </c:pt>
                <c:pt idx="4">
                  <c:v>Engaging in risky sexual behaviours can lead to cervical cancer, HPV and even death.</c:v>
                </c:pt>
                <c:pt idx="5">
                  <c:v>Exposure to risky sexual behaviours can give rise to illegal abortions.</c:v>
                </c:pt>
              </c:strCache>
            </c:strRef>
          </c:cat>
          <c:val>
            <c:numRef>
              <c:f>Sheet15!$P$40:$P$45</c:f>
              <c:numCache>
                <c:formatCode>General</c:formatCode>
                <c:ptCount val="6"/>
                <c:pt idx="0">
                  <c:v>4.9760000000000097</c:v>
                </c:pt>
                <c:pt idx="1">
                  <c:v>4.9760000000000097</c:v>
                </c:pt>
                <c:pt idx="2">
                  <c:v>4.9760000000000097</c:v>
                </c:pt>
                <c:pt idx="3">
                  <c:v>4.7290000000000001</c:v>
                </c:pt>
                <c:pt idx="4">
                  <c:v>4.7060000000000004</c:v>
                </c:pt>
                <c:pt idx="5">
                  <c:v>5</c:v>
                </c:pt>
              </c:numCache>
            </c:numRef>
          </c:val>
          <c:smooth val="0"/>
          <c:extLst>
            <c:ext xmlns:c16="http://schemas.microsoft.com/office/drawing/2014/chart" uri="{C3380CC4-5D6E-409C-BE32-E72D297353CC}">
              <c16:uniqueId val="{00000001-8E08-42FF-9FAA-B7E9B55ED057}"/>
            </c:ext>
          </c:extLst>
        </c:ser>
        <c:ser>
          <c:idx val="2"/>
          <c:order val="2"/>
          <c:tx>
            <c:strRef>
              <c:f>Sheet15!$Q$39</c:f>
              <c:strCache>
                <c:ptCount val="1"/>
                <c:pt idx="0">
                  <c:v>AIM</c:v>
                </c:pt>
              </c:strCache>
            </c:strRef>
          </c:tx>
          <c:cat>
            <c:strRef>
              <c:f>Sheet15!$N$40:$N$45</c:f>
              <c:strCache>
                <c:ptCount val="6"/>
                <c:pt idx="0">
                  <c:v>Engaging in risky sexual behaviour is harmful</c:v>
                </c:pt>
                <c:pt idx="1">
                  <c:v>Engaging in risky sexual behaviours can lead to sexually transmitted diseases including HIV and genital herpes</c:v>
                </c:pt>
                <c:pt idx="2">
                  <c:v>Engaging in risky sexual behaviours can lead to unintended teenage pregnancies.</c:v>
                </c:pt>
                <c:pt idx="3">
                  <c:v>Exposure to risky sexual behaviours can lead to damage of reproductive organs.</c:v>
                </c:pt>
                <c:pt idx="4">
                  <c:v>Engaging in risky sexual behaviours can lead to cervical cancer, HPV and even death.</c:v>
                </c:pt>
                <c:pt idx="5">
                  <c:v>Exposure to risky sexual behaviours can give rise to illegal abortions.</c:v>
                </c:pt>
              </c:strCache>
            </c:strRef>
          </c:cat>
          <c:val>
            <c:numRef>
              <c:f>Sheet15!$Q$40:$Q$45</c:f>
              <c:numCache>
                <c:formatCode>General</c:formatCode>
                <c:ptCount val="6"/>
                <c:pt idx="0">
                  <c:v>4.9760000000000097</c:v>
                </c:pt>
                <c:pt idx="1">
                  <c:v>4.9760000000000097</c:v>
                </c:pt>
                <c:pt idx="2">
                  <c:v>4.9760000000000097</c:v>
                </c:pt>
                <c:pt idx="3">
                  <c:v>4.86899999999999</c:v>
                </c:pt>
                <c:pt idx="4">
                  <c:v>4.7060000000000004</c:v>
                </c:pt>
                <c:pt idx="5">
                  <c:v>4.8890000000000002</c:v>
                </c:pt>
              </c:numCache>
            </c:numRef>
          </c:val>
          <c:smooth val="0"/>
          <c:extLst>
            <c:ext xmlns:c16="http://schemas.microsoft.com/office/drawing/2014/chart" uri="{C3380CC4-5D6E-409C-BE32-E72D297353CC}">
              <c16:uniqueId val="{00000002-8E08-42FF-9FAA-B7E9B55ED057}"/>
            </c:ext>
          </c:extLst>
        </c:ser>
        <c:dLbls>
          <c:showLegendKey val="0"/>
          <c:showVal val="0"/>
          <c:showCatName val="0"/>
          <c:showSerName val="0"/>
          <c:showPercent val="0"/>
          <c:showBubbleSize val="0"/>
        </c:dLbls>
        <c:marker val="1"/>
        <c:smooth val="0"/>
        <c:axId val="212831616"/>
        <c:axId val="212837504"/>
      </c:lineChart>
      <c:catAx>
        <c:axId val="21283161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x-none" sz="1000" kern="1200">
                <a:solidFill>
                  <a:schemeClr val="tx1"/>
                </a:solidFill>
                <a:latin typeface="+mn-lt"/>
                <a:ea typeface="+mn-ea"/>
                <a:cs typeface="+mn-cs"/>
              </a:defRPr>
            </a:pPr>
            <a:endParaRPr lang="en-US"/>
          </a:p>
        </c:txPr>
        <c:crossAx val="212837504"/>
        <c:crosses val="autoZero"/>
        <c:auto val="1"/>
        <c:lblAlgn val="ctr"/>
        <c:lblOffset val="100"/>
        <c:noMultiLvlLbl val="0"/>
      </c:catAx>
      <c:valAx>
        <c:axId val="21283750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x-none" sz="1000" kern="1200">
                <a:solidFill>
                  <a:schemeClr val="tx1"/>
                </a:solidFill>
                <a:latin typeface="+mn-lt"/>
                <a:ea typeface="+mn-ea"/>
                <a:cs typeface="+mn-cs"/>
              </a:defRPr>
            </a:pPr>
            <a:endParaRPr lang="en-US"/>
          </a:p>
        </c:txPr>
        <c:crossAx val="212831616"/>
        <c:crosses val="autoZero"/>
        <c:crossBetween val="between"/>
      </c:valAx>
    </c:plotArea>
    <c:legend>
      <c:legendPos val="r"/>
      <c:layout>
        <c:manualLayout>
          <c:xMode val="edge"/>
          <c:yMode val="edge"/>
          <c:x val="0.247083860710305"/>
          <c:y val="0.45214687767989598"/>
          <c:w val="0.22499735756380801"/>
          <c:h val="0.14323099711546"/>
        </c:manualLayout>
      </c:layout>
      <c:overlay val="0"/>
      <c:txPr>
        <a:bodyPr rot="0" spcFirstLastPara="0" vertOverflow="ellipsis" vert="horz" wrap="square" anchor="ctr" anchorCtr="1"/>
        <a:lstStyle/>
        <a:p>
          <a:pPr>
            <a:defRPr lang="x-none" sz="1400" kern="1200">
              <a:solidFill>
                <a:schemeClr val="tx1"/>
              </a:solidFill>
              <a:latin typeface="+mn-lt"/>
              <a:ea typeface="+mn-ea"/>
              <a:cs typeface="+mn-cs"/>
            </a:defRPr>
          </a:pPr>
          <a:endParaRPr lang="en-US"/>
        </a:p>
      </c:txPr>
    </c:legend>
    <c:plotVisOnly val="1"/>
    <c:dispBlanksAs val="gap"/>
    <c:showDLblsOverMax val="0"/>
  </c:chart>
  <c:txPr>
    <a:bodyPr/>
    <a:lstStyle/>
    <a:p>
      <a:pPr>
        <a:defRPr lang="x-none"/>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21</Pages>
  <Words>4779</Words>
  <Characters>27245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Faustina Onuoha</dc:creator>
  <cp:lastModifiedBy>USER</cp:lastModifiedBy>
  <cp:revision>17</cp:revision>
  <dcterms:created xsi:type="dcterms:W3CDTF">2026-03-15T10:41:00Z</dcterms:created>
  <dcterms:modified xsi:type="dcterms:W3CDTF">2026-05-02T08:03:00Z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81964F78210217E491D7F369F6E6CCBC_31</vt:lpwstr>
  </property>
  <property fmtid="{D5CDD505-2E9C-101B-9397-08002B2CF9AE}" pid="3" name="KSOProductBuildVer">
    <vt:lpwstr>3081-11.37.00</vt:lpwstr>
  </property>
</Properties>
</file>