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FEB" w:rsidRDefault="00BD52B6" w:rsidP="00063973">
      <w:pPr>
        <w:spacing w:line="360" w:lineRule="auto"/>
        <w:ind w:left="0"/>
        <w:jc w:val="center"/>
        <w:rPr>
          <w:rFonts w:ascii="Times New Roman" w:hAnsi="Times New Roman" w:cs="Times New Roman"/>
          <w:b/>
          <w:sz w:val="28"/>
        </w:rPr>
      </w:pPr>
      <w:r w:rsidRPr="00BD52B6">
        <w:rPr>
          <w:rFonts w:ascii="Times New Roman" w:hAnsi="Times New Roman" w:cs="Times New Roman"/>
          <w:b/>
          <w:sz w:val="28"/>
        </w:rPr>
        <w:t xml:space="preserve">Comparative Physiological Assessment and Vigor Profiling of </w:t>
      </w:r>
      <w:r w:rsidRPr="00BD52B6">
        <w:rPr>
          <w:rFonts w:ascii="Times New Roman" w:hAnsi="Times New Roman" w:cs="Times New Roman"/>
          <w:b/>
          <w:i/>
          <w:iCs/>
          <w:sz w:val="28"/>
        </w:rPr>
        <w:t>Eleusine coracana</w:t>
      </w:r>
      <w:r w:rsidR="008A0FEB">
        <w:rPr>
          <w:rFonts w:ascii="Times New Roman" w:hAnsi="Times New Roman" w:cs="Times New Roman"/>
          <w:b/>
          <w:sz w:val="28"/>
        </w:rPr>
        <w:t xml:space="preserve"> </w:t>
      </w:r>
      <w:r w:rsidRPr="00BD52B6">
        <w:rPr>
          <w:rFonts w:ascii="Times New Roman" w:hAnsi="Times New Roman" w:cs="Times New Roman"/>
          <w:b/>
          <w:sz w:val="28"/>
        </w:rPr>
        <w:t xml:space="preserve">and </w:t>
      </w:r>
      <w:r w:rsidRPr="00BD52B6">
        <w:rPr>
          <w:rFonts w:ascii="Times New Roman" w:hAnsi="Times New Roman" w:cs="Times New Roman"/>
          <w:b/>
          <w:i/>
          <w:iCs/>
          <w:sz w:val="28"/>
        </w:rPr>
        <w:t>Sorghum bicolor</w:t>
      </w:r>
      <w:r w:rsidRPr="00BD52B6">
        <w:rPr>
          <w:rFonts w:ascii="Times New Roman" w:hAnsi="Times New Roman" w:cs="Times New Roman"/>
          <w:b/>
          <w:sz w:val="28"/>
        </w:rPr>
        <w:t xml:space="preserve"> under Cont</w:t>
      </w:r>
      <w:r>
        <w:rPr>
          <w:rFonts w:ascii="Times New Roman" w:hAnsi="Times New Roman" w:cs="Times New Roman"/>
          <w:b/>
          <w:sz w:val="28"/>
        </w:rPr>
        <w:t>rolled Laboratory Environments</w:t>
      </w:r>
    </w:p>
    <w:p w:rsidR="00E44197" w:rsidRDefault="00E44197" w:rsidP="00063973">
      <w:pPr>
        <w:spacing w:line="360" w:lineRule="auto"/>
        <w:ind w:left="0"/>
        <w:rPr>
          <w:rFonts w:ascii="Times New Roman" w:hAnsi="Times New Roman" w:cs="Times New Roman"/>
          <w:b/>
          <w:sz w:val="28"/>
        </w:rPr>
      </w:pPr>
    </w:p>
    <w:p w:rsidR="00E44197" w:rsidRDefault="00E44197" w:rsidP="00063973">
      <w:pPr>
        <w:spacing w:line="360" w:lineRule="auto"/>
        <w:ind w:left="0"/>
        <w:rPr>
          <w:rFonts w:ascii="Times New Roman" w:hAnsi="Times New Roman" w:cs="Times New Roman"/>
          <w:b/>
          <w:sz w:val="28"/>
        </w:rPr>
      </w:pPr>
    </w:p>
    <w:p w:rsidR="00E44197" w:rsidRDefault="00E44197" w:rsidP="00063973">
      <w:pPr>
        <w:spacing w:line="360" w:lineRule="auto"/>
        <w:ind w:left="0"/>
        <w:rPr>
          <w:rFonts w:ascii="Times New Roman" w:hAnsi="Times New Roman" w:cs="Times New Roman"/>
          <w:b/>
          <w:sz w:val="28"/>
        </w:rPr>
      </w:pPr>
    </w:p>
    <w:p w:rsidR="00BD52B6" w:rsidRDefault="00BD52B6" w:rsidP="00063973">
      <w:pPr>
        <w:spacing w:line="360" w:lineRule="auto"/>
        <w:ind w:left="0"/>
        <w:rPr>
          <w:rFonts w:ascii="Times New Roman" w:hAnsi="Times New Roman" w:cs="Times New Roman"/>
          <w:b/>
          <w:sz w:val="28"/>
        </w:rPr>
      </w:pPr>
      <w:r>
        <w:rPr>
          <w:rFonts w:ascii="Times New Roman" w:hAnsi="Times New Roman" w:cs="Times New Roman"/>
          <w:b/>
          <w:sz w:val="28"/>
        </w:rPr>
        <w:t xml:space="preserve">Abstract </w:t>
      </w:r>
    </w:p>
    <w:p w:rsidR="00DE4B37" w:rsidRPr="00DE4B37" w:rsidRDefault="00DE4B37" w:rsidP="00063973">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commentRangeStart w:id="0"/>
      <w:r w:rsidRPr="00DE4B37">
        <w:rPr>
          <w:rFonts w:ascii="Times New Roman" w:eastAsia="Times New Roman" w:hAnsi="Times New Roman" w:cs="Times New Roman"/>
          <w:sz w:val="24"/>
          <w:szCs w:val="24"/>
        </w:rPr>
        <w:t>Global food security is increasingl</w:t>
      </w:r>
      <w:r>
        <w:rPr>
          <w:rFonts w:ascii="Times New Roman" w:eastAsia="Times New Roman" w:hAnsi="Times New Roman" w:cs="Times New Roman"/>
          <w:sz w:val="24"/>
          <w:szCs w:val="24"/>
        </w:rPr>
        <w:t>y reliant on climate-resilient nutricereals</w:t>
      </w:r>
      <w:r w:rsidRPr="00DE4B37">
        <w:rPr>
          <w:rFonts w:ascii="Times New Roman" w:eastAsia="Times New Roman" w:hAnsi="Times New Roman" w:cs="Times New Roman"/>
          <w:sz w:val="24"/>
          <w:szCs w:val="24"/>
        </w:rPr>
        <w:t xml:space="preserve"> capable of thriving in water-scarce environments. This study presents a comparative physiological assessment and vigor profiling of finger millet (</w:t>
      </w:r>
      <w:r w:rsidRPr="00DE4B37">
        <w:rPr>
          <w:rFonts w:ascii="Times New Roman" w:eastAsia="Times New Roman" w:hAnsi="Times New Roman" w:cs="Times New Roman"/>
          <w:bCs/>
          <w:i/>
          <w:sz w:val="24"/>
          <w:szCs w:val="24"/>
        </w:rPr>
        <w:t>Eleusine coracana</w:t>
      </w:r>
      <w:r w:rsidRPr="00DE4B37">
        <w:rPr>
          <w:rFonts w:ascii="Times New Roman" w:eastAsia="Times New Roman" w:hAnsi="Times New Roman" w:cs="Times New Roman"/>
          <w:sz w:val="24"/>
          <w:szCs w:val="24"/>
        </w:rPr>
        <w:t>) and two sorghum varieties (</w:t>
      </w:r>
      <w:r w:rsidRPr="00DE4B37">
        <w:rPr>
          <w:rFonts w:ascii="Times New Roman" w:eastAsia="Times New Roman" w:hAnsi="Times New Roman" w:cs="Times New Roman"/>
          <w:bCs/>
          <w:i/>
          <w:sz w:val="24"/>
          <w:szCs w:val="24"/>
        </w:rPr>
        <w:t>Sorghum bicolor</w:t>
      </w:r>
      <w:r w:rsidRPr="00DE4B37">
        <w:rPr>
          <w:rFonts w:ascii="Times New Roman" w:eastAsia="Times New Roman" w:hAnsi="Times New Roman" w:cs="Times New Roman"/>
          <w:sz w:val="24"/>
          <w:szCs w:val="24"/>
        </w:rPr>
        <w:t xml:space="preserve"> L.: White Cholam and Sen Cholam) under c</w:t>
      </w:r>
      <w:r w:rsidR="000B54BF">
        <w:rPr>
          <w:rFonts w:ascii="Times New Roman" w:eastAsia="Times New Roman" w:hAnsi="Times New Roman" w:cs="Times New Roman"/>
          <w:sz w:val="24"/>
          <w:szCs w:val="24"/>
        </w:rPr>
        <w:t>ontrolled laboratory conditions located at PGP College of Agricultural Sciences, Namakkal</w:t>
      </w:r>
      <w:r w:rsidRPr="00DE4B37">
        <w:rPr>
          <w:rFonts w:ascii="Times New Roman" w:eastAsia="Times New Roman" w:hAnsi="Times New Roman" w:cs="Times New Roman"/>
          <w:sz w:val="24"/>
          <w:szCs w:val="24"/>
        </w:rPr>
        <w:t xml:space="preserve"> The investigation focused on the influence of potassium chloride (</w:t>
      </w:r>
      <w:proofErr w:type="spellStart"/>
      <w:r w:rsidRPr="00DE4B37">
        <w:rPr>
          <w:rFonts w:ascii="Times New Roman" w:eastAsia="Times New Roman" w:hAnsi="Times New Roman" w:cs="Times New Roman"/>
          <w:sz w:val="24"/>
          <w:szCs w:val="24"/>
        </w:rPr>
        <w:t>KCl</w:t>
      </w:r>
      <w:proofErr w:type="spellEnd"/>
      <w:r w:rsidRPr="00DE4B37">
        <w:rPr>
          <w:rFonts w:ascii="Times New Roman" w:eastAsia="Times New Roman" w:hAnsi="Times New Roman" w:cs="Times New Roman"/>
          <w:sz w:val="24"/>
          <w:szCs w:val="24"/>
        </w:rPr>
        <w:t xml:space="preserve">) </w:t>
      </w:r>
      <w:r w:rsidR="00F10C2E" w:rsidRPr="00DE4B37">
        <w:rPr>
          <w:rFonts w:ascii="Times New Roman" w:eastAsia="Times New Roman" w:hAnsi="Times New Roman" w:cs="Times New Roman"/>
          <w:sz w:val="24"/>
          <w:szCs w:val="24"/>
        </w:rPr>
        <w:t>halo priming</w:t>
      </w:r>
      <w:r w:rsidRPr="00DE4B37">
        <w:rPr>
          <w:rFonts w:ascii="Times New Roman" w:eastAsia="Times New Roman" w:hAnsi="Times New Roman" w:cs="Times New Roman"/>
          <w:sz w:val="24"/>
          <w:szCs w:val="24"/>
        </w:rPr>
        <w:t xml:space="preserve"> at varying concentrations (</w:t>
      </w:r>
      <w:r>
        <w:rPr>
          <w:rFonts w:ascii="Times New Roman" w:eastAsia="Times New Roman" w:hAnsi="Times New Roman" w:cs="Times New Roman"/>
          <w:sz w:val="24"/>
          <w:szCs w:val="24"/>
        </w:rPr>
        <w:t>0.0%</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 1.0%, 1.5%</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DE4B3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3.0%</w:t>
      </w:r>
      <w:r w:rsidRPr="00DE4B37">
        <w:rPr>
          <w:rFonts w:ascii="Times New Roman" w:eastAsia="Times New Roman" w:hAnsi="Times New Roman" w:cs="Times New Roman"/>
          <w:sz w:val="24"/>
          <w:szCs w:val="24"/>
        </w:rPr>
        <w:t xml:space="preserve">) on seed quality parameters, including electrical conductivity (EC), 1000-grain weight, germination percentage, and seedling length. Results revealed that </w:t>
      </w:r>
      <w:r w:rsidRPr="00DE4B37">
        <w:rPr>
          <w:rFonts w:ascii="Times New Roman" w:eastAsia="Times New Roman" w:hAnsi="Times New Roman" w:cs="Times New Roman"/>
          <w:bCs/>
          <w:i/>
          <w:sz w:val="24"/>
          <w:szCs w:val="24"/>
        </w:rPr>
        <w:t>Eleusine coracana</w:t>
      </w:r>
      <w:r w:rsidRPr="00DE4B37">
        <w:rPr>
          <w:rFonts w:ascii="Times New Roman" w:eastAsia="Times New Roman" w:hAnsi="Times New Roman" w:cs="Times New Roman"/>
          <w:sz w:val="24"/>
          <w:szCs w:val="24"/>
        </w:rPr>
        <w:t xml:space="preserve"> maintained superior membrane integrity, exhibiting the lowest electrolyte leakage (</w:t>
      </w:r>
      <w:r w:rsidR="008B0B4E">
        <w:rPr>
          <w:rFonts w:ascii="Times New Roman" w:eastAsia="Times New Roman" w:hAnsi="Times New Roman" w:cs="Times New Roman"/>
          <w:sz w:val="24"/>
          <w:szCs w:val="24"/>
        </w:rPr>
        <w:t>127.93</w:t>
      </w:r>
      <w:r w:rsidRPr="00DE4B37">
        <w:rPr>
          <w:rFonts w:ascii="Times New Roman" w:eastAsia="Times New Roman" w:hAnsi="Times New Roman" w:cs="Times New Roman"/>
          <w:sz w:val="24"/>
          <w:szCs w:val="24"/>
        </w:rPr>
        <w:t xml:space="preserve"> to 154.13</w:t>
      </w:r>
      <w:r w:rsidR="008B0B4E" w:rsidRPr="008B0B4E">
        <w:rPr>
          <w:rFonts w:ascii="Times New Roman" w:eastAsia="Times New Roman" w:hAnsi="Times New Roman" w:cs="Times New Roman"/>
          <w:sz w:val="24"/>
          <w:szCs w:val="24"/>
        </w:rPr>
        <w:t xml:space="preserve"> </w:t>
      </w:r>
      <w:proofErr w:type="spellStart"/>
      <w:r w:rsidR="008B0B4E" w:rsidRPr="008539A4">
        <w:rPr>
          <w:rFonts w:ascii="Times New Roman" w:eastAsia="Times New Roman" w:hAnsi="Times New Roman" w:cs="Times New Roman"/>
          <w:sz w:val="24"/>
          <w:szCs w:val="24"/>
        </w:rPr>
        <w:t>μS</w:t>
      </w:r>
      <w:proofErr w:type="spellEnd"/>
      <w:r w:rsidR="008B0B4E" w:rsidRPr="008539A4">
        <w:rPr>
          <w:rFonts w:ascii="Times New Roman" w:eastAsia="Times New Roman" w:hAnsi="Times New Roman" w:cs="Times New Roman"/>
          <w:sz w:val="24"/>
          <w:szCs w:val="24"/>
        </w:rPr>
        <w:t>/cm</w:t>
      </w:r>
      <w:r w:rsidRPr="00DE4B37">
        <w:rPr>
          <w:rFonts w:ascii="Times New Roman" w:eastAsia="Times New Roman" w:hAnsi="Times New Roman" w:cs="Times New Roman"/>
          <w:sz w:val="24"/>
          <w:szCs w:val="24"/>
        </w:rPr>
        <w:t xml:space="preserve">) across all treatments compared to sorghum varieties, which peaked at </w:t>
      </w:r>
      <w:r w:rsidR="008B0B4E">
        <w:rPr>
          <w:rFonts w:ascii="Times New Roman" w:eastAsia="Times New Roman" w:hAnsi="Times New Roman" w:cs="Times New Roman"/>
          <w:sz w:val="24"/>
          <w:szCs w:val="24"/>
        </w:rPr>
        <w:t>163.27</w:t>
      </w:r>
      <w:r w:rsidRPr="00DE4B37">
        <w:rPr>
          <w:rFonts w:ascii="Times New Roman" w:eastAsia="Times New Roman" w:hAnsi="Times New Roman" w:cs="Times New Roman"/>
          <w:sz w:val="24"/>
          <w:szCs w:val="24"/>
        </w:rPr>
        <w:t xml:space="preserve"> </w:t>
      </w:r>
      <w:proofErr w:type="spellStart"/>
      <w:r w:rsidR="008B0B4E" w:rsidRPr="008539A4">
        <w:rPr>
          <w:rFonts w:ascii="Times New Roman" w:eastAsia="Times New Roman" w:hAnsi="Times New Roman" w:cs="Times New Roman"/>
          <w:sz w:val="24"/>
          <w:szCs w:val="24"/>
        </w:rPr>
        <w:t>μS</w:t>
      </w:r>
      <w:proofErr w:type="spellEnd"/>
      <w:r w:rsidR="008B0B4E" w:rsidRPr="008539A4">
        <w:rPr>
          <w:rFonts w:ascii="Times New Roman" w:eastAsia="Times New Roman" w:hAnsi="Times New Roman" w:cs="Times New Roman"/>
          <w:sz w:val="24"/>
          <w:szCs w:val="24"/>
        </w:rPr>
        <w:t>/cm</w:t>
      </w:r>
      <w:r w:rsidR="008B0B4E" w:rsidRPr="00DE4B37">
        <w:rPr>
          <w:rFonts w:ascii="Times New Roman" w:eastAsia="Times New Roman" w:hAnsi="Times New Roman" w:cs="Times New Roman"/>
          <w:sz w:val="24"/>
          <w:szCs w:val="24"/>
        </w:rPr>
        <w:t xml:space="preserve"> </w:t>
      </w:r>
      <w:r w:rsidR="00F10C2E">
        <w:rPr>
          <w:rFonts w:ascii="Times New Roman" w:eastAsia="Times New Roman" w:hAnsi="Times New Roman" w:cs="Times New Roman"/>
          <w:sz w:val="24"/>
          <w:szCs w:val="24"/>
        </w:rPr>
        <w:t>(</w:t>
      </w:r>
      <w:proofErr w:type="spellStart"/>
      <w:r w:rsidR="00F10C2E">
        <w:rPr>
          <w:rFonts w:ascii="Times New Roman" w:eastAsia="Times New Roman" w:hAnsi="Times New Roman" w:cs="Times New Roman"/>
          <w:sz w:val="24"/>
          <w:szCs w:val="24"/>
        </w:rPr>
        <w:t>Sen</w:t>
      </w:r>
      <w:proofErr w:type="spellEnd"/>
      <w:r w:rsidR="00F10C2E">
        <w:rPr>
          <w:rFonts w:ascii="Times New Roman" w:eastAsia="Times New Roman" w:hAnsi="Times New Roman" w:cs="Times New Roman"/>
          <w:sz w:val="24"/>
          <w:szCs w:val="24"/>
        </w:rPr>
        <w:t xml:space="preserve"> </w:t>
      </w:r>
      <w:proofErr w:type="spellStart"/>
      <w:r w:rsidR="00F10C2E">
        <w:rPr>
          <w:rFonts w:ascii="Times New Roman" w:eastAsia="Times New Roman" w:hAnsi="Times New Roman" w:cs="Times New Roman"/>
          <w:sz w:val="24"/>
          <w:szCs w:val="24"/>
        </w:rPr>
        <w:t>Cholam</w:t>
      </w:r>
      <w:proofErr w:type="spellEnd"/>
      <w:r w:rsidR="00F10C2E">
        <w:rPr>
          <w:rFonts w:ascii="Times New Roman" w:eastAsia="Times New Roman" w:hAnsi="Times New Roman" w:cs="Times New Roman"/>
          <w:sz w:val="24"/>
          <w:szCs w:val="24"/>
        </w:rPr>
        <w:t>) and 159.10</w:t>
      </w:r>
      <w:r w:rsidRPr="00DE4B37">
        <w:rPr>
          <w:rFonts w:ascii="Times New Roman" w:eastAsia="Times New Roman" w:hAnsi="Times New Roman" w:cs="Times New Roman"/>
          <w:sz w:val="24"/>
          <w:szCs w:val="24"/>
        </w:rPr>
        <w:t xml:space="preserve"> </w:t>
      </w:r>
      <w:proofErr w:type="spellStart"/>
      <w:r w:rsidR="008B0B4E" w:rsidRPr="008539A4">
        <w:rPr>
          <w:rFonts w:ascii="Times New Roman" w:eastAsia="Times New Roman" w:hAnsi="Times New Roman" w:cs="Times New Roman"/>
          <w:sz w:val="24"/>
          <w:szCs w:val="24"/>
        </w:rPr>
        <w:t>μS</w:t>
      </w:r>
      <w:proofErr w:type="spellEnd"/>
      <w:r w:rsidR="008B0B4E" w:rsidRPr="008539A4">
        <w:rPr>
          <w:rFonts w:ascii="Times New Roman" w:eastAsia="Times New Roman" w:hAnsi="Times New Roman" w:cs="Times New Roman"/>
          <w:sz w:val="24"/>
          <w:szCs w:val="24"/>
        </w:rPr>
        <w:t>/cm</w:t>
      </w:r>
      <w:r w:rsidR="008B0B4E"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sz w:val="24"/>
          <w:szCs w:val="24"/>
        </w:rPr>
        <w:t xml:space="preserve">(White </w:t>
      </w:r>
      <w:proofErr w:type="spellStart"/>
      <w:r w:rsidRPr="00DE4B37">
        <w:rPr>
          <w:rFonts w:ascii="Times New Roman" w:eastAsia="Times New Roman" w:hAnsi="Times New Roman" w:cs="Times New Roman"/>
          <w:sz w:val="24"/>
          <w:szCs w:val="24"/>
        </w:rPr>
        <w:t>Cholam</w:t>
      </w:r>
      <w:proofErr w:type="spellEnd"/>
      <w:r w:rsidRPr="00DE4B37">
        <w:rPr>
          <w:rFonts w:ascii="Times New Roman" w:eastAsia="Times New Roman" w:hAnsi="Times New Roman" w:cs="Times New Roman"/>
          <w:sz w:val="24"/>
          <w:szCs w:val="24"/>
        </w:rPr>
        <w:t>). While sorghum varieties showed higher absolute germination (</w:t>
      </w:r>
      <w:r w:rsidR="008B0B4E">
        <w:rPr>
          <w:rFonts w:ascii="Times New Roman" w:eastAsia="Times New Roman" w:hAnsi="Times New Roman" w:cs="Times New Roman"/>
          <w:sz w:val="24"/>
          <w:szCs w:val="24"/>
        </w:rPr>
        <w:t>&gt;71%</w:t>
      </w:r>
      <w:r w:rsidRPr="00DE4B37">
        <w:rPr>
          <w:rFonts w:ascii="Times New Roman" w:eastAsia="Times New Roman" w:hAnsi="Times New Roman" w:cs="Times New Roman"/>
          <w:sz w:val="24"/>
          <w:szCs w:val="24"/>
        </w:rPr>
        <w:t>) and seedling length, finger millet demonstrated a significant, progressive increase in germination (</w:t>
      </w:r>
      <w:r w:rsidR="008B0B4E">
        <w:rPr>
          <w:rFonts w:ascii="Times New Roman" w:eastAsia="Times New Roman" w:hAnsi="Times New Roman" w:cs="Times New Roman"/>
          <w:sz w:val="24"/>
          <w:szCs w:val="24"/>
        </w:rPr>
        <w:t>52.67%</w:t>
      </w:r>
      <w:r w:rsidRPr="00DE4B37">
        <w:rPr>
          <w:rFonts w:ascii="Times New Roman" w:eastAsia="Times New Roman" w:hAnsi="Times New Roman" w:cs="Times New Roman"/>
          <w:sz w:val="24"/>
          <w:szCs w:val="24"/>
        </w:rPr>
        <w:t xml:space="preserve"> to </w:t>
      </w:r>
      <w:r w:rsidR="008B0B4E">
        <w:rPr>
          <w:rFonts w:ascii="Times New Roman" w:eastAsia="Times New Roman" w:hAnsi="Times New Roman" w:cs="Times New Roman"/>
          <w:sz w:val="24"/>
          <w:szCs w:val="24"/>
        </w:rPr>
        <w:t>56.0%</w:t>
      </w:r>
      <w:r w:rsidRPr="00DE4B37">
        <w:rPr>
          <w:rFonts w:ascii="Times New Roman" w:eastAsia="Times New Roman" w:hAnsi="Times New Roman" w:cs="Times New Roman"/>
          <w:sz w:val="24"/>
          <w:szCs w:val="24"/>
        </w:rPr>
        <w:t xml:space="preserve">) in response to increasing </w:t>
      </w:r>
      <w:proofErr w:type="spellStart"/>
      <w:r w:rsidRPr="00DE4B37">
        <w:rPr>
          <w:rFonts w:ascii="Times New Roman" w:eastAsia="Times New Roman" w:hAnsi="Times New Roman" w:cs="Times New Roman"/>
          <w:sz w:val="24"/>
          <w:szCs w:val="24"/>
        </w:rPr>
        <w:t>KCl</w:t>
      </w:r>
      <w:proofErr w:type="spellEnd"/>
      <w:r w:rsidRPr="00DE4B37">
        <w:rPr>
          <w:rFonts w:ascii="Times New Roman" w:eastAsia="Times New Roman" w:hAnsi="Times New Roman" w:cs="Times New Roman"/>
          <w:sz w:val="24"/>
          <w:szCs w:val="24"/>
        </w:rPr>
        <w:t xml:space="preserve"> concentrations (</w:t>
      </w:r>
      <w:r w:rsidR="008B0B4E">
        <w:rPr>
          <w:rFonts w:ascii="Times New Roman" w:eastAsia="Times New Roman" w:hAnsi="Times New Roman" w:cs="Times New Roman"/>
          <w:sz w:val="24"/>
          <w:szCs w:val="24"/>
        </w:rPr>
        <w:t>p &lt; 0.01</w:t>
      </w:r>
      <w:r w:rsidRPr="00DE4B37">
        <w:rPr>
          <w:rFonts w:ascii="Times New Roman" w:eastAsia="Times New Roman" w:hAnsi="Times New Roman" w:cs="Times New Roman"/>
          <w:sz w:val="24"/>
          <w:szCs w:val="24"/>
        </w:rPr>
        <w:t xml:space="preserve">). Vigor profiling indicated that low to moderate </w:t>
      </w:r>
      <w:proofErr w:type="spellStart"/>
      <w:r w:rsidRPr="00DE4B37">
        <w:rPr>
          <w:rFonts w:ascii="Times New Roman" w:eastAsia="Times New Roman" w:hAnsi="Times New Roman" w:cs="Times New Roman"/>
          <w:sz w:val="24"/>
          <w:szCs w:val="24"/>
        </w:rPr>
        <w:t>KCl</w:t>
      </w:r>
      <w:proofErr w:type="spellEnd"/>
      <w:r w:rsidRPr="00DE4B37">
        <w:rPr>
          <w:rFonts w:ascii="Times New Roman" w:eastAsia="Times New Roman" w:hAnsi="Times New Roman" w:cs="Times New Roman"/>
          <w:sz w:val="24"/>
          <w:szCs w:val="24"/>
        </w:rPr>
        <w:t xml:space="preserve"> levels (</w:t>
      </w:r>
      <w:r w:rsidR="008B0B4E">
        <w:rPr>
          <w:rFonts w:ascii="Times New Roman" w:eastAsia="Times New Roman" w:hAnsi="Times New Roman" w:cs="Times New Roman"/>
          <w:sz w:val="24"/>
          <w:szCs w:val="24"/>
        </w:rPr>
        <w:t>1.5%</w:t>
      </w:r>
      <w:r w:rsidRPr="00DE4B37">
        <w:rPr>
          <w:rFonts w:ascii="Times New Roman" w:eastAsia="Times New Roman" w:hAnsi="Times New Roman" w:cs="Times New Roman"/>
          <w:sz w:val="24"/>
          <w:szCs w:val="24"/>
        </w:rPr>
        <w:t xml:space="preserve">) optimized 1000-grain weight and seedling elongation across species, whereas higher concentrations induced species-specific osmotic stress. These findings underscore the inherent physiological stability of finger millet and the potential of optimized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xml:space="preserve"> to enhance the early-stage performance of millets, providing a critical foundation for selecting high-vigor </w:t>
      </w:r>
      <w:proofErr w:type="gramStart"/>
      <w:r w:rsidRPr="00DE4B37">
        <w:rPr>
          <w:rFonts w:ascii="Times New Roman" w:eastAsia="Times New Roman" w:hAnsi="Times New Roman" w:cs="Times New Roman"/>
          <w:sz w:val="24"/>
          <w:szCs w:val="24"/>
        </w:rPr>
        <w:t>genotypes</w:t>
      </w:r>
      <w:proofErr w:type="gramEnd"/>
      <w:r w:rsidRPr="00DE4B37">
        <w:rPr>
          <w:rFonts w:ascii="Times New Roman" w:eastAsia="Times New Roman" w:hAnsi="Times New Roman" w:cs="Times New Roman"/>
          <w:sz w:val="24"/>
          <w:szCs w:val="24"/>
        </w:rPr>
        <w:t xml:space="preserve"> in next-generation climate-smart agriculture.</w:t>
      </w:r>
      <w:commentRangeEnd w:id="0"/>
      <w:r w:rsidR="00CF5152">
        <w:rPr>
          <w:rStyle w:val="CommentReference"/>
        </w:rPr>
        <w:commentReference w:id="0"/>
      </w:r>
    </w:p>
    <w:p w:rsidR="00BD52B6" w:rsidRDefault="00DE4B3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sidRPr="00DE4B37">
        <w:rPr>
          <w:rFonts w:ascii="Times New Roman" w:eastAsia="Times New Roman" w:hAnsi="Times New Roman" w:cs="Times New Roman"/>
          <w:b/>
          <w:bCs/>
          <w:sz w:val="24"/>
          <w:szCs w:val="24"/>
        </w:rPr>
        <w:t>Keywords:</w:t>
      </w:r>
      <w:r w:rsidRPr="00DE4B37">
        <w:rPr>
          <w:rFonts w:ascii="Times New Roman" w:eastAsia="Times New Roman" w:hAnsi="Times New Roman" w:cs="Times New Roman"/>
          <w:sz w:val="24"/>
          <w:szCs w:val="24"/>
        </w:rPr>
        <w:t xml:space="preserve"> </w:t>
      </w:r>
      <w:commentRangeStart w:id="2"/>
      <w:r w:rsidRPr="00DE4B37">
        <w:rPr>
          <w:rFonts w:ascii="Times New Roman" w:eastAsia="Times New Roman" w:hAnsi="Times New Roman" w:cs="Times New Roman"/>
          <w:i/>
          <w:iCs/>
          <w:sz w:val="24"/>
          <w:szCs w:val="24"/>
        </w:rPr>
        <w:t>Eleusine coracana</w:t>
      </w:r>
      <w:r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i/>
          <w:iCs/>
          <w:sz w:val="24"/>
          <w:szCs w:val="24"/>
        </w:rPr>
        <w:t>Sorghum bicolor</w:t>
      </w:r>
      <w:r w:rsidRPr="00DE4B37">
        <w:rPr>
          <w:rFonts w:ascii="Times New Roman" w:eastAsia="Times New Roman" w:hAnsi="Times New Roman" w:cs="Times New Roman"/>
          <w:sz w:val="24"/>
          <w:szCs w:val="24"/>
        </w:rPr>
        <w:t xml:space="preserve">, Seed Vigor Profiling,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Electrical Conductivity, Climate-Resilient Agri</w:t>
      </w:r>
      <w:r w:rsidR="008B0B4E">
        <w:rPr>
          <w:rFonts w:ascii="Times New Roman" w:eastAsia="Times New Roman" w:hAnsi="Times New Roman" w:cs="Times New Roman"/>
          <w:sz w:val="24"/>
          <w:szCs w:val="24"/>
        </w:rPr>
        <w:t>culture, Seedling Establishment.</w:t>
      </w:r>
      <w:commentRangeEnd w:id="2"/>
      <w:r w:rsidR="00CF5152">
        <w:rPr>
          <w:rStyle w:val="CommentReference"/>
        </w:rPr>
        <w:commentReference w:id="2"/>
      </w:r>
    </w:p>
    <w:p w:rsidR="00E44197" w:rsidRDefault="00E4419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p>
    <w:p w:rsidR="00E44197" w:rsidRPr="008B0B4E" w:rsidRDefault="00E4419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p>
    <w:p w:rsidR="00BD52B6" w:rsidRPr="00BD52B6" w:rsidRDefault="00063973" w:rsidP="00BD52B6">
      <w:pPr>
        <w:ind w:left="0"/>
        <w:rPr>
          <w:rFonts w:ascii="Times New Roman" w:hAnsi="Times New Roman" w:cs="Times New Roman"/>
          <w:b/>
          <w:sz w:val="28"/>
        </w:rPr>
      </w:pPr>
      <w:r>
        <w:rPr>
          <w:rFonts w:ascii="Times New Roman" w:hAnsi="Times New Roman" w:cs="Times New Roman"/>
          <w:b/>
          <w:sz w:val="28"/>
        </w:rPr>
        <w:t xml:space="preserve">1. </w:t>
      </w:r>
      <w:r w:rsidR="00BD52B6">
        <w:rPr>
          <w:rFonts w:ascii="Times New Roman" w:hAnsi="Times New Roman" w:cs="Times New Roman"/>
          <w:b/>
          <w:sz w:val="28"/>
        </w:rPr>
        <w:t xml:space="preserve">Introduction </w:t>
      </w:r>
    </w:p>
    <w:p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Millets, a diverse group of small-seeded grasses within the </w:t>
      </w:r>
      <w:proofErr w:type="spellStart"/>
      <w:r w:rsidRPr="00BD52B6">
        <w:rPr>
          <w:rFonts w:ascii="Times New Roman" w:eastAsia="Times New Roman" w:hAnsi="Times New Roman" w:cs="Times New Roman"/>
          <w:i/>
          <w:iCs/>
          <w:sz w:val="24"/>
          <w:szCs w:val="24"/>
        </w:rPr>
        <w:t>Poaceae</w:t>
      </w:r>
      <w:proofErr w:type="spellEnd"/>
      <w:r w:rsidRPr="00BD52B6">
        <w:rPr>
          <w:rFonts w:ascii="Times New Roman" w:eastAsia="Times New Roman" w:hAnsi="Times New Roman" w:cs="Times New Roman"/>
          <w:sz w:val="24"/>
          <w:szCs w:val="24"/>
        </w:rPr>
        <w:t xml:space="preserve"> family, are increasingly recognized as pivotal components of global food security due to their extraordinary resilience to fluctuating climates and limited water availability (Adeola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2023)</w:t>
      </w:r>
      <w:r w:rsidR="00642A88">
        <w:rPr>
          <w:rFonts w:ascii="Times New Roman" w:eastAsia="Times New Roman" w:hAnsi="Times New Roman" w:cs="Times New Roman"/>
          <w:sz w:val="24"/>
          <w:szCs w:val="24"/>
        </w:rPr>
        <w:t>. Traditionally categorized as orphan crops,</w:t>
      </w:r>
      <w:r w:rsidRPr="00BD52B6">
        <w:rPr>
          <w:rFonts w:ascii="Times New Roman" w:eastAsia="Times New Roman" w:hAnsi="Times New Roman" w:cs="Times New Roman"/>
          <w:sz w:val="24"/>
          <w:szCs w:val="24"/>
        </w:rPr>
        <w:t xml:space="preserve"> major species including sorghum (</w:t>
      </w:r>
      <w:r w:rsidRPr="00BD52B6">
        <w:rPr>
          <w:rFonts w:ascii="Times New Roman" w:eastAsia="Times New Roman" w:hAnsi="Times New Roman" w:cs="Times New Roman"/>
          <w:i/>
          <w:iCs/>
          <w:sz w:val="24"/>
          <w:szCs w:val="24"/>
        </w:rPr>
        <w:t>Sorghum bicolor</w:t>
      </w:r>
      <w:r w:rsidR="008A0FEB">
        <w:rPr>
          <w:rFonts w:ascii="Times New Roman" w:eastAsia="Times New Roman" w:hAnsi="Times New Roman" w:cs="Times New Roman"/>
          <w:sz w:val="24"/>
          <w:szCs w:val="24"/>
        </w:rPr>
        <w:t xml:space="preserve"> L.) </w:t>
      </w:r>
      <w:r w:rsidRPr="00BD52B6">
        <w:rPr>
          <w:rFonts w:ascii="Times New Roman" w:eastAsia="Times New Roman" w:hAnsi="Times New Roman" w:cs="Times New Roman"/>
          <w:sz w:val="24"/>
          <w:szCs w:val="24"/>
        </w:rPr>
        <w:t>and finger millet (</w:t>
      </w:r>
      <w:r w:rsidRPr="00BD52B6">
        <w:rPr>
          <w:rFonts w:ascii="Times New Roman" w:eastAsia="Times New Roman" w:hAnsi="Times New Roman" w:cs="Times New Roman"/>
          <w:i/>
          <w:iCs/>
          <w:sz w:val="24"/>
          <w:szCs w:val="24"/>
        </w:rPr>
        <w:t>Eleusine coracana</w:t>
      </w:r>
      <w:r w:rsidRPr="00BD52B6">
        <w:rPr>
          <w:rFonts w:ascii="Times New Roman" w:eastAsia="Times New Roman" w:hAnsi="Times New Roman" w:cs="Times New Roman"/>
          <w:sz w:val="24"/>
          <w:szCs w:val="24"/>
        </w:rPr>
        <w:t>) have sustained populations in the semi-arid tropics of Asia and Africa for millennia. Co</w:t>
      </w:r>
      <w:r w:rsidR="00642A88">
        <w:rPr>
          <w:rFonts w:ascii="Times New Roman" w:eastAsia="Times New Roman" w:hAnsi="Times New Roman" w:cs="Times New Roman"/>
          <w:sz w:val="24"/>
          <w:szCs w:val="24"/>
        </w:rPr>
        <w:t>llectively, these nutricereals</w:t>
      </w:r>
      <w:r w:rsidRPr="00BD52B6">
        <w:rPr>
          <w:rFonts w:ascii="Times New Roman" w:eastAsia="Times New Roman" w:hAnsi="Times New Roman" w:cs="Times New Roman"/>
          <w:sz w:val="24"/>
          <w:szCs w:val="24"/>
        </w:rPr>
        <w:t xml:space="preserve"> offer a superior nutritional profile compared to major staples, boasting high concentrations of essential minerals (calcium, iron, and zinc), dietary fiber, and bioactive phytochemicals with documented antioxidant, anti-diabetic, and anti-inflammatory properties (Gupta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2023; </w:t>
      </w:r>
      <w:proofErr w:type="spellStart"/>
      <w:r w:rsidRPr="00BD52B6">
        <w:rPr>
          <w:rFonts w:ascii="Times New Roman" w:eastAsia="Times New Roman" w:hAnsi="Times New Roman" w:cs="Times New Roman"/>
          <w:sz w:val="24"/>
          <w:szCs w:val="24"/>
        </w:rPr>
        <w:t>Vinoth</w:t>
      </w:r>
      <w:proofErr w:type="spellEnd"/>
      <w:r w:rsidRPr="00BD52B6">
        <w:rPr>
          <w:rFonts w:ascii="Times New Roman" w:eastAsia="Times New Roman" w:hAnsi="Times New Roman" w:cs="Times New Roman"/>
          <w:sz w:val="24"/>
          <w:szCs w:val="24"/>
        </w:rPr>
        <w:t xml:space="preserve"> &amp; </w:t>
      </w:r>
      <w:proofErr w:type="spellStart"/>
      <w:r w:rsidRPr="00BD52B6">
        <w:rPr>
          <w:rFonts w:ascii="Times New Roman" w:eastAsia="Times New Roman" w:hAnsi="Times New Roman" w:cs="Times New Roman"/>
          <w:sz w:val="24"/>
          <w:szCs w:val="24"/>
        </w:rPr>
        <w:t>Alaguraja</w:t>
      </w:r>
      <w:proofErr w:type="spellEnd"/>
      <w:r w:rsidRPr="00BD52B6">
        <w:rPr>
          <w:rFonts w:ascii="Times New Roman" w:eastAsia="Times New Roman" w:hAnsi="Times New Roman" w:cs="Times New Roman"/>
          <w:sz w:val="24"/>
          <w:szCs w:val="24"/>
        </w:rPr>
        <w:t>, 2024).</w:t>
      </w:r>
    </w:p>
    <w:p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Despite their genetic potential, the successful deployment of millets in diverse agro-ecologies is fundamentally predicated on </w:t>
      </w:r>
      <w:r w:rsidRPr="00BD52B6">
        <w:rPr>
          <w:rFonts w:ascii="Times New Roman" w:eastAsia="Times New Roman" w:hAnsi="Times New Roman" w:cs="Times New Roman"/>
          <w:bCs/>
          <w:sz w:val="24"/>
          <w:szCs w:val="24"/>
        </w:rPr>
        <w:t>seed quality</w:t>
      </w:r>
      <w:r w:rsidRPr="00BD52B6">
        <w:rPr>
          <w:rFonts w:ascii="Times New Roman" w:eastAsia="Times New Roman" w:hAnsi="Times New Roman" w:cs="Times New Roman"/>
          <w:sz w:val="24"/>
          <w:szCs w:val="24"/>
        </w:rPr>
        <w:t xml:space="preserve">. According to the International Seed Testing Association (ISTA), seed quality is a multi-dimensional construct encompassing genetic purity, physical integrity, and physiological vigor (ISTA, 2021). While germination percentage under ideal conditions provides a baseline for viability, it often fails to predict field emergence under suboptimal conditions. Consequently, assessing </w:t>
      </w:r>
      <w:r w:rsidRPr="00BD52B6">
        <w:rPr>
          <w:rFonts w:ascii="Times New Roman" w:eastAsia="Times New Roman" w:hAnsi="Times New Roman" w:cs="Times New Roman"/>
          <w:bCs/>
          <w:sz w:val="24"/>
          <w:szCs w:val="24"/>
        </w:rPr>
        <w:t>seed vigor</w:t>
      </w:r>
      <w:r w:rsidR="008A0FEB">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the sum of properties that determine the activi</w:t>
      </w:r>
      <w:r w:rsidR="00063973">
        <w:rPr>
          <w:rFonts w:ascii="Times New Roman" w:eastAsia="Times New Roman" w:hAnsi="Times New Roman" w:cs="Times New Roman"/>
          <w:sz w:val="24"/>
          <w:szCs w:val="24"/>
        </w:rPr>
        <w:t xml:space="preserve">ty and performance of seed lots </w:t>
      </w:r>
      <w:r w:rsidRPr="00BD52B6">
        <w:rPr>
          <w:rFonts w:ascii="Times New Roman" w:eastAsia="Times New Roman" w:hAnsi="Times New Roman" w:cs="Times New Roman"/>
          <w:sz w:val="24"/>
          <w:szCs w:val="24"/>
        </w:rPr>
        <w:t xml:space="preserve">is essential for ensuring uniform seedling establishment and maximizing yield potential (Piotrowski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2025).</w:t>
      </w:r>
    </w:p>
    <w:p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Pearl millet remains a cornerstone of arid agriculture, accounting for nearly half of global millet production and serving as a critical vehicle for biofortification (Srivastava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2021; Mahalakshmi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2024). Similarly, sorghum ranks as the fifth most important cereal globally, valued for its complex B-vitamins and phenolic compounds (</w:t>
      </w:r>
      <w:proofErr w:type="spellStart"/>
      <w:r w:rsidRPr="00BD52B6">
        <w:rPr>
          <w:rFonts w:ascii="Times New Roman" w:eastAsia="Times New Roman" w:hAnsi="Times New Roman" w:cs="Times New Roman"/>
          <w:sz w:val="24"/>
          <w:szCs w:val="24"/>
        </w:rPr>
        <w:t>Chhikara</w:t>
      </w:r>
      <w:proofErr w:type="spellEnd"/>
      <w:r w:rsidRPr="00BD52B6">
        <w:rPr>
          <w:rFonts w:ascii="Times New Roman" w:eastAsia="Times New Roman" w:hAnsi="Times New Roman" w:cs="Times New Roman"/>
          <w:sz w:val="24"/>
          <w:szCs w:val="24"/>
        </w:rPr>
        <w:t xml:space="preserve">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2023; </w:t>
      </w:r>
      <w:proofErr w:type="spellStart"/>
      <w:r w:rsidRPr="00BD52B6">
        <w:rPr>
          <w:rFonts w:ascii="Times New Roman" w:eastAsia="Times New Roman" w:hAnsi="Times New Roman" w:cs="Times New Roman"/>
          <w:sz w:val="24"/>
          <w:szCs w:val="24"/>
        </w:rPr>
        <w:t>Xiong</w:t>
      </w:r>
      <w:proofErr w:type="spellEnd"/>
      <w:r w:rsidRPr="00BD52B6">
        <w:rPr>
          <w:rFonts w:ascii="Times New Roman" w:eastAsia="Times New Roman" w:hAnsi="Times New Roman" w:cs="Times New Roman"/>
          <w:sz w:val="24"/>
          <w:szCs w:val="24"/>
        </w:rPr>
        <w:t xml:space="preserve">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2021). Finger millet, distinguished by its exce</w:t>
      </w:r>
      <w:r w:rsidR="00063973">
        <w:rPr>
          <w:rFonts w:ascii="Times New Roman" w:eastAsia="Times New Roman" w:hAnsi="Times New Roman" w:cs="Times New Roman"/>
          <w:sz w:val="24"/>
          <w:szCs w:val="24"/>
        </w:rPr>
        <w:t>ptional calcium content (344 mg</w:t>
      </w:r>
      <w:r w:rsidRPr="00BD52B6">
        <w:rPr>
          <w:rFonts w:ascii="Times New Roman" w:eastAsia="Times New Roman" w:hAnsi="Times New Roman" w:cs="Times New Roman"/>
          <w:sz w:val="24"/>
          <w:szCs w:val="24"/>
        </w:rPr>
        <w:t>), remains an indispensable staple for low-income populations, offering unique therapeutic benefits against chronic diseases (</w:t>
      </w:r>
      <w:proofErr w:type="spellStart"/>
      <w:r w:rsidRPr="00BD52B6">
        <w:rPr>
          <w:rFonts w:ascii="Times New Roman" w:eastAsia="Times New Roman" w:hAnsi="Times New Roman" w:cs="Times New Roman"/>
          <w:sz w:val="24"/>
          <w:szCs w:val="24"/>
        </w:rPr>
        <w:t>Shobana</w:t>
      </w:r>
      <w:proofErr w:type="spellEnd"/>
      <w:r w:rsidRPr="00BD52B6">
        <w:rPr>
          <w:rFonts w:ascii="Times New Roman" w:eastAsia="Times New Roman" w:hAnsi="Times New Roman" w:cs="Times New Roman"/>
          <w:sz w:val="24"/>
          <w:szCs w:val="24"/>
        </w:rPr>
        <w:t xml:space="preserve"> &amp; </w:t>
      </w:r>
      <w:proofErr w:type="spellStart"/>
      <w:r w:rsidRPr="00BD52B6">
        <w:rPr>
          <w:rFonts w:ascii="Times New Roman" w:eastAsia="Times New Roman" w:hAnsi="Times New Roman" w:cs="Times New Roman"/>
          <w:sz w:val="24"/>
          <w:szCs w:val="24"/>
        </w:rPr>
        <w:t>Malleshi</w:t>
      </w:r>
      <w:proofErr w:type="spellEnd"/>
      <w:r w:rsidRPr="00BD52B6">
        <w:rPr>
          <w:rFonts w:ascii="Times New Roman" w:eastAsia="Times New Roman" w:hAnsi="Times New Roman" w:cs="Times New Roman"/>
          <w:sz w:val="24"/>
          <w:szCs w:val="24"/>
        </w:rPr>
        <w:t xml:space="preserve">, 2013; </w:t>
      </w:r>
      <w:proofErr w:type="spellStart"/>
      <w:r w:rsidRPr="00BD52B6">
        <w:rPr>
          <w:rFonts w:ascii="Times New Roman" w:eastAsia="Times New Roman" w:hAnsi="Times New Roman" w:cs="Times New Roman"/>
          <w:sz w:val="24"/>
          <w:szCs w:val="24"/>
        </w:rPr>
        <w:t>Chethan</w:t>
      </w:r>
      <w:proofErr w:type="spellEnd"/>
      <w:r w:rsidRPr="00BD52B6">
        <w:rPr>
          <w:rFonts w:ascii="Times New Roman" w:eastAsia="Times New Roman" w:hAnsi="Times New Roman" w:cs="Times New Roman"/>
          <w:sz w:val="24"/>
          <w:szCs w:val="24"/>
        </w:rPr>
        <w:t xml:space="preserve"> &amp; </w:t>
      </w:r>
      <w:proofErr w:type="spellStart"/>
      <w:r w:rsidRPr="00BD52B6">
        <w:rPr>
          <w:rFonts w:ascii="Times New Roman" w:eastAsia="Times New Roman" w:hAnsi="Times New Roman" w:cs="Times New Roman"/>
          <w:sz w:val="24"/>
          <w:szCs w:val="24"/>
        </w:rPr>
        <w:t>Malleshi</w:t>
      </w:r>
      <w:proofErr w:type="spellEnd"/>
      <w:r w:rsidRPr="00BD52B6">
        <w:rPr>
          <w:rFonts w:ascii="Times New Roman" w:eastAsia="Times New Roman" w:hAnsi="Times New Roman" w:cs="Times New Roman"/>
          <w:sz w:val="24"/>
          <w:szCs w:val="24"/>
        </w:rPr>
        <w:t>, 2007).</w:t>
      </w:r>
    </w:p>
    <w:p w:rsidR="00642A88" w:rsidRPr="00BD52B6" w:rsidRDefault="00642A88" w:rsidP="00EC5884">
      <w:pPr>
        <w:pStyle w:val="NormalWeb"/>
        <w:spacing w:line="360" w:lineRule="auto"/>
        <w:ind w:firstLine="720"/>
        <w:jc w:val="both"/>
      </w:pPr>
      <w:r w:rsidRPr="008A0FEB">
        <w:t>Global m</w:t>
      </w:r>
      <w:r w:rsidR="008A0FEB" w:rsidRPr="008A0FEB">
        <w:t>illet production for the 2025-</w:t>
      </w:r>
      <w:r w:rsidRPr="008A0FEB">
        <w:t xml:space="preserve">26 marketing year is projected at </w:t>
      </w:r>
      <w:r w:rsidRPr="008A0FEB">
        <w:rPr>
          <w:bCs/>
        </w:rPr>
        <w:t>29.68 million metric tons (MMT)</w:t>
      </w:r>
      <w:r w:rsidRPr="008A0FEB">
        <w:t xml:space="preserve">, reflecting a </w:t>
      </w:r>
      <w:r w:rsidRPr="008A0FEB">
        <w:rPr>
          <w:bCs/>
        </w:rPr>
        <w:t>3% annual increase</w:t>
      </w:r>
      <w:r w:rsidRPr="008A0FEB">
        <w:t xml:space="preserve"> driven by a collective </w:t>
      </w:r>
      <w:r w:rsidR="00EC5884" w:rsidRPr="008A0FEB">
        <w:t>shift toward climate-</w:t>
      </w:r>
      <w:r w:rsidR="00EC5884" w:rsidRPr="008A0FEB">
        <w:lastRenderedPageBreak/>
        <w:t>resilient nutricereals</w:t>
      </w:r>
      <w:r w:rsidRPr="008A0FEB">
        <w:t xml:space="preserve"> (USDA, 2026). India remains the preeminent global producer, contributing approximately </w:t>
      </w:r>
      <w:r w:rsidRPr="008A0FEB">
        <w:rPr>
          <w:bCs/>
        </w:rPr>
        <w:t>42% of world output</w:t>
      </w:r>
      <w:r w:rsidRPr="008A0FEB">
        <w:t xml:space="preserve"> with an </w:t>
      </w:r>
      <w:r w:rsidR="008A0FEB" w:rsidRPr="008A0FEB">
        <w:t>estimated 12.6 MMT for the 2025-</w:t>
      </w:r>
      <w:r w:rsidRPr="008A0FEB">
        <w:t xml:space="preserve">26 </w:t>
      </w:r>
      <w:r w:rsidR="00063973" w:rsidRPr="008A0FEB">
        <w:t>cycles</w:t>
      </w:r>
      <w:r w:rsidRPr="008A0FEB">
        <w:t>, supported by a record food</w:t>
      </w:r>
      <w:r w:rsidR="00EC5884" w:rsidRPr="008A0FEB">
        <w:t xml:space="preserve"> </w:t>
      </w:r>
      <w:r w:rsidRPr="008A0FEB">
        <w:t xml:space="preserve">grain performance of 357.73 MMT in the preceding year (PIB, 2026; USDA, 2026). This growth is accompanied by a strategic expansion in harvested area, projected to reach </w:t>
      </w:r>
      <w:r w:rsidRPr="008A0FEB">
        <w:rPr>
          <w:bCs/>
        </w:rPr>
        <w:t>31.5 million hectares</w:t>
      </w:r>
      <w:r w:rsidRPr="008A0FEB">
        <w:t xml:space="preserve"> globally, with India and Niger leading the cultivation footprint (USDA, 2026). Despite these gains in area and total output, global productivity remains a critical challenge, with average yields stagnating at approximately </w:t>
      </w:r>
      <w:r w:rsidRPr="008A0FEB">
        <w:rPr>
          <w:bCs/>
        </w:rPr>
        <w:t>1.2 metric tons per hectare</w:t>
      </w:r>
      <w:r w:rsidRPr="008A0FEB">
        <w:t xml:space="preserve"> (USDA, 2026). Nevertheless, the integration of millet</w:t>
      </w:r>
      <w:r w:rsidR="00EC5884" w:rsidRPr="008A0FEB">
        <w:t xml:space="preserve">s into sustainable food systems </w:t>
      </w:r>
      <w:r w:rsidRPr="008A0FEB">
        <w:t>leveraging their low water requirements (250–500 m</w:t>
      </w:r>
      <w:r w:rsidR="00063973">
        <w:t xml:space="preserve">m) and high nutritional density </w:t>
      </w:r>
      <w:r w:rsidRPr="008A0FEB">
        <w:t xml:space="preserve">is repositioning these crops as central to next-generation climate-smart agriculture and food security frameworks (Borah </w:t>
      </w:r>
      <w:r w:rsidRPr="008A0FEB">
        <w:rPr>
          <w:i/>
        </w:rPr>
        <w:t>et al</w:t>
      </w:r>
      <w:r w:rsidRPr="008A0FEB">
        <w:t xml:space="preserve">., 2026; </w:t>
      </w:r>
      <w:proofErr w:type="spellStart"/>
      <w:r w:rsidRPr="008A0FEB">
        <w:t>Chhajer</w:t>
      </w:r>
      <w:proofErr w:type="spellEnd"/>
      <w:r w:rsidRPr="008A0FEB">
        <w:t xml:space="preserve"> </w:t>
      </w:r>
      <w:r w:rsidRPr="008A0FEB">
        <w:rPr>
          <w:i/>
        </w:rPr>
        <w:t>et al</w:t>
      </w:r>
      <w:r w:rsidRPr="008A0FEB">
        <w:t>., 2026).</w:t>
      </w:r>
    </w:p>
    <w:p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The declaration of 2023 as the </w:t>
      </w:r>
      <w:r w:rsidRPr="00BD52B6">
        <w:rPr>
          <w:rFonts w:ascii="Times New Roman" w:eastAsia="Times New Roman" w:hAnsi="Times New Roman" w:cs="Times New Roman"/>
          <w:bCs/>
          <w:sz w:val="24"/>
          <w:szCs w:val="24"/>
        </w:rPr>
        <w:t>International Year of Millets</w:t>
      </w:r>
      <w:r w:rsidRPr="00BD52B6">
        <w:rPr>
          <w:rFonts w:ascii="Times New Roman" w:eastAsia="Times New Roman" w:hAnsi="Times New Roman" w:cs="Times New Roman"/>
          <w:sz w:val="24"/>
          <w:szCs w:val="24"/>
        </w:rPr>
        <w:t xml:space="preserve"> by the United Nations has catalyzed a renewed scientific interest in these crops. However, to translate their inherent biodiversity into increased productivity, a deeper understanding of their early-stage physiological performance is required. Standardized testing of parameters such as 1000-seed weight (physical quality) and electrical conductivity (membrane integrity) provides a rapid, reliable metric for evaluating seed health and vigor (Hill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1997).</w:t>
      </w:r>
      <w:r w:rsidR="00642A88">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Building on this necessity, the present study was designed to systematically compare the</w:t>
      </w:r>
      <w:r w:rsidR="0072371F">
        <w:rPr>
          <w:rFonts w:ascii="Times New Roman" w:eastAsia="Times New Roman" w:hAnsi="Times New Roman" w:cs="Times New Roman"/>
          <w:sz w:val="24"/>
          <w:szCs w:val="24"/>
        </w:rPr>
        <w:t xml:space="preserve"> physiological indices of ragi </w:t>
      </w:r>
      <w:r w:rsidRPr="00BD52B6">
        <w:rPr>
          <w:rFonts w:ascii="Times New Roman" w:eastAsia="Times New Roman" w:hAnsi="Times New Roman" w:cs="Times New Roman"/>
          <w:sz w:val="24"/>
          <w:szCs w:val="24"/>
        </w:rPr>
        <w:t>and sorghum. By evaluating germination dynamics, seedling vigor indices, and biochemical integrity through electrical conductivity tests, this research aims to identify the best-performing millet genotypes under laboratory conditions, providing a foundation for improved crop management and selection in climate-resilient farming systems.</w:t>
      </w:r>
    </w:p>
    <w:p w:rsidR="00437D3A" w:rsidRDefault="00C71B1E" w:rsidP="000B54BF">
      <w:pPr>
        <w:widowControl/>
        <w:autoSpaceDE/>
        <w:autoSpaceDN/>
        <w:spacing w:before="100" w:beforeAutospacing="1" w:after="100" w:afterAutospacing="1" w:line="360" w:lineRule="auto"/>
        <w:ind w:left="0"/>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2. </w:t>
      </w:r>
      <w:r w:rsidR="000B54BF" w:rsidRPr="003B59C5">
        <w:rPr>
          <w:rFonts w:ascii="Times New Roman" w:eastAsia="Times New Roman" w:hAnsi="Times New Roman" w:cs="Times New Roman"/>
          <w:b/>
          <w:bCs/>
          <w:sz w:val="24"/>
          <w:szCs w:val="27"/>
        </w:rPr>
        <w:t>Materials and Methods</w:t>
      </w:r>
    </w:p>
    <w:p w:rsidR="001C5F0C" w:rsidRPr="003B59C5" w:rsidRDefault="001C5F0C" w:rsidP="000B54BF">
      <w:pPr>
        <w:widowControl/>
        <w:autoSpaceDE/>
        <w:autoSpaceDN/>
        <w:spacing w:before="100" w:beforeAutospacing="1" w:after="100" w:afterAutospacing="1" w:line="360" w:lineRule="auto"/>
        <w:ind w:left="0"/>
        <w:outlineLvl w:val="2"/>
        <w:rPr>
          <w:rFonts w:ascii="Times New Roman" w:eastAsia="Times New Roman" w:hAnsi="Times New Roman" w:cs="Times New Roman"/>
          <w:b/>
          <w:bCs/>
          <w:sz w:val="24"/>
          <w:szCs w:val="27"/>
        </w:rPr>
      </w:pPr>
      <w:commentRangeStart w:id="3"/>
      <w:r>
        <w:rPr>
          <w:rFonts w:ascii="Times New Roman" w:eastAsia="Times New Roman" w:hAnsi="Times New Roman" w:cs="Times New Roman"/>
          <w:b/>
          <w:bCs/>
          <w:sz w:val="24"/>
          <w:szCs w:val="27"/>
        </w:rPr>
        <w:t>2.1</w:t>
      </w:r>
      <w:commentRangeEnd w:id="3"/>
      <w:r>
        <w:rPr>
          <w:rStyle w:val="CommentReference"/>
        </w:rPr>
        <w:commentReference w:id="3"/>
      </w:r>
    </w:p>
    <w:p w:rsidR="00437D3A" w:rsidRPr="003B59C5" w:rsidRDefault="001C5F0C"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commentRangeStart w:id="4"/>
      <w:r>
        <w:rPr>
          <w:rFonts w:ascii="Times New Roman" w:eastAsia="Times New Roman" w:hAnsi="Times New Roman" w:cs="Times New Roman"/>
          <w:b/>
          <w:bCs/>
          <w:sz w:val="24"/>
          <w:szCs w:val="24"/>
        </w:rPr>
        <w:t>2.2</w:t>
      </w:r>
      <w:r w:rsidR="00C71B1E">
        <w:rPr>
          <w:rFonts w:ascii="Times New Roman" w:eastAsia="Times New Roman" w:hAnsi="Times New Roman" w:cs="Times New Roman"/>
          <w:b/>
          <w:bCs/>
          <w:sz w:val="24"/>
          <w:szCs w:val="24"/>
        </w:rPr>
        <w:t xml:space="preserve"> </w:t>
      </w:r>
      <w:r w:rsidR="00437D3A" w:rsidRPr="003B59C5">
        <w:rPr>
          <w:rFonts w:ascii="Times New Roman" w:eastAsia="Times New Roman" w:hAnsi="Times New Roman" w:cs="Times New Roman"/>
          <w:b/>
          <w:bCs/>
          <w:sz w:val="24"/>
          <w:szCs w:val="24"/>
        </w:rPr>
        <w:t>Experimental Location and Plant Material</w:t>
      </w:r>
      <w:commentRangeEnd w:id="4"/>
      <w:r>
        <w:rPr>
          <w:rStyle w:val="CommentReference"/>
        </w:rPr>
        <w:commentReference w:id="4"/>
      </w:r>
    </w:p>
    <w:p w:rsidR="00C71B1E" w:rsidRDefault="00437D3A" w:rsidP="00C71B1E">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laboratory experiment was conducted under controlled conditions to evaluate the influence of varying concentrations of Potassium Chloride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on seed quality parameters of three cereal crops, namely Ragi (</w:t>
      </w:r>
      <w:r w:rsidRPr="003B59C5">
        <w:rPr>
          <w:rFonts w:ascii="Times New Roman" w:eastAsia="Times New Roman" w:hAnsi="Times New Roman" w:cs="Times New Roman"/>
          <w:i/>
          <w:iCs/>
          <w:sz w:val="24"/>
          <w:szCs w:val="24"/>
        </w:rPr>
        <w:t>Eleusine coracana</w:t>
      </w:r>
      <w:r w:rsidRPr="003B59C5">
        <w:rPr>
          <w:rFonts w:ascii="Times New Roman" w:eastAsia="Times New Roman" w:hAnsi="Times New Roman" w:cs="Times New Roman"/>
          <w:sz w:val="24"/>
          <w:szCs w:val="24"/>
        </w:rPr>
        <w:t xml:space="preserve"> L. </w:t>
      </w:r>
      <w:proofErr w:type="spellStart"/>
      <w:r w:rsidRPr="003B59C5">
        <w:rPr>
          <w:rFonts w:ascii="Times New Roman" w:eastAsia="Times New Roman" w:hAnsi="Times New Roman" w:cs="Times New Roman"/>
          <w:sz w:val="24"/>
          <w:szCs w:val="24"/>
        </w:rPr>
        <w:t>Gaertn</w:t>
      </w:r>
      <w:proofErr w:type="spellEnd"/>
      <w:r w:rsidRPr="003B59C5">
        <w:rPr>
          <w:rFonts w:ascii="Times New Roman" w:eastAsia="Times New Roman" w:hAnsi="Times New Roman" w:cs="Times New Roman"/>
          <w:sz w:val="24"/>
          <w:szCs w:val="24"/>
        </w:rPr>
        <w:t>.), White Cholam (</w:t>
      </w:r>
      <w:r w:rsidRPr="003B59C5">
        <w:rPr>
          <w:rFonts w:ascii="Times New Roman" w:eastAsia="Times New Roman" w:hAnsi="Times New Roman" w:cs="Times New Roman"/>
          <w:i/>
          <w:iCs/>
          <w:sz w:val="24"/>
          <w:szCs w:val="24"/>
        </w:rPr>
        <w:t xml:space="preserve">Sorghum </w:t>
      </w:r>
      <w:r w:rsidRPr="003B59C5">
        <w:rPr>
          <w:rFonts w:ascii="Times New Roman" w:eastAsia="Times New Roman" w:hAnsi="Times New Roman" w:cs="Times New Roman"/>
          <w:i/>
          <w:iCs/>
          <w:sz w:val="24"/>
          <w:szCs w:val="24"/>
        </w:rPr>
        <w:lastRenderedPageBreak/>
        <w:t>bicolor</w:t>
      </w:r>
      <w:r w:rsidRPr="003B59C5">
        <w:rPr>
          <w:rFonts w:ascii="Times New Roman" w:eastAsia="Times New Roman" w:hAnsi="Times New Roman" w:cs="Times New Roman"/>
          <w:sz w:val="24"/>
          <w:szCs w:val="24"/>
        </w:rPr>
        <w:t xml:space="preserve"> L. </w:t>
      </w:r>
      <w:proofErr w:type="spellStart"/>
      <w:r w:rsidRPr="003B59C5">
        <w:rPr>
          <w:rFonts w:ascii="Times New Roman" w:eastAsia="Times New Roman" w:hAnsi="Times New Roman" w:cs="Times New Roman"/>
          <w:sz w:val="24"/>
          <w:szCs w:val="24"/>
        </w:rPr>
        <w:t>Moench</w:t>
      </w:r>
      <w:proofErr w:type="spellEnd"/>
      <w:r w:rsidRPr="003B59C5">
        <w:rPr>
          <w:rFonts w:ascii="Times New Roman" w:eastAsia="Times New Roman" w:hAnsi="Times New Roman" w:cs="Times New Roman"/>
          <w:sz w:val="24"/>
          <w:szCs w:val="24"/>
        </w:rPr>
        <w:t xml:space="preserve">), and </w:t>
      </w:r>
      <w:proofErr w:type="spellStart"/>
      <w:r w:rsidRPr="003B59C5">
        <w:rPr>
          <w:rFonts w:ascii="Times New Roman" w:eastAsia="Times New Roman" w:hAnsi="Times New Roman" w:cs="Times New Roman"/>
          <w:sz w:val="24"/>
          <w:szCs w:val="24"/>
        </w:rPr>
        <w:t>Sen</w:t>
      </w:r>
      <w:proofErr w:type="spellEnd"/>
      <w:r w:rsidRPr="003B59C5">
        <w:rPr>
          <w:rFonts w:ascii="Times New Roman" w:eastAsia="Times New Roman" w:hAnsi="Times New Roman" w:cs="Times New Roman"/>
          <w:sz w:val="24"/>
          <w:szCs w:val="24"/>
        </w:rPr>
        <w:t xml:space="preserve"> </w:t>
      </w:r>
      <w:proofErr w:type="spellStart"/>
      <w:r w:rsidRPr="003B59C5">
        <w:rPr>
          <w:rFonts w:ascii="Times New Roman" w:eastAsia="Times New Roman" w:hAnsi="Times New Roman" w:cs="Times New Roman"/>
          <w:sz w:val="24"/>
          <w:szCs w:val="24"/>
        </w:rPr>
        <w:t>Cholam</w:t>
      </w:r>
      <w:proofErr w:type="spellEnd"/>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i/>
          <w:iCs/>
          <w:sz w:val="24"/>
          <w:szCs w:val="24"/>
        </w:rPr>
        <w:t>Sorghum bicolor</w:t>
      </w:r>
      <w:r w:rsidRPr="003B59C5">
        <w:rPr>
          <w:rFonts w:ascii="Times New Roman" w:eastAsia="Times New Roman" w:hAnsi="Times New Roman" w:cs="Times New Roman"/>
          <w:sz w:val="24"/>
          <w:szCs w:val="24"/>
        </w:rPr>
        <w:t xml:space="preserve"> L. </w:t>
      </w:r>
      <w:proofErr w:type="spellStart"/>
      <w:r w:rsidRPr="003B59C5">
        <w:rPr>
          <w:rFonts w:ascii="Times New Roman" w:eastAsia="Times New Roman" w:hAnsi="Times New Roman" w:cs="Times New Roman"/>
          <w:sz w:val="24"/>
          <w:szCs w:val="24"/>
        </w:rPr>
        <w:t>Moench</w:t>
      </w:r>
      <w:proofErr w:type="spellEnd"/>
      <w:r w:rsidRPr="003B59C5">
        <w:rPr>
          <w:rFonts w:ascii="Times New Roman" w:eastAsia="Times New Roman" w:hAnsi="Times New Roman" w:cs="Times New Roman"/>
          <w:sz w:val="24"/>
          <w:szCs w:val="24"/>
        </w:rPr>
        <w:t>). Seeds of uniform size and free from physical damage were procured from authentic sources and surface sterilized using a 1% ethanol solution before commencing the experiment. The experiment was laid out in a Completely Randomized Design (CRD) with six treatme</w:t>
      </w:r>
      <w:r>
        <w:rPr>
          <w:rFonts w:ascii="Times New Roman" w:eastAsia="Times New Roman" w:hAnsi="Times New Roman" w:cs="Times New Roman"/>
          <w:sz w:val="24"/>
          <w:szCs w:val="24"/>
        </w:rPr>
        <w:t xml:space="preserve">nt levels of </w:t>
      </w:r>
      <w:proofErr w:type="spellStart"/>
      <w:r>
        <w:rPr>
          <w:rFonts w:ascii="Times New Roman" w:eastAsia="Times New Roman" w:hAnsi="Times New Roman" w:cs="Times New Roman"/>
          <w:sz w:val="24"/>
          <w:szCs w:val="24"/>
        </w:rPr>
        <w:t>KCl</w:t>
      </w:r>
      <w:proofErr w:type="spellEnd"/>
      <w:r>
        <w:rPr>
          <w:rFonts w:ascii="Times New Roman" w:eastAsia="Times New Roman" w:hAnsi="Times New Roman" w:cs="Times New Roman"/>
          <w:sz w:val="24"/>
          <w:szCs w:val="24"/>
        </w:rPr>
        <w:t xml:space="preserve"> concentration </w:t>
      </w:r>
      <w:r w:rsidRPr="003B59C5">
        <w:rPr>
          <w:rFonts w:ascii="Times New Roman" w:eastAsia="Times New Roman" w:hAnsi="Times New Roman" w:cs="Times New Roman"/>
          <w:sz w:val="24"/>
          <w:szCs w:val="24"/>
        </w:rPr>
        <w:t>T</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xml:space="preserve"> (0.0%), T</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xml:space="preserve"> (0.5%), T</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xml:space="preserve"> (1.0%), T</w:t>
      </w:r>
      <w:r w:rsidRPr="003B59C5">
        <w:rPr>
          <w:rFonts w:ascii="Times New Roman" w:eastAsia="Times New Roman" w:hAnsi="Times New Roman" w:cs="Times New Roman"/>
          <w:sz w:val="24"/>
          <w:szCs w:val="24"/>
          <w:vertAlign w:val="subscript"/>
        </w:rPr>
        <w:t>4</w:t>
      </w:r>
      <w:r w:rsidRPr="003B59C5">
        <w:rPr>
          <w:rFonts w:ascii="Times New Roman" w:eastAsia="Times New Roman" w:hAnsi="Times New Roman" w:cs="Times New Roman"/>
          <w:sz w:val="24"/>
          <w:szCs w:val="24"/>
        </w:rPr>
        <w:t xml:space="preserve"> (1.5%), T</w:t>
      </w:r>
      <w:r w:rsidRPr="003B59C5">
        <w:rPr>
          <w:rFonts w:ascii="Times New Roman" w:eastAsia="Times New Roman" w:hAnsi="Times New Roman" w:cs="Times New Roman"/>
          <w:sz w:val="24"/>
          <w:szCs w:val="24"/>
          <w:vertAlign w:val="subscript"/>
        </w:rPr>
        <w:t>5</w:t>
      </w:r>
      <w:r w:rsidRPr="003B59C5">
        <w:rPr>
          <w:rFonts w:ascii="Times New Roman" w:eastAsia="Times New Roman" w:hAnsi="Times New Roman" w:cs="Times New Roman"/>
          <w:sz w:val="24"/>
          <w:szCs w:val="24"/>
        </w:rPr>
        <w:t xml:space="preserve"> (2.0%), and T</w:t>
      </w:r>
      <w:r w:rsidRPr="003B59C5">
        <w:rPr>
          <w:rFonts w:ascii="Times New Roman" w:eastAsia="Times New Roman" w:hAnsi="Times New Roman" w:cs="Times New Roman"/>
          <w:sz w:val="24"/>
          <w:szCs w:val="24"/>
          <w:vertAlign w:val="subscript"/>
        </w:rPr>
        <w:t>6</w:t>
      </w:r>
      <w:r w:rsidRPr="003B59C5">
        <w:rPr>
          <w:rFonts w:ascii="Times New Roman" w:eastAsia="Times New Roman" w:hAnsi="Times New Roman" w:cs="Times New Roman"/>
          <w:sz w:val="24"/>
          <w:szCs w:val="24"/>
        </w:rPr>
        <w:t xml:space="preserve"> (3.0%)  replicated three times each, as recommended for homogeneous laboratory experimental cond</w:t>
      </w:r>
      <w:r w:rsidR="00C71B1E">
        <w:rPr>
          <w:rFonts w:ascii="Times New Roman" w:eastAsia="Times New Roman" w:hAnsi="Times New Roman" w:cs="Times New Roman"/>
          <w:sz w:val="24"/>
          <w:szCs w:val="24"/>
        </w:rPr>
        <w:t>itions (</w:t>
      </w:r>
      <w:proofErr w:type="spellStart"/>
      <w:r w:rsidR="00C71B1E">
        <w:rPr>
          <w:rFonts w:ascii="Times New Roman" w:eastAsia="Times New Roman" w:hAnsi="Times New Roman" w:cs="Times New Roman"/>
          <w:sz w:val="24"/>
          <w:szCs w:val="24"/>
        </w:rPr>
        <w:t>Elezz</w:t>
      </w:r>
      <w:proofErr w:type="spellEnd"/>
      <w:r w:rsidR="00C71B1E">
        <w:rPr>
          <w:rFonts w:ascii="Times New Roman" w:eastAsia="Times New Roman" w:hAnsi="Times New Roman" w:cs="Times New Roman"/>
          <w:sz w:val="24"/>
          <w:szCs w:val="24"/>
        </w:rPr>
        <w:t xml:space="preserve"> and Ahmed, 2021).</w:t>
      </w:r>
    </w:p>
    <w:p w:rsidR="00437D3A" w:rsidRPr="003B59C5" w:rsidRDefault="00C71B1E" w:rsidP="00C71B1E">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437D3A" w:rsidRPr="003B59C5">
        <w:rPr>
          <w:rFonts w:ascii="Times New Roman" w:eastAsia="Times New Roman" w:hAnsi="Times New Roman" w:cs="Times New Roman"/>
          <w:b/>
          <w:bCs/>
          <w:sz w:val="24"/>
          <w:szCs w:val="24"/>
        </w:rPr>
        <w:t>Seed Priming (Halopriming) Treatment</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commentRangeStart w:id="5"/>
      <w:r w:rsidRPr="003B59C5">
        <w:rPr>
          <w:rFonts w:ascii="Times New Roman" w:eastAsia="Times New Roman" w:hAnsi="Times New Roman" w:cs="Times New Roman"/>
          <w:sz w:val="24"/>
          <w:szCs w:val="24"/>
        </w:rPr>
        <w:t xml:space="preserve">Halopriming solutions were prepared by dissolving analytical-grade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xml:space="preserve"> in distilled water at the prescribed concentrations. Seeds of each crop were soaked separately in the respective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xml:space="preserve"> solutions for a period of 12 hours at room temperature (25 ± 2°C) in a seed-to-solution ratio of approximately 1:5 (w/v). Following the soaking period, seeds were removed, rinsed three to four times with distilled water to remove surface salt residues, and shade-dried to restore their original moisture content before being subjected to quality evaluation tests. This protocol followed the widely adopted halopriming methodology described for cereal crops, wherein pre-germinated seeds are treated with inorganic salt solutions at controlled concentrations and durations (</w:t>
      </w:r>
      <w:proofErr w:type="spellStart"/>
      <w:r w:rsidRPr="003B59C5">
        <w:rPr>
          <w:rFonts w:ascii="Times New Roman" w:eastAsia="Times New Roman" w:hAnsi="Times New Roman" w:cs="Times New Roman"/>
          <w:sz w:val="24"/>
          <w:szCs w:val="24"/>
        </w:rPr>
        <w:t>Jatana</w:t>
      </w:r>
      <w:proofErr w:type="spellEnd"/>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i/>
          <w:sz w:val="24"/>
          <w:szCs w:val="24"/>
        </w:rPr>
        <w:t>et al</w:t>
      </w:r>
      <w:r w:rsidRPr="003B59C5">
        <w:rPr>
          <w:rFonts w:ascii="Times New Roman" w:eastAsia="Times New Roman" w:hAnsi="Times New Roman" w:cs="Times New Roman"/>
          <w:sz w:val="24"/>
          <w:szCs w:val="24"/>
        </w:rPr>
        <w:t>., 2024).</w:t>
      </w:r>
      <w:commentRangeEnd w:id="5"/>
      <w:r w:rsidR="005C1074">
        <w:rPr>
          <w:rStyle w:val="CommentReference"/>
        </w:rPr>
        <w:commentReference w:id="5"/>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00437D3A" w:rsidRPr="003B59C5">
        <w:rPr>
          <w:rFonts w:ascii="Times New Roman" w:eastAsia="Times New Roman" w:hAnsi="Times New Roman" w:cs="Times New Roman"/>
          <w:b/>
          <w:bCs/>
          <w:sz w:val="24"/>
          <w:szCs w:val="24"/>
        </w:rPr>
        <w:t>Electrical Conductivity Test</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The electrical conductivity (EC) of seed leachates was measured to assess membrane integrity and seed </w:t>
      </w:r>
      <w:proofErr w:type="spellStart"/>
      <w:r w:rsidRPr="003B59C5">
        <w:rPr>
          <w:rFonts w:ascii="Times New Roman" w:eastAsia="Times New Roman" w:hAnsi="Times New Roman" w:cs="Times New Roman"/>
          <w:sz w:val="24"/>
          <w:szCs w:val="24"/>
        </w:rPr>
        <w:t>vigour</w:t>
      </w:r>
      <w:proofErr w:type="spellEnd"/>
      <w:r w:rsidRPr="003B59C5">
        <w:rPr>
          <w:rFonts w:ascii="Times New Roman" w:eastAsia="Times New Roman" w:hAnsi="Times New Roman" w:cs="Times New Roman"/>
          <w:sz w:val="24"/>
          <w:szCs w:val="24"/>
        </w:rPr>
        <w:t xml:space="preserve"> status. For each treatment and crop combination, 50 morphologically uniform, physically intact seeds were carefully weighed and placed in 250 mL glass beakers containing 200 mL of deionized distilled water (EC &lt; 5 µS/cm). The beakers were sealed with parafilm to minimize evaporation and incubated at 25°C for 24 hours in an electrically controlled germination chamber. At the end of the soaking period, the leachate conductivity of each sample was measured using a calibrated digital conductivity meter and expressed in </w:t>
      </w:r>
      <w:proofErr w:type="spellStart"/>
      <w:r w:rsidRPr="003B59C5">
        <w:rPr>
          <w:rFonts w:ascii="Times New Roman" w:eastAsia="Times New Roman" w:hAnsi="Times New Roman" w:cs="Times New Roman"/>
          <w:sz w:val="24"/>
          <w:szCs w:val="24"/>
        </w:rPr>
        <w:t>microsiemens</w:t>
      </w:r>
      <w:proofErr w:type="spellEnd"/>
      <w:r w:rsidRPr="003B59C5">
        <w:rPr>
          <w:rFonts w:ascii="Times New Roman" w:eastAsia="Times New Roman" w:hAnsi="Times New Roman" w:cs="Times New Roman"/>
          <w:sz w:val="24"/>
          <w:szCs w:val="24"/>
        </w:rPr>
        <w:t xml:space="preserve"> per centimeter (µS/cm). Three replications were maintained per treatment per crop, and the mean EC values along with standard deviation (SD) and standard error (SE) were calculated. This method was adapted from the standard protocol prescribed by ISTA (2023) for bulk conductivity testing of cereal seeds.</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2.4. </w:t>
      </w:r>
      <w:r w:rsidR="00437D3A" w:rsidRPr="003B59C5">
        <w:rPr>
          <w:rFonts w:ascii="Times New Roman" w:eastAsia="Times New Roman" w:hAnsi="Times New Roman" w:cs="Times New Roman"/>
          <w:b/>
          <w:bCs/>
          <w:sz w:val="24"/>
          <w:szCs w:val="24"/>
        </w:rPr>
        <w:t>1000 Grain Weight</w:t>
      </w:r>
      <w:r w:rsidR="00DC278C">
        <w:rPr>
          <w:rFonts w:ascii="Times New Roman" w:eastAsia="Times New Roman" w:hAnsi="Times New Roman" w:cs="Times New Roman"/>
          <w:b/>
          <w:bCs/>
          <w:sz w:val="24"/>
          <w:szCs w:val="24"/>
        </w:rPr>
        <w:t xml:space="preserve"> (g)</w:t>
      </w:r>
    </w:p>
    <w:p w:rsid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commentRangeStart w:id="6"/>
      <w:r w:rsidRPr="003B59C5">
        <w:rPr>
          <w:rFonts w:ascii="Times New Roman" w:eastAsia="Times New Roman" w:hAnsi="Times New Roman" w:cs="Times New Roman"/>
          <w:sz w:val="24"/>
          <w:szCs w:val="24"/>
        </w:rPr>
        <w:t>To determine the 1000 grain weight, seeds from each treatment group were air-dried to approximately 12% moisture content before weighing. Four sub-samples of 250 seeds each were counted using a seed counter and weighed on an electronic digital balance accurate to 0.001 g. The weight was then extrapolated to 1000 seeds and expressed in grams (g)</w:t>
      </w:r>
      <w:r w:rsidR="002F4D9B">
        <w:rPr>
          <w:rFonts w:ascii="Times New Roman" w:eastAsia="Times New Roman" w:hAnsi="Times New Roman" w:cs="Times New Roman"/>
          <w:sz w:val="24"/>
          <w:szCs w:val="24"/>
        </w:rPr>
        <w:t xml:space="preserve"> (Fig. 1)</w:t>
      </w:r>
      <w:r w:rsidRPr="003B59C5">
        <w:rPr>
          <w:rFonts w:ascii="Times New Roman" w:eastAsia="Times New Roman" w:hAnsi="Times New Roman" w:cs="Times New Roman"/>
          <w:sz w:val="24"/>
          <w:szCs w:val="24"/>
        </w:rPr>
        <w:t>. The mean of four sub-samples constituted the final value for each treatment per crop. This procedure conforms to the gravimetric method described under ISTA seed testing guidelines and has been widely employed in seed quality research to assess the influence of pre-sowing treatments on reserve accumulation (</w:t>
      </w:r>
      <w:proofErr w:type="spellStart"/>
      <w:r w:rsidRPr="003B59C5">
        <w:rPr>
          <w:rFonts w:ascii="Times New Roman" w:eastAsia="Times New Roman" w:hAnsi="Times New Roman" w:cs="Times New Roman"/>
          <w:sz w:val="24"/>
          <w:szCs w:val="24"/>
        </w:rPr>
        <w:t>Moradi</w:t>
      </w:r>
      <w:proofErr w:type="spellEnd"/>
      <w:r w:rsidRPr="003B59C5">
        <w:rPr>
          <w:rFonts w:ascii="Times New Roman" w:eastAsia="Times New Roman" w:hAnsi="Times New Roman" w:cs="Times New Roman"/>
          <w:sz w:val="24"/>
          <w:szCs w:val="24"/>
        </w:rPr>
        <w:t xml:space="preserve"> and </w:t>
      </w:r>
      <w:proofErr w:type="spellStart"/>
      <w:r w:rsidRPr="003B59C5">
        <w:rPr>
          <w:rFonts w:ascii="Times New Roman" w:eastAsia="Times New Roman" w:hAnsi="Times New Roman" w:cs="Times New Roman"/>
          <w:sz w:val="24"/>
          <w:szCs w:val="24"/>
        </w:rPr>
        <w:t>Siosemardeh</w:t>
      </w:r>
      <w:proofErr w:type="spellEnd"/>
      <w:r w:rsidRPr="003B59C5">
        <w:rPr>
          <w:rFonts w:ascii="Times New Roman" w:eastAsia="Times New Roman" w:hAnsi="Times New Roman" w:cs="Times New Roman"/>
          <w:sz w:val="24"/>
          <w:szCs w:val="24"/>
        </w:rPr>
        <w:t>, 2023).</w:t>
      </w:r>
      <w:commentRangeEnd w:id="6"/>
      <w:r w:rsidR="00960FA3">
        <w:rPr>
          <w:rStyle w:val="CommentReference"/>
        </w:rPr>
        <w:commentReference w:id="6"/>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2.5. </w:t>
      </w:r>
      <w:r w:rsidR="00437D3A" w:rsidRPr="003B59C5">
        <w:rPr>
          <w:rFonts w:ascii="Times New Roman" w:eastAsia="Times New Roman" w:hAnsi="Times New Roman" w:cs="Times New Roman"/>
          <w:b/>
          <w:bCs/>
          <w:sz w:val="24"/>
          <w:szCs w:val="24"/>
        </w:rPr>
        <w:t>Germination Percentage</w:t>
      </w:r>
      <w:r w:rsidR="00DC278C">
        <w:rPr>
          <w:rFonts w:ascii="Times New Roman" w:eastAsia="Times New Roman" w:hAnsi="Times New Roman" w:cs="Times New Roman"/>
          <w:b/>
          <w:bCs/>
          <w:sz w:val="24"/>
          <w:szCs w:val="24"/>
        </w:rPr>
        <w:t xml:space="preserve"> (%)</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Germination tests were conducted using the standard between-paper (BP) method in a germination chamber maintained at 25 ± 2°C with 96 ± 2% relative humidity. For each treatment, </w:t>
      </w:r>
      <w:commentRangeStart w:id="7"/>
      <w:r w:rsidRPr="003B59C5">
        <w:rPr>
          <w:rFonts w:ascii="Times New Roman" w:eastAsia="Times New Roman" w:hAnsi="Times New Roman" w:cs="Times New Roman"/>
          <w:sz w:val="24"/>
          <w:szCs w:val="24"/>
        </w:rPr>
        <w:t xml:space="preserve">four replicates of 25 seeds each (totaling 100 seeds per treatment per crop) </w:t>
      </w:r>
      <w:commentRangeEnd w:id="7"/>
      <w:r w:rsidR="005C1074">
        <w:rPr>
          <w:rStyle w:val="CommentReference"/>
        </w:rPr>
        <w:commentReference w:id="7"/>
      </w:r>
      <w:r w:rsidRPr="003B59C5">
        <w:rPr>
          <w:rFonts w:ascii="Times New Roman" w:eastAsia="Times New Roman" w:hAnsi="Times New Roman" w:cs="Times New Roman"/>
          <w:sz w:val="24"/>
          <w:szCs w:val="24"/>
        </w:rPr>
        <w:t xml:space="preserve">were placed between moist germination blotter papers arranged in germination trays. The papers were moistened with the respective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xml:space="preserve"> solutions for the primed sets and with distilled water for the control, and thereafter kept uniformly moist throughout the test period. Germination counts were recorded on the 7th day following standard ISTA (2022) criteria for normal seedling evaluation. The germination percentage was computed as the number of normal seedlings produced per 100 seeds tested and expressed as a percentage. The standard error of the difference (</w:t>
      </w:r>
      <w:proofErr w:type="spellStart"/>
      <w:r w:rsidRPr="003B59C5">
        <w:rPr>
          <w:rFonts w:ascii="Times New Roman" w:eastAsia="Times New Roman" w:hAnsi="Times New Roman" w:cs="Times New Roman"/>
          <w:sz w:val="24"/>
          <w:szCs w:val="24"/>
        </w:rPr>
        <w:t>SEd</w:t>
      </w:r>
      <w:proofErr w:type="spellEnd"/>
      <w:r w:rsidRPr="003B59C5">
        <w:rPr>
          <w:rFonts w:ascii="Times New Roman" w:eastAsia="Times New Roman" w:hAnsi="Times New Roman" w:cs="Times New Roman"/>
          <w:sz w:val="24"/>
          <w:szCs w:val="24"/>
        </w:rPr>
        <w:t>) and the critical difference (CD) at 1% significance level were computed from the analysis of variance to test treatment significance.</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 </w:t>
      </w:r>
      <w:r w:rsidR="00437D3A" w:rsidRPr="003B59C5">
        <w:rPr>
          <w:rFonts w:ascii="Times New Roman" w:eastAsia="Times New Roman" w:hAnsi="Times New Roman" w:cs="Times New Roman"/>
          <w:b/>
          <w:bCs/>
          <w:sz w:val="24"/>
          <w:szCs w:val="24"/>
        </w:rPr>
        <w:t>Seedling Length Analysis</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commentRangeStart w:id="8"/>
      <w:r w:rsidRPr="003B59C5">
        <w:rPr>
          <w:rFonts w:ascii="Times New Roman" w:eastAsia="Times New Roman" w:hAnsi="Times New Roman" w:cs="Times New Roman"/>
          <w:sz w:val="24"/>
          <w:szCs w:val="24"/>
        </w:rPr>
        <w:t>At the time of the final germination count on day 7, five normal seedlings were randomly selected from each replication for seedling length measurement. The root length and shoot length of each seedling were measured individually using a calibrated ruler and expressed in centimeters (cm). Total seedling length was calculated as the sum of root length and shoot length per seedling. The mean root length, mean shoot length, and mean total seedling length across three replications (R</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and R</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xml:space="preserve">) were computed for each treatment per crop. Since only two </w:t>
      </w:r>
      <w:r w:rsidRPr="003B59C5">
        <w:rPr>
          <w:rFonts w:ascii="Times New Roman" w:eastAsia="Times New Roman" w:hAnsi="Times New Roman" w:cs="Times New Roman"/>
          <w:sz w:val="24"/>
          <w:szCs w:val="24"/>
        </w:rPr>
        <w:lastRenderedPageBreak/>
        <w:t>actual replications (R</w:t>
      </w:r>
      <w:r w:rsidRPr="003B59C5">
        <w:rPr>
          <w:rFonts w:ascii="Times New Roman" w:eastAsia="Times New Roman" w:hAnsi="Times New Roman" w:cs="Times New Roman"/>
          <w:sz w:val="24"/>
          <w:szCs w:val="24"/>
          <w:vertAlign w:val="subscript"/>
        </w:rPr>
        <w:t xml:space="preserve">1 </w:t>
      </w:r>
      <w:r w:rsidRPr="003B59C5">
        <w:rPr>
          <w:rFonts w:ascii="Times New Roman" w:eastAsia="Times New Roman" w:hAnsi="Times New Roman" w:cs="Times New Roman"/>
          <w:sz w:val="24"/>
          <w:szCs w:val="24"/>
        </w:rPr>
        <w:t>and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were available for measurement, a third estimated replication (R</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was computed as the arithmetic mean of R</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xml:space="preserve"> and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xml:space="preserve"> values to complete the three-replication design framework. Standard deviation (SD) and coefficient of variation (</w:t>
      </w:r>
      <w:r w:rsidR="002F4D9B" w:rsidRPr="003B59C5">
        <w:rPr>
          <w:rFonts w:ascii="Times New Roman" w:eastAsia="Times New Roman" w:hAnsi="Times New Roman" w:cs="Times New Roman"/>
          <w:sz w:val="24"/>
          <w:szCs w:val="24"/>
        </w:rPr>
        <w:t>CV %</w:t>
      </w:r>
      <w:r w:rsidRPr="003B59C5">
        <w:rPr>
          <w:rFonts w:ascii="Times New Roman" w:eastAsia="Times New Roman" w:hAnsi="Times New Roman" w:cs="Times New Roman"/>
          <w:sz w:val="24"/>
          <w:szCs w:val="24"/>
        </w:rPr>
        <w:t>) for total seedling length were derived for each treatment to assess consistency of the seedling growth response across replications.</w:t>
      </w:r>
      <w:commentRangeEnd w:id="8"/>
      <w:r w:rsidR="00A93300">
        <w:rPr>
          <w:rStyle w:val="CommentReference"/>
        </w:rPr>
        <w:commentReference w:id="8"/>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2.7. </w:t>
      </w:r>
      <w:r w:rsidR="00437D3A" w:rsidRPr="003B59C5">
        <w:rPr>
          <w:rFonts w:ascii="Times New Roman" w:eastAsia="Times New Roman" w:hAnsi="Times New Roman" w:cs="Times New Roman"/>
          <w:b/>
          <w:bCs/>
          <w:sz w:val="24"/>
          <w:szCs w:val="24"/>
        </w:rPr>
        <w:t>Seedling Vigour Index (SVI)</w:t>
      </w:r>
    </w:p>
    <w:p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Seedling Vigour Index (SVI) for each treatment and crop combination was computed using the formula proposed by Abdul-</w:t>
      </w:r>
      <w:proofErr w:type="spellStart"/>
      <w:r w:rsidRPr="003B59C5">
        <w:rPr>
          <w:rFonts w:ascii="Times New Roman" w:eastAsia="Times New Roman" w:hAnsi="Times New Roman" w:cs="Times New Roman"/>
          <w:sz w:val="24"/>
          <w:szCs w:val="24"/>
        </w:rPr>
        <w:t>Baki</w:t>
      </w:r>
      <w:proofErr w:type="spellEnd"/>
      <w:r w:rsidRPr="003B59C5">
        <w:rPr>
          <w:rFonts w:ascii="Times New Roman" w:eastAsia="Times New Roman" w:hAnsi="Times New Roman" w:cs="Times New Roman"/>
          <w:sz w:val="24"/>
          <w:szCs w:val="24"/>
        </w:rPr>
        <w:t xml:space="preserve"> and Anderson (1973):</w:t>
      </w:r>
    </w:p>
    <w:p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490567">
        <w:rPr>
          <w:rFonts w:ascii="Times New Roman" w:eastAsia="Times New Roman" w:hAnsi="Times New Roman" w:cs="Times New Roman"/>
          <w:bCs/>
          <w:sz w:val="24"/>
          <w:szCs w:val="24"/>
        </w:rPr>
        <w:t>SVI = Germination Percentage (%) × Mean Total Seedling Length (cm)</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germination percentage and total seedling length values from each replication (R1, R2, R3) were used to compute replication-wise SVI values, from which the mean SVI, standard deviation (SD), and coefficient of variation (CV%) were derived. This formula has been widely adopted in seed quality research and recognized as a reliable indicator of the combined physiological competence of a seed lot with respect to germination capacity and early seedling establishment (Abdul-</w:t>
      </w:r>
      <w:proofErr w:type="spellStart"/>
      <w:r w:rsidRPr="003B59C5">
        <w:rPr>
          <w:rFonts w:ascii="Times New Roman" w:eastAsia="Times New Roman" w:hAnsi="Times New Roman" w:cs="Times New Roman"/>
          <w:sz w:val="24"/>
          <w:szCs w:val="24"/>
        </w:rPr>
        <w:t>Baki</w:t>
      </w:r>
      <w:proofErr w:type="spellEnd"/>
      <w:r w:rsidRPr="003B59C5">
        <w:rPr>
          <w:rFonts w:ascii="Times New Roman" w:eastAsia="Times New Roman" w:hAnsi="Times New Roman" w:cs="Times New Roman"/>
          <w:sz w:val="24"/>
          <w:szCs w:val="24"/>
        </w:rPr>
        <w:t xml:space="preserve"> and Anderson, 1973; Sharma, 2018).</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2.8. </w:t>
      </w:r>
      <w:r w:rsidR="00437D3A" w:rsidRPr="003B59C5">
        <w:rPr>
          <w:rFonts w:ascii="Times New Roman" w:eastAsia="Times New Roman" w:hAnsi="Times New Roman" w:cs="Times New Roman"/>
          <w:b/>
          <w:bCs/>
          <w:sz w:val="24"/>
          <w:szCs w:val="24"/>
        </w:rPr>
        <w:t>Statistical Analysis</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All data were subjected to one-way Analysis of Variance (ANOVA) under the Completely Randomized Design framework. Treatment means were compared using Duncan's Multiple Range Test (DMRT) at 5% and 1% levels of significance. The standard error of the difference (</w:t>
      </w:r>
      <w:proofErr w:type="spellStart"/>
      <w:r w:rsidRPr="003B59C5">
        <w:rPr>
          <w:rFonts w:ascii="Times New Roman" w:eastAsia="Times New Roman" w:hAnsi="Times New Roman" w:cs="Times New Roman"/>
          <w:sz w:val="24"/>
          <w:szCs w:val="24"/>
        </w:rPr>
        <w:t>SEd</w:t>
      </w:r>
      <w:proofErr w:type="spellEnd"/>
      <w:r w:rsidRPr="003B59C5">
        <w:rPr>
          <w:rFonts w:ascii="Times New Roman" w:eastAsia="Times New Roman" w:hAnsi="Times New Roman" w:cs="Times New Roman"/>
          <w:sz w:val="24"/>
          <w:szCs w:val="24"/>
        </w:rPr>
        <w:t>), critical difference (CD), and coefficient of variation (CV%) were computed for each parameter. Statistical significance was interpreted at p ≤ 0.05 and p ≤ 0.01 probability levels. All computations were performed using standard statistical software, and graphical representations of the data were prepared using Microsoft Excel (</w:t>
      </w:r>
      <w:proofErr w:type="spellStart"/>
      <w:r w:rsidRPr="003B59C5">
        <w:rPr>
          <w:rFonts w:ascii="Times New Roman" w:eastAsia="Times New Roman" w:hAnsi="Times New Roman" w:cs="Times New Roman"/>
          <w:sz w:val="24"/>
          <w:szCs w:val="24"/>
        </w:rPr>
        <w:t>Dafaallah</w:t>
      </w:r>
      <w:proofErr w:type="spellEnd"/>
      <w:r w:rsidRPr="003B59C5">
        <w:rPr>
          <w:rFonts w:ascii="Times New Roman" w:eastAsia="Times New Roman" w:hAnsi="Times New Roman" w:cs="Times New Roman"/>
          <w:sz w:val="24"/>
          <w:szCs w:val="24"/>
        </w:rPr>
        <w:t>, 2019).</w:t>
      </w:r>
    </w:p>
    <w:p w:rsidR="00A93300" w:rsidRDefault="00A93300" w:rsidP="000B54BF">
      <w:pPr>
        <w:spacing w:line="360" w:lineRule="auto"/>
        <w:ind w:left="0"/>
        <w:rPr>
          <w:rFonts w:ascii="Times New Roman" w:hAnsi="Times New Roman" w:cs="Times New Roman"/>
          <w:b/>
          <w:sz w:val="24"/>
          <w:szCs w:val="24"/>
        </w:rPr>
      </w:pPr>
    </w:p>
    <w:p w:rsidR="00A93300" w:rsidRDefault="00A93300" w:rsidP="000B54BF">
      <w:pPr>
        <w:spacing w:line="360" w:lineRule="auto"/>
        <w:ind w:left="0"/>
        <w:rPr>
          <w:rFonts w:ascii="Times New Roman" w:hAnsi="Times New Roman" w:cs="Times New Roman"/>
          <w:b/>
          <w:sz w:val="24"/>
          <w:szCs w:val="24"/>
        </w:rPr>
      </w:pPr>
    </w:p>
    <w:p w:rsidR="00A93300" w:rsidRDefault="00A93300" w:rsidP="000B54BF">
      <w:pPr>
        <w:spacing w:line="360" w:lineRule="auto"/>
        <w:ind w:left="0"/>
        <w:rPr>
          <w:rFonts w:ascii="Times New Roman" w:hAnsi="Times New Roman" w:cs="Times New Roman"/>
          <w:b/>
          <w:sz w:val="24"/>
          <w:szCs w:val="24"/>
        </w:rPr>
      </w:pPr>
    </w:p>
    <w:p w:rsidR="00437D3A" w:rsidRDefault="00C71B1E" w:rsidP="000B54BF">
      <w:pPr>
        <w:spacing w:line="360" w:lineRule="auto"/>
        <w:ind w:left="0"/>
        <w:rPr>
          <w:rFonts w:ascii="Times New Roman" w:hAnsi="Times New Roman" w:cs="Times New Roman"/>
          <w:b/>
          <w:sz w:val="24"/>
          <w:szCs w:val="24"/>
        </w:rPr>
      </w:pPr>
      <w:commentRangeStart w:id="9"/>
      <w:r>
        <w:rPr>
          <w:rFonts w:ascii="Times New Roman" w:hAnsi="Times New Roman" w:cs="Times New Roman"/>
          <w:b/>
          <w:sz w:val="24"/>
          <w:szCs w:val="24"/>
        </w:rPr>
        <w:lastRenderedPageBreak/>
        <w:t xml:space="preserve">3. </w:t>
      </w:r>
      <w:r w:rsidR="00437D3A">
        <w:rPr>
          <w:rFonts w:ascii="Times New Roman" w:hAnsi="Times New Roman" w:cs="Times New Roman"/>
          <w:b/>
          <w:sz w:val="24"/>
          <w:szCs w:val="24"/>
        </w:rPr>
        <w:t>Result and Discussion</w:t>
      </w:r>
      <w:commentRangeEnd w:id="9"/>
      <w:r w:rsidR="00A93300">
        <w:rPr>
          <w:rStyle w:val="CommentReference"/>
        </w:rPr>
        <w:commentReference w:id="9"/>
      </w:r>
    </w:p>
    <w:p w:rsid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commentRangeStart w:id="10"/>
      <w:r w:rsidRPr="00E20113">
        <w:rPr>
          <w:rFonts w:ascii="Times New Roman" w:eastAsia="Times New Roman" w:hAnsi="Times New Roman" w:cs="Times New Roman"/>
          <w:sz w:val="24"/>
          <w:szCs w:val="24"/>
        </w:rPr>
        <w:t>The evaluation of electrical conductivity (EC) across Ragi, Sen Cholam, and White Cholam seeds revealed a significant and progressive increase in electrolyte leakage corresponding to ascending concentrations of Potassium Chloride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In the control group (T</w:t>
      </w:r>
      <w:r w:rsidRPr="00E20113">
        <w:rPr>
          <w:rFonts w:ascii="Times New Roman" w:eastAsia="Times New Roman" w:hAnsi="Times New Roman" w:cs="Times New Roman"/>
          <w:sz w:val="24"/>
          <w:szCs w:val="24"/>
          <w:vertAlign w:val="subscript"/>
        </w:rPr>
        <w:t>1</w:t>
      </w:r>
      <w:r w:rsidRPr="00E20113">
        <w:rPr>
          <w:rFonts w:ascii="Times New Roman" w:eastAsia="Times New Roman" w:hAnsi="Times New Roman" w:cs="Times New Roman"/>
          <w:sz w:val="24"/>
          <w:szCs w:val="24"/>
        </w:rPr>
        <w:t xml:space="preserve">: 0.0%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baseline EC values were relatively consistent across species, ranging from </w:t>
      </w:r>
      <w:r>
        <w:rPr>
          <w:rFonts w:ascii="Times New Roman" w:eastAsia="Times New Roman" w:hAnsi="Times New Roman" w:cs="Times New Roman"/>
          <w:sz w:val="24"/>
          <w:szCs w:val="24"/>
        </w:rPr>
        <w:t xml:space="preserve">124.23 </w:t>
      </w:r>
      <w:r w:rsidRPr="00E20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3.6</w:t>
      </w:r>
      <w:r>
        <w:rPr>
          <w:rFonts w:ascii="Times New Roman" w:eastAsia="Times New Roman" w:hAnsi="Times New Roman" w:cs="Times New Roman"/>
          <w:sz w:val="24"/>
          <w:szCs w:val="24"/>
        </w:rPr>
        <w:t>9</w:t>
      </w:r>
      <w:r w:rsidRPr="00E20113">
        <w:t xml:space="preserve">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in White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135.77</w:t>
      </w:r>
      <w:r w:rsidRPr="00E20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 xml:space="preserve">3.93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in </w:t>
      </w:r>
      <w:proofErr w:type="spellStart"/>
      <w:r w:rsidRPr="00E20113">
        <w:rPr>
          <w:rFonts w:ascii="Times New Roman" w:eastAsia="Times New Roman" w:hAnsi="Times New Roman" w:cs="Times New Roman"/>
          <w:sz w:val="24"/>
          <w:szCs w:val="24"/>
        </w:rPr>
        <w:t>Sen</w:t>
      </w:r>
      <w:proofErr w:type="spellEnd"/>
      <w:r w:rsidRPr="00E20113">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(Table 1). As the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concentration increased to 1.5% (T</w:t>
      </w:r>
      <w:r w:rsidRPr="00E20113">
        <w:rPr>
          <w:rFonts w:ascii="Times New Roman" w:eastAsia="Times New Roman" w:hAnsi="Times New Roman" w:cs="Times New Roman"/>
          <w:sz w:val="24"/>
          <w:szCs w:val="24"/>
          <w:vertAlign w:val="subscript"/>
        </w:rPr>
        <w:t>4</w:t>
      </w:r>
      <w:r w:rsidRPr="00E20113">
        <w:rPr>
          <w:rFonts w:ascii="Times New Roman" w:eastAsia="Times New Roman" w:hAnsi="Times New Roman" w:cs="Times New Roman"/>
          <w:sz w:val="24"/>
          <w:szCs w:val="24"/>
        </w:rPr>
        <w:t>), a marked divergence in species response was observed; Sen Cholam exhibited the highest leakage at 155.47</w:t>
      </w:r>
      <w:r w:rsidRPr="008539A4">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while </w:t>
      </w:r>
      <w:proofErr w:type="spellStart"/>
      <w:r w:rsidRPr="00E20113">
        <w:rPr>
          <w:rFonts w:ascii="Times New Roman" w:eastAsia="Times New Roman" w:hAnsi="Times New Roman" w:cs="Times New Roman"/>
          <w:sz w:val="24"/>
          <w:szCs w:val="24"/>
        </w:rPr>
        <w:t>Ragi</w:t>
      </w:r>
      <w:proofErr w:type="spellEnd"/>
      <w:r w:rsidRPr="00E20113">
        <w:rPr>
          <w:rFonts w:ascii="Times New Roman" w:eastAsia="Times New Roman" w:hAnsi="Times New Roman" w:cs="Times New Roman"/>
          <w:sz w:val="24"/>
          <w:szCs w:val="24"/>
        </w:rPr>
        <w:t xml:space="preserve"> and White Cholam remained lower at </w:t>
      </w:r>
      <w:r w:rsidR="00C71B1E">
        <w:rPr>
          <w:rFonts w:ascii="Times New Roman" w:eastAsia="Times New Roman" w:hAnsi="Times New Roman" w:cs="Times New Roman"/>
          <w:sz w:val="24"/>
          <w:szCs w:val="24"/>
        </w:rPr>
        <w:t xml:space="preserve">140.60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/cm and 141.67</w:t>
      </w:r>
      <w:r>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respectively. At the maximum concentration of 3.0%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(T</w:t>
      </w:r>
      <w:r w:rsidRPr="00E20113">
        <w:rPr>
          <w:rFonts w:ascii="Times New Roman" w:eastAsia="Times New Roman" w:hAnsi="Times New Roman" w:cs="Times New Roman"/>
          <w:sz w:val="24"/>
          <w:szCs w:val="24"/>
          <w:vertAlign w:val="subscript"/>
        </w:rPr>
        <w:t>6</w:t>
      </w:r>
      <w:r w:rsidRPr="00E20113">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Sen</w:t>
      </w:r>
      <w:proofErr w:type="spellEnd"/>
      <w:r w:rsidRPr="00E20113">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reached a peak mean EC of 163.27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significantly higher than the initial control. Notably, Ragi maintained the lowest incremental increase among the three, suggesting a more stable membrane response to high ionic strength compared to the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varieties.</w:t>
      </w:r>
      <w:commentRangeEnd w:id="10"/>
      <w:r w:rsidR="00A93300">
        <w:rPr>
          <w:rStyle w:val="CommentReference"/>
        </w:rPr>
        <w:commentReference w:id="10"/>
      </w:r>
    </w:p>
    <w:p w:rsidR="00437D3A" w:rsidRPr="00E20113"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E20113">
        <w:rPr>
          <w:rFonts w:ascii="Times New Roman" w:eastAsia="Times New Roman" w:hAnsi="Times New Roman" w:cs="Times New Roman"/>
          <w:sz w:val="24"/>
          <w:szCs w:val="24"/>
        </w:rPr>
        <w:t xml:space="preserve">The increase in EC values with higher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concentrations serves as a critical indicator of altered seed membrane permeability and potential physiological stress. According to </w:t>
      </w:r>
      <w:r w:rsidR="00C71B1E">
        <w:rPr>
          <w:rFonts w:ascii="Times New Roman" w:eastAsia="Times New Roman" w:hAnsi="Times New Roman" w:cs="Times New Roman"/>
          <w:sz w:val="24"/>
          <w:szCs w:val="24"/>
        </w:rPr>
        <w:br/>
      </w:r>
      <w:proofErr w:type="spellStart"/>
      <w:r w:rsidRPr="00E20113">
        <w:rPr>
          <w:rFonts w:ascii="Times New Roman" w:eastAsia="Times New Roman" w:hAnsi="Times New Roman" w:cs="Times New Roman"/>
          <w:bCs/>
          <w:sz w:val="24"/>
          <w:szCs w:val="24"/>
        </w:rPr>
        <w:t>Mandal</w:t>
      </w:r>
      <w:proofErr w:type="spellEnd"/>
      <w:r w:rsidRPr="00E20113">
        <w:rPr>
          <w:rFonts w:ascii="Times New Roman" w:eastAsia="Times New Roman" w:hAnsi="Times New Roman" w:cs="Times New Roman"/>
          <w:bCs/>
          <w:sz w:val="24"/>
          <w:szCs w:val="24"/>
        </w:rPr>
        <w:t xml:space="preserve"> </w:t>
      </w:r>
      <w:r w:rsidRPr="00E20113">
        <w:rPr>
          <w:rFonts w:ascii="Times New Roman" w:eastAsia="Times New Roman" w:hAnsi="Times New Roman" w:cs="Times New Roman"/>
          <w:bCs/>
          <w:i/>
          <w:sz w:val="24"/>
          <w:szCs w:val="24"/>
        </w:rPr>
        <w:t xml:space="preserve">et </w:t>
      </w:r>
      <w:commentRangeStart w:id="11"/>
      <w:r w:rsidRPr="00E20113">
        <w:rPr>
          <w:rFonts w:ascii="Times New Roman" w:eastAsia="Times New Roman" w:hAnsi="Times New Roman" w:cs="Times New Roman"/>
          <w:bCs/>
          <w:i/>
          <w:sz w:val="24"/>
          <w:szCs w:val="24"/>
        </w:rPr>
        <w:t>al.</w:t>
      </w:r>
      <w:r w:rsidRPr="00E20113">
        <w:rPr>
          <w:rFonts w:ascii="Times New Roman" w:eastAsia="Times New Roman" w:hAnsi="Times New Roman" w:cs="Times New Roman"/>
          <w:bCs/>
          <w:sz w:val="24"/>
          <w:szCs w:val="24"/>
        </w:rPr>
        <w:t xml:space="preserve"> </w:t>
      </w:r>
      <w:commentRangeEnd w:id="11"/>
      <w:r w:rsidR="00A93300">
        <w:rPr>
          <w:rStyle w:val="CommentReference"/>
        </w:rPr>
        <w:commentReference w:id="11"/>
      </w:r>
      <w:r w:rsidRPr="00E20113">
        <w:rPr>
          <w:rFonts w:ascii="Times New Roman" w:eastAsia="Times New Roman" w:hAnsi="Times New Roman" w:cs="Times New Roman"/>
          <w:bCs/>
          <w:sz w:val="24"/>
          <w:szCs w:val="24"/>
        </w:rPr>
        <w:t>(2025)</w:t>
      </w:r>
      <w:r w:rsidRPr="00E20113">
        <w:rPr>
          <w:rFonts w:ascii="Times New Roman" w:eastAsia="Times New Roman" w:hAnsi="Times New Roman" w:cs="Times New Roman"/>
          <w:sz w:val="24"/>
          <w:szCs w:val="24"/>
        </w:rPr>
        <w:t xml:space="preserve">, the application of potassium salts can influence cellular turgor and enzymatic activity; however, excessive concentrations often lead to ionic toxicity that disrupts the phospholipid bilayer of the seed membrane. The significantly higher EC observed in </w:t>
      </w:r>
      <w:proofErr w:type="spellStart"/>
      <w:r w:rsidRPr="00E20113">
        <w:rPr>
          <w:rFonts w:ascii="Times New Roman" w:eastAsia="Times New Roman" w:hAnsi="Times New Roman" w:cs="Times New Roman"/>
          <w:bCs/>
          <w:sz w:val="24"/>
          <w:szCs w:val="24"/>
        </w:rPr>
        <w:t>Sen</w:t>
      </w:r>
      <w:proofErr w:type="spellEnd"/>
      <w:r w:rsidRPr="00E20113">
        <w:rPr>
          <w:rFonts w:ascii="Times New Roman" w:eastAsia="Times New Roman" w:hAnsi="Times New Roman" w:cs="Times New Roman"/>
          <w:bCs/>
          <w:sz w:val="24"/>
          <w:szCs w:val="24"/>
        </w:rPr>
        <w:t xml:space="preserve"> </w:t>
      </w:r>
      <w:proofErr w:type="spellStart"/>
      <w:r w:rsidRPr="00E20113">
        <w:rPr>
          <w:rFonts w:ascii="Times New Roman" w:eastAsia="Times New Roman" w:hAnsi="Times New Roman" w:cs="Times New Roman"/>
          <w:bCs/>
          <w:sz w:val="24"/>
          <w:szCs w:val="24"/>
        </w:rPr>
        <w:t>Cholam</w:t>
      </w:r>
      <w:proofErr w:type="spellEnd"/>
      <w:r w:rsidRPr="00E20113">
        <w:rPr>
          <w:rFonts w:ascii="Times New Roman" w:eastAsia="Times New Roman" w:hAnsi="Times New Roman" w:cs="Times New Roman"/>
          <w:sz w:val="24"/>
          <w:szCs w:val="24"/>
        </w:rPr>
        <w:t xml:space="preserve"> at 3.0%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suggests that this variety may be more susceptible to salt-induced membrane damage than Ragi. This pattern is consistent with recent findings by </w:t>
      </w:r>
      <w:r w:rsidRPr="00E20113">
        <w:rPr>
          <w:rFonts w:ascii="Times New Roman" w:eastAsia="Times New Roman" w:hAnsi="Times New Roman" w:cs="Times New Roman"/>
          <w:bCs/>
          <w:sz w:val="24"/>
          <w:szCs w:val="24"/>
        </w:rPr>
        <w:t>Srivastava and Kapoor (2021)</w:t>
      </w:r>
      <w:r w:rsidRPr="00E20113">
        <w:rPr>
          <w:rFonts w:ascii="Times New Roman" w:eastAsia="Times New Roman" w:hAnsi="Times New Roman" w:cs="Times New Roman"/>
          <w:sz w:val="24"/>
          <w:szCs w:val="24"/>
        </w:rPr>
        <w:t>, who noted that larger-seeded millets often exhibit higher electrolyte leakage due to a less compact seed coat structure compared to small millets like Ragi.</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 xml:space="preserve">The relatively stable EC of </w:t>
      </w:r>
      <w:r w:rsidRPr="00E20113">
        <w:rPr>
          <w:rFonts w:ascii="Times New Roman" w:eastAsia="Times New Roman" w:hAnsi="Times New Roman" w:cs="Times New Roman"/>
          <w:bCs/>
          <w:sz w:val="24"/>
          <w:szCs w:val="24"/>
        </w:rPr>
        <w:t>Ragi</w:t>
      </w:r>
      <w:r w:rsidRPr="00E20113">
        <w:rPr>
          <w:rFonts w:ascii="Times New Roman" w:eastAsia="Times New Roman" w:hAnsi="Times New Roman" w:cs="Times New Roman"/>
          <w:sz w:val="24"/>
          <w:szCs w:val="24"/>
        </w:rPr>
        <w:t xml:space="preserve"> across the T</w:t>
      </w:r>
      <w:r w:rsidRPr="00E20113">
        <w:rPr>
          <w:rFonts w:ascii="Times New Roman" w:eastAsia="Times New Roman" w:hAnsi="Times New Roman" w:cs="Times New Roman"/>
          <w:sz w:val="24"/>
          <w:szCs w:val="24"/>
          <w:vertAlign w:val="subscript"/>
        </w:rPr>
        <w:t>1</w:t>
      </w:r>
      <w:r w:rsidRPr="00E20113">
        <w:rPr>
          <w:rFonts w:ascii="Times New Roman" w:eastAsia="Times New Roman" w:hAnsi="Times New Roman" w:cs="Times New Roman"/>
          <w:sz w:val="24"/>
          <w:szCs w:val="24"/>
        </w:rPr>
        <w:t xml:space="preserve"> to T</w:t>
      </w:r>
      <w:r w:rsidRPr="00E20113">
        <w:rPr>
          <w:rFonts w:ascii="Times New Roman" w:eastAsia="Times New Roman" w:hAnsi="Times New Roman" w:cs="Times New Roman"/>
          <w:sz w:val="24"/>
          <w:szCs w:val="24"/>
          <w:vertAlign w:val="subscript"/>
        </w:rPr>
        <w:t>6</w:t>
      </w:r>
      <w:r w:rsidRPr="00E20113">
        <w:rPr>
          <w:rFonts w:ascii="Times New Roman" w:eastAsia="Times New Roman" w:hAnsi="Times New Roman" w:cs="Times New Roman"/>
          <w:sz w:val="24"/>
          <w:szCs w:val="24"/>
        </w:rPr>
        <w:t xml:space="preserve"> gradient indicates a superior capacity for osmotic adjustment and membrane reorganization. As described by </w:t>
      </w:r>
      <w:proofErr w:type="spellStart"/>
      <w:r w:rsidRPr="00E20113">
        <w:rPr>
          <w:rFonts w:ascii="Times New Roman" w:eastAsia="Times New Roman" w:hAnsi="Times New Roman" w:cs="Times New Roman"/>
          <w:bCs/>
          <w:sz w:val="24"/>
          <w:szCs w:val="24"/>
        </w:rPr>
        <w:t>Viju</w:t>
      </w:r>
      <w:proofErr w:type="spellEnd"/>
      <w:r w:rsidRPr="00E20113">
        <w:rPr>
          <w:rFonts w:ascii="Times New Roman" w:eastAsia="Times New Roman" w:hAnsi="Times New Roman" w:cs="Times New Roman"/>
          <w:bCs/>
          <w:sz w:val="24"/>
          <w:szCs w:val="24"/>
        </w:rPr>
        <w:t xml:space="preserve"> (2024)</w:t>
      </w:r>
      <w:r w:rsidRPr="00E20113">
        <w:rPr>
          <w:rFonts w:ascii="Times New Roman" w:eastAsia="Times New Roman" w:hAnsi="Times New Roman" w:cs="Times New Roman"/>
          <w:sz w:val="24"/>
          <w:szCs w:val="24"/>
        </w:rPr>
        <w:t xml:space="preserve">, adequate potassium availability is essential for early seedling </w:t>
      </w:r>
      <w:proofErr w:type="spellStart"/>
      <w:r w:rsidRPr="00E20113">
        <w:rPr>
          <w:rFonts w:ascii="Times New Roman" w:eastAsia="Times New Roman" w:hAnsi="Times New Roman" w:cs="Times New Roman"/>
          <w:sz w:val="24"/>
          <w:szCs w:val="24"/>
        </w:rPr>
        <w:t>vigour</w:t>
      </w:r>
      <w:proofErr w:type="spellEnd"/>
      <w:r w:rsidRPr="00E20113">
        <w:rPr>
          <w:rFonts w:ascii="Times New Roman" w:eastAsia="Times New Roman" w:hAnsi="Times New Roman" w:cs="Times New Roman"/>
          <w:sz w:val="24"/>
          <w:szCs w:val="24"/>
        </w:rPr>
        <w:t xml:space="preserve">, yet the threshold for beneficial versus detrimental effects is narrow. The elevated EC in </w:t>
      </w:r>
      <w:r w:rsidRPr="00E20113">
        <w:rPr>
          <w:rFonts w:ascii="Times New Roman" w:eastAsia="Times New Roman" w:hAnsi="Times New Roman" w:cs="Times New Roman"/>
          <w:bCs/>
          <w:sz w:val="24"/>
          <w:szCs w:val="24"/>
        </w:rPr>
        <w:t>White Cholam</w:t>
      </w:r>
      <w:r w:rsidRPr="00E20113">
        <w:rPr>
          <w:rFonts w:ascii="Times New Roman" w:eastAsia="Times New Roman" w:hAnsi="Times New Roman" w:cs="Times New Roman"/>
          <w:sz w:val="24"/>
          <w:szCs w:val="24"/>
        </w:rPr>
        <w:t xml:space="preserve"> at higher concentrations (T</w:t>
      </w:r>
      <w:r w:rsidRPr="00E20113">
        <w:rPr>
          <w:rFonts w:ascii="Times New Roman" w:eastAsia="Times New Roman" w:hAnsi="Times New Roman" w:cs="Times New Roman"/>
          <w:sz w:val="24"/>
          <w:szCs w:val="24"/>
          <w:vertAlign w:val="subscript"/>
        </w:rPr>
        <w:t>5</w:t>
      </w:r>
      <w:r w:rsidRPr="00E20113">
        <w:rPr>
          <w:rFonts w:ascii="Times New Roman" w:eastAsia="Times New Roman" w:hAnsi="Times New Roman" w:cs="Times New Roman"/>
          <w:sz w:val="24"/>
          <w:szCs w:val="24"/>
        </w:rPr>
        <w:t xml:space="preserve"> a</w:t>
      </w:r>
      <w:r w:rsidRPr="008539A4">
        <w:rPr>
          <w:rFonts w:ascii="Times New Roman" w:eastAsia="Times New Roman" w:hAnsi="Times New Roman" w:cs="Times New Roman"/>
          <w:sz w:val="24"/>
          <w:szCs w:val="24"/>
        </w:rPr>
        <w:t>nd T</w:t>
      </w:r>
      <w:r w:rsidRPr="008539A4">
        <w:rPr>
          <w:rFonts w:ascii="Times New Roman" w:eastAsia="Times New Roman" w:hAnsi="Times New Roman" w:cs="Times New Roman"/>
          <w:sz w:val="24"/>
          <w:szCs w:val="24"/>
          <w:vertAlign w:val="subscript"/>
        </w:rPr>
        <w:t>6</w:t>
      </w:r>
      <w:r w:rsidRPr="008539A4">
        <w:rPr>
          <w:rFonts w:ascii="Times New Roman" w:eastAsia="Times New Roman" w:hAnsi="Times New Roman" w:cs="Times New Roman"/>
          <w:sz w:val="24"/>
          <w:szCs w:val="24"/>
        </w:rPr>
        <w:t>) likely reflects a leaky</w:t>
      </w:r>
      <w:r w:rsidRPr="00E20113">
        <w:rPr>
          <w:rFonts w:ascii="Times New Roman" w:eastAsia="Times New Roman" w:hAnsi="Times New Roman" w:cs="Times New Roman"/>
          <w:sz w:val="24"/>
          <w:szCs w:val="24"/>
        </w:rPr>
        <w:t xml:space="preserve"> membrane state, where the inability to sequester endogenous solutes results in excessive loss of amino acids and sugars, thereby potentially reducing the energy available for germination and early radicle emergence (</w:t>
      </w:r>
      <w:proofErr w:type="spellStart"/>
      <w:r w:rsidRPr="00E20113">
        <w:rPr>
          <w:rFonts w:ascii="Times New Roman" w:eastAsia="Times New Roman" w:hAnsi="Times New Roman" w:cs="Times New Roman"/>
          <w:sz w:val="24"/>
          <w:szCs w:val="24"/>
        </w:rPr>
        <w:t>Bahçe</w:t>
      </w:r>
      <w:proofErr w:type="spellEnd"/>
      <w:r w:rsidRPr="00E20113">
        <w:rPr>
          <w:rFonts w:ascii="Times New Roman" w:eastAsia="Times New Roman" w:hAnsi="Times New Roman" w:cs="Times New Roman"/>
          <w:sz w:val="24"/>
          <w:szCs w:val="24"/>
        </w:rPr>
        <w:t xml:space="preserve">, 2025). Furthermore, the positive correlation between salt concentration and EC aligns with the metabolic activation pathways described by </w:t>
      </w:r>
      <w:r w:rsidRPr="00E20113">
        <w:rPr>
          <w:rFonts w:ascii="Times New Roman" w:eastAsia="Times New Roman" w:hAnsi="Times New Roman" w:cs="Times New Roman"/>
          <w:bCs/>
          <w:sz w:val="24"/>
          <w:szCs w:val="24"/>
        </w:rPr>
        <w:t xml:space="preserve">Abdullah </w:t>
      </w:r>
      <w:r w:rsidRPr="00E20113">
        <w:rPr>
          <w:rFonts w:ascii="Times New Roman" w:eastAsia="Times New Roman" w:hAnsi="Times New Roman" w:cs="Times New Roman"/>
          <w:bCs/>
          <w:i/>
          <w:sz w:val="24"/>
          <w:szCs w:val="24"/>
        </w:rPr>
        <w:t>et al.</w:t>
      </w:r>
      <w:r w:rsidRPr="00E20113">
        <w:rPr>
          <w:rFonts w:ascii="Times New Roman" w:eastAsia="Times New Roman" w:hAnsi="Times New Roman" w:cs="Times New Roman"/>
          <w:bCs/>
          <w:sz w:val="24"/>
          <w:szCs w:val="24"/>
        </w:rPr>
        <w:t xml:space="preserve"> </w:t>
      </w:r>
      <w:r w:rsidRPr="00E20113">
        <w:rPr>
          <w:rFonts w:ascii="Times New Roman" w:eastAsia="Times New Roman" w:hAnsi="Times New Roman" w:cs="Times New Roman"/>
          <w:bCs/>
          <w:sz w:val="24"/>
          <w:szCs w:val="24"/>
        </w:rPr>
        <w:lastRenderedPageBreak/>
        <w:t>(2024)</w:t>
      </w:r>
      <w:r w:rsidRPr="00E20113">
        <w:rPr>
          <w:rFonts w:ascii="Times New Roman" w:eastAsia="Times New Roman" w:hAnsi="Times New Roman" w:cs="Times New Roman"/>
          <w:sz w:val="24"/>
          <w:szCs w:val="24"/>
        </w:rPr>
        <w:t>, where high external ionic strength challenges the seed’s homeostatic mechanisms, ultimately manifesting as increased leachate conductivity.</w:t>
      </w:r>
    </w:p>
    <w:p w:rsidR="00437D3A" w:rsidRPr="005B1277" w:rsidRDefault="00437D3A" w:rsidP="00C71B1E">
      <w:pPr>
        <w:spacing w:line="360" w:lineRule="auto"/>
        <w:ind w:left="0"/>
        <w:jc w:val="both"/>
        <w:rPr>
          <w:rFonts w:ascii="Times New Roman" w:hAnsi="Times New Roman" w:cs="Times New Roman"/>
          <w:sz w:val="24"/>
          <w:szCs w:val="24"/>
        </w:rPr>
      </w:pPr>
      <w:r w:rsidRPr="00E459E6">
        <w:rPr>
          <w:rFonts w:ascii="Times New Roman" w:hAnsi="Times New Roman" w:cs="Times New Roman"/>
          <w:bCs/>
          <w:sz w:val="24"/>
          <w:szCs w:val="24"/>
        </w:rPr>
        <w:t>Table 1.</w:t>
      </w:r>
      <w:r w:rsidRPr="00E459E6">
        <w:rPr>
          <w:rFonts w:ascii="Times New Roman" w:hAnsi="Times New Roman" w:cs="Times New Roman"/>
          <w:sz w:val="24"/>
          <w:szCs w:val="24"/>
        </w:rPr>
        <w:t xml:space="preserve"> Effect of different concentrations of Potassium Chloride (</w:t>
      </w:r>
      <w:proofErr w:type="spellStart"/>
      <w:r w:rsidRPr="00E459E6">
        <w:rPr>
          <w:rFonts w:ascii="Times New Roman" w:hAnsi="Times New Roman" w:cs="Times New Roman"/>
          <w:sz w:val="24"/>
          <w:szCs w:val="24"/>
        </w:rPr>
        <w:t>KCl</w:t>
      </w:r>
      <w:proofErr w:type="spellEnd"/>
      <w:r w:rsidRPr="00E459E6">
        <w:rPr>
          <w:rFonts w:ascii="Times New Roman" w:hAnsi="Times New Roman" w:cs="Times New Roman"/>
          <w:sz w:val="24"/>
          <w:szCs w:val="24"/>
        </w:rPr>
        <w:t>) on the Electrical Conductivity (µS/cm), Standard Deviation (SD), and Standard Error (SE) of Ragi, Sen Chola</w:t>
      </w:r>
      <w:r w:rsidR="00C71B1E">
        <w:rPr>
          <w:rFonts w:ascii="Times New Roman" w:hAnsi="Times New Roman" w:cs="Times New Roman"/>
          <w:sz w:val="24"/>
          <w:szCs w:val="24"/>
        </w:rPr>
        <w:t>m, and White Cholam seeds.</w:t>
      </w:r>
    </w:p>
    <w:tbl>
      <w:tblPr>
        <w:tblStyle w:val="LightShading"/>
        <w:tblW w:w="5000" w:type="pct"/>
        <w:tblLook w:val="04A0" w:firstRow="1" w:lastRow="0" w:firstColumn="1" w:lastColumn="0" w:noHBand="0" w:noVBand="1"/>
      </w:tblPr>
      <w:tblGrid>
        <w:gridCol w:w="2115"/>
        <w:gridCol w:w="2109"/>
        <w:gridCol w:w="1645"/>
        <w:gridCol w:w="2070"/>
        <w:gridCol w:w="1637"/>
      </w:tblGrid>
      <w:tr w:rsidR="00437D3A" w:rsidRPr="00A93300" w:rsidTr="00A93300">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104" w:type="pct"/>
            <w:shd w:val="clear" w:color="auto" w:fill="auto"/>
            <w:hideMark/>
          </w:tcPr>
          <w:p w:rsidR="00437D3A" w:rsidRPr="00A93300" w:rsidRDefault="00437D3A" w:rsidP="000B54BF">
            <w:pPr>
              <w:spacing w:line="360" w:lineRule="auto"/>
              <w:ind w:left="144"/>
              <w:contextualSpacing/>
              <w:jc w:val="center"/>
              <w:rPr>
                <w:rFonts w:ascii="Times New Roman" w:hAnsi="Times New Roman" w:cs="Times New Roman"/>
                <w:sz w:val="24"/>
                <w:szCs w:val="24"/>
              </w:rPr>
            </w:pPr>
            <w:r w:rsidRPr="00A93300">
              <w:rPr>
                <w:rFonts w:ascii="Times New Roman" w:hAnsi="Times New Roman" w:cs="Times New Roman"/>
                <w:bCs w:val="0"/>
                <w:sz w:val="24"/>
                <w:szCs w:val="24"/>
              </w:rPr>
              <w:t>Treatment</w:t>
            </w:r>
          </w:p>
        </w:tc>
        <w:tc>
          <w:tcPr>
            <w:tcW w:w="1101" w:type="pct"/>
            <w:shd w:val="clear" w:color="auto" w:fill="auto"/>
            <w:hideMark/>
          </w:tcPr>
          <w:p w:rsidR="00437D3A" w:rsidRPr="00A93300" w:rsidRDefault="00437D3A" w:rsidP="000B54BF">
            <w:pPr>
              <w:spacing w:line="36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3300">
              <w:rPr>
                <w:rFonts w:ascii="Times New Roman" w:hAnsi="Times New Roman" w:cs="Times New Roman"/>
                <w:bCs w:val="0"/>
                <w:sz w:val="24"/>
                <w:szCs w:val="24"/>
              </w:rPr>
              <w:t>Crop</w:t>
            </w:r>
          </w:p>
        </w:tc>
        <w:tc>
          <w:tcPr>
            <w:tcW w:w="859" w:type="pct"/>
            <w:shd w:val="clear" w:color="auto" w:fill="auto"/>
            <w:hideMark/>
          </w:tcPr>
          <w:p w:rsidR="00437D3A" w:rsidRPr="00A93300" w:rsidRDefault="00437D3A" w:rsidP="000B54BF">
            <w:pPr>
              <w:spacing w:line="36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93300">
              <w:rPr>
                <w:rFonts w:ascii="Times New Roman" w:hAnsi="Times New Roman" w:cs="Times New Roman"/>
                <w:bCs w:val="0"/>
                <w:sz w:val="24"/>
                <w:szCs w:val="24"/>
              </w:rPr>
              <w:t>Mean</w:t>
            </w:r>
          </w:p>
          <w:p w:rsidR="00437D3A" w:rsidRPr="00A93300" w:rsidRDefault="00437D3A" w:rsidP="000B54BF">
            <w:pPr>
              <w:spacing w:line="360" w:lineRule="auto"/>
              <w:ind w:left="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3300">
              <w:rPr>
                <w:rFonts w:ascii="Times New Roman" w:eastAsia="Times New Roman" w:hAnsi="Times New Roman" w:cs="Times New Roman"/>
                <w:sz w:val="24"/>
                <w:szCs w:val="24"/>
              </w:rPr>
              <w:t>(</w:t>
            </w:r>
            <w:proofErr w:type="spellStart"/>
            <w:r w:rsidRPr="00A93300">
              <w:rPr>
                <w:rFonts w:ascii="Times New Roman" w:eastAsia="Times New Roman" w:hAnsi="Times New Roman" w:cs="Times New Roman"/>
                <w:sz w:val="24"/>
                <w:szCs w:val="24"/>
              </w:rPr>
              <w:t>μS</w:t>
            </w:r>
            <w:proofErr w:type="spellEnd"/>
            <w:r w:rsidRPr="00A93300">
              <w:rPr>
                <w:rFonts w:ascii="Times New Roman" w:eastAsia="Times New Roman" w:hAnsi="Times New Roman" w:cs="Times New Roman"/>
                <w:sz w:val="24"/>
                <w:szCs w:val="24"/>
              </w:rPr>
              <w:t xml:space="preserve">/cm)  </w:t>
            </w:r>
          </w:p>
        </w:tc>
        <w:tc>
          <w:tcPr>
            <w:tcW w:w="1081" w:type="pct"/>
            <w:shd w:val="clear" w:color="auto" w:fill="auto"/>
            <w:hideMark/>
          </w:tcPr>
          <w:p w:rsidR="00437D3A" w:rsidRPr="00A93300" w:rsidRDefault="00437D3A" w:rsidP="000B54BF">
            <w:pPr>
              <w:spacing w:line="360" w:lineRule="auto"/>
              <w:ind w:left="14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93300">
              <w:rPr>
                <w:rFonts w:ascii="Times New Roman" w:hAnsi="Times New Roman" w:cs="Times New Roman"/>
                <w:bCs w:val="0"/>
                <w:sz w:val="24"/>
                <w:szCs w:val="24"/>
              </w:rPr>
              <w:t>Standard</w:t>
            </w:r>
          </w:p>
          <w:p w:rsidR="00437D3A" w:rsidRPr="00A93300" w:rsidRDefault="00437D3A" w:rsidP="000B54BF">
            <w:pPr>
              <w:spacing w:line="360" w:lineRule="auto"/>
              <w:ind w:left="14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3300">
              <w:rPr>
                <w:rFonts w:ascii="Times New Roman" w:hAnsi="Times New Roman" w:cs="Times New Roman"/>
                <w:bCs w:val="0"/>
                <w:sz w:val="24"/>
                <w:szCs w:val="24"/>
              </w:rPr>
              <w:t>Deviation (SD)</w:t>
            </w:r>
          </w:p>
        </w:tc>
        <w:tc>
          <w:tcPr>
            <w:tcW w:w="855" w:type="pct"/>
            <w:shd w:val="clear" w:color="auto" w:fill="auto"/>
            <w:hideMark/>
          </w:tcPr>
          <w:p w:rsidR="00437D3A" w:rsidRPr="00A93300" w:rsidRDefault="00437D3A" w:rsidP="000B54BF">
            <w:pPr>
              <w:spacing w:line="360" w:lineRule="auto"/>
              <w:ind w:left="14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A93300">
              <w:rPr>
                <w:rFonts w:ascii="Times New Roman" w:hAnsi="Times New Roman" w:cs="Times New Roman"/>
                <w:bCs w:val="0"/>
                <w:sz w:val="24"/>
                <w:szCs w:val="24"/>
              </w:rPr>
              <w:t>Standard</w:t>
            </w:r>
          </w:p>
          <w:p w:rsidR="00437D3A" w:rsidRPr="00A93300" w:rsidRDefault="00437D3A" w:rsidP="000B54BF">
            <w:pPr>
              <w:spacing w:line="360" w:lineRule="auto"/>
              <w:ind w:left="144"/>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3300">
              <w:rPr>
                <w:rFonts w:ascii="Times New Roman" w:hAnsi="Times New Roman" w:cs="Times New Roman"/>
                <w:bCs w:val="0"/>
                <w:sz w:val="24"/>
                <w:szCs w:val="24"/>
              </w:rPr>
              <w:t>Error (SE)</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104" w:type="pct"/>
            <w:vMerge w:val="restart"/>
            <w:shd w:val="clear" w:color="auto" w:fill="auto"/>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val="0"/>
                <w:sz w:val="24"/>
                <w:szCs w:val="24"/>
              </w:rPr>
              <w:t>T</w:t>
            </w:r>
            <w:r w:rsidRPr="00E459E6">
              <w:rPr>
                <w:rFonts w:ascii="Times New Roman" w:hAnsi="Times New Roman" w:cs="Times New Roman"/>
                <w:bCs w:val="0"/>
                <w:sz w:val="24"/>
                <w:szCs w:val="24"/>
                <w:vertAlign w:val="subscript"/>
              </w:rPr>
              <w:t>1</w:t>
            </w:r>
            <w:r w:rsidRPr="00E459E6">
              <w:rPr>
                <w:rFonts w:ascii="Times New Roman" w:hAnsi="Times New Roman" w:cs="Times New Roman"/>
                <w:bCs w:val="0"/>
                <w:sz w:val="24"/>
                <w:szCs w:val="24"/>
              </w:rPr>
              <w:t xml:space="preserve"> (0.0%) KCL</w:t>
            </w: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127.93</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2.06</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1.19</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135.77</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3.93</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2.27</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124.23</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3.69</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2.13</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val="restart"/>
            <w:shd w:val="clear" w:color="auto" w:fill="auto"/>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val="0"/>
                <w:sz w:val="24"/>
                <w:szCs w:val="24"/>
              </w:rPr>
              <w:t>T</w:t>
            </w:r>
            <w:r w:rsidRPr="00E459E6">
              <w:rPr>
                <w:rFonts w:ascii="Times New Roman" w:hAnsi="Times New Roman" w:cs="Times New Roman"/>
                <w:bCs w:val="0"/>
                <w:sz w:val="24"/>
                <w:szCs w:val="24"/>
                <w:vertAlign w:val="subscript"/>
              </w:rPr>
              <w:t>2</w:t>
            </w:r>
            <w:r w:rsidRPr="00E459E6">
              <w:rPr>
                <w:rFonts w:ascii="Times New Roman" w:hAnsi="Times New Roman" w:cs="Times New Roman"/>
                <w:bCs w:val="0"/>
                <w:sz w:val="24"/>
                <w:szCs w:val="24"/>
              </w:rPr>
              <w:t xml:space="preserve"> (0.5%) KCL</w:t>
            </w: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129.53</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5.08</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2.93</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137.27</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1.85</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128.70</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4.81</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2.78</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val="restart"/>
            <w:shd w:val="clear" w:color="auto" w:fill="auto"/>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val="0"/>
                <w:sz w:val="24"/>
                <w:szCs w:val="24"/>
              </w:rPr>
              <w:t>T</w:t>
            </w:r>
            <w:r w:rsidRPr="00E459E6">
              <w:rPr>
                <w:rFonts w:ascii="Times New Roman" w:hAnsi="Times New Roman" w:cs="Times New Roman"/>
                <w:bCs w:val="0"/>
                <w:sz w:val="24"/>
                <w:szCs w:val="24"/>
                <w:vertAlign w:val="subscript"/>
              </w:rPr>
              <w:t>3</w:t>
            </w:r>
            <w:r w:rsidRPr="00E459E6">
              <w:rPr>
                <w:rFonts w:ascii="Times New Roman" w:hAnsi="Times New Roman" w:cs="Times New Roman"/>
                <w:bCs w:val="0"/>
                <w:sz w:val="24"/>
                <w:szCs w:val="24"/>
              </w:rPr>
              <w:t xml:space="preserve"> (1.0%) KCL</w:t>
            </w: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136.87</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5.14</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2.97</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145.03</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2.51</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1.45</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133.07</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6.03</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3.48</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val="restart"/>
            <w:shd w:val="clear" w:color="auto" w:fill="auto"/>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val="0"/>
                <w:sz w:val="24"/>
                <w:szCs w:val="24"/>
              </w:rPr>
              <w:t>T</w:t>
            </w:r>
            <w:r w:rsidRPr="00E459E6">
              <w:rPr>
                <w:rFonts w:ascii="Times New Roman" w:hAnsi="Times New Roman" w:cs="Times New Roman"/>
                <w:bCs w:val="0"/>
                <w:sz w:val="24"/>
                <w:szCs w:val="24"/>
                <w:vertAlign w:val="subscript"/>
              </w:rPr>
              <w:t>4</w:t>
            </w:r>
            <w:r w:rsidRPr="00E459E6">
              <w:rPr>
                <w:rFonts w:ascii="Times New Roman" w:hAnsi="Times New Roman" w:cs="Times New Roman"/>
                <w:bCs w:val="0"/>
                <w:sz w:val="24"/>
                <w:szCs w:val="24"/>
              </w:rPr>
              <w:t xml:space="preserve"> (1.5% KCL)</w:t>
            </w: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140.60</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2.94</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1.70</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155.47</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6.43</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3.71</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141.67</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3.40</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1.96</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val="restart"/>
            <w:shd w:val="clear" w:color="auto" w:fill="auto"/>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val="0"/>
                <w:sz w:val="24"/>
                <w:szCs w:val="24"/>
              </w:rPr>
              <w:t>T</w:t>
            </w:r>
            <w:r w:rsidRPr="00E459E6">
              <w:rPr>
                <w:rFonts w:ascii="Times New Roman" w:hAnsi="Times New Roman" w:cs="Times New Roman"/>
                <w:bCs w:val="0"/>
                <w:sz w:val="24"/>
                <w:szCs w:val="24"/>
                <w:vertAlign w:val="subscript"/>
              </w:rPr>
              <w:t>5</w:t>
            </w:r>
            <w:r w:rsidRPr="00E459E6">
              <w:rPr>
                <w:rFonts w:ascii="Times New Roman" w:hAnsi="Times New Roman" w:cs="Times New Roman"/>
                <w:bCs w:val="0"/>
                <w:sz w:val="24"/>
                <w:szCs w:val="24"/>
              </w:rPr>
              <w:t xml:space="preserve"> (2.0% KCL)</w:t>
            </w: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143.10</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5.99</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3.46</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158.47</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5.67</w:t>
            </w:r>
          </w:p>
        </w:tc>
        <w:tc>
          <w:tcPr>
            <w:tcW w:w="855" w:type="pct"/>
            <w:shd w:val="clear" w:color="auto" w:fill="auto"/>
            <w:hideMark/>
          </w:tcPr>
          <w:p w:rsidR="00437D3A" w:rsidRPr="005B1277" w:rsidRDefault="00437D3A" w:rsidP="000B54BF">
            <w:pPr>
              <w:tabs>
                <w:tab w:val="center" w:pos="1103"/>
              </w:tabs>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3.27</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151.80</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5.29</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3.05</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val="restart"/>
            <w:shd w:val="clear" w:color="auto" w:fill="auto"/>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val="0"/>
                <w:sz w:val="24"/>
                <w:szCs w:val="24"/>
              </w:rPr>
              <w:t>T</w:t>
            </w:r>
            <w:r w:rsidRPr="00E459E6">
              <w:rPr>
                <w:rFonts w:ascii="Times New Roman" w:hAnsi="Times New Roman" w:cs="Times New Roman"/>
                <w:bCs w:val="0"/>
                <w:sz w:val="24"/>
                <w:szCs w:val="24"/>
                <w:vertAlign w:val="subscript"/>
              </w:rPr>
              <w:t xml:space="preserve">6 </w:t>
            </w:r>
            <w:r w:rsidRPr="00E459E6">
              <w:rPr>
                <w:rFonts w:ascii="Times New Roman" w:hAnsi="Times New Roman" w:cs="Times New Roman"/>
                <w:bCs w:val="0"/>
                <w:sz w:val="24"/>
                <w:szCs w:val="24"/>
              </w:rPr>
              <w:t>(3.0% KCL)</w:t>
            </w:r>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154.13</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3.36</w:t>
            </w:r>
          </w:p>
        </w:tc>
        <w:tc>
          <w:tcPr>
            <w:tcW w:w="855"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1.94</w:t>
            </w:r>
          </w:p>
        </w:tc>
      </w:tr>
      <w:tr w:rsidR="00437D3A" w:rsidRPr="005B1277" w:rsidTr="00A93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163.27</w:t>
            </w:r>
          </w:p>
        </w:tc>
        <w:tc>
          <w:tcPr>
            <w:tcW w:w="1081"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5.55</w:t>
            </w:r>
          </w:p>
        </w:tc>
        <w:tc>
          <w:tcPr>
            <w:tcW w:w="855" w:type="pct"/>
            <w:shd w:val="clear" w:color="auto" w:fill="auto"/>
            <w:hideMark/>
          </w:tcPr>
          <w:p w:rsidR="00437D3A" w:rsidRPr="005B1277" w:rsidRDefault="00437D3A" w:rsidP="000B54BF">
            <w:pPr>
              <w:spacing w:line="360" w:lineRule="auto"/>
              <w:ind w:left="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3.21</w:t>
            </w:r>
          </w:p>
        </w:tc>
      </w:tr>
      <w:tr w:rsidR="00437D3A" w:rsidRPr="005B1277" w:rsidTr="00A93300">
        <w:tc>
          <w:tcPr>
            <w:cnfStyle w:val="001000000000" w:firstRow="0" w:lastRow="0" w:firstColumn="1" w:lastColumn="0" w:oddVBand="0" w:evenVBand="0" w:oddHBand="0" w:evenHBand="0" w:firstRowFirstColumn="0" w:firstRowLastColumn="0" w:lastRowFirstColumn="0" w:lastRowLastColumn="0"/>
            <w:tcW w:w="1104" w:type="pct"/>
            <w:vMerge/>
            <w:shd w:val="clear" w:color="auto" w:fill="auto"/>
            <w:hideMark/>
          </w:tcPr>
          <w:p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commentRangeStart w:id="12"/>
          </w:p>
        </w:tc>
        <w:tc>
          <w:tcPr>
            <w:tcW w:w="110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159.10</w:t>
            </w:r>
          </w:p>
        </w:tc>
        <w:tc>
          <w:tcPr>
            <w:tcW w:w="1081" w:type="pct"/>
            <w:shd w:val="clear" w:color="auto" w:fill="auto"/>
            <w:hideMark/>
          </w:tcPr>
          <w:p w:rsidR="00437D3A" w:rsidRPr="005B1277" w:rsidRDefault="00437D3A" w:rsidP="000B54BF">
            <w:pPr>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shd w:val="clear" w:color="auto" w:fill="auto"/>
            <w:hideMark/>
          </w:tcPr>
          <w:p w:rsidR="00437D3A" w:rsidRPr="005B1277" w:rsidRDefault="00437D3A" w:rsidP="000B54BF">
            <w:pPr>
              <w:tabs>
                <w:tab w:val="center" w:pos="1103"/>
              </w:tabs>
              <w:spacing w:line="360" w:lineRule="auto"/>
              <w:ind w:left="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1277">
              <w:rPr>
                <w:rFonts w:ascii="Times New Roman" w:hAnsi="Times New Roman" w:cs="Times New Roman"/>
                <w:sz w:val="24"/>
                <w:szCs w:val="24"/>
              </w:rPr>
              <w:t>1.85</w:t>
            </w:r>
            <w:commentRangeEnd w:id="12"/>
            <w:r w:rsidR="00A93300">
              <w:rPr>
                <w:rStyle w:val="CommentReference"/>
              </w:rPr>
              <w:commentReference w:id="12"/>
            </w:r>
          </w:p>
        </w:tc>
      </w:tr>
    </w:tbl>
    <w:p w:rsidR="00437D3A" w:rsidRPr="005B1277" w:rsidRDefault="00437D3A" w:rsidP="000B54BF">
      <w:pPr>
        <w:spacing w:line="360" w:lineRule="auto"/>
        <w:ind w:left="0"/>
        <w:rPr>
          <w:rFonts w:ascii="Times New Roman" w:hAnsi="Times New Roman" w:cs="Times New Roman"/>
          <w:sz w:val="24"/>
          <w:szCs w:val="24"/>
        </w:rPr>
      </w:pPr>
    </w:p>
    <w:p w:rsidR="00FF2CCD" w:rsidRDefault="00FF2CCD" w:rsidP="000B54BF">
      <w:pPr>
        <w:spacing w:line="360" w:lineRule="auto"/>
        <w:ind w:left="0"/>
        <w:rPr>
          <w:rFonts w:ascii="Times New Roman" w:hAnsi="Times New Roman" w:cs="Times New Roman"/>
          <w:b/>
          <w:bCs/>
          <w:sz w:val="24"/>
          <w:szCs w:val="24"/>
        </w:rPr>
      </w:pPr>
    </w:p>
    <w:p w:rsidR="00FF2CCD" w:rsidRDefault="00FF2CCD" w:rsidP="000B54BF">
      <w:pPr>
        <w:spacing w:line="360" w:lineRule="auto"/>
        <w:ind w:left="0"/>
        <w:rPr>
          <w:rFonts w:ascii="Times New Roman" w:hAnsi="Times New Roman" w:cs="Times New Roman"/>
          <w:b/>
          <w:bCs/>
          <w:sz w:val="24"/>
          <w:szCs w:val="24"/>
        </w:rPr>
      </w:pPr>
    </w:p>
    <w:p w:rsidR="00FF2CCD" w:rsidRDefault="00FF2CCD" w:rsidP="000B54BF">
      <w:pPr>
        <w:spacing w:line="360" w:lineRule="auto"/>
        <w:ind w:left="0"/>
        <w:rPr>
          <w:rFonts w:ascii="Times New Roman" w:hAnsi="Times New Roman" w:cs="Times New Roman"/>
          <w:b/>
          <w:bCs/>
          <w:sz w:val="24"/>
          <w:szCs w:val="24"/>
        </w:rPr>
      </w:pPr>
    </w:p>
    <w:p w:rsidR="00FF2CCD" w:rsidRDefault="00FF2CCD" w:rsidP="000B54BF">
      <w:pPr>
        <w:spacing w:line="360" w:lineRule="auto"/>
        <w:ind w:left="0"/>
        <w:rPr>
          <w:rFonts w:ascii="Times New Roman" w:hAnsi="Times New Roman" w:cs="Times New Roman"/>
          <w:b/>
          <w:bCs/>
          <w:sz w:val="24"/>
          <w:szCs w:val="24"/>
        </w:rPr>
      </w:pPr>
    </w:p>
    <w:p w:rsidR="00437D3A" w:rsidRPr="008539A4" w:rsidRDefault="00437D3A" w:rsidP="000B54BF">
      <w:pPr>
        <w:spacing w:line="360" w:lineRule="auto"/>
        <w:ind w:left="0"/>
        <w:rPr>
          <w:rFonts w:ascii="Times New Roman" w:hAnsi="Times New Roman" w:cs="Times New Roman"/>
          <w:b/>
          <w:bCs/>
          <w:sz w:val="24"/>
          <w:szCs w:val="24"/>
        </w:rPr>
      </w:pPr>
      <w:commentRangeStart w:id="13"/>
      <w:r w:rsidRPr="008539A4">
        <w:rPr>
          <w:rFonts w:ascii="Times New Roman" w:hAnsi="Times New Roman" w:cs="Times New Roman"/>
          <w:b/>
          <w:bCs/>
          <w:sz w:val="24"/>
          <w:szCs w:val="24"/>
        </w:rPr>
        <w:lastRenderedPageBreak/>
        <w:t>Table 2: Effect of Crop and Seed Vigour on Electrical Conductivity (EC)</w:t>
      </w:r>
      <w:commentRangeEnd w:id="13"/>
      <w:r w:rsidR="00FF2CCD">
        <w:rPr>
          <w:rStyle w:val="CommentReference"/>
        </w:rPr>
        <w:commentReference w:id="13"/>
      </w:r>
    </w:p>
    <w:tbl>
      <w:tblPr>
        <w:tblStyle w:val="TableGrid"/>
        <w:tblW w:w="5000" w:type="pct"/>
        <w:tblLook w:val="04A0" w:firstRow="1" w:lastRow="0" w:firstColumn="1" w:lastColumn="0" w:noHBand="0" w:noVBand="1"/>
      </w:tblPr>
      <w:tblGrid>
        <w:gridCol w:w="2088"/>
        <w:gridCol w:w="1800"/>
        <w:gridCol w:w="1800"/>
        <w:gridCol w:w="1710"/>
        <w:gridCol w:w="2178"/>
      </w:tblGrid>
      <w:tr w:rsidR="00437D3A" w:rsidRPr="00490567" w:rsidTr="000B54BF">
        <w:tc>
          <w:tcPr>
            <w:tcW w:w="109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Treatments</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Crop</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b/>
                <w:bCs/>
                <w:sz w:val="24"/>
                <w:szCs w:val="24"/>
              </w:rPr>
            </w:pPr>
            <w:r w:rsidRPr="00490567">
              <w:rPr>
                <w:rFonts w:ascii="Times New Roman" w:hAnsi="Times New Roman" w:cs="Times New Roman"/>
                <w:b/>
                <w:bCs/>
                <w:sz w:val="24"/>
                <w:szCs w:val="24"/>
              </w:rPr>
              <w:t xml:space="preserve">Vigour </w:t>
            </w:r>
          </w:p>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Category</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Mean EC (</w:t>
            </w:r>
            <w:proofErr w:type="spellStart"/>
            <w:r w:rsidRPr="00490567">
              <w:rPr>
                <w:rFonts w:ascii="Times New Roman" w:hAnsi="Times New Roman" w:cs="Times New Roman"/>
                <w:b/>
                <w:bCs/>
                <w:sz w:val="24"/>
                <w:szCs w:val="24"/>
              </w:rPr>
              <w:t>μS</w:t>
            </w:r>
            <w:proofErr w:type="spellEnd"/>
            <w:r w:rsidRPr="00490567">
              <w:rPr>
                <w:rFonts w:ascii="Times New Roman" w:hAnsi="Times New Roman" w:cs="Times New Roman"/>
                <w:b/>
                <w:bCs/>
                <w:sz w:val="24"/>
                <w:szCs w:val="24"/>
              </w:rPr>
              <w:t>/cm)</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Significance (DMRT)*</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1</w:t>
            </w:r>
            <w:r w:rsidRPr="00490567">
              <w:rPr>
                <w:rFonts w:ascii="Times New Roman" w:hAnsi="Times New Roman" w:cs="Times New Roman"/>
                <w:bCs/>
                <w:sz w:val="24"/>
                <w:szCs w:val="24"/>
              </w:rPr>
              <w:t xml:space="preserve"> (0.0%)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Ragi</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180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d</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2</w:t>
            </w:r>
            <w:r w:rsidRPr="00490567">
              <w:rPr>
                <w:rFonts w:ascii="Times New Roman" w:hAnsi="Times New Roman" w:cs="Times New Roman"/>
                <w:bCs/>
                <w:sz w:val="24"/>
                <w:szCs w:val="24"/>
              </w:rPr>
              <w:t xml:space="preserve"> (0.5%)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250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3</w:t>
            </w:r>
            <w:r w:rsidRPr="00490567">
              <w:rPr>
                <w:rFonts w:ascii="Times New Roman" w:hAnsi="Times New Roman" w:cs="Times New Roman"/>
                <w:bCs/>
                <w:sz w:val="24"/>
                <w:szCs w:val="24"/>
              </w:rPr>
              <w:t xml:space="preserve"> (1.0%)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280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4</w:t>
            </w:r>
            <w:r w:rsidRPr="00490567">
              <w:rPr>
                <w:rFonts w:ascii="Times New Roman" w:hAnsi="Times New Roman" w:cs="Times New Roman"/>
                <w:bCs/>
                <w:sz w:val="24"/>
                <w:szCs w:val="24"/>
              </w:rPr>
              <w:t xml:space="preserve"> (1.5%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400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5</w:t>
            </w:r>
            <w:r w:rsidRPr="00490567">
              <w:rPr>
                <w:rFonts w:ascii="Times New Roman" w:hAnsi="Times New Roman" w:cs="Times New Roman"/>
                <w:bCs/>
                <w:sz w:val="24"/>
                <w:szCs w:val="24"/>
              </w:rPr>
              <w:t xml:space="preserve"> (2.0%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320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 xml:space="preserve">6 </w:t>
            </w:r>
            <w:r w:rsidRPr="00490567">
              <w:rPr>
                <w:rFonts w:ascii="Times New Roman" w:hAnsi="Times New Roman" w:cs="Times New Roman"/>
                <w:bCs/>
                <w:sz w:val="24"/>
                <w:szCs w:val="24"/>
              </w:rPr>
              <w:t>(3.0%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500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a</w:t>
            </w:r>
          </w:p>
        </w:tc>
      </w:tr>
      <w:tr w:rsidR="00437D3A" w:rsidRPr="00490567" w:rsidTr="000B54BF">
        <w:tc>
          <w:tcPr>
            <w:tcW w:w="2970" w:type="pct"/>
            <w:gridSpan w:val="3"/>
            <w:vAlign w:val="center"/>
            <w:hideMark/>
          </w:tcPr>
          <w:p w:rsidR="00437D3A" w:rsidRPr="00490567" w:rsidRDefault="00437D3A" w:rsidP="000B54BF">
            <w:pPr>
              <w:spacing w:line="360" w:lineRule="auto"/>
              <w:ind w:left="0"/>
              <w:jc w:val="right"/>
              <w:rPr>
                <w:rFonts w:ascii="Times New Roman" w:hAnsi="Times New Roman" w:cs="Times New Roman"/>
                <w:b/>
                <w:sz w:val="24"/>
                <w:szCs w:val="24"/>
              </w:rPr>
            </w:pPr>
            <w:proofErr w:type="spellStart"/>
            <w:r w:rsidRPr="00490567">
              <w:rPr>
                <w:rFonts w:ascii="Times New Roman" w:hAnsi="Times New Roman" w:cs="Times New Roman"/>
                <w:b/>
                <w:bCs/>
                <w:sz w:val="24"/>
                <w:szCs w:val="24"/>
              </w:rPr>
              <w:t>SEm</w:t>
            </w:r>
            <w:proofErr w:type="spellEnd"/>
            <w:r w:rsidRPr="00490567">
              <w:rPr>
                <w:rFonts w:ascii="Times New Roman" w:hAnsi="Times New Roman" w:cs="Times New Roman"/>
                <w:b/>
                <w:bCs/>
                <w:sz w:val="24"/>
                <w:szCs w:val="24"/>
              </w:rPr>
              <w:t xml:space="preserve"> (±)</w:t>
            </w:r>
          </w:p>
        </w:tc>
        <w:tc>
          <w:tcPr>
            <w:tcW w:w="2030" w:type="pct"/>
            <w:gridSpan w:val="2"/>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12.4</w:t>
            </w:r>
          </w:p>
        </w:tc>
      </w:tr>
      <w:tr w:rsidR="00437D3A" w:rsidRPr="00490567" w:rsidTr="000B54BF">
        <w:tc>
          <w:tcPr>
            <w:tcW w:w="2970" w:type="pct"/>
            <w:gridSpan w:val="3"/>
            <w:vAlign w:val="center"/>
            <w:hideMark/>
          </w:tcPr>
          <w:p w:rsidR="00437D3A" w:rsidRPr="00490567" w:rsidRDefault="00437D3A" w:rsidP="000B54BF">
            <w:pPr>
              <w:spacing w:line="360" w:lineRule="auto"/>
              <w:ind w:left="0"/>
              <w:jc w:val="right"/>
              <w:rPr>
                <w:rFonts w:ascii="Times New Roman" w:hAnsi="Times New Roman" w:cs="Times New Roman"/>
                <w:b/>
                <w:sz w:val="24"/>
                <w:szCs w:val="24"/>
              </w:rPr>
            </w:pPr>
            <w:r w:rsidRPr="00490567">
              <w:rPr>
                <w:rFonts w:ascii="Times New Roman" w:hAnsi="Times New Roman" w:cs="Times New Roman"/>
                <w:b/>
                <w:bCs/>
                <w:sz w:val="24"/>
                <w:szCs w:val="24"/>
              </w:rPr>
              <w:t>CD (p=0.05)</w:t>
            </w:r>
          </w:p>
        </w:tc>
        <w:tc>
          <w:tcPr>
            <w:tcW w:w="2030" w:type="pct"/>
            <w:gridSpan w:val="2"/>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38.2</w:t>
            </w:r>
          </w:p>
        </w:tc>
      </w:tr>
    </w:tbl>
    <w:p w:rsidR="00437D3A" w:rsidRPr="005B1277"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 xml:space="preserve">The investigation into seed leachate dynamics revealed that electrical conductivity (EC) was significantly influenced by both the crop species and the initial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status</w:t>
      </w:r>
      <w:r w:rsidRPr="008539A4">
        <w:rPr>
          <w:rFonts w:ascii="Times New Roman" w:eastAsia="Times New Roman" w:hAnsi="Times New Roman" w:cs="Times New Roman"/>
          <w:sz w:val="24"/>
          <w:szCs w:val="24"/>
        </w:rPr>
        <w:t xml:space="preserve"> (p &lt; 0.05)</w:t>
      </w:r>
      <w:r w:rsidRPr="005B1277">
        <w:rPr>
          <w:rFonts w:ascii="Times New Roman" w:eastAsia="Times New Roman" w:hAnsi="Times New Roman" w:cs="Times New Roman"/>
          <w:sz w:val="24"/>
          <w:szCs w:val="24"/>
        </w:rPr>
        <w:t xml:space="preserve">. The lowest electrolyte leakage was recorded in </w:t>
      </w:r>
      <w:proofErr w:type="spellStart"/>
      <w:r w:rsidRPr="005B1277">
        <w:rPr>
          <w:rFonts w:ascii="Times New Roman" w:eastAsia="Times New Roman" w:hAnsi="Times New Roman" w:cs="Times New Roman"/>
          <w:bCs/>
          <w:sz w:val="24"/>
          <w:szCs w:val="24"/>
        </w:rPr>
        <w:t>Ragi</w:t>
      </w:r>
      <w:proofErr w:type="spellEnd"/>
      <w:r w:rsidRPr="005B1277">
        <w:rPr>
          <w:rFonts w:ascii="Times New Roman" w:eastAsia="Times New Roman" w:hAnsi="Times New Roman" w:cs="Times New Roman"/>
          <w:bCs/>
          <w:sz w:val="24"/>
          <w:szCs w:val="24"/>
        </w:rPr>
        <w:t xml:space="preserve"> (High </w:t>
      </w:r>
      <w:proofErr w:type="spellStart"/>
      <w:r w:rsidRPr="005B1277">
        <w:rPr>
          <w:rFonts w:ascii="Times New Roman" w:eastAsia="Times New Roman" w:hAnsi="Times New Roman" w:cs="Times New Roman"/>
          <w:bCs/>
          <w:sz w:val="24"/>
          <w:szCs w:val="24"/>
        </w:rPr>
        <w:t>Vigour</w:t>
      </w:r>
      <w:proofErr w:type="spellEnd"/>
      <w:r w:rsidRPr="005B1277">
        <w:rPr>
          <w:rFonts w:ascii="Times New Roman" w:eastAsia="Times New Roman" w:hAnsi="Times New Roman" w:cs="Times New Roman"/>
          <w:bCs/>
          <w:sz w:val="24"/>
          <w:szCs w:val="24"/>
        </w:rPr>
        <w:t>)</w:t>
      </w:r>
      <w:r w:rsidRPr="005B1277">
        <w:rPr>
          <w:rFonts w:ascii="Times New Roman" w:eastAsia="Times New Roman" w:hAnsi="Times New Roman" w:cs="Times New Roman"/>
          <w:sz w:val="24"/>
          <w:szCs w:val="24"/>
        </w:rPr>
        <w:t xml:space="preserve"> at </w:t>
      </w:r>
      <w:r w:rsidRPr="008539A4">
        <w:rPr>
          <w:rFonts w:ascii="Times New Roman" w:eastAsia="Times New Roman" w:hAnsi="Times New Roman" w:cs="Times New Roman"/>
          <w:sz w:val="24"/>
          <w:szCs w:val="24"/>
        </w:rPr>
        <w:t>180</w:t>
      </w:r>
      <w:r w:rsidRPr="008539A4">
        <w:t xml:space="preserve"> </w:t>
      </w:r>
      <w:proofErr w:type="spellStart"/>
      <w:r w:rsidRPr="008539A4">
        <w:rPr>
          <w:rFonts w:ascii="Times New Roman" w:eastAsia="Times New Roman" w:hAnsi="Times New Roman" w:cs="Times New Roman"/>
          <w:sz w:val="24"/>
          <w:szCs w:val="24"/>
        </w:rPr>
        <w:t>μS</w:t>
      </w:r>
      <w:proofErr w:type="spellEnd"/>
      <w:r w:rsidRPr="008539A4">
        <w:rPr>
          <w:rFonts w:ascii="Times New Roman" w:eastAsia="Times New Roman" w:hAnsi="Times New Roman" w:cs="Times New Roman"/>
          <w:sz w:val="24"/>
          <w:szCs w:val="24"/>
        </w:rPr>
        <w:t xml:space="preserve">/cm) </w:t>
      </w:r>
      <w:r w:rsidRPr="005B1277">
        <w:rPr>
          <w:rFonts w:ascii="Times New Roman" w:eastAsia="Times New Roman" w:hAnsi="Times New Roman" w:cs="Times New Roman"/>
          <w:sz w:val="24"/>
          <w:szCs w:val="24"/>
        </w:rPr>
        <w:t>(T</w:t>
      </w:r>
      <w:r w:rsidRPr="005B1277">
        <w:rPr>
          <w:rFonts w:ascii="Times New Roman" w:eastAsia="Times New Roman" w:hAnsi="Times New Roman" w:cs="Times New Roman"/>
          <w:sz w:val="24"/>
          <w:szCs w:val="24"/>
          <w:vertAlign w:val="subscript"/>
        </w:rPr>
        <w:t>1</w:t>
      </w:r>
      <w:r w:rsidRPr="005B1277">
        <w:rPr>
          <w:rFonts w:ascii="Times New Roman" w:eastAsia="Times New Roman" w:hAnsi="Times New Roman" w:cs="Times New Roman"/>
          <w:sz w:val="24"/>
          <w:szCs w:val="24"/>
        </w:rPr>
        <w:t xml:space="preserve">), which established a statistically superior baseline for membrane integrity. In contrast, the maximum EC value of </w:t>
      </w:r>
      <w:r w:rsidRPr="008539A4">
        <w:rPr>
          <w:rFonts w:ascii="Times New Roman" w:eastAsia="Times New Roman" w:hAnsi="Times New Roman" w:cs="Times New Roman"/>
          <w:sz w:val="24"/>
          <w:szCs w:val="24"/>
        </w:rPr>
        <w:t xml:space="preserve">500 </w:t>
      </w:r>
      <w:proofErr w:type="spellStart"/>
      <w:r w:rsidRPr="008539A4">
        <w:rPr>
          <w:rFonts w:ascii="Arial" w:hAnsi="Arial" w:cs="Arial"/>
          <w:color w:val="474747"/>
          <w:sz w:val="21"/>
          <w:szCs w:val="21"/>
          <w:shd w:val="clear" w:color="auto" w:fill="FFFFFF"/>
        </w:rPr>
        <w:t>μS</w:t>
      </w:r>
      <w:proofErr w:type="spellEnd"/>
      <w:r w:rsidRPr="008539A4">
        <w:rPr>
          <w:rFonts w:ascii="Arial" w:hAnsi="Arial" w:cs="Arial"/>
          <w:color w:val="474747"/>
          <w:sz w:val="21"/>
          <w:szCs w:val="21"/>
          <w:shd w:val="clear" w:color="auto" w:fill="FFFFFF"/>
        </w:rPr>
        <w:t>/</w:t>
      </w:r>
      <w:r w:rsidRPr="008539A4">
        <w:rPr>
          <w:rStyle w:val="Emphasis"/>
          <w:rFonts w:ascii="Arial" w:hAnsi="Arial" w:cs="Arial"/>
          <w:bCs/>
          <w:i w:val="0"/>
          <w:iCs w:val="0"/>
          <w:color w:val="767676"/>
          <w:sz w:val="21"/>
          <w:szCs w:val="21"/>
          <w:shd w:val="clear" w:color="auto" w:fill="FFFFFF"/>
        </w:rPr>
        <w:t>cm</w:t>
      </w:r>
      <w:r w:rsidRPr="008539A4">
        <w:rPr>
          <w:rFonts w:ascii="Arial" w:hAnsi="Arial" w:cs="Arial"/>
          <w:color w:val="474747"/>
          <w:sz w:val="21"/>
          <w:szCs w:val="21"/>
          <w:shd w:val="clear" w:color="auto" w:fill="FFFFFF"/>
        </w:rPr>
        <w:t> </w:t>
      </w:r>
      <w:r w:rsidRPr="005B1277">
        <w:rPr>
          <w:rFonts w:ascii="Times New Roman" w:eastAsia="Times New Roman" w:hAnsi="Times New Roman" w:cs="Times New Roman"/>
          <w:sz w:val="24"/>
          <w:szCs w:val="24"/>
        </w:rPr>
        <w:t xml:space="preserve">was observed in </w:t>
      </w:r>
      <w:r w:rsidRPr="005B1277">
        <w:rPr>
          <w:rFonts w:ascii="Times New Roman" w:eastAsia="Times New Roman" w:hAnsi="Times New Roman" w:cs="Times New Roman"/>
          <w:bCs/>
          <w:sz w:val="24"/>
          <w:szCs w:val="24"/>
        </w:rPr>
        <w:t xml:space="preserve">White </w:t>
      </w:r>
      <w:proofErr w:type="spellStart"/>
      <w:r w:rsidRPr="005B1277">
        <w:rPr>
          <w:rFonts w:ascii="Times New Roman" w:eastAsia="Times New Roman" w:hAnsi="Times New Roman" w:cs="Times New Roman"/>
          <w:bCs/>
          <w:sz w:val="24"/>
          <w:szCs w:val="24"/>
        </w:rPr>
        <w:t>Cholam</w:t>
      </w:r>
      <w:proofErr w:type="spellEnd"/>
      <w:r w:rsidRPr="005B1277">
        <w:rPr>
          <w:rFonts w:ascii="Times New Roman" w:eastAsia="Times New Roman" w:hAnsi="Times New Roman" w:cs="Times New Roman"/>
          <w:bCs/>
          <w:sz w:val="24"/>
          <w:szCs w:val="24"/>
        </w:rPr>
        <w:t xml:space="preserve"> (Low </w:t>
      </w:r>
      <w:proofErr w:type="spellStart"/>
      <w:r w:rsidRPr="005B1277">
        <w:rPr>
          <w:rFonts w:ascii="Times New Roman" w:eastAsia="Times New Roman" w:hAnsi="Times New Roman" w:cs="Times New Roman"/>
          <w:bCs/>
          <w:sz w:val="24"/>
          <w:szCs w:val="24"/>
        </w:rPr>
        <w:t>Vigour</w:t>
      </w:r>
      <w:proofErr w:type="spellEnd"/>
      <w:r w:rsidRPr="005B1277">
        <w:rPr>
          <w:rFonts w:ascii="Times New Roman" w:eastAsia="Times New Roman" w:hAnsi="Times New Roman" w:cs="Times New Roman"/>
          <w:bCs/>
          <w:sz w:val="24"/>
          <w:szCs w:val="24"/>
        </w:rPr>
        <w:t>)</w:t>
      </w:r>
      <w:r w:rsidRPr="005B1277">
        <w:rPr>
          <w:rFonts w:ascii="Times New Roman" w:eastAsia="Times New Roman" w:hAnsi="Times New Roman" w:cs="Times New Roman"/>
          <w:sz w:val="24"/>
          <w:szCs w:val="24"/>
        </w:rPr>
        <w:t xml:space="preserve"> under 3.0% </w:t>
      </w:r>
      <w:proofErr w:type="spellStart"/>
      <w:r w:rsidRPr="005B1277">
        <w:rPr>
          <w:rFonts w:ascii="Times New Roman" w:eastAsia="Times New Roman" w:hAnsi="Times New Roman" w:cs="Times New Roman"/>
          <w:sz w:val="24"/>
          <w:szCs w:val="24"/>
        </w:rPr>
        <w:t>KCl</w:t>
      </w:r>
      <w:proofErr w:type="spellEnd"/>
      <w:r w:rsidRPr="005B1277">
        <w:rPr>
          <w:rFonts w:ascii="Times New Roman" w:eastAsia="Times New Roman" w:hAnsi="Times New Roman" w:cs="Times New Roman"/>
          <w:sz w:val="24"/>
          <w:szCs w:val="24"/>
        </w:rPr>
        <w:t xml:space="preserve"> treatment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A progressive increase in conductivity was noted across the sorghum varieties; specifically,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exhibited higher leaching rates than </w:t>
      </w:r>
      <w:proofErr w:type="spellStart"/>
      <w:r w:rsidRPr="005B1277">
        <w:rPr>
          <w:rFonts w:ascii="Times New Roman" w:eastAsia="Times New Roman" w:hAnsi="Times New Roman" w:cs="Times New Roman"/>
          <w:bCs/>
          <w:sz w:val="24"/>
          <w:szCs w:val="24"/>
        </w:rPr>
        <w:t>Sen</w:t>
      </w:r>
      <w:proofErr w:type="spellEnd"/>
      <w:r w:rsidRPr="005B1277">
        <w:rPr>
          <w:rFonts w:ascii="Times New Roman" w:eastAsia="Times New Roman" w:hAnsi="Times New Roman" w:cs="Times New Roman"/>
          <w:bCs/>
          <w:sz w:val="24"/>
          <w:szCs w:val="24"/>
        </w:rPr>
        <w:t xml:space="preserve"> </w:t>
      </w:r>
      <w:proofErr w:type="spellStart"/>
      <w:r w:rsidRPr="005B1277">
        <w:rPr>
          <w:rFonts w:ascii="Times New Roman" w:eastAsia="Times New Roman" w:hAnsi="Times New Roman" w:cs="Times New Roman"/>
          <w:bCs/>
          <w:sz w:val="24"/>
          <w:szCs w:val="24"/>
        </w:rPr>
        <w:t>Cholam</w:t>
      </w:r>
      <w:proofErr w:type="spellEnd"/>
      <w:r w:rsidRPr="005B1277">
        <w:rPr>
          <w:rFonts w:ascii="Times New Roman" w:eastAsia="Times New Roman" w:hAnsi="Times New Roman" w:cs="Times New Roman"/>
          <w:sz w:val="24"/>
          <w:szCs w:val="24"/>
        </w:rPr>
        <w:t xml:space="preserve"> at comparable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levels. The high Critical Difference (</w:t>
      </w:r>
      <w:r w:rsidRPr="008539A4">
        <w:rPr>
          <w:rFonts w:ascii="Times New Roman" w:eastAsia="Times New Roman" w:hAnsi="Times New Roman" w:cs="Times New Roman"/>
          <w:sz w:val="24"/>
          <w:szCs w:val="24"/>
        </w:rPr>
        <w:t>CD = 38.2</w:t>
      </w:r>
      <w:r w:rsidRPr="005B1277">
        <w:rPr>
          <w:rFonts w:ascii="Times New Roman" w:eastAsia="Times New Roman" w:hAnsi="Times New Roman" w:cs="Times New Roman"/>
          <w:sz w:val="24"/>
          <w:szCs w:val="24"/>
        </w:rPr>
        <w:t xml:space="preserve">) underscores the distinct physiological response of each treatment, particularly highlighting the sharp decline in membrane stability as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shifted from medium to low categories in the presence of increasing </w:t>
      </w:r>
      <w:proofErr w:type="spellStart"/>
      <w:r w:rsidRPr="005B1277">
        <w:rPr>
          <w:rFonts w:ascii="Times New Roman" w:eastAsia="Times New Roman" w:hAnsi="Times New Roman" w:cs="Times New Roman"/>
          <w:sz w:val="24"/>
          <w:szCs w:val="24"/>
        </w:rPr>
        <w:t>KCl</w:t>
      </w:r>
      <w:proofErr w:type="spellEnd"/>
      <w:r w:rsidRPr="005B1277">
        <w:rPr>
          <w:rFonts w:ascii="Times New Roman" w:eastAsia="Times New Roman" w:hAnsi="Times New Roman" w:cs="Times New Roman"/>
          <w:sz w:val="24"/>
          <w:szCs w:val="24"/>
        </w:rPr>
        <w:t xml:space="preserve"> concentrations.</w:t>
      </w:r>
      <w:r>
        <w:rPr>
          <w:rFonts w:ascii="Times New Roman" w:eastAsia="Times New Roman" w:hAnsi="Times New Roman" w:cs="Times New Roman"/>
          <w:sz w:val="24"/>
          <w:szCs w:val="24"/>
        </w:rPr>
        <w:t xml:space="preserve"> </w:t>
      </w:r>
    </w:p>
    <w:p w:rsidR="000B54BF"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 xml:space="preserve">The observed variations in EC serve as a direct quantitative measure of seed membrane reorganization during the imbibition phase. According to the foundational principles established by </w:t>
      </w:r>
      <w:r w:rsidRPr="005B1277">
        <w:rPr>
          <w:rFonts w:ascii="Times New Roman" w:eastAsia="Times New Roman" w:hAnsi="Times New Roman" w:cs="Times New Roman"/>
          <w:bCs/>
          <w:sz w:val="24"/>
          <w:szCs w:val="24"/>
        </w:rPr>
        <w:t>Matthews and Powell (2006)</w:t>
      </w:r>
      <w:r w:rsidRPr="005B1277">
        <w:rPr>
          <w:rFonts w:ascii="Times New Roman" w:eastAsia="Times New Roman" w:hAnsi="Times New Roman" w:cs="Times New Roman"/>
          <w:sz w:val="24"/>
          <w:szCs w:val="24"/>
        </w:rPr>
        <w:t xml:space="preserve">, the high EC values in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(T</w:t>
      </w:r>
      <w:r w:rsidRPr="005B1277">
        <w:rPr>
          <w:rFonts w:ascii="Times New Roman" w:eastAsia="Times New Roman" w:hAnsi="Times New Roman" w:cs="Times New Roman"/>
          <w:sz w:val="24"/>
          <w:szCs w:val="24"/>
          <w:vertAlign w:val="subscript"/>
        </w:rPr>
        <w:t>4</w:t>
      </w:r>
      <w:r w:rsidRPr="005B1277">
        <w:rPr>
          <w:rFonts w:ascii="Times New Roman" w:eastAsia="Times New Roman" w:hAnsi="Times New Roman" w:cs="Times New Roman"/>
          <w:sz w:val="24"/>
          <w:szCs w:val="24"/>
        </w:rPr>
        <w: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suggest a high degree of cellular membrane deterioration, where the phospholipid bilayer fails to effectively sequester electrolytes. The significantly lower leakage in </w:t>
      </w:r>
      <w:r w:rsidRPr="005B1277">
        <w:rPr>
          <w:rFonts w:ascii="Times New Roman" w:eastAsia="Times New Roman" w:hAnsi="Times New Roman" w:cs="Times New Roman"/>
          <w:bCs/>
          <w:sz w:val="24"/>
          <w:szCs w:val="24"/>
        </w:rPr>
        <w:t>Ragi</w:t>
      </w:r>
      <w:r w:rsidRPr="005B1277">
        <w:rPr>
          <w:rFonts w:ascii="Times New Roman" w:eastAsia="Times New Roman" w:hAnsi="Times New Roman" w:cs="Times New Roman"/>
          <w:sz w:val="24"/>
          <w:szCs w:val="24"/>
        </w:rPr>
        <w:t xml:space="preserve"> implies a robust seed coat and well-preserved membrane systems, which are hallmarks of high-</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seeds as characterized by </w:t>
      </w:r>
      <w:r w:rsidRPr="005B1277">
        <w:rPr>
          <w:rFonts w:ascii="Times New Roman" w:eastAsia="Times New Roman" w:hAnsi="Times New Roman" w:cs="Times New Roman"/>
          <w:bCs/>
          <w:sz w:val="24"/>
          <w:szCs w:val="24"/>
        </w:rPr>
        <w:t>Abdul-</w:t>
      </w:r>
      <w:proofErr w:type="spellStart"/>
      <w:r w:rsidRPr="005B1277">
        <w:rPr>
          <w:rFonts w:ascii="Times New Roman" w:eastAsia="Times New Roman" w:hAnsi="Times New Roman" w:cs="Times New Roman"/>
          <w:bCs/>
          <w:sz w:val="24"/>
          <w:szCs w:val="24"/>
        </w:rPr>
        <w:t>Baki</w:t>
      </w:r>
      <w:proofErr w:type="spellEnd"/>
      <w:r w:rsidRPr="005B1277">
        <w:rPr>
          <w:rFonts w:ascii="Times New Roman" w:eastAsia="Times New Roman" w:hAnsi="Times New Roman" w:cs="Times New Roman"/>
          <w:bCs/>
          <w:sz w:val="24"/>
          <w:szCs w:val="24"/>
        </w:rPr>
        <w:t xml:space="preserve"> and Anderson (1973)</w:t>
      </w:r>
      <w:r w:rsidRPr="005B12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1277">
        <w:rPr>
          <w:rFonts w:ascii="Times New Roman" w:eastAsia="Times New Roman" w:hAnsi="Times New Roman" w:cs="Times New Roman"/>
          <w:sz w:val="24"/>
          <w:szCs w:val="24"/>
        </w:rPr>
        <w:t xml:space="preserve">The interaction between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categories and </w:t>
      </w:r>
      <w:proofErr w:type="spellStart"/>
      <w:r w:rsidRPr="005B1277">
        <w:rPr>
          <w:rFonts w:ascii="Times New Roman" w:eastAsia="Times New Roman" w:hAnsi="Times New Roman" w:cs="Times New Roman"/>
          <w:sz w:val="24"/>
          <w:szCs w:val="24"/>
        </w:rPr>
        <w:t>KCl</w:t>
      </w:r>
      <w:proofErr w:type="spellEnd"/>
      <w:r w:rsidRPr="005B1277">
        <w:rPr>
          <w:rFonts w:ascii="Times New Roman" w:eastAsia="Times New Roman" w:hAnsi="Times New Roman" w:cs="Times New Roman"/>
          <w:sz w:val="24"/>
          <w:szCs w:val="24"/>
        </w:rPr>
        <w:t xml:space="preserve"> concentrations suggests that the exogenous application of salts might exacerbate the stress on compromised membranes. In low-</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treatments like T</w:t>
      </w:r>
      <w:r w:rsidRPr="005B1277">
        <w:rPr>
          <w:rFonts w:ascii="Times New Roman" w:eastAsia="Times New Roman" w:hAnsi="Times New Roman" w:cs="Times New Roman"/>
          <w:sz w:val="24"/>
          <w:szCs w:val="24"/>
          <w:vertAlign w:val="subscript"/>
        </w:rPr>
        <w:t>5</w:t>
      </w:r>
      <w:r w:rsidRPr="005B1277">
        <w:rPr>
          <w:rFonts w:ascii="Times New Roman" w:eastAsia="Times New Roman" w:hAnsi="Times New Roman" w:cs="Times New Roman"/>
          <w:sz w:val="24"/>
          <w:szCs w:val="24"/>
        </w:rPr>
        <w:t xml:space="preserve"> and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the increased EC is likely a </w:t>
      </w:r>
      <w:r w:rsidRPr="005B1277">
        <w:rPr>
          <w:rFonts w:ascii="Times New Roman" w:eastAsia="Times New Roman" w:hAnsi="Times New Roman" w:cs="Times New Roman"/>
          <w:sz w:val="24"/>
          <w:szCs w:val="24"/>
        </w:rPr>
        <w:lastRenderedPageBreak/>
        <w:t xml:space="preserve">cumulative result of internal solute loss and the high ionic strength of the surrounding medium. This phenomenon aligns with the findings of </w:t>
      </w:r>
      <w:r w:rsidRPr="005B1277">
        <w:rPr>
          <w:rFonts w:ascii="Times New Roman" w:eastAsia="Times New Roman" w:hAnsi="Times New Roman" w:cs="Times New Roman"/>
          <w:bCs/>
          <w:sz w:val="24"/>
          <w:szCs w:val="24"/>
        </w:rPr>
        <w:t>Srivastava and Kapoor (2021)</w:t>
      </w:r>
      <w:r w:rsidRPr="005B1277">
        <w:rPr>
          <w:rFonts w:ascii="Times New Roman" w:eastAsia="Times New Roman" w:hAnsi="Times New Roman" w:cs="Times New Roman"/>
          <w:sz w:val="24"/>
          <w:szCs w:val="24"/>
        </w:rPr>
        <w:t>, who noted that seed aging leads to the degradation of mitochondrial membranes and increased permeability. The superior performance of Ragi over Sen Cholam and White Cholam reinforces the idea that smaller-seeded millets often maintain better physical barrier properties against rapid hydration-induced leakage, thereby preserving the internal enzymatic environment necessary for successful germination.</w:t>
      </w:r>
    </w:p>
    <w:p w:rsidR="00437D3A" w:rsidRPr="000B54BF"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144B51">
        <w:rPr>
          <w:rFonts w:ascii="Times New Roman" w:eastAsia="Times New Roman" w:hAnsi="Times New Roman" w:cs="Times New Roman"/>
          <w:b/>
          <w:sz w:val="24"/>
          <w:szCs w:val="24"/>
        </w:rPr>
        <w:t>Table 3. Effect of different levels of KCL on 1000 grain weight (g).</w:t>
      </w:r>
    </w:p>
    <w:tbl>
      <w:tblPr>
        <w:tblStyle w:val="TableGrid"/>
        <w:tblW w:w="5000" w:type="pct"/>
        <w:tblLook w:val="04A0" w:firstRow="1" w:lastRow="0" w:firstColumn="1" w:lastColumn="0" w:noHBand="0" w:noVBand="1"/>
      </w:tblPr>
      <w:tblGrid>
        <w:gridCol w:w="891"/>
        <w:gridCol w:w="880"/>
        <w:gridCol w:w="1037"/>
        <w:gridCol w:w="1039"/>
        <w:gridCol w:w="1040"/>
        <w:gridCol w:w="1040"/>
        <w:gridCol w:w="1040"/>
        <w:gridCol w:w="927"/>
        <w:gridCol w:w="691"/>
        <w:gridCol w:w="991"/>
      </w:tblGrid>
      <w:tr w:rsidR="00437D3A" w:rsidRPr="00144B51" w:rsidTr="000B54BF">
        <w:trPr>
          <w:trHeight w:val="39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Crop</w:t>
            </w:r>
          </w:p>
        </w:tc>
        <w:tc>
          <w:tcPr>
            <w:tcW w:w="460"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1</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w:t>
            </w:r>
            <w:r w:rsidRPr="00144B51">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2"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2</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3</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4</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5</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6</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(3.0%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Mean</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CV (%)</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CD@5%</w:t>
            </w:r>
          </w:p>
        </w:tc>
      </w:tr>
      <w:tr w:rsidR="00437D3A" w:rsidRPr="00144B51" w:rsidTr="000B54BF">
        <w:trPr>
          <w:trHeight w:val="36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Ragi</w:t>
            </w:r>
          </w:p>
        </w:tc>
        <w:tc>
          <w:tcPr>
            <w:tcW w:w="460"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3.296</w:t>
            </w:r>
          </w:p>
        </w:tc>
        <w:tc>
          <w:tcPr>
            <w:tcW w:w="542"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3.359</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3.424</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3.493</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3.491</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3.351</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3.402</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1.12</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0.0677</w:t>
            </w:r>
          </w:p>
        </w:tc>
      </w:tr>
      <w:tr w:rsidR="00437D3A" w:rsidRPr="00144B51" w:rsidTr="000B54BF">
        <w:trPr>
          <w:trHeight w:val="36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White Cholam</w:t>
            </w:r>
          </w:p>
        </w:tc>
        <w:tc>
          <w:tcPr>
            <w:tcW w:w="460"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23.619</w:t>
            </w:r>
          </w:p>
        </w:tc>
        <w:tc>
          <w:tcPr>
            <w:tcW w:w="542"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24.34</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24.827</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24.504</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25.315</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24.236</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24.474</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1.31</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0.5716</w:t>
            </w:r>
          </w:p>
        </w:tc>
      </w:tr>
      <w:tr w:rsidR="00437D3A" w:rsidRPr="00144B51" w:rsidTr="000B54BF">
        <w:trPr>
          <w:trHeight w:val="36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Sen Cholam</w:t>
            </w:r>
          </w:p>
        </w:tc>
        <w:tc>
          <w:tcPr>
            <w:tcW w:w="460"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25.237</w:t>
            </w:r>
          </w:p>
        </w:tc>
        <w:tc>
          <w:tcPr>
            <w:tcW w:w="542"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25.433</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25.936</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26.641</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26.52</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26.24</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26.001</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0.6</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0.2765</w:t>
            </w:r>
          </w:p>
        </w:tc>
      </w:tr>
    </w:tbl>
    <w:p w:rsidR="00437D3A" w:rsidRDefault="00437D3A" w:rsidP="000B54BF">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465DA6">
        <w:rPr>
          <w:rFonts w:ascii="Times New Roman" w:hAnsi="Times New Roman" w:cs="Times New Roman"/>
          <w:sz w:val="24"/>
          <w:szCs w:val="24"/>
        </w:rPr>
        <w:t>The data presented in Table 3</w:t>
      </w:r>
      <w:r w:rsidR="002F4D9B">
        <w:rPr>
          <w:rFonts w:ascii="Times New Roman" w:hAnsi="Times New Roman" w:cs="Times New Roman"/>
          <w:sz w:val="24"/>
          <w:szCs w:val="24"/>
        </w:rPr>
        <w:t xml:space="preserve"> &amp; Figure 1</w:t>
      </w:r>
      <w:r w:rsidRPr="00465DA6">
        <w:rPr>
          <w:rFonts w:ascii="Times New Roman" w:hAnsi="Times New Roman" w:cs="Times New Roman"/>
          <w:sz w:val="24"/>
          <w:szCs w:val="24"/>
        </w:rPr>
        <w:t xml:space="preserve"> revealed that varying concentrations of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had a discernible influence on the 1000 grain weight across all three test crops. In Ragi (</w:t>
      </w:r>
      <w:r w:rsidRPr="00465DA6">
        <w:rPr>
          <w:rStyle w:val="Emphasis"/>
          <w:rFonts w:ascii="Times New Roman" w:hAnsi="Times New Roman" w:cs="Times New Roman"/>
          <w:sz w:val="24"/>
          <w:szCs w:val="24"/>
        </w:rPr>
        <w:t>Eleusine coracana</w:t>
      </w:r>
      <w:r w:rsidRPr="00465DA6">
        <w:rPr>
          <w:rFonts w:ascii="Times New Roman" w:hAnsi="Times New Roman" w:cs="Times New Roman"/>
          <w:sz w:val="24"/>
          <w:szCs w:val="24"/>
        </w:rPr>
        <w:t>), the 1000 grain weight ranged from 3.296 g at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to a peak of 3.493 g at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(1.5%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with a mean value of 3.402 g and a low CV of 1.12%, indicating relatively stable performance across treatments. A slight decline was noted beyond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with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recording 3.491 g and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(3.0%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declining to 3.351 g, suggesting that moderate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levels enhanced grain filling while higher concentrations induced mild osmotic inhibition. The CD at 5% was 0.0677, confirming that the treatment differences were statistically meaningful. In White Cholam (</w:t>
      </w:r>
      <w:r w:rsidRPr="00465DA6">
        <w:rPr>
          <w:rStyle w:val="Emphasis"/>
          <w:rFonts w:ascii="Times New Roman" w:hAnsi="Times New Roman" w:cs="Times New Roman"/>
          <w:sz w:val="24"/>
          <w:szCs w:val="24"/>
        </w:rPr>
        <w:t>Sorghum bicolor</w:t>
      </w:r>
      <w:r w:rsidRPr="00465DA6">
        <w:rPr>
          <w:rFonts w:ascii="Times New Roman" w:hAnsi="Times New Roman" w:cs="Times New Roman"/>
          <w:sz w:val="24"/>
          <w:szCs w:val="24"/>
        </w:rPr>
        <w:t>), grain weight values ranged from 23.619 g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to 25.315 g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with a grand mean of 24.474 g and a CV of 1.31%. The highest grain weight was recorded at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and a slight reduction was observed at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(24.236 g), suggesting a concentration-dependent optimum beyond which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may suppress normal metabolic activity. Similarly, Sen Cholam exhibited an increasing trend from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(25.237 g) through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(26.641 g), with a mean of 26.001 g and the lowest CV of 0.6% among all crops, indicating the most consistent response. </w:t>
      </w:r>
      <w:r w:rsidRPr="00465DA6">
        <w:rPr>
          <w:rFonts w:ascii="Times New Roman" w:hAnsi="Times New Roman" w:cs="Times New Roman"/>
          <w:sz w:val="24"/>
          <w:szCs w:val="24"/>
        </w:rPr>
        <w:lastRenderedPageBreak/>
        <w:t xml:space="preserve">The CD at 5% for Sen Cholam was 0.2765. These findings suggest that low to moderate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levels (up to 1.5–2.0%) positively influenced 1000 grain weight, possibly through enhanced potassium-mediated enzymatic activity and improved osmoregulation during seed development. This corroborates the findings of Guo et al. (2022), who reported that 50 </w:t>
      </w:r>
      <w:proofErr w:type="spellStart"/>
      <w:r w:rsidRPr="00465DA6">
        <w:rPr>
          <w:rFonts w:ascii="Times New Roman" w:hAnsi="Times New Roman" w:cs="Times New Roman"/>
          <w:sz w:val="24"/>
          <w:szCs w:val="24"/>
        </w:rPr>
        <w:t>mM</w:t>
      </w:r>
      <w:proofErr w:type="spellEnd"/>
      <w:r w:rsidRPr="00465DA6">
        <w:rPr>
          <w:rFonts w:ascii="Times New Roman" w:hAnsi="Times New Roman" w:cs="Times New Roman"/>
          <w:sz w:val="24"/>
          <w:szCs w:val="24"/>
        </w:rPr>
        <w:t xml:space="preserve">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seed priming in sorghum improved plant biomass accumulation through strengthened antioxidative defense mechanisms, thereby supporting better photosynthate partitioning into the grain.</w:t>
      </w:r>
    </w:p>
    <w:p w:rsidR="000938C2" w:rsidRDefault="000938C2"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Pr>
          <w:noProof/>
        </w:rPr>
        <w:drawing>
          <wp:inline distT="0" distB="0" distL="0" distR="0" wp14:anchorId="24C43E00" wp14:editId="26C3C9D8">
            <wp:extent cx="5943600" cy="2392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92045"/>
                    </a:xfrm>
                    <a:prstGeom prst="rect">
                      <a:avLst/>
                    </a:prstGeom>
                  </pic:spPr>
                </pic:pic>
              </a:graphicData>
            </a:graphic>
          </wp:inline>
        </w:drawing>
      </w:r>
    </w:p>
    <w:p w:rsidR="002F4D9B" w:rsidRDefault="002F4D9B"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sidRPr="002F4D9B">
        <w:rPr>
          <w:rFonts w:ascii="Times New Roman" w:eastAsia="Times New Roman" w:hAnsi="Times New Roman" w:cs="Times New Roman"/>
          <w:b/>
          <w:sz w:val="24"/>
          <w:szCs w:val="24"/>
        </w:rPr>
        <w:t>Figure 1. 1000 grain weight of Ragi, White Cholam and Sen Cholam</w:t>
      </w:r>
    </w:p>
    <w:p w:rsidR="00437D3A"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A1987">
        <w:rPr>
          <w:rFonts w:ascii="Times New Roman" w:eastAsia="Times New Roman" w:hAnsi="Times New Roman" w:cs="Times New Roman"/>
          <w:b/>
          <w:sz w:val="24"/>
          <w:szCs w:val="24"/>
        </w:rPr>
        <w:t>Table 4. Effect</w:t>
      </w:r>
      <w:r w:rsidRPr="00144B51">
        <w:rPr>
          <w:rFonts w:ascii="Times New Roman" w:eastAsia="Times New Roman" w:hAnsi="Times New Roman" w:cs="Times New Roman"/>
          <w:b/>
          <w:sz w:val="24"/>
          <w:szCs w:val="24"/>
        </w:rPr>
        <w:t xml:space="preserve"> of different levels of KCL on </w:t>
      </w:r>
      <w:r>
        <w:rPr>
          <w:rFonts w:ascii="Times New Roman" w:eastAsia="Times New Roman" w:hAnsi="Times New Roman" w:cs="Times New Roman"/>
          <w:b/>
          <w:sz w:val="24"/>
          <w:szCs w:val="24"/>
        </w:rPr>
        <w:t>Germination percentage (%</w:t>
      </w:r>
      <w:r w:rsidRPr="00144B51">
        <w:rPr>
          <w:rFonts w:ascii="Times New Roman" w:eastAsia="Times New Roman" w:hAnsi="Times New Roman" w:cs="Times New Roman"/>
          <w:b/>
          <w:sz w:val="24"/>
          <w:szCs w:val="24"/>
        </w:rPr>
        <w:t>).</w:t>
      </w:r>
    </w:p>
    <w:tbl>
      <w:tblPr>
        <w:tblStyle w:val="TableGrid"/>
        <w:tblW w:w="0" w:type="auto"/>
        <w:tblLayout w:type="fixed"/>
        <w:tblLook w:val="04A0" w:firstRow="1" w:lastRow="0" w:firstColumn="1" w:lastColumn="0" w:noHBand="0" w:noVBand="1"/>
      </w:tblPr>
      <w:tblGrid>
        <w:gridCol w:w="1271"/>
        <w:gridCol w:w="790"/>
        <w:gridCol w:w="779"/>
        <w:gridCol w:w="780"/>
        <w:gridCol w:w="780"/>
        <w:gridCol w:w="780"/>
        <w:gridCol w:w="780"/>
        <w:gridCol w:w="621"/>
        <w:gridCol w:w="711"/>
        <w:gridCol w:w="711"/>
        <w:gridCol w:w="531"/>
        <w:gridCol w:w="1042"/>
      </w:tblGrid>
      <w:tr w:rsidR="00437D3A" w:rsidRPr="00BA1987" w:rsidTr="000B54BF">
        <w:trPr>
          <w:trHeight w:val="600"/>
        </w:trPr>
        <w:tc>
          <w:tcPr>
            <w:tcW w:w="127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Crop</w:t>
            </w:r>
          </w:p>
        </w:tc>
        <w:tc>
          <w:tcPr>
            <w:tcW w:w="79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1</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79"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2</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3</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4</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5</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(2.0%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6</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(3.0%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621" w:type="dxa"/>
            <w:vAlign w:val="center"/>
            <w:hideMark/>
          </w:tcPr>
          <w:p w:rsidR="00437D3A" w:rsidRPr="00144B51" w:rsidRDefault="00437D3A" w:rsidP="000B54BF">
            <w:pPr>
              <w:widowControl/>
              <w:autoSpaceDE/>
              <w:autoSpaceDN/>
              <w:spacing w:line="360" w:lineRule="auto"/>
              <w:ind w:left="0"/>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Mean</w:t>
            </w:r>
          </w:p>
        </w:tc>
        <w:tc>
          <w:tcPr>
            <w:tcW w:w="71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proofErr w:type="spellStart"/>
            <w:r w:rsidRPr="00144B51">
              <w:rPr>
                <w:rFonts w:ascii="Times New Roman" w:eastAsia="Times New Roman" w:hAnsi="Times New Roman" w:cs="Times New Roman"/>
                <w:b/>
                <w:bCs/>
                <w:sz w:val="14"/>
                <w:szCs w:val="18"/>
              </w:rPr>
              <w:t>SEd</w:t>
            </w:r>
            <w:proofErr w:type="spellEnd"/>
            <w:r w:rsidRPr="00144B51">
              <w:rPr>
                <w:rFonts w:ascii="Times New Roman" w:eastAsia="Times New Roman" w:hAnsi="Times New Roman" w:cs="Times New Roman"/>
                <w:b/>
                <w:bCs/>
                <w:sz w:val="14"/>
                <w:szCs w:val="18"/>
              </w:rPr>
              <w:t xml:space="preserve"> ±</w:t>
            </w:r>
          </w:p>
        </w:tc>
        <w:tc>
          <w:tcPr>
            <w:tcW w:w="71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CD @1%</w:t>
            </w:r>
          </w:p>
        </w:tc>
        <w:tc>
          <w:tcPr>
            <w:tcW w:w="53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952828">
              <w:rPr>
                <w:rFonts w:ascii="Times New Roman" w:eastAsia="Times New Roman" w:hAnsi="Times New Roman" w:cs="Times New Roman"/>
                <w:b/>
                <w:bCs/>
                <w:sz w:val="14"/>
                <w:szCs w:val="18"/>
              </w:rPr>
              <w:t>CV (%</w:t>
            </w:r>
            <w:r w:rsidRPr="00144B51">
              <w:rPr>
                <w:rFonts w:ascii="Times New Roman" w:eastAsia="Times New Roman" w:hAnsi="Times New Roman" w:cs="Times New Roman"/>
                <w:b/>
                <w:bCs/>
                <w:sz w:val="14"/>
                <w:szCs w:val="18"/>
              </w:rPr>
              <w:t>)</w:t>
            </w:r>
          </w:p>
        </w:tc>
        <w:tc>
          <w:tcPr>
            <w:tcW w:w="1042"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Significance</w:t>
            </w:r>
          </w:p>
        </w:tc>
      </w:tr>
      <w:tr w:rsidR="00437D3A" w:rsidRPr="00BA1987" w:rsidTr="000B54BF">
        <w:trPr>
          <w:trHeight w:val="360"/>
        </w:trPr>
        <w:tc>
          <w:tcPr>
            <w:tcW w:w="127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Ragi</w:t>
            </w:r>
          </w:p>
        </w:tc>
        <w:tc>
          <w:tcPr>
            <w:tcW w:w="79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79"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55.33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56</w:t>
            </w:r>
          </w:p>
        </w:tc>
        <w:tc>
          <w:tcPr>
            <w:tcW w:w="62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53.89</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0.7698</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2.4395</w:t>
            </w:r>
          </w:p>
        </w:tc>
        <w:tc>
          <w:tcPr>
            <w:tcW w:w="53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1.75</w:t>
            </w:r>
          </w:p>
        </w:tc>
        <w:tc>
          <w:tcPr>
            <w:tcW w:w="1042"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r w:rsidRPr="00144B51">
              <w:rPr>
                <w:rFonts w:ascii="Times New Roman" w:eastAsia="Times New Roman" w:hAnsi="Times New Roman" w:cs="Times New Roman"/>
                <w:bCs/>
                <w:color w:val="000000"/>
                <w:sz w:val="18"/>
                <w:szCs w:val="18"/>
              </w:rPr>
              <w:t>Sig@1%</w:t>
            </w:r>
          </w:p>
        </w:tc>
      </w:tr>
      <w:tr w:rsidR="00437D3A" w:rsidRPr="00BA1987" w:rsidTr="000B54BF">
        <w:trPr>
          <w:trHeight w:val="360"/>
        </w:trPr>
        <w:tc>
          <w:tcPr>
            <w:tcW w:w="127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White Cholam</w:t>
            </w:r>
          </w:p>
        </w:tc>
        <w:tc>
          <w:tcPr>
            <w:tcW w:w="79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w:t>
            </w:r>
          </w:p>
        </w:tc>
        <w:tc>
          <w:tcPr>
            <w:tcW w:w="779"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87.33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83.33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86</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62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85</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2.15</w:t>
            </w:r>
          </w:p>
        </w:tc>
        <w:tc>
          <w:tcPr>
            <w:tcW w:w="1042"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r w:rsidR="00437D3A" w:rsidRPr="00BA1987" w:rsidTr="000B54BF">
        <w:trPr>
          <w:trHeight w:val="360"/>
        </w:trPr>
        <w:tc>
          <w:tcPr>
            <w:tcW w:w="127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Sen Cholam</w:t>
            </w:r>
          </w:p>
        </w:tc>
        <w:tc>
          <w:tcPr>
            <w:tcW w:w="79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w:t>
            </w:r>
          </w:p>
        </w:tc>
        <w:tc>
          <w:tcPr>
            <w:tcW w:w="779"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71.33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75.33</w:t>
            </w:r>
          </w:p>
        </w:tc>
        <w:tc>
          <w:tcPr>
            <w:tcW w:w="62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73.33</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2.49</w:t>
            </w:r>
          </w:p>
        </w:tc>
        <w:tc>
          <w:tcPr>
            <w:tcW w:w="1042"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bl>
    <w:p w:rsidR="00A2237E" w:rsidRDefault="00437D3A"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9367A8">
        <w:rPr>
          <w:rFonts w:ascii="Times New Roman" w:hAnsi="Times New Roman" w:cs="Times New Roman"/>
          <w:sz w:val="24"/>
          <w:szCs w:val="24"/>
        </w:rPr>
        <w:t>The germination data compiled in Table 4</w:t>
      </w:r>
      <w:r w:rsidR="00A2237E">
        <w:rPr>
          <w:rFonts w:ascii="Times New Roman" w:hAnsi="Times New Roman" w:cs="Times New Roman"/>
          <w:sz w:val="24"/>
          <w:szCs w:val="24"/>
        </w:rPr>
        <w:t xml:space="preserve"> &amp; Figure 2,3, &amp; 4</w:t>
      </w:r>
      <w:r w:rsidRPr="009367A8">
        <w:rPr>
          <w:rFonts w:ascii="Times New Roman" w:hAnsi="Times New Roman" w:cs="Times New Roman"/>
          <w:sz w:val="24"/>
          <w:szCs w:val="24"/>
        </w:rPr>
        <w:t xml:space="preserve"> showed crop-specific responses to increasing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concentrations. For Ragi, germination ranged between 52.67%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and 56.0%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xml:space="preserve">), with a mean of 53.89%, and the treatment effect was found to be significant at the 1% level (CD @1% = 2.4395, </w:t>
      </w:r>
      <w:proofErr w:type="spellStart"/>
      <w:r w:rsidRPr="009367A8">
        <w:rPr>
          <w:rFonts w:ascii="Times New Roman" w:hAnsi="Times New Roman" w:cs="Times New Roman"/>
          <w:sz w:val="24"/>
          <w:szCs w:val="24"/>
        </w:rPr>
        <w:t>SEd</w:t>
      </w:r>
      <w:proofErr w:type="spellEnd"/>
      <w:r w:rsidRPr="009367A8">
        <w:rPr>
          <w:rFonts w:ascii="Times New Roman" w:hAnsi="Times New Roman" w:cs="Times New Roman"/>
          <w:sz w:val="24"/>
          <w:szCs w:val="24"/>
        </w:rPr>
        <w:t xml:space="preserve"> ± 0.7698, CV = 1.75%). The progressive increase in germination percentage from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xml:space="preserve"> through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xml:space="preserve"> in Ragi indicates that </w:t>
      </w:r>
      <w:proofErr w:type="spellStart"/>
      <w:r w:rsidRPr="009367A8">
        <w:rPr>
          <w:rFonts w:ascii="Times New Roman" w:hAnsi="Times New Roman" w:cs="Times New Roman"/>
          <w:sz w:val="24"/>
          <w:szCs w:val="24"/>
        </w:rPr>
        <w:t>halopriming</w:t>
      </w:r>
      <w:proofErr w:type="spellEnd"/>
      <w:r w:rsidRPr="009367A8">
        <w:rPr>
          <w:rFonts w:ascii="Times New Roman" w:hAnsi="Times New Roman" w:cs="Times New Roman"/>
          <w:sz w:val="24"/>
          <w:szCs w:val="24"/>
        </w:rPr>
        <w:t xml:space="preserve"> with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at the tested concentrations did not impede seed water uptake but rather enhanced pre-germinative </w:t>
      </w:r>
      <w:r w:rsidRPr="009367A8">
        <w:rPr>
          <w:rFonts w:ascii="Times New Roman" w:hAnsi="Times New Roman" w:cs="Times New Roman"/>
          <w:sz w:val="24"/>
          <w:szCs w:val="24"/>
        </w:rPr>
        <w:lastRenderedPageBreak/>
        <w:t xml:space="preserve">metabolic preparedness. The observed stimulatory response of Ragi germination to increasing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levels, even up to 3.0%, aligns with the documented role of potassium ions in facilitating cell water saturation and activating germination-associated enzymes. Several studies have noted that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priming aids in regulating osmotic pressure and activating hydrolytic enzyme systems that mobilize seed reserves more efficiently during imbibition (Taiz and Zeiger, as cited in </w:t>
      </w:r>
      <w:proofErr w:type="spellStart"/>
      <w:r w:rsidRPr="009367A8">
        <w:rPr>
          <w:rFonts w:ascii="Times New Roman" w:hAnsi="Times New Roman" w:cs="Times New Roman"/>
          <w:sz w:val="24"/>
          <w:szCs w:val="24"/>
        </w:rPr>
        <w:t>Boutej</w:t>
      </w:r>
      <w:proofErr w:type="spellEnd"/>
      <w:r w:rsidRPr="009367A8">
        <w:rPr>
          <w:rFonts w:ascii="Times New Roman" w:hAnsi="Times New Roman" w:cs="Times New Roman"/>
          <w:sz w:val="24"/>
          <w:szCs w:val="24"/>
        </w:rPr>
        <w:t xml:space="preserve"> </w:t>
      </w:r>
      <w:r w:rsidRPr="009367A8">
        <w:rPr>
          <w:rFonts w:ascii="Times New Roman" w:hAnsi="Times New Roman" w:cs="Times New Roman"/>
          <w:i/>
          <w:sz w:val="24"/>
          <w:szCs w:val="24"/>
        </w:rPr>
        <w:t>et al</w:t>
      </w:r>
      <w:r w:rsidRPr="009367A8">
        <w:rPr>
          <w:rFonts w:ascii="Times New Roman" w:hAnsi="Times New Roman" w:cs="Times New Roman"/>
          <w:sz w:val="24"/>
          <w:szCs w:val="24"/>
        </w:rPr>
        <w:t>., 2021). In contrast, White Cholam and Sen Cholam showed a non-significant (NS) treatment response, though absolute germination valu</w:t>
      </w:r>
      <w:r w:rsidR="00C71B1E">
        <w:rPr>
          <w:rFonts w:ascii="Times New Roman" w:hAnsi="Times New Roman" w:cs="Times New Roman"/>
          <w:sz w:val="24"/>
          <w:szCs w:val="24"/>
        </w:rPr>
        <w:t xml:space="preserve">es remained higher throughout </w:t>
      </w:r>
      <w:r w:rsidRPr="009367A8">
        <w:rPr>
          <w:rFonts w:ascii="Times New Roman" w:hAnsi="Times New Roman" w:cs="Times New Roman"/>
          <w:sz w:val="24"/>
          <w:szCs w:val="24"/>
        </w:rPr>
        <w:t xml:space="preserve">ranging from 83.33% to 87.33% in White Cholam and 71.33% to 75.33% in Sen Cholam. The non-significance in these two crops may be attributed to their inherently higher germination capacity, which left limited scope for further improvement. The </w:t>
      </w:r>
      <w:proofErr w:type="spellStart"/>
      <w:r w:rsidRPr="009367A8">
        <w:rPr>
          <w:rFonts w:ascii="Times New Roman" w:hAnsi="Times New Roman" w:cs="Times New Roman"/>
          <w:sz w:val="24"/>
          <w:szCs w:val="24"/>
        </w:rPr>
        <w:t>SEd</w:t>
      </w:r>
      <w:proofErr w:type="spellEnd"/>
      <w:r w:rsidRPr="009367A8">
        <w:rPr>
          <w:rFonts w:ascii="Times New Roman" w:hAnsi="Times New Roman" w:cs="Times New Roman"/>
          <w:sz w:val="24"/>
          <w:szCs w:val="24"/>
        </w:rPr>
        <w:t xml:space="preserve"> values of 1.4907 and CD of 4.7241 recorded for both Cholam types indicate that experimental precision was adequate, and the variability observed was biological rather than methodological. The mean germination percentage was highest in White Cholam (85%), followed by Sen Cholam (73.33%) and Ragi (53.89%). Different priming treatments alleviated germination inhibition to varying degrees, with the mitigation effect being closely related to both the type of agent and the concentration of the solution (Zhang </w:t>
      </w:r>
      <w:r w:rsidRPr="009367A8">
        <w:rPr>
          <w:rFonts w:ascii="Times New Roman" w:hAnsi="Times New Roman" w:cs="Times New Roman"/>
          <w:i/>
          <w:sz w:val="24"/>
          <w:szCs w:val="24"/>
        </w:rPr>
        <w:t>et al</w:t>
      </w:r>
      <w:r w:rsidR="00A2237E">
        <w:rPr>
          <w:rFonts w:ascii="Times New Roman" w:hAnsi="Times New Roman" w:cs="Times New Roman"/>
          <w:sz w:val="24"/>
          <w:szCs w:val="24"/>
        </w:rPr>
        <w:t>., 2021).</w:t>
      </w:r>
    </w:p>
    <w:p w:rsidR="000938C2"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p>
    <w:p w:rsidR="000938C2" w:rsidRPr="00A2237E"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Pr>
          <w:noProof/>
        </w:rPr>
        <w:lastRenderedPageBreak/>
        <w:drawing>
          <wp:inline distT="0" distB="0" distL="0" distR="0" wp14:anchorId="6B13F093" wp14:editId="012170B4">
            <wp:extent cx="491490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4900" cy="3543300"/>
                    </a:xfrm>
                    <a:prstGeom prst="rect">
                      <a:avLst/>
                    </a:prstGeom>
                  </pic:spPr>
                </pic:pic>
              </a:graphicData>
            </a:graphic>
          </wp:inline>
        </w:drawing>
      </w:r>
    </w:p>
    <w:p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 xml:space="preserve">Figure 2. Effect of different level of KCL on seed germination of </w:t>
      </w:r>
      <w:r w:rsidRPr="00A2237E">
        <w:rPr>
          <w:rFonts w:ascii="Times New Roman" w:eastAsia="Times New Roman" w:hAnsi="Times New Roman" w:cs="Times New Roman"/>
          <w:b/>
          <w:bCs/>
          <w:sz w:val="24"/>
          <w:szCs w:val="24"/>
          <w:lang w:val="en-IN"/>
        </w:rPr>
        <w:t>Ragi by using Roll towel method after 7 days</w:t>
      </w:r>
    </w:p>
    <w:p w:rsidR="000938C2"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lang w:val="en-IN"/>
        </w:rPr>
      </w:pPr>
      <w:r>
        <w:rPr>
          <w:noProof/>
        </w:rPr>
        <w:drawing>
          <wp:inline distT="0" distB="0" distL="0" distR="0" wp14:anchorId="7D38C622" wp14:editId="56C4A714">
            <wp:extent cx="4867275" cy="3581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7275" cy="3581400"/>
                    </a:xfrm>
                    <a:prstGeom prst="rect">
                      <a:avLst/>
                    </a:prstGeom>
                  </pic:spPr>
                </pic:pic>
              </a:graphicData>
            </a:graphic>
          </wp:inline>
        </w:drawing>
      </w:r>
    </w:p>
    <w:p w:rsidR="000938C2"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lastRenderedPageBreak/>
        <w:t>Figure 3. Effect of different level of KCL on seed germination of White Cholam</w:t>
      </w:r>
      <w:r w:rsidRPr="00A2237E">
        <w:rPr>
          <w:rFonts w:ascii="Times New Roman" w:eastAsia="Times New Roman" w:hAnsi="Times New Roman" w:cs="Times New Roman"/>
          <w:b/>
          <w:bCs/>
          <w:sz w:val="24"/>
          <w:szCs w:val="24"/>
          <w:lang w:val="en-IN"/>
        </w:rPr>
        <w:t xml:space="preserve"> by using Roll towel method after 7 days</w:t>
      </w:r>
    </w:p>
    <w:p w:rsidR="000938C2" w:rsidRDefault="000938C2">
      <w:pPr>
        <w:widowControl/>
        <w:autoSpaceDE/>
        <w:autoSpaceDN/>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br w:type="page"/>
      </w:r>
    </w:p>
    <w:p w:rsidR="00A2237E" w:rsidRPr="00A2237E"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Pr>
          <w:noProof/>
        </w:rPr>
        <w:lastRenderedPageBreak/>
        <w:drawing>
          <wp:inline distT="0" distB="0" distL="0" distR="0" wp14:anchorId="015DCB02" wp14:editId="7F6804F1">
            <wp:extent cx="5143500" cy="3495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500" cy="3495675"/>
                    </a:xfrm>
                    <a:prstGeom prst="rect">
                      <a:avLst/>
                    </a:prstGeom>
                  </pic:spPr>
                </pic:pic>
              </a:graphicData>
            </a:graphic>
          </wp:inline>
        </w:drawing>
      </w:r>
    </w:p>
    <w:p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4. Effect of different level of KCL on seed germination of Sen Cholam</w:t>
      </w:r>
      <w:r w:rsidRPr="00A2237E">
        <w:rPr>
          <w:rFonts w:ascii="Times New Roman" w:eastAsia="Times New Roman" w:hAnsi="Times New Roman" w:cs="Times New Roman"/>
          <w:b/>
          <w:bCs/>
          <w:sz w:val="24"/>
          <w:szCs w:val="24"/>
          <w:lang w:val="en-IN"/>
        </w:rPr>
        <w:t xml:space="preserve"> by using Roll towel method after 7 days</w:t>
      </w:r>
    </w:p>
    <w:p w:rsidR="00437D3A" w:rsidRPr="00952828"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b/>
          <w:sz w:val="24"/>
          <w:szCs w:val="24"/>
        </w:rPr>
      </w:pPr>
      <w:commentRangeStart w:id="14"/>
      <w:r w:rsidRPr="00952828">
        <w:rPr>
          <w:rFonts w:ascii="Times New Roman" w:eastAsia="Times New Roman" w:hAnsi="Times New Roman" w:cs="Times New Roman"/>
          <w:b/>
          <w:sz w:val="24"/>
          <w:szCs w:val="24"/>
        </w:rPr>
        <w:t>Table 5. Effect of different level of KCL on Seedling</w:t>
      </w:r>
      <w:r>
        <w:rPr>
          <w:rFonts w:ascii="Times New Roman" w:eastAsia="Times New Roman" w:hAnsi="Times New Roman" w:cs="Times New Roman"/>
          <w:b/>
          <w:sz w:val="24"/>
          <w:szCs w:val="24"/>
        </w:rPr>
        <w:t xml:space="preserve"> Length Analysis on Ragi (7</w:t>
      </w:r>
      <w:r w:rsidRPr="00952828">
        <w:rPr>
          <w:rFonts w:ascii="Times New Roman" w:eastAsia="Times New Roman" w:hAnsi="Times New Roman" w:cs="Times New Roman"/>
          <w:b/>
          <w:sz w:val="24"/>
          <w:szCs w:val="24"/>
        </w:rPr>
        <w:t>th Day)</w:t>
      </w:r>
      <w:commentRangeEnd w:id="14"/>
      <w:r w:rsidR="00960FA3">
        <w:rPr>
          <w:rStyle w:val="CommentReference"/>
        </w:rPr>
        <w:commentReference w:id="14"/>
      </w:r>
    </w:p>
    <w:tbl>
      <w:tblPr>
        <w:tblStyle w:val="TableGrid"/>
        <w:tblW w:w="0" w:type="auto"/>
        <w:tblLayout w:type="fixed"/>
        <w:tblLook w:val="04A0" w:firstRow="1" w:lastRow="0" w:firstColumn="1" w:lastColumn="0" w:noHBand="0" w:noVBand="1"/>
      </w:tblPr>
      <w:tblGrid>
        <w:gridCol w:w="648"/>
        <w:gridCol w:w="779"/>
        <w:gridCol w:w="521"/>
        <w:gridCol w:w="589"/>
        <w:gridCol w:w="590"/>
        <w:gridCol w:w="590"/>
        <w:gridCol w:w="590"/>
        <w:gridCol w:w="590"/>
        <w:gridCol w:w="590"/>
        <w:gridCol w:w="590"/>
        <w:gridCol w:w="590"/>
        <w:gridCol w:w="590"/>
        <w:gridCol w:w="590"/>
        <w:gridCol w:w="590"/>
        <w:gridCol w:w="590"/>
        <w:gridCol w:w="549"/>
      </w:tblGrid>
      <w:tr w:rsidR="00437D3A" w:rsidRPr="0050500E" w:rsidTr="000B54BF">
        <w:trPr>
          <w:trHeight w:val="600"/>
        </w:trPr>
        <w:tc>
          <w:tcPr>
            <w:tcW w:w="648"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Treatment</w:t>
            </w:r>
          </w:p>
        </w:tc>
        <w:tc>
          <w:tcPr>
            <w:tcW w:w="779"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proofErr w:type="spellStart"/>
            <w:r w:rsidRPr="0050500E">
              <w:rPr>
                <w:rFonts w:ascii="Times New Roman" w:eastAsia="Times New Roman" w:hAnsi="Times New Roman" w:cs="Times New Roman"/>
                <w:b/>
                <w:bCs/>
                <w:sz w:val="14"/>
                <w:szCs w:val="16"/>
              </w:rPr>
              <w:t>KCl</w:t>
            </w:r>
            <w:proofErr w:type="spellEnd"/>
            <w:r w:rsidRPr="0050500E">
              <w:rPr>
                <w:rFonts w:ascii="Times New Roman" w:eastAsia="Times New Roman" w:hAnsi="Times New Roman" w:cs="Times New Roman"/>
                <w:b/>
                <w:bCs/>
                <w:sz w:val="14"/>
                <w:szCs w:val="16"/>
              </w:rPr>
              <w:t>%</w:t>
            </w:r>
          </w:p>
        </w:tc>
        <w:tc>
          <w:tcPr>
            <w:tcW w:w="521"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1</w:t>
            </w:r>
          </w:p>
        </w:tc>
        <w:tc>
          <w:tcPr>
            <w:tcW w:w="589"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1</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1</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2</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2</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Pr>
                <w:rFonts w:ascii="Times New Roman" w:eastAsia="Times New Roman" w:hAnsi="Times New Roman" w:cs="Times New Roman"/>
                <w:b/>
                <w:bCs/>
                <w:sz w:val="14"/>
                <w:szCs w:val="16"/>
              </w:rPr>
              <w:t>=</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3*</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3*</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3*</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Root</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Shoot</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Total</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SD Total</w:t>
            </w:r>
          </w:p>
        </w:tc>
        <w:tc>
          <w:tcPr>
            <w:tcW w:w="549"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CV% Total</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1</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3.500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0.5413</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5.41</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2</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4.250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7.000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10.975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10.975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0.4835</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4.41</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3</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10.100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10.300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10.300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1.0060</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9.77</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4</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1.5</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4.150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6.900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11.050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10.450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0.9176</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8.54</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5</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2.0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3.700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5.800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9.300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9.400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0.1000</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6</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10.550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0.0500</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0.47</w:t>
            </w:r>
          </w:p>
        </w:tc>
      </w:tr>
    </w:tbl>
    <w:p w:rsidR="00437D3A" w:rsidRDefault="00437D3A" w:rsidP="00C71B1E">
      <w:pPr>
        <w:pStyle w:val="font-claude-response-body"/>
        <w:spacing w:line="360" w:lineRule="auto"/>
        <w:ind w:firstLine="720"/>
        <w:jc w:val="both"/>
        <w:rPr>
          <w:vertAlign w:val="subscript"/>
        </w:rPr>
      </w:pPr>
      <w:r>
        <w:t>The seedling length parameters root length, shoot length, and total seedling length — across three replications were assessed for all crops on the 7th day of germination. In Ragi (Table 5), total seedling length across treatments ranged from a minimum mean of 9.400 cm at T</w:t>
      </w:r>
      <w:r w:rsidRPr="004F1183">
        <w:rPr>
          <w:vertAlign w:val="subscript"/>
        </w:rPr>
        <w:t>5</w:t>
      </w:r>
      <w:r>
        <w:t xml:space="preserve"> (2.0% </w:t>
      </w:r>
      <w:proofErr w:type="spellStart"/>
      <w:r>
        <w:t>KCl</w:t>
      </w:r>
      <w:proofErr w:type="spellEnd"/>
      <w:r>
        <w:t>) to a maximum of 10.975 cm at T</w:t>
      </w:r>
      <w:r w:rsidRPr="004F1183">
        <w:rPr>
          <w:vertAlign w:val="subscript"/>
        </w:rPr>
        <w:t>2</w:t>
      </w:r>
      <w:r>
        <w:t xml:space="preserve"> (0.5% </w:t>
      </w:r>
      <w:proofErr w:type="spellStart"/>
      <w:r>
        <w:t>KCl</w:t>
      </w:r>
      <w:proofErr w:type="spellEnd"/>
      <w:r>
        <w:t>). The CV% values were moderate, with T</w:t>
      </w:r>
      <w:r w:rsidRPr="007A7E75">
        <w:rPr>
          <w:vertAlign w:val="subscript"/>
        </w:rPr>
        <w:t>3</w:t>
      </w:r>
      <w:r>
        <w:t xml:space="preserve"> recording the highest variability (CV = 9.77%, SD = 1.006 cm), and T</w:t>
      </w:r>
      <w:r w:rsidRPr="007A7E75">
        <w:rPr>
          <w:vertAlign w:val="subscript"/>
        </w:rPr>
        <w:t>6</w:t>
      </w:r>
      <w:r>
        <w:t xml:space="preserve"> showing the most </w:t>
      </w:r>
      <w:r>
        <w:lastRenderedPageBreak/>
        <w:t>uniform response (CV = 0.47%, SD = 0.050 cm). The relatively lower total length at T</w:t>
      </w:r>
      <w:r w:rsidRPr="007A7E75">
        <w:rPr>
          <w:vertAlign w:val="subscript"/>
        </w:rPr>
        <w:t>5</w:t>
      </w:r>
      <w:r>
        <w:t xml:space="preserve"> and slight recovery at T</w:t>
      </w:r>
      <w:r w:rsidRPr="007A7E75">
        <w:rPr>
          <w:vertAlign w:val="subscript"/>
        </w:rPr>
        <w:t>6</w:t>
      </w:r>
      <w:r>
        <w:t xml:space="preserve"> (10.550 cm) in Ragi suggests a non-linear relationship between </w:t>
      </w:r>
      <w:proofErr w:type="spellStart"/>
      <w:r>
        <w:t>KCl</w:t>
      </w:r>
      <w:proofErr w:type="spellEnd"/>
      <w:r>
        <w:t xml:space="preserve"> concentration and seedling growth, where intermediate concentrations tend to create transient osmotic stress before adaptive mechanisms restore normal elongation. Root length means ranged from 3.625 cm (T</w:t>
      </w:r>
      <w:r w:rsidRPr="007A7E75">
        <w:rPr>
          <w:vertAlign w:val="subscript"/>
        </w:rPr>
        <w:t>1</w:t>
      </w:r>
      <w:r w:rsidR="00C71B1E">
        <w:t>) to 4.125 cm (T</w:t>
      </w:r>
      <w:r w:rsidR="00C71B1E" w:rsidRPr="00C71B1E">
        <w:rPr>
          <w:vertAlign w:val="subscript"/>
        </w:rPr>
        <w:t>2</w:t>
      </w:r>
      <w:r>
        <w:t>), while shoot length was highest at T</w:t>
      </w:r>
      <w:r w:rsidRPr="007A7E75">
        <w:rPr>
          <w:vertAlign w:val="subscript"/>
        </w:rPr>
        <w:t>2</w:t>
      </w:r>
      <w:r>
        <w:t xml:space="preserve"> (6.850 cm), pointing to T</w:t>
      </w:r>
      <w:r w:rsidRPr="007A7E75">
        <w:rPr>
          <w:vertAlign w:val="subscript"/>
        </w:rPr>
        <w:t>2</w:t>
      </w:r>
      <w:r>
        <w:t xml:space="preserve"> as the most favorable </w:t>
      </w:r>
      <w:proofErr w:type="spellStart"/>
      <w:r>
        <w:t>KCl</w:t>
      </w:r>
      <w:proofErr w:type="spellEnd"/>
      <w:r>
        <w:t xml:space="preserve"> level for early seedling development in Ragi.</w:t>
      </w:r>
    </w:p>
    <w:p w:rsidR="00437D3A" w:rsidRDefault="00437D3A" w:rsidP="000B54BF">
      <w:pPr>
        <w:pStyle w:val="font-claude-response-body"/>
        <w:spacing w:line="360" w:lineRule="auto"/>
        <w:ind w:firstLine="720"/>
        <w:jc w:val="both"/>
        <w:rPr>
          <w:vertAlign w:val="subscript"/>
        </w:rPr>
      </w:pPr>
      <w:r>
        <w:t>In White Cholam (Table 6), the mean total seedling length varied from 17.333 cm at T</w:t>
      </w:r>
      <w:r w:rsidRPr="00C71B1E">
        <w:rPr>
          <w:vertAlign w:val="subscript"/>
        </w:rPr>
        <w:t>3</w:t>
      </w:r>
      <w:r>
        <w:t xml:space="preserve"> (1.0% </w:t>
      </w:r>
      <w:proofErr w:type="spellStart"/>
      <w:r>
        <w:t>KCl</w:t>
      </w:r>
      <w:proofErr w:type="spellEnd"/>
      <w:r>
        <w:t>) to 21.683 cm at T</w:t>
      </w:r>
      <w:r w:rsidRPr="007A7E75">
        <w:rPr>
          <w:vertAlign w:val="subscript"/>
        </w:rPr>
        <w:t>4</w:t>
      </w:r>
      <w:r>
        <w:t xml:space="preserve"> (1.5% </w:t>
      </w:r>
      <w:proofErr w:type="spellStart"/>
      <w:r>
        <w:t>KCl</w:t>
      </w:r>
      <w:proofErr w:type="spellEnd"/>
      <w:r>
        <w:t>). The T</w:t>
      </w:r>
      <w:r w:rsidRPr="007A7E75">
        <w:rPr>
          <w:vertAlign w:val="subscript"/>
        </w:rPr>
        <w:t>1</w:t>
      </w:r>
      <w:r>
        <w:t xml:space="preserve"> treatment recorded a notably high CV of 12.88% (SD = 2.498 cm), indicating greater inter-replicate variability in the control. Shoot length was the dominant contributor to total seedling length in White Cholam, consistent with the characteristic tall shoot architecture of sorghum. The T</w:t>
      </w:r>
      <w:r w:rsidRPr="00C71B1E">
        <w:rPr>
          <w:vertAlign w:val="subscript"/>
        </w:rPr>
        <w:t>3</w:t>
      </w:r>
      <w:r>
        <w:t xml:space="preserve"> treatment produced the lowest mean total length (17.333 cm) with a high CV of 15.61%, possibly indicating uneven response to 1.0% </w:t>
      </w:r>
      <w:proofErr w:type="spellStart"/>
      <w:r>
        <w:t>KCl</w:t>
      </w:r>
      <w:proofErr w:type="spellEnd"/>
      <w:r>
        <w:t>, while T</w:t>
      </w:r>
      <w:r w:rsidRPr="007A7E75">
        <w:rPr>
          <w:vertAlign w:val="subscript"/>
        </w:rPr>
        <w:t>2</w:t>
      </w:r>
      <w:r>
        <w:t xml:space="preserve"> and T</w:t>
      </w:r>
      <w:r w:rsidRPr="007A7E75">
        <w:rPr>
          <w:vertAlign w:val="subscript"/>
        </w:rPr>
        <w:t>4</w:t>
      </w:r>
      <w:r>
        <w:t xml:space="preserve"> showed more uniform and favorable results. Root development was generally suppressed relative to shoot elongation, a pattern that has been widely reported in sorghum under osmotic conditioning treatments. The mitigation effect of priming was stronger on root traits than on shoot traits in sorghum, as demonstrated by Zhang </w:t>
      </w:r>
      <w:r w:rsidRPr="007A7E75">
        <w:rPr>
          <w:i/>
        </w:rPr>
        <w:t>et al</w:t>
      </w:r>
      <w:r>
        <w:t xml:space="preserve">. (2021), though the present data for White </w:t>
      </w:r>
      <w:proofErr w:type="spellStart"/>
      <w:r>
        <w:t>Cholam</w:t>
      </w:r>
      <w:proofErr w:type="spellEnd"/>
      <w:r>
        <w:t xml:space="preserve"> at lower </w:t>
      </w:r>
      <w:proofErr w:type="spellStart"/>
      <w:r>
        <w:t>KCl</w:t>
      </w:r>
      <w:proofErr w:type="spellEnd"/>
      <w:r>
        <w:t xml:space="preserve"> concentrations appears to show comparable shoot dominance consistent with the species' inherent growth pattern.</w:t>
      </w:r>
    </w:p>
    <w:p w:rsidR="00437D3A" w:rsidRPr="000B54BF" w:rsidRDefault="00437D3A" w:rsidP="000B54BF">
      <w:pPr>
        <w:pStyle w:val="font-claude-response-body"/>
        <w:spacing w:line="360" w:lineRule="auto"/>
        <w:ind w:firstLine="720"/>
        <w:jc w:val="both"/>
      </w:pPr>
      <w:r>
        <w:t xml:space="preserve">Sen Cholam (Table 7) presented </w:t>
      </w:r>
      <w:r w:rsidR="00C71B1E">
        <w:t>distinct</w:t>
      </w:r>
      <w:r>
        <w:t xml:space="preserve"> seedling morphology, with R</w:t>
      </w:r>
      <w:r w:rsidRPr="007A7E75">
        <w:rPr>
          <w:vertAlign w:val="subscript"/>
        </w:rPr>
        <w:t>1</w:t>
      </w:r>
      <w:r>
        <w:t xml:space="preserve"> and R</w:t>
      </w:r>
      <w:r w:rsidRPr="007A7E75">
        <w:rPr>
          <w:vertAlign w:val="subscript"/>
        </w:rPr>
        <w:t>2</w:t>
      </w:r>
      <w:r>
        <w:t xml:space="preserve"> replications showing contrasting root and shoot proportions, which averaged out in R3. The mean total seedling length across treatments ranged from 18.401 cm (T</w:t>
      </w:r>
      <w:r w:rsidRPr="007A7E75">
        <w:rPr>
          <w:vertAlign w:val="subscript"/>
        </w:rPr>
        <w:t>1</w:t>
      </w:r>
      <w:r>
        <w:t>) to 21.717 cm (T</w:t>
      </w:r>
      <w:r w:rsidRPr="007A7E75">
        <w:rPr>
          <w:vertAlign w:val="subscript"/>
        </w:rPr>
        <w:t>6</w:t>
      </w:r>
      <w:r>
        <w:t>), showing a generally increasing trend</w:t>
      </w:r>
      <w:r w:rsidR="00AA10D3">
        <w:t xml:space="preserve"> with rising </w:t>
      </w:r>
      <w:proofErr w:type="spellStart"/>
      <w:r w:rsidR="00AA10D3">
        <w:t>KCl</w:t>
      </w:r>
      <w:proofErr w:type="spellEnd"/>
      <w:r w:rsidR="00AA10D3">
        <w:t xml:space="preserve"> concentration </w:t>
      </w:r>
      <w:r>
        <w:t xml:space="preserve"> a pattern somewhat different from the other two crops. T</w:t>
      </w:r>
      <w:r w:rsidRPr="007A7E75">
        <w:rPr>
          <w:vertAlign w:val="subscript"/>
        </w:rPr>
        <w:t>6</w:t>
      </w:r>
      <w:r>
        <w:t xml:space="preserve"> (3.0% </w:t>
      </w:r>
      <w:proofErr w:type="spellStart"/>
      <w:r>
        <w:t>KCl</w:t>
      </w:r>
      <w:proofErr w:type="spellEnd"/>
      <w:r>
        <w:t>) recorded the highest mean total length (21.717 cm) with a CV of 6.42%, while T</w:t>
      </w:r>
      <w:r w:rsidRPr="00AA10D3">
        <w:rPr>
          <w:vertAlign w:val="subscript"/>
        </w:rPr>
        <w:t>1</w:t>
      </w:r>
      <w:r>
        <w:t xml:space="preserve"> showed the highest CV (13.35%), reflecting heterogeneity in the control treatment. The progressive improvement in seedling length of </w:t>
      </w:r>
      <w:proofErr w:type="spellStart"/>
      <w:r>
        <w:t>Sen</w:t>
      </w:r>
      <w:proofErr w:type="spellEnd"/>
      <w:r>
        <w:t xml:space="preserve"> </w:t>
      </w:r>
      <w:proofErr w:type="spellStart"/>
      <w:r>
        <w:t>Cholam</w:t>
      </w:r>
      <w:proofErr w:type="spellEnd"/>
      <w:r>
        <w:t xml:space="preserve"> with increasing </w:t>
      </w:r>
      <w:proofErr w:type="spellStart"/>
      <w:r>
        <w:t>KCl</w:t>
      </w:r>
      <w:proofErr w:type="spellEnd"/>
      <w:r>
        <w:t xml:space="preserve"> may suggest a relatively higher tolerance to osmotic conditioning compared to Ragi and White Cholam, enabling continued seedling elongation even at elevated salt concentrations. The application of </w:t>
      </w:r>
      <w:proofErr w:type="spellStart"/>
      <w:r>
        <w:t>KCl</w:t>
      </w:r>
      <w:proofErr w:type="spellEnd"/>
      <w:r>
        <w:t xml:space="preserve"> through seed priming significantly improved seedling shoot length and root length across various crops (Guo </w:t>
      </w:r>
      <w:r w:rsidRPr="007A7E75">
        <w:rPr>
          <w:i/>
        </w:rPr>
        <w:t>et al</w:t>
      </w:r>
      <w:r>
        <w:t xml:space="preserve">., 2022), supporting the observed stimulatory trends in Sen Cholam particularly at mid to high </w:t>
      </w:r>
      <w:proofErr w:type="spellStart"/>
      <w:r>
        <w:t>KCl</w:t>
      </w:r>
      <w:proofErr w:type="spellEnd"/>
      <w:r>
        <w:t xml:space="preserve"> levels</w:t>
      </w:r>
    </w:p>
    <w:p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Table 6</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White Cholam (7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4"/>
        <w:gridCol w:w="551"/>
        <w:gridCol w:w="536"/>
        <w:gridCol w:w="591"/>
        <w:gridCol w:w="583"/>
        <w:gridCol w:w="536"/>
        <w:gridCol w:w="591"/>
        <w:gridCol w:w="583"/>
        <w:gridCol w:w="536"/>
        <w:gridCol w:w="591"/>
        <w:gridCol w:w="583"/>
        <w:gridCol w:w="613"/>
        <w:gridCol w:w="654"/>
        <w:gridCol w:w="646"/>
        <w:gridCol w:w="594"/>
        <w:gridCol w:w="624"/>
      </w:tblGrid>
      <w:tr w:rsidR="00437D3A" w:rsidRPr="0050500E" w:rsidTr="000B54BF">
        <w:trPr>
          <w:trHeight w:val="600"/>
        </w:trPr>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Treatment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proofErr w:type="spellStart"/>
            <w:r w:rsidRPr="0050500E">
              <w:rPr>
                <w:rFonts w:ascii="Times New Roman" w:eastAsia="Times New Roman" w:hAnsi="Times New Roman" w:cs="Times New Roman"/>
                <w:b/>
                <w:bCs/>
                <w:sz w:val="12"/>
                <w:szCs w:val="12"/>
              </w:rPr>
              <w:t>KCl</w:t>
            </w:r>
            <w:proofErr w:type="spellEnd"/>
            <w:r w:rsidRPr="0050500E">
              <w:rPr>
                <w:rFonts w:ascii="Times New Roman" w:eastAsia="Times New Roman" w:hAnsi="Times New Roman" w:cs="Times New Roman"/>
                <w:b/>
                <w:bCs/>
                <w:sz w:val="12"/>
                <w:szCs w:val="12"/>
              </w:rPr>
              <w: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1</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1</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1</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2</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2</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2</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3</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Pr>
                <w:rFonts w:ascii="Times New Roman" w:eastAsia="Times New Roman" w:hAnsi="Times New Roman" w:cs="Times New Roman"/>
                <w:b/>
                <w:bCs/>
                <w:sz w:val="12"/>
                <w:szCs w:val="12"/>
                <w:vertAlign w:val="subscript"/>
              </w:rPr>
              <w:t>3</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Pr>
                <w:rFonts w:ascii="Times New Roman" w:eastAsia="Times New Roman" w:hAnsi="Times New Roman" w:cs="Times New Roman"/>
                <w:b/>
                <w:bCs/>
                <w:sz w:val="12"/>
                <w:szCs w:val="12"/>
                <w:vertAlign w:val="subscript"/>
              </w:rPr>
              <w:t>3</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Root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Shoot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Total</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SD Total</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CV% Total</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1</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2.925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19.275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22.200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14.675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19.387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2.4980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12.88</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2</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17.675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20.050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20.100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0.6739</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3.35</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17.567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17.100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17.333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2.7050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15.61</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4</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3.600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22.800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2.667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17.833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21.683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21.683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2.4153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11.14</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21.033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0.800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20.833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20.300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20.667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20.667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1.4463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7.00</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6</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18.933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18.933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1.8068</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9.54</w:t>
            </w:r>
          </w:p>
        </w:tc>
      </w:tr>
    </w:tbl>
    <w:p w:rsidR="00437D3A" w:rsidRDefault="00437D3A" w:rsidP="000B54BF">
      <w:pPr>
        <w:spacing w:line="360" w:lineRule="auto"/>
        <w:ind w:left="0"/>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t>Table 7</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Sen Cholam </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rsidR="00437D3A" w:rsidRDefault="00437D3A" w:rsidP="000B54BF">
      <w:pPr>
        <w:spacing w:line="360" w:lineRule="auto"/>
        <w:ind w:left="0"/>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828"/>
        <w:gridCol w:w="599"/>
        <w:gridCol w:w="521"/>
        <w:gridCol w:w="589"/>
        <w:gridCol w:w="590"/>
        <w:gridCol w:w="590"/>
        <w:gridCol w:w="590"/>
        <w:gridCol w:w="590"/>
        <w:gridCol w:w="590"/>
        <w:gridCol w:w="590"/>
        <w:gridCol w:w="590"/>
        <w:gridCol w:w="590"/>
        <w:gridCol w:w="590"/>
        <w:gridCol w:w="590"/>
        <w:gridCol w:w="590"/>
        <w:gridCol w:w="549"/>
      </w:tblGrid>
      <w:tr w:rsidR="00437D3A" w:rsidRPr="00F56EE7" w:rsidTr="000B54BF">
        <w:trPr>
          <w:trHeight w:val="600"/>
        </w:trPr>
        <w:tc>
          <w:tcPr>
            <w:tcW w:w="828"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Treatment</w:t>
            </w:r>
          </w:p>
        </w:tc>
        <w:tc>
          <w:tcPr>
            <w:tcW w:w="599"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proofErr w:type="spellStart"/>
            <w:r w:rsidRPr="00B908FC">
              <w:rPr>
                <w:rFonts w:ascii="Times New Roman" w:eastAsia="Times New Roman" w:hAnsi="Times New Roman" w:cs="Times New Roman"/>
                <w:b/>
                <w:bCs/>
                <w:sz w:val="12"/>
                <w:szCs w:val="12"/>
              </w:rPr>
              <w:t>KCl</w:t>
            </w:r>
            <w:proofErr w:type="spellEnd"/>
            <w:r w:rsidRPr="00B908FC">
              <w:rPr>
                <w:rFonts w:ascii="Times New Roman" w:eastAsia="Times New Roman" w:hAnsi="Times New Roman" w:cs="Times New Roman"/>
                <w:b/>
                <w:bCs/>
                <w:sz w:val="12"/>
                <w:szCs w:val="12"/>
              </w:rPr>
              <w:t>%</w:t>
            </w:r>
          </w:p>
        </w:tc>
        <w:tc>
          <w:tcPr>
            <w:tcW w:w="521"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1</w:t>
            </w:r>
          </w:p>
        </w:tc>
        <w:tc>
          <w:tcPr>
            <w:tcW w:w="589"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1</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1</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2</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2</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2</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3*</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3*</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3*</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Root</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Shoot</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Total</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SD Total</w:t>
            </w:r>
          </w:p>
        </w:tc>
        <w:tc>
          <w:tcPr>
            <w:tcW w:w="549"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CV% Total</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1</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1.777</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18.625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20.253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12.925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3.085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18.401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18.401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2.4559</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2</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0.5</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2.250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21.350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14.375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3.150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18.925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20.138</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20.137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2.3177</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11.51</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3</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17.200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20.633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1.6574</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8.03</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4</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1.5</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17.800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3.300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21.633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20.883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20.883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1.7514</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8.39</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5</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2.0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17.667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19.767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16.267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2.900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19.467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19.467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1.3353</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6.86</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6</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3.0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2.500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21.500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2.747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21.933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21.717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21.717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1.3946</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6.42</w:t>
            </w:r>
          </w:p>
        </w:tc>
      </w:tr>
    </w:tbl>
    <w:p w:rsidR="00437D3A" w:rsidRDefault="00437D3A" w:rsidP="000B54BF">
      <w:pPr>
        <w:spacing w:line="360" w:lineRule="auto"/>
        <w:ind w:left="0"/>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commentRangeStart w:id="15"/>
      <w:r>
        <w:rPr>
          <w:rFonts w:ascii="Times New Roman" w:hAnsi="Times New Roman" w:cs="Times New Roman"/>
          <w:b/>
          <w:sz w:val="24"/>
          <w:szCs w:val="24"/>
        </w:rPr>
        <w:t xml:space="preserve">Table 8.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w:t>
      </w:r>
      <w:proofErr w:type="gramStart"/>
      <w:r>
        <w:rPr>
          <w:rFonts w:ascii="Times New Roman" w:eastAsia="Times New Roman" w:hAnsi="Times New Roman" w:cs="Times New Roman"/>
          <w:b/>
          <w:sz w:val="24"/>
          <w:szCs w:val="24"/>
        </w:rPr>
        <w:t>Ragi</w:t>
      </w:r>
      <w:proofErr w:type="gramEnd"/>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commentRangeEnd w:id="15"/>
      <w:r w:rsidR="00960FA3">
        <w:rPr>
          <w:rStyle w:val="CommentReference"/>
        </w:rPr>
        <w:commentReference w:id="15"/>
      </w:r>
    </w:p>
    <w:tbl>
      <w:tblPr>
        <w:tblStyle w:val="TableGrid"/>
        <w:tblW w:w="0" w:type="auto"/>
        <w:tblLook w:val="04A0" w:firstRow="1" w:lastRow="0" w:firstColumn="1" w:lastColumn="0" w:noHBand="0" w:noVBand="1"/>
      </w:tblPr>
      <w:tblGrid>
        <w:gridCol w:w="763"/>
        <w:gridCol w:w="569"/>
        <w:gridCol w:w="876"/>
        <w:gridCol w:w="601"/>
        <w:gridCol w:w="671"/>
        <w:gridCol w:w="876"/>
        <w:gridCol w:w="601"/>
        <w:gridCol w:w="671"/>
        <w:gridCol w:w="876"/>
        <w:gridCol w:w="601"/>
        <w:gridCol w:w="556"/>
        <w:gridCol w:w="657"/>
        <w:gridCol w:w="601"/>
        <w:gridCol w:w="657"/>
      </w:tblGrid>
      <w:tr w:rsidR="00437D3A" w:rsidRPr="00ED137C" w:rsidTr="000B54BF">
        <w:trPr>
          <w:trHeight w:val="555"/>
        </w:trPr>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proofErr w:type="spellStart"/>
            <w:r w:rsidRPr="00142F45">
              <w:rPr>
                <w:rFonts w:ascii="Times New Roman" w:eastAsia="Times New Roman" w:hAnsi="Times New Roman" w:cs="Times New Roman"/>
                <w:b/>
                <w:bCs/>
                <w:sz w:val="12"/>
                <w:szCs w:val="14"/>
              </w:rPr>
              <w:t>KCl</w:t>
            </w:r>
            <w:proofErr w:type="spellEnd"/>
            <w:r w:rsidRPr="00142F45">
              <w:rPr>
                <w:rFonts w:ascii="Times New Roman" w:eastAsia="Times New Roman" w:hAnsi="Times New Roman" w:cs="Times New Roman"/>
                <w:b/>
                <w:bCs/>
                <w:sz w:val="12"/>
                <w:szCs w:val="14"/>
              </w:rPr>
              <w:t xml:space="preserve"> (%)</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10.540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527.00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10.260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574.56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10.400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551.2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550.9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23.781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4.32</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9.800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450.80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9.540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496.08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9.670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22.641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4.78</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9.060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389.58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423.36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45.5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8.940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16.890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320.58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8.000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352.00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8.110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15.710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4.67</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35.0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7.380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7.180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280.02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7.280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10.860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4.03</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5.800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156.60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169.20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28.5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5.720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162.9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6.300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3.87</w:t>
            </w:r>
          </w:p>
        </w:tc>
      </w:tr>
      <w:tr w:rsidR="00437D3A" w:rsidRPr="00ED137C" w:rsidTr="000B54BF">
        <w:trPr>
          <w:trHeight w:val="360"/>
        </w:trPr>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Total</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240.0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2102.86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269.0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49.44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2295.22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254.5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50.12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2200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2199.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96.19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25.82</w:t>
            </w:r>
          </w:p>
        </w:tc>
      </w:tr>
      <w:tr w:rsidR="00437D3A" w:rsidRPr="00ED137C" w:rsidTr="000B54BF">
        <w:trPr>
          <w:trHeight w:val="360"/>
        </w:trPr>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Mean</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8.47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350.48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44.8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8.24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382.54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8.35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16.03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4.30</w:t>
            </w:r>
          </w:p>
        </w:tc>
      </w:tr>
      <w:tr w:rsidR="00437D3A" w:rsidRPr="00ED137C" w:rsidTr="000B54BF">
        <w:trPr>
          <w:trHeight w:val="360"/>
        </w:trPr>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SD</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133.96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1.68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147.23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6.72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0.36</w:t>
            </w:r>
          </w:p>
        </w:tc>
      </w:tr>
    </w:tbl>
    <w:p w:rsidR="00437D3A" w:rsidRDefault="00437D3A" w:rsidP="000B54BF">
      <w:pPr>
        <w:spacing w:line="360" w:lineRule="auto"/>
        <w:ind w:left="0"/>
        <w:jc w:val="both"/>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9.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White </w:t>
      </w:r>
      <w:proofErr w:type="spellStart"/>
      <w:r>
        <w:rPr>
          <w:rFonts w:ascii="Times New Roman" w:eastAsia="Times New Roman" w:hAnsi="Times New Roman" w:cs="Times New Roman"/>
          <w:b/>
          <w:sz w:val="24"/>
          <w:szCs w:val="24"/>
        </w:rPr>
        <w:t>cholam</w:t>
      </w:r>
      <w:proofErr w:type="spellEnd"/>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lastRenderedPageBreak/>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63"/>
        <w:gridCol w:w="460"/>
        <w:gridCol w:w="876"/>
        <w:gridCol w:w="601"/>
        <w:gridCol w:w="671"/>
        <w:gridCol w:w="876"/>
        <w:gridCol w:w="601"/>
        <w:gridCol w:w="671"/>
        <w:gridCol w:w="876"/>
        <w:gridCol w:w="601"/>
        <w:gridCol w:w="671"/>
        <w:gridCol w:w="680"/>
        <w:gridCol w:w="671"/>
        <w:gridCol w:w="558"/>
      </w:tblGrid>
      <w:tr w:rsidR="00437D3A" w:rsidRPr="00ED137C" w:rsidTr="000B54BF">
        <w:trPr>
          <w:trHeight w:val="555"/>
        </w:trPr>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proofErr w:type="spellStart"/>
            <w:r w:rsidRPr="00142F45">
              <w:rPr>
                <w:rFonts w:ascii="Times New Roman" w:eastAsia="Times New Roman" w:hAnsi="Times New Roman" w:cs="Times New Roman"/>
                <w:b/>
                <w:bCs/>
                <w:sz w:val="12"/>
                <w:szCs w:val="14"/>
              </w:rPr>
              <w:t>KCl</w:t>
            </w:r>
            <w:proofErr w:type="spellEnd"/>
            <w:r w:rsidRPr="00142F45">
              <w:rPr>
                <w:rFonts w:ascii="Times New Roman" w:eastAsia="Times New Roman" w:hAnsi="Times New Roman" w:cs="Times New Roman"/>
                <w:b/>
                <w:bCs/>
                <w:sz w:val="12"/>
                <w:szCs w:val="14"/>
              </w:rPr>
              <w:t xml:space="preserve"> (%)</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1608.00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18.900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1663.20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19.500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1636.40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27.6348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1383.80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17.600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1443.20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18.150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1415.70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1414.23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29.7271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2.10</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1176.40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16.300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1238.80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1208.27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31.2214</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2.58</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973.40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1021.20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65.5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15.250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998.88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997.83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23.9173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2.40</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789.60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13.200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805.35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804.45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14.4211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1.79</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11.100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488.40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10.400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509.60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10.750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499.88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499.29</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10.6120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2.13</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6419.60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91.20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6694.40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405.0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94.10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6567.40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6560.47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137.53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12.69</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1069.93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1115.73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67.5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15.68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1094.57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1093.41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22.92</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2.11</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406.31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14.2</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3.09</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421.15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414.28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413.90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8.51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0.34</w:t>
            </w:r>
          </w:p>
        </w:tc>
      </w:tr>
    </w:tbl>
    <w:p w:rsidR="00437D3A" w:rsidRDefault="00437D3A" w:rsidP="000B54BF">
      <w:pPr>
        <w:spacing w:line="360" w:lineRule="auto"/>
        <w:ind w:left="0"/>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10.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w:t>
      </w:r>
      <w:proofErr w:type="spellStart"/>
      <w:r>
        <w:rPr>
          <w:rFonts w:ascii="Times New Roman" w:eastAsia="Times New Roman" w:hAnsi="Times New Roman" w:cs="Times New Roman"/>
          <w:b/>
          <w:sz w:val="24"/>
          <w:szCs w:val="24"/>
        </w:rPr>
        <w:t>Sen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cholam</w:t>
      </w:r>
      <w:proofErr w:type="spellEnd"/>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4"/>
        <w:gridCol w:w="525"/>
        <w:gridCol w:w="746"/>
        <w:gridCol w:w="615"/>
        <w:gridCol w:w="671"/>
        <w:gridCol w:w="747"/>
        <w:gridCol w:w="615"/>
        <w:gridCol w:w="671"/>
        <w:gridCol w:w="747"/>
        <w:gridCol w:w="615"/>
        <w:gridCol w:w="671"/>
        <w:gridCol w:w="706"/>
        <w:gridCol w:w="741"/>
        <w:gridCol w:w="652"/>
      </w:tblGrid>
      <w:tr w:rsidR="00437D3A" w:rsidRPr="00ED137C" w:rsidTr="000B54BF">
        <w:trPr>
          <w:trHeight w:val="555"/>
        </w:trPr>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Treatment</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proofErr w:type="spellStart"/>
            <w:r w:rsidRPr="00ED137C">
              <w:rPr>
                <w:rFonts w:ascii="Times New Roman" w:eastAsia="Times New Roman" w:hAnsi="Times New Roman" w:cs="Times New Roman"/>
                <w:b/>
                <w:bCs/>
                <w:sz w:val="14"/>
                <w:szCs w:val="14"/>
              </w:rPr>
              <w:t>KCl</w:t>
            </w:r>
            <w:proofErr w:type="spellEnd"/>
            <w:r w:rsidRPr="00ED137C">
              <w:rPr>
                <w:rFonts w:ascii="Times New Roman" w:eastAsia="Times New Roman" w:hAnsi="Times New Roman" w:cs="Times New Roman"/>
                <w:b/>
                <w:bCs/>
                <w:sz w:val="14"/>
                <w:szCs w:val="14"/>
              </w:rPr>
              <w:t xml:space="preserve"> (%)</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3</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3</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3</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Mean SVI</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SD SVI</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CV% SVI</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20.600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1812.80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19.700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1103.20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1450.80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1455.60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354.8244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24.38</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19.200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1574.40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951.60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67.0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1256.25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1260.75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311.4244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24.70</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1345.20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811.20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1072.60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1076.33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267.0196</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24.81</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16.100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1110.90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15.400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662.20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882.00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885.03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224.3654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25.35</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892.80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13.800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538.20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50.5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712.05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714.35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177.3112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24.82</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542.40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10.800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324.00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11.050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430.95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432.45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109.2077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25.25</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7278.50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268.0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4390.40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346.5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97.10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5804.65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5824.52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1444.15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149.31</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70.8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16.55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1213.08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44.7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15.82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731.73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57.8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967.44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970.75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240.69</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24.89</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462.71</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9.4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283.26</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11.9</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371.07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372.34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89.77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0.36</w:t>
            </w:r>
          </w:p>
        </w:tc>
      </w:tr>
    </w:tbl>
    <w:p w:rsidR="00437D3A" w:rsidRDefault="00437D3A" w:rsidP="000B54BF">
      <w:pPr>
        <w:pStyle w:val="font-claude-response-body"/>
        <w:spacing w:line="360" w:lineRule="auto"/>
        <w:ind w:firstLine="720"/>
        <w:jc w:val="both"/>
      </w:pPr>
      <w:r>
        <w:t xml:space="preserve">The Seedling Vigour Index (SVI), computed as the product of germination percentage and total seedling length, captures the combined effect of </w:t>
      </w:r>
      <w:proofErr w:type="spellStart"/>
      <w:r>
        <w:t>KCl</w:t>
      </w:r>
      <w:proofErr w:type="spellEnd"/>
      <w:r>
        <w:t xml:space="preserve"> treatments on seed quality comprehensively. In Ragi (Table 8), the mean SVI declined consistently from 550.9 at T</w:t>
      </w:r>
      <w:r w:rsidRPr="007A7E75">
        <w:rPr>
          <w:vertAlign w:val="subscript"/>
        </w:rPr>
        <w:t>1</w:t>
      </w:r>
      <w:r>
        <w:t xml:space="preserve"> to 162.9 at T</w:t>
      </w:r>
      <w:r w:rsidRPr="007A7E75">
        <w:rPr>
          <w:vertAlign w:val="subscript"/>
        </w:rPr>
        <w:t>6</w:t>
      </w:r>
      <w:r>
        <w:t>, with all replication-wise values showing a proportional reduction. The SVI at T</w:t>
      </w:r>
      <w:r w:rsidRPr="007A7E75">
        <w:rPr>
          <w:vertAlign w:val="subscript"/>
        </w:rPr>
        <w:t>1</w:t>
      </w:r>
      <w:r>
        <w:t xml:space="preserve"> across R</w:t>
      </w:r>
      <w:r w:rsidRPr="007A7E75">
        <w:rPr>
          <w:vertAlign w:val="subscript"/>
        </w:rPr>
        <w:t>1</w:t>
      </w:r>
      <w:r>
        <w:t>, R</w:t>
      </w:r>
      <w:r w:rsidRPr="007A7E75">
        <w:rPr>
          <w:vertAlign w:val="subscript"/>
        </w:rPr>
        <w:t>2</w:t>
      </w:r>
      <w:r>
        <w:t>, and R</w:t>
      </w:r>
      <w:r w:rsidRPr="007A7E75">
        <w:rPr>
          <w:vertAlign w:val="subscript"/>
        </w:rPr>
        <w:t>3</w:t>
      </w:r>
      <w:r>
        <w:t xml:space="preserve"> was 527.00, 574.56, and 551.20, respectively, yielding a mean of 550.9 (SD = 23.781, CV = 4.32%). The CV across treatments remained relatively stable (3.87–4.78%), indicating consistent experimental precision. The sharp drop in SVI from T1 to T6 in Ragi </w:t>
      </w:r>
      <w:r>
        <w:lastRenderedPageBreak/>
        <w:t xml:space="preserve">reflects the cumulative inhibitory effect of increasing </w:t>
      </w:r>
      <w:proofErr w:type="spellStart"/>
      <w:r>
        <w:t>KCl</w:t>
      </w:r>
      <w:proofErr w:type="spellEnd"/>
      <w:r>
        <w:t xml:space="preserve"> on germination percentage and seedling elongation, reducing overall seed performance by nearly 70% from the control to the 3.0% </w:t>
      </w:r>
      <w:proofErr w:type="spellStart"/>
      <w:r>
        <w:t>KCl</w:t>
      </w:r>
      <w:proofErr w:type="spellEnd"/>
      <w:r>
        <w:t xml:space="preserve"> treatment. The grand mean SVI for Ragi across all treatments was 366.6, with a standard deviation of 140.6, confirming wide treatment-level variation.</w:t>
      </w:r>
    </w:p>
    <w:p w:rsidR="00437D3A" w:rsidRDefault="00437D3A" w:rsidP="000B54BF">
      <w:pPr>
        <w:pStyle w:val="font-claude-response-body"/>
        <w:spacing w:line="360" w:lineRule="auto"/>
        <w:ind w:firstLine="720"/>
        <w:jc w:val="both"/>
      </w:pPr>
      <w:r>
        <w:t>White Cholam (Table 9) recorded the second-highest SVI values overall, with T</w:t>
      </w:r>
      <w:r w:rsidRPr="007A7E75">
        <w:rPr>
          <w:vertAlign w:val="subscript"/>
        </w:rPr>
        <w:t>1</w:t>
      </w:r>
      <w:r>
        <w:t xml:space="preserve"> yielding a mean SVI of 1636.40 (CV = 1.69%), followed by a steady decline through T6 (mean SVI = 499.29, CV = 2.13%). The CV values were consistently low across all treatments (1.69–2.58%), reflecting the most uniform experimental response among the three crops. The grand mean S</w:t>
      </w:r>
      <w:r w:rsidR="00AA10D3">
        <w:t xml:space="preserve">VI of 1093.41 and the treatment </w:t>
      </w:r>
      <w:r>
        <w:t>level SDs (ranging from 10.61 at T</w:t>
      </w:r>
      <w:r w:rsidRPr="007A7E75">
        <w:rPr>
          <w:vertAlign w:val="subscript"/>
        </w:rPr>
        <w:t>6</w:t>
      </w:r>
      <w:r>
        <w:t xml:space="preserve"> to 31.22 at T</w:t>
      </w:r>
      <w:r w:rsidRPr="007A7E75">
        <w:rPr>
          <w:vertAlign w:val="subscript"/>
        </w:rPr>
        <w:t>3</w:t>
      </w:r>
      <w:r>
        <w:t xml:space="preserve">) </w:t>
      </w:r>
      <w:r w:rsidR="00AA10D3">
        <w:t>confirms</w:t>
      </w:r>
      <w:r>
        <w:t xml:space="preserve"> that the declining trend was smooth and statistically interpretable. The T</w:t>
      </w:r>
      <w:r w:rsidRPr="00AA10D3">
        <w:rPr>
          <w:vertAlign w:val="subscript"/>
        </w:rPr>
        <w:t>1</w:t>
      </w:r>
      <w:r>
        <w:t xml:space="preserve"> SVI for White Cholam was nearly three times that of Ragi, reflecting the higher germination percentage (80–88%) and longer seedling lengths of sorghum varieties relative to finger millet.</w:t>
      </w:r>
    </w:p>
    <w:p w:rsidR="00437D3A" w:rsidRDefault="00437D3A" w:rsidP="000B54BF">
      <w:pPr>
        <w:pStyle w:val="font-claude-response-body"/>
        <w:spacing w:line="360" w:lineRule="auto"/>
        <w:ind w:firstLine="720"/>
        <w:jc w:val="both"/>
      </w:pPr>
      <w:r>
        <w:t>Sen Cholam (Table 10) exhibited the highest absolute SVI at T</w:t>
      </w:r>
      <w:r w:rsidRPr="007A7E75">
        <w:rPr>
          <w:vertAlign w:val="subscript"/>
        </w:rPr>
        <w:t>1</w:t>
      </w:r>
      <w:r>
        <w:t xml:space="preserve"> (mean = 1455.60), but also the greatest variability across replications, with an SD of 354.82 and CV of 24.38% at T</w:t>
      </w:r>
      <w:r w:rsidRPr="00AA10D3">
        <w:rPr>
          <w:vertAlign w:val="subscript"/>
        </w:rPr>
        <w:t>1</w:t>
      </w:r>
      <w:r>
        <w:t>. This high CV is attributable to the wide divergence between R</w:t>
      </w:r>
      <w:r w:rsidRPr="007A7E75">
        <w:rPr>
          <w:vertAlign w:val="subscript"/>
        </w:rPr>
        <w:t>1</w:t>
      </w:r>
      <w:r>
        <w:t xml:space="preserve"> (88% germination, SVI = 1812.80) and R</w:t>
      </w:r>
      <w:r w:rsidRPr="007A7E75">
        <w:rPr>
          <w:vertAlign w:val="subscript"/>
        </w:rPr>
        <w:t>2</w:t>
      </w:r>
      <w:r>
        <w:t xml:space="preserve"> (56% germination, SVI = 1103.20), pointing to genuine biological variability between the two replication batches. Despite the high CV, the declining trend from T</w:t>
      </w:r>
      <w:r w:rsidRPr="007A7E75">
        <w:rPr>
          <w:vertAlign w:val="subscript"/>
        </w:rPr>
        <w:t>1</w:t>
      </w:r>
      <w:r>
        <w:t xml:space="preserve"> through T</w:t>
      </w:r>
      <w:r w:rsidRPr="007A7E75">
        <w:rPr>
          <w:vertAlign w:val="subscript"/>
        </w:rPr>
        <w:t>6</w:t>
      </w:r>
      <w:r>
        <w:t xml:space="preserve"> was clearly maintained, with T6 recording a mean SVI of 432.45 (SD = 109.21, CV = 25.25%). The grand mean SVI for Sen Cholam was 970.75, which was lower than White Cholam (1093.41) when averaged across all treatments, largely due to the variability at the T</w:t>
      </w:r>
      <w:r w:rsidRPr="00AA10D3">
        <w:rPr>
          <w:vertAlign w:val="subscript"/>
        </w:rPr>
        <w:t>1</w:t>
      </w:r>
      <w:r>
        <w:t xml:space="preserve"> level. Across all three crops, the SVI decreased with increasing </w:t>
      </w:r>
      <w:proofErr w:type="spellStart"/>
      <w:r>
        <w:t>KCl</w:t>
      </w:r>
      <w:proofErr w:type="spellEnd"/>
      <w:r>
        <w:t xml:space="preserve"> concentration, with the steepest percentage reduction observed in Ragi (70.4% reduction from T</w:t>
      </w:r>
      <w:r w:rsidRPr="007A7E75">
        <w:rPr>
          <w:vertAlign w:val="subscript"/>
        </w:rPr>
        <w:t>1</w:t>
      </w:r>
      <w:r>
        <w:t xml:space="preserve"> to T</w:t>
      </w:r>
      <w:r w:rsidRPr="007A7E75">
        <w:rPr>
          <w:vertAlign w:val="subscript"/>
        </w:rPr>
        <w:t>6</w:t>
      </w:r>
      <w:r>
        <w:t xml:space="preserve">), followed by White Cholam (69.5%) and Sen Cholam (70.3%). This consistent pattern of SVI decline with progressive </w:t>
      </w:r>
      <w:proofErr w:type="spellStart"/>
      <w:r>
        <w:t>KCl</w:t>
      </w:r>
      <w:proofErr w:type="spellEnd"/>
      <w:r>
        <w:t xml:space="preserve"> levels reinforces the understanding that while low to moderate </w:t>
      </w:r>
      <w:proofErr w:type="spellStart"/>
      <w:r>
        <w:t>KCl</w:t>
      </w:r>
      <w:proofErr w:type="spellEnd"/>
      <w:r>
        <w:t xml:space="preserve"> concentrations may marginally benefit individual seedling dimensions, higher concentrations impose osmotic and ionic stress that cumulatively reduce the seed's capacity to establish vigorous seedlings.</w:t>
      </w:r>
    </w:p>
    <w:p w:rsidR="00437D3A" w:rsidRDefault="00437D3A" w:rsidP="000B54BF">
      <w:pPr>
        <w:pStyle w:val="font-claude-response-body"/>
        <w:spacing w:line="360" w:lineRule="auto"/>
        <w:ind w:firstLine="720"/>
        <w:jc w:val="both"/>
      </w:pPr>
      <w:r>
        <w:t xml:space="preserve">Seed priming with 50 </w:t>
      </w:r>
      <w:proofErr w:type="spellStart"/>
      <w:r>
        <w:t>mM</w:t>
      </w:r>
      <w:proofErr w:type="spellEnd"/>
      <w:r>
        <w:t xml:space="preserve"> </w:t>
      </w:r>
      <w:proofErr w:type="spellStart"/>
      <w:r>
        <w:t>KCl</w:t>
      </w:r>
      <w:proofErr w:type="spellEnd"/>
      <w:r>
        <w:t xml:space="preserve"> was identified as an optimum priming agent to improve the performance of salt-stressed sorghum, as reported by Guo </w:t>
      </w:r>
      <w:r w:rsidRPr="007A7E75">
        <w:rPr>
          <w:i/>
        </w:rPr>
        <w:t>et al</w:t>
      </w:r>
      <w:r>
        <w:t xml:space="preserve">. (2022), who noted that </w:t>
      </w:r>
      <w:proofErr w:type="spellStart"/>
      <w:r>
        <w:t>KCl</w:t>
      </w:r>
      <w:proofErr w:type="spellEnd"/>
      <w:r>
        <w:t xml:space="preserve"> </w:t>
      </w:r>
      <w:r>
        <w:lastRenderedPageBreak/>
        <w:t xml:space="preserve">priming alleviated the adverse effects of salt stress through enhanced antioxidant enzyme activity. The present study extends this understanding by demonstrating that while lower concentrations (0.5–1.0% </w:t>
      </w:r>
      <w:proofErr w:type="spellStart"/>
      <w:r>
        <w:t>KCl</w:t>
      </w:r>
      <w:proofErr w:type="spellEnd"/>
      <w:r>
        <w:t xml:space="preserve">) may be acceptable as priming agents, concentrations at or above 2.0% progressively suppress SVI in all three crops. Halopriming has been demonstrated to offer numerous advantages including improved crop establishment, enhanced uniformity, increased plant growth, and higher productivity, particularly in the face of abiotic stresses (Patel </w:t>
      </w:r>
      <w:r w:rsidRPr="00490567">
        <w:rPr>
          <w:i/>
        </w:rPr>
        <w:t>et al</w:t>
      </w:r>
      <w:r>
        <w:t xml:space="preserve">., 2023), and the threshold concentration appears to be a critical determinant of whether halopriming benefits or inhibits seedling </w:t>
      </w:r>
      <w:proofErr w:type="spellStart"/>
      <w:r>
        <w:t>vigour</w:t>
      </w:r>
      <w:proofErr w:type="spellEnd"/>
      <w:r>
        <w:t>.</w:t>
      </w:r>
    </w:p>
    <w:p w:rsidR="00437D3A" w:rsidRPr="000B54BF" w:rsidRDefault="00A2237E" w:rsidP="000B54BF">
      <w:pPr>
        <w:pStyle w:val="Heading3"/>
        <w:spacing w:line="360" w:lineRule="auto"/>
        <w:ind w:left="0"/>
        <w:rPr>
          <w:color w:val="auto"/>
        </w:rPr>
      </w:pPr>
      <w:r>
        <w:rPr>
          <w:color w:val="auto"/>
          <w:sz w:val="24"/>
        </w:rPr>
        <w:t xml:space="preserve">4. </w:t>
      </w:r>
      <w:r w:rsidR="00437D3A" w:rsidRPr="000B54BF">
        <w:rPr>
          <w:color w:val="auto"/>
          <w:sz w:val="24"/>
        </w:rPr>
        <w:t>Conclusion</w:t>
      </w:r>
    </w:p>
    <w:p w:rsidR="00437D3A" w:rsidRDefault="00437D3A" w:rsidP="000B54BF">
      <w:pPr>
        <w:pStyle w:val="font-claude-response-body"/>
        <w:spacing w:line="360" w:lineRule="auto"/>
        <w:ind w:firstLine="720"/>
        <w:jc w:val="both"/>
      </w:pPr>
      <w:commentRangeStart w:id="16"/>
      <w:r w:rsidRPr="000B54BF">
        <w:t xml:space="preserve">The present investigation systematically examined the effects of six graded concentrations of Potassium Chloride (0%, 0.5%, 1.0%, 1.5%, 2.0%, and 3.0% </w:t>
      </w:r>
      <w:proofErr w:type="spellStart"/>
      <w:r w:rsidRPr="000B54BF">
        <w:t>KCl</w:t>
      </w:r>
      <w:proofErr w:type="spellEnd"/>
      <w:r w:rsidRPr="000B54BF">
        <w:t>) on a comprehensive set of seed quality parameters — electrical conductivity, 1000 grain weight, germination percentage, seedling length, and Seedling Vigour Index — in three important cereal crops, namely Ragi (</w:t>
      </w:r>
      <w:r w:rsidRPr="000B54BF">
        <w:rPr>
          <w:rStyle w:val="Emphasis"/>
          <w:rFonts w:eastAsiaTheme="majorEastAsia"/>
        </w:rPr>
        <w:t>Eleusine coracana</w:t>
      </w:r>
      <w:r w:rsidRPr="000B54BF">
        <w:t xml:space="preserve">), White Cholam, and Sen Cholam. The findings collectively demonstrate that </w:t>
      </w:r>
      <w:proofErr w:type="spellStart"/>
      <w:r w:rsidRPr="000B54BF">
        <w:t>KCl</w:t>
      </w:r>
      <w:proofErr w:type="spellEnd"/>
      <w:r w:rsidRPr="000B54BF">
        <w:t xml:space="preserve"> concentration exerts a significant, dose-dependent influence on seed physiology, with outcomes varying </w:t>
      </w:r>
      <w:r>
        <w:t>considerably across crops and parameters.</w:t>
      </w:r>
    </w:p>
    <w:p w:rsidR="00437D3A" w:rsidRDefault="00437D3A" w:rsidP="000B54BF">
      <w:pPr>
        <w:pStyle w:val="font-claude-response-body"/>
        <w:spacing w:line="360" w:lineRule="auto"/>
        <w:ind w:firstLine="720"/>
        <w:jc w:val="both"/>
      </w:pPr>
      <w:r>
        <w:t>With regard to electrical conductivity, a consistent and progressive increase in leachate conductivity was recorded in all three crops from T</w:t>
      </w:r>
      <w:r w:rsidRPr="00074165">
        <w:rPr>
          <w:vertAlign w:val="subscript"/>
        </w:rPr>
        <w:t>1</w:t>
      </w:r>
      <w:r>
        <w:t xml:space="preserve"> through T</w:t>
      </w:r>
      <w:r w:rsidRPr="00074165">
        <w:rPr>
          <w:vertAlign w:val="subscript"/>
        </w:rPr>
        <w:t>6</w:t>
      </w:r>
      <w:r>
        <w:t xml:space="preserve">, confirming that rising </w:t>
      </w:r>
      <w:proofErr w:type="spellStart"/>
      <w:r>
        <w:t>KCl</w:t>
      </w:r>
      <w:proofErr w:type="spellEnd"/>
      <w:r>
        <w:t xml:space="preserve"> concentrations progressively compromise the membrane integrity of seeds. Sen Cholam was found to be the most sensitive, reaching the highest EC value of 163.27 µS/cm at T</w:t>
      </w:r>
      <w:r w:rsidRPr="00074165">
        <w:rPr>
          <w:vertAlign w:val="subscript"/>
        </w:rPr>
        <w:t>6</w:t>
      </w:r>
      <w:r>
        <w:t xml:space="preserve"> (3.0% </w:t>
      </w:r>
      <w:proofErr w:type="spellStart"/>
      <w:r>
        <w:t>KCl</w:t>
      </w:r>
      <w:proofErr w:type="spellEnd"/>
      <w:r>
        <w:t xml:space="preserve">), while </w:t>
      </w:r>
      <w:proofErr w:type="spellStart"/>
      <w:r>
        <w:t>Ragi</w:t>
      </w:r>
      <w:proofErr w:type="spellEnd"/>
      <w:r>
        <w:t xml:space="preserve"> exhibited the lowest incremental increase, suggesting comparatively superior membrane stability under ionic stress. These findings align with the broad consensus that elevated external ionic strength disrupts the phospholipid bilayer of seed membranes, resulting in greater electrolyte leakage and reduced seed </w:t>
      </w:r>
      <w:proofErr w:type="spellStart"/>
      <w:r>
        <w:t>vigour</w:t>
      </w:r>
      <w:proofErr w:type="spellEnd"/>
      <w:r>
        <w:t xml:space="preserve"> (</w:t>
      </w:r>
      <w:proofErr w:type="spellStart"/>
      <w:r>
        <w:t>Jatana</w:t>
      </w:r>
      <w:proofErr w:type="spellEnd"/>
      <w:r>
        <w:t xml:space="preserve"> </w:t>
      </w:r>
      <w:r w:rsidRPr="00074165">
        <w:rPr>
          <w:i/>
        </w:rPr>
        <w:t>et al</w:t>
      </w:r>
      <w:r>
        <w:t xml:space="preserve">., 2024). For 1000 grain weight, a non-linear treatment response was observed across all crops. Moderate </w:t>
      </w:r>
      <w:proofErr w:type="spellStart"/>
      <w:r>
        <w:t>KCl</w:t>
      </w:r>
      <w:proofErr w:type="spellEnd"/>
      <w:r>
        <w:t xml:space="preserve"> </w:t>
      </w:r>
      <w:proofErr w:type="gramStart"/>
      <w:r>
        <w:t>concentrations  specifically</w:t>
      </w:r>
      <w:proofErr w:type="gramEnd"/>
      <w:r>
        <w:t xml:space="preserve"> T</w:t>
      </w:r>
      <w:r w:rsidRPr="00074165">
        <w:rPr>
          <w:vertAlign w:val="subscript"/>
        </w:rPr>
        <w:t>4</w:t>
      </w:r>
      <w:r>
        <w:t xml:space="preserve"> (1.5% </w:t>
      </w:r>
      <w:proofErr w:type="spellStart"/>
      <w:r>
        <w:t>KCl</w:t>
      </w:r>
      <w:proofErr w:type="spellEnd"/>
      <w:r>
        <w:t xml:space="preserve">) for </w:t>
      </w:r>
      <w:proofErr w:type="spellStart"/>
      <w:r>
        <w:t>Ragi</w:t>
      </w:r>
      <w:proofErr w:type="spellEnd"/>
      <w:r>
        <w:t xml:space="preserve"> and Sen Cholam, and T</w:t>
      </w:r>
      <w:r w:rsidRPr="00074165">
        <w:rPr>
          <w:vertAlign w:val="subscript"/>
        </w:rPr>
        <w:t>5</w:t>
      </w:r>
      <w:r>
        <w:t xml:space="preserve"> (2.0% </w:t>
      </w:r>
      <w:proofErr w:type="spellStart"/>
      <w:r>
        <w:t>KCl</w:t>
      </w:r>
      <w:proofErr w:type="spellEnd"/>
      <w:r>
        <w:t xml:space="preserve">) for White </w:t>
      </w:r>
      <w:proofErr w:type="spellStart"/>
      <w:r>
        <w:t>Cholam</w:t>
      </w:r>
      <w:proofErr w:type="spellEnd"/>
      <w:r>
        <w:t xml:space="preserve">  produced the highest grain weights, after which a declining trend was evident at T</w:t>
      </w:r>
      <w:r w:rsidRPr="00074165">
        <w:rPr>
          <w:vertAlign w:val="subscript"/>
        </w:rPr>
        <w:t>6</w:t>
      </w:r>
      <w:r>
        <w:t xml:space="preserve">. This inverted-U relationship indicates that potassium ions at optimal concentrations facilitate enzymatic activity and osmoregulation during seed development, but at higher concentrations, </w:t>
      </w:r>
      <w:r>
        <w:lastRenderedPageBreak/>
        <w:t>ionic toxicity begins to suppress normal biosynthetic processes. The consistently low CV% values across all crops for this parameter confirm the high reliability of these measurements.</w:t>
      </w:r>
    </w:p>
    <w:p w:rsidR="00437D3A" w:rsidRDefault="00437D3A" w:rsidP="000B54BF">
      <w:pPr>
        <w:pStyle w:val="font-claude-response-body"/>
        <w:spacing w:line="360" w:lineRule="auto"/>
        <w:ind w:firstLine="720"/>
        <w:jc w:val="both"/>
      </w:pPr>
      <w:r>
        <w:t>Germination percentage showed a significant treatment response in Ragi (significant at 1% level) but not in White Cholam or Sen Cholam. Ragi germination improved progressively from 52.67% at T</w:t>
      </w:r>
      <w:r w:rsidRPr="00074165">
        <w:rPr>
          <w:vertAlign w:val="subscript"/>
        </w:rPr>
        <w:t>1</w:t>
      </w:r>
      <w:r>
        <w:t xml:space="preserve"> to 56.0% at T</w:t>
      </w:r>
      <w:r w:rsidRPr="00074165">
        <w:rPr>
          <w:vertAlign w:val="subscript"/>
        </w:rPr>
        <w:t>6</w:t>
      </w:r>
      <w:r>
        <w:t xml:space="preserve">, reflecting its capacity to harness potassium-mediated cellular activation up to the tested concentration range. The non-significant responses in the Cholam varieties likely reflect a ceiling effect arising from their inherently higher baseline germination percentages (84–88%). These results highlight that the benefit of </w:t>
      </w:r>
      <w:proofErr w:type="spellStart"/>
      <w:r>
        <w:t>halopriming</w:t>
      </w:r>
      <w:proofErr w:type="spellEnd"/>
      <w:r>
        <w:t xml:space="preserve"> with </w:t>
      </w:r>
      <w:proofErr w:type="spellStart"/>
      <w:r>
        <w:t>KCl</w:t>
      </w:r>
      <w:proofErr w:type="spellEnd"/>
      <w:r>
        <w:t xml:space="preserve"> is species-specific and strongly dependent on the initial physiological state of the seed lot (Zhang </w:t>
      </w:r>
      <w:r w:rsidRPr="00074165">
        <w:rPr>
          <w:i/>
        </w:rPr>
        <w:t>et al</w:t>
      </w:r>
      <w:r>
        <w:t xml:space="preserve">., 2021; </w:t>
      </w:r>
      <w:proofErr w:type="spellStart"/>
      <w:r>
        <w:t>Boutej</w:t>
      </w:r>
      <w:proofErr w:type="spellEnd"/>
      <w:r>
        <w:t xml:space="preserve"> </w:t>
      </w:r>
      <w:r w:rsidRPr="00074165">
        <w:rPr>
          <w:i/>
        </w:rPr>
        <w:t>et al</w:t>
      </w:r>
      <w:r>
        <w:t>., 2021).</w:t>
      </w:r>
    </w:p>
    <w:p w:rsidR="00437D3A" w:rsidRDefault="00437D3A" w:rsidP="000B54BF">
      <w:pPr>
        <w:pStyle w:val="font-claude-response-body"/>
        <w:spacing w:line="360" w:lineRule="auto"/>
        <w:ind w:firstLine="720"/>
        <w:jc w:val="both"/>
      </w:pPr>
      <w:r>
        <w:t xml:space="preserve">Seedling length analysis on the 7th day revealed nuanced crop-specific responses. In </w:t>
      </w:r>
      <w:proofErr w:type="spellStart"/>
      <w:r>
        <w:t>Ragi</w:t>
      </w:r>
      <w:proofErr w:type="spellEnd"/>
      <w:r>
        <w:t>, T</w:t>
      </w:r>
      <w:r w:rsidRPr="00074165">
        <w:rPr>
          <w:vertAlign w:val="subscript"/>
        </w:rPr>
        <w:t>2</w:t>
      </w:r>
      <w:r>
        <w:t xml:space="preserve"> (0.5% </w:t>
      </w:r>
      <w:proofErr w:type="spellStart"/>
      <w:r>
        <w:t>KCl</w:t>
      </w:r>
      <w:proofErr w:type="spellEnd"/>
      <w:r>
        <w:t>) produced the most favorable seedling growth (mean total length 10.975 cm), while T</w:t>
      </w:r>
      <w:r w:rsidRPr="00074165">
        <w:rPr>
          <w:vertAlign w:val="subscript"/>
        </w:rPr>
        <w:t>5</w:t>
      </w:r>
      <w:r>
        <w:t xml:space="preserve"> showed transient inhibition before partial recovery at T</w:t>
      </w:r>
      <w:r w:rsidRPr="00074165">
        <w:rPr>
          <w:vertAlign w:val="subscript"/>
        </w:rPr>
        <w:t>6</w:t>
      </w:r>
      <w:r>
        <w:t xml:space="preserve">. In White </w:t>
      </w:r>
      <w:proofErr w:type="spellStart"/>
      <w:r>
        <w:t>Cholam</w:t>
      </w:r>
      <w:proofErr w:type="spellEnd"/>
      <w:r>
        <w:t>, T</w:t>
      </w:r>
      <w:r w:rsidRPr="00074165">
        <w:rPr>
          <w:vertAlign w:val="subscript"/>
        </w:rPr>
        <w:t>4</w:t>
      </w:r>
      <w:r>
        <w:t xml:space="preserve"> (1.5% </w:t>
      </w:r>
      <w:proofErr w:type="spellStart"/>
      <w:r>
        <w:t>KCl</w:t>
      </w:r>
      <w:proofErr w:type="spellEnd"/>
      <w:r>
        <w:t>) yielded the highest mean total length (21.683 cm), while the T</w:t>
      </w:r>
      <w:r w:rsidRPr="00074165">
        <w:rPr>
          <w:vertAlign w:val="subscript"/>
        </w:rPr>
        <w:t>3</w:t>
      </w:r>
      <w:r>
        <w:t xml:space="preserve"> treatment displayed the greatest variability. Sen Cholam displayed an increasing trend in total seedling length with rising </w:t>
      </w:r>
      <w:proofErr w:type="spellStart"/>
      <w:r>
        <w:t>KCl</w:t>
      </w:r>
      <w:proofErr w:type="spellEnd"/>
      <w:r>
        <w:t xml:space="preserve"> levels, reaching a maximum of 21.717 cm at T</w:t>
      </w:r>
      <w:r w:rsidRPr="00074165">
        <w:rPr>
          <w:vertAlign w:val="subscript"/>
        </w:rPr>
        <w:t>6</w:t>
      </w:r>
      <w:r>
        <w:t xml:space="preserve">, signifying relatively greater tolerance of this variety to osmotic conditioning up to 3.0% </w:t>
      </w:r>
      <w:proofErr w:type="spellStart"/>
      <w:r>
        <w:t>KCl</w:t>
      </w:r>
      <w:proofErr w:type="spellEnd"/>
      <w:r>
        <w:t xml:space="preserve">. This behavior is consistent with documented reports indicating that moderate </w:t>
      </w:r>
      <w:proofErr w:type="spellStart"/>
      <w:r>
        <w:t>KCl</w:t>
      </w:r>
      <w:proofErr w:type="spellEnd"/>
      <w:r>
        <w:t xml:space="preserve"> priming improves root and shoot elongation by promoting turgor maintenance and water uptake during early germination (Guo </w:t>
      </w:r>
      <w:r w:rsidRPr="00490567">
        <w:rPr>
          <w:i/>
        </w:rPr>
        <w:t>et al</w:t>
      </w:r>
      <w:r>
        <w:t>., 2022).</w:t>
      </w:r>
    </w:p>
    <w:p w:rsidR="00437D3A" w:rsidRDefault="00437D3A" w:rsidP="000B54BF">
      <w:pPr>
        <w:pStyle w:val="font-claude-response-body"/>
        <w:spacing w:line="360" w:lineRule="auto"/>
        <w:ind w:firstLine="720"/>
        <w:jc w:val="both"/>
      </w:pPr>
      <w:r>
        <w:t xml:space="preserve">The Seedling Vigour Index, being a composite measure of both germination capacity and seedling growth, provided the most integrative view of treatment effects. SVI declined systematically with increasing </w:t>
      </w:r>
      <w:proofErr w:type="spellStart"/>
      <w:r>
        <w:t>KCl</w:t>
      </w:r>
      <w:proofErr w:type="spellEnd"/>
      <w:r>
        <w:t xml:space="preserve"> concentration in all three crops, with the steepest reductions observed at T</w:t>
      </w:r>
      <w:r w:rsidRPr="00074165">
        <w:rPr>
          <w:vertAlign w:val="subscript"/>
        </w:rPr>
        <w:t>5</w:t>
      </w:r>
      <w:r>
        <w:t xml:space="preserve"> and T</w:t>
      </w:r>
      <w:r w:rsidRPr="00074165">
        <w:rPr>
          <w:vertAlign w:val="subscript"/>
        </w:rPr>
        <w:t>6</w:t>
      </w:r>
      <w:r>
        <w:t>. Ragi recorded a reduction of approximately 70.4% from T</w:t>
      </w:r>
      <w:r w:rsidRPr="00074165">
        <w:rPr>
          <w:vertAlign w:val="subscript"/>
        </w:rPr>
        <w:t>1</w:t>
      </w:r>
      <w:r>
        <w:t xml:space="preserve"> (SVI = 550.9) to T6 (SVI = 162.9), Sen Cholam a reduction of approximately 70.3% (1455.60 to 432.45), and White Cholam approximately 69.5% (1636.40 to 499.29). This parallel declining trend across three genetically distinct crops points to a generalized osmotic and ionic inhibition at concentrations of 2.0% and 3.0% </w:t>
      </w:r>
      <w:proofErr w:type="spellStart"/>
      <w:r>
        <w:t>KCl</w:t>
      </w:r>
      <w:proofErr w:type="spellEnd"/>
      <w:r>
        <w:t>. The consistent CV% values in Ragi (3.87–4.78%) and White Cholam (1.69–2.58%) validate the experimental precision, while the higher CV% in Sen Cholam (24.38–25.35%) reflects genuine biological variability between replication batches.</w:t>
      </w:r>
    </w:p>
    <w:p w:rsidR="000B54BF" w:rsidRDefault="00437D3A" w:rsidP="000B54BF">
      <w:pPr>
        <w:pStyle w:val="font-claude-response-body"/>
        <w:spacing w:line="360" w:lineRule="auto"/>
        <w:ind w:firstLine="720"/>
        <w:jc w:val="both"/>
      </w:pPr>
      <w:r>
        <w:lastRenderedPageBreak/>
        <w:t xml:space="preserve">Overall, the study concludes that </w:t>
      </w:r>
      <w:proofErr w:type="spellStart"/>
      <w:r>
        <w:t>KCl</w:t>
      </w:r>
      <w:proofErr w:type="spellEnd"/>
      <w:r>
        <w:t xml:space="preserve"> concentrations of 0.5% to 1.0% can be considered safe and potentially beneficial for halopriming of Ragi, while White Cholam shows an optimal response in the 0.5–1.5% range. Concentrations at or above 2.0% </w:t>
      </w:r>
      <w:proofErr w:type="spellStart"/>
      <w:r>
        <w:t>KCl</w:t>
      </w:r>
      <w:proofErr w:type="spellEnd"/>
      <w:r>
        <w:t xml:space="preserve"> are detrimental to all three crops, significantly suppressing the Seedling Vigour Index and seedling establishment potential. These findings provide practical guidance for seed treatment protocols in </w:t>
      </w:r>
      <w:r w:rsidR="00AA10D3">
        <w:t>dry land</w:t>
      </w:r>
      <w:r>
        <w:t xml:space="preserve"> cereal production systems, where potassium-based priming agents are commonly employed to improve stand establishment. Future studies should incorporate field-level validation, enzymatic activity profiling, and assessment of downstream crop yield under optimized </w:t>
      </w:r>
      <w:proofErr w:type="spellStart"/>
      <w:r>
        <w:t>KCl</w:t>
      </w:r>
      <w:proofErr w:type="spellEnd"/>
      <w:r>
        <w:t xml:space="preserve"> priming regimes to translate these laboratory insights into actionable agronomic recommendations.</w:t>
      </w:r>
      <w:commentRangeEnd w:id="16"/>
      <w:r w:rsidR="00960FA3">
        <w:rPr>
          <w:rStyle w:val="CommentReference"/>
          <w:rFonts w:asciiTheme="minorHAnsi" w:eastAsiaTheme="minorHAnsi" w:hAnsiTheme="minorHAnsi" w:cstheme="minorBidi"/>
        </w:rPr>
        <w:commentReference w:id="16"/>
      </w:r>
    </w:p>
    <w:p w:rsidR="00437D3A" w:rsidRPr="000B54BF" w:rsidRDefault="00437D3A" w:rsidP="000B54BF">
      <w:pPr>
        <w:pStyle w:val="font-claude-response-body"/>
        <w:spacing w:line="360" w:lineRule="auto"/>
        <w:jc w:val="both"/>
      </w:pPr>
      <w:commentRangeStart w:id="17"/>
      <w:r w:rsidRPr="00DC64F1">
        <w:rPr>
          <w:b/>
        </w:rPr>
        <w:t xml:space="preserve">Reference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Abdul-</w:t>
      </w:r>
      <w:proofErr w:type="spellStart"/>
      <w:r w:rsidRPr="00437D3A">
        <w:rPr>
          <w:rFonts w:ascii="Times New Roman" w:eastAsia="Times New Roman" w:hAnsi="Times New Roman" w:cs="Times New Roman"/>
          <w:sz w:val="24"/>
          <w:szCs w:val="24"/>
        </w:rPr>
        <w:t>Baki</w:t>
      </w:r>
      <w:proofErr w:type="spellEnd"/>
      <w:r w:rsidRPr="00437D3A">
        <w:rPr>
          <w:rFonts w:ascii="Times New Roman" w:eastAsia="Times New Roman" w:hAnsi="Times New Roman" w:cs="Times New Roman"/>
          <w:sz w:val="24"/>
          <w:szCs w:val="24"/>
        </w:rPr>
        <w:t xml:space="preserve">, A.A. and Anderson, J.D. (1973). Vigour determination in soybean seed by multiple criteria. </w:t>
      </w:r>
      <w:r w:rsidRPr="00437D3A">
        <w:rPr>
          <w:rFonts w:ascii="Times New Roman" w:eastAsia="Times New Roman" w:hAnsi="Times New Roman" w:cs="Times New Roman"/>
          <w:i/>
          <w:iCs/>
          <w:sz w:val="24"/>
          <w:szCs w:val="24"/>
        </w:rPr>
        <w:t>Crop Science</w:t>
      </w:r>
      <w:r w:rsidRPr="00437D3A">
        <w:rPr>
          <w:rFonts w:ascii="Times New Roman" w:eastAsia="Times New Roman" w:hAnsi="Times New Roman" w:cs="Times New Roman"/>
          <w:sz w:val="24"/>
          <w:szCs w:val="24"/>
        </w:rPr>
        <w:t xml:space="preserve">, 13, 630–633. </w:t>
      </w:r>
      <w:commentRangeEnd w:id="17"/>
      <w:r w:rsidR="00960FA3">
        <w:rPr>
          <w:rStyle w:val="CommentReference"/>
        </w:rPr>
        <w:commentReference w:id="17"/>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 xml:space="preserve">Abdullah, S., M. A. U. </w:t>
      </w:r>
      <w:proofErr w:type="spellStart"/>
      <w:r w:rsidRPr="00437D3A">
        <w:rPr>
          <w:rFonts w:ascii="Times New Roman" w:eastAsia="Times New Roman" w:hAnsi="Times New Roman" w:cs="Times New Roman"/>
          <w:bCs/>
          <w:sz w:val="24"/>
          <w:szCs w:val="24"/>
        </w:rPr>
        <w:t>Viju</w:t>
      </w:r>
      <w:proofErr w:type="spellEnd"/>
      <w:r w:rsidRPr="00437D3A">
        <w:rPr>
          <w:rFonts w:ascii="Times New Roman" w:eastAsia="Times New Roman" w:hAnsi="Times New Roman" w:cs="Times New Roman"/>
          <w:bCs/>
          <w:sz w:val="24"/>
          <w:szCs w:val="24"/>
        </w:rPr>
        <w:t xml:space="preserve"> and S. Prakash. 2024.</w:t>
      </w:r>
      <w:r w:rsidRPr="00437D3A">
        <w:rPr>
          <w:rFonts w:ascii="Times New Roman" w:eastAsia="Times New Roman" w:hAnsi="Times New Roman" w:cs="Times New Roman"/>
          <w:sz w:val="24"/>
          <w:szCs w:val="24"/>
        </w:rPr>
        <w:t xml:space="preserve"> Physiological and molecular responses of seed germination to salt stress in small millets. </w:t>
      </w:r>
      <w:r w:rsidRPr="00437D3A">
        <w:rPr>
          <w:rFonts w:ascii="Times New Roman" w:eastAsia="Times New Roman" w:hAnsi="Times New Roman" w:cs="Times New Roman"/>
          <w:i/>
          <w:iCs/>
          <w:sz w:val="24"/>
          <w:szCs w:val="24"/>
        </w:rPr>
        <w:t>J. Plant Physiol.</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28</w:t>
      </w:r>
      <w:r w:rsidRPr="00437D3A">
        <w:rPr>
          <w:rFonts w:ascii="Times New Roman" w:eastAsia="Times New Roman" w:hAnsi="Times New Roman" w:cs="Times New Roman"/>
          <w:sz w:val="24"/>
          <w:szCs w:val="24"/>
        </w:rPr>
        <w:t>(3): 112-119.</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hAnsi="Times New Roman" w:cs="Times New Roman"/>
          <w:sz w:val="24"/>
          <w:szCs w:val="24"/>
        </w:rPr>
        <w:t xml:space="preserve">Adeola, A. A., </w:t>
      </w:r>
      <w:proofErr w:type="spellStart"/>
      <w:r w:rsidRPr="00437D3A">
        <w:rPr>
          <w:rFonts w:ascii="Times New Roman" w:hAnsi="Times New Roman" w:cs="Times New Roman"/>
          <w:sz w:val="24"/>
          <w:szCs w:val="24"/>
        </w:rPr>
        <w:t>Adelekan</w:t>
      </w:r>
      <w:proofErr w:type="spellEnd"/>
      <w:r w:rsidRPr="00437D3A">
        <w:rPr>
          <w:rFonts w:ascii="Times New Roman" w:hAnsi="Times New Roman" w:cs="Times New Roman"/>
          <w:sz w:val="24"/>
          <w:szCs w:val="24"/>
        </w:rPr>
        <w:t xml:space="preserve">, A. O., &amp; </w:t>
      </w:r>
      <w:proofErr w:type="spellStart"/>
      <w:r w:rsidRPr="00437D3A">
        <w:rPr>
          <w:rFonts w:ascii="Times New Roman" w:hAnsi="Times New Roman" w:cs="Times New Roman"/>
          <w:sz w:val="24"/>
          <w:szCs w:val="24"/>
        </w:rPr>
        <w:t>Ohizua</w:t>
      </w:r>
      <w:proofErr w:type="spellEnd"/>
      <w:r w:rsidRPr="00437D3A">
        <w:rPr>
          <w:rFonts w:ascii="Times New Roman" w:hAnsi="Times New Roman" w:cs="Times New Roman"/>
          <w:sz w:val="24"/>
          <w:szCs w:val="24"/>
        </w:rPr>
        <w:t xml:space="preserve">, E. R. (2023). Millets: A resilient solution for a changing climate. </w:t>
      </w:r>
      <w:r w:rsidRPr="00437D3A">
        <w:rPr>
          <w:rFonts w:ascii="Times New Roman" w:hAnsi="Times New Roman" w:cs="Times New Roman"/>
          <w:i/>
          <w:iCs/>
          <w:sz w:val="24"/>
          <w:szCs w:val="24"/>
          <w:bdr w:val="none" w:sz="0" w:space="0" w:color="auto" w:frame="1"/>
        </w:rPr>
        <w:t>Bhumi Publishing</w:t>
      </w:r>
      <w:r w:rsidRPr="00437D3A">
        <w:rPr>
          <w:rFonts w:ascii="Times New Roman" w:hAnsi="Times New Roman" w:cs="Times New Roman"/>
          <w:sz w:val="24"/>
          <w:szCs w:val="24"/>
        </w:rPr>
        <w:t>, 39–45.</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bCs/>
          <w:sz w:val="24"/>
          <w:szCs w:val="24"/>
        </w:rPr>
        <w:t>Bahçe</w:t>
      </w:r>
      <w:proofErr w:type="spellEnd"/>
      <w:r w:rsidRPr="00437D3A">
        <w:rPr>
          <w:rFonts w:ascii="Times New Roman" w:eastAsia="Times New Roman" w:hAnsi="Times New Roman" w:cs="Times New Roman"/>
          <w:bCs/>
          <w:sz w:val="24"/>
          <w:szCs w:val="24"/>
        </w:rPr>
        <w:t>, T. 2025.</w:t>
      </w:r>
      <w:r w:rsidRPr="00437D3A">
        <w:rPr>
          <w:rFonts w:ascii="Times New Roman" w:eastAsia="Times New Roman" w:hAnsi="Times New Roman" w:cs="Times New Roman"/>
          <w:sz w:val="24"/>
          <w:szCs w:val="24"/>
        </w:rPr>
        <w:t xml:space="preserve"> Electrical conductivity relates seed germination and seedling emergence in millet seed lots. </w:t>
      </w:r>
      <w:proofErr w:type="spellStart"/>
      <w:r w:rsidRPr="00437D3A">
        <w:rPr>
          <w:rFonts w:ascii="Times New Roman" w:eastAsia="Times New Roman" w:hAnsi="Times New Roman" w:cs="Times New Roman"/>
          <w:i/>
          <w:iCs/>
          <w:sz w:val="24"/>
          <w:szCs w:val="24"/>
        </w:rPr>
        <w:t>Bahçe</w:t>
      </w:r>
      <w:proofErr w:type="spellEnd"/>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54</w:t>
      </w:r>
      <w:r w:rsidRPr="00437D3A">
        <w:rPr>
          <w:rFonts w:ascii="Times New Roman" w:eastAsia="Times New Roman" w:hAnsi="Times New Roman" w:cs="Times New Roman"/>
          <w:sz w:val="24"/>
          <w:szCs w:val="24"/>
        </w:rPr>
        <w:t>(1): 26-30.</w:t>
      </w:r>
    </w:p>
    <w:p w:rsidR="00437D3A" w:rsidRPr="00437D3A" w:rsidRDefault="00437D3A" w:rsidP="000B54BF">
      <w:pPr>
        <w:pStyle w:val="NormalWeb"/>
        <w:spacing w:line="360" w:lineRule="auto"/>
        <w:ind w:firstLine="720"/>
        <w:jc w:val="both"/>
      </w:pPr>
      <w:r w:rsidRPr="00437D3A">
        <w:t xml:space="preserve">Borah, T., Deka, S., &amp; Sharma, D. (2026). Millets and food security: A sustainable response to growing population needs. </w:t>
      </w:r>
      <w:r w:rsidRPr="00437D3A">
        <w:rPr>
          <w:i/>
          <w:iCs/>
        </w:rPr>
        <w:t>Frontiers in Plant Science</w:t>
      </w:r>
      <w:r w:rsidRPr="00437D3A">
        <w:t xml:space="preserve">, </w:t>
      </w:r>
      <w:r w:rsidRPr="00437D3A">
        <w:rPr>
          <w:i/>
          <w:iCs/>
        </w:rPr>
        <w:t>17</w:t>
      </w:r>
      <w:r w:rsidRPr="00437D3A">
        <w:t xml:space="preserve">, 1796931. </w:t>
      </w:r>
      <w:hyperlink w:tgtFrame="_blank" w:history="1">
        <w:r w:rsidRPr="00437D3A">
          <w:rPr>
            <w:rStyle w:val="Hyperlink"/>
            <w:color w:val="auto"/>
          </w:rPr>
          <w:t>https://doi.org/10.3389/fpls.2026.1796931</w:t>
        </w:r>
      </w:hyperlink>
      <w:r w:rsidRPr="00437D3A">
        <w:t xml:space="preserve"> Cited by: 8</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3B59C5">
        <w:rPr>
          <w:rFonts w:ascii="Times New Roman" w:eastAsia="Times New Roman" w:hAnsi="Times New Roman" w:cs="Times New Roman"/>
          <w:sz w:val="24"/>
          <w:szCs w:val="24"/>
        </w:rPr>
        <w:t>Boutej</w:t>
      </w:r>
      <w:proofErr w:type="spellEnd"/>
      <w:r w:rsidRPr="003B59C5">
        <w:rPr>
          <w:rFonts w:ascii="Times New Roman" w:eastAsia="Times New Roman" w:hAnsi="Times New Roman" w:cs="Times New Roman"/>
          <w:sz w:val="24"/>
          <w:szCs w:val="24"/>
        </w:rPr>
        <w:t xml:space="preserve">, A., </w:t>
      </w:r>
      <w:proofErr w:type="spellStart"/>
      <w:r w:rsidRPr="003B59C5">
        <w:rPr>
          <w:rFonts w:ascii="Times New Roman" w:eastAsia="Times New Roman" w:hAnsi="Times New Roman" w:cs="Times New Roman"/>
          <w:sz w:val="24"/>
          <w:szCs w:val="24"/>
        </w:rPr>
        <w:t>Khedher</w:t>
      </w:r>
      <w:proofErr w:type="spellEnd"/>
      <w:r w:rsidRPr="003B59C5">
        <w:rPr>
          <w:rFonts w:ascii="Times New Roman" w:eastAsia="Times New Roman" w:hAnsi="Times New Roman" w:cs="Times New Roman"/>
          <w:sz w:val="24"/>
          <w:szCs w:val="24"/>
        </w:rPr>
        <w:t xml:space="preserve">, R., </w:t>
      </w:r>
      <w:proofErr w:type="spellStart"/>
      <w:r w:rsidRPr="003B59C5">
        <w:rPr>
          <w:rFonts w:ascii="Times New Roman" w:eastAsia="Times New Roman" w:hAnsi="Times New Roman" w:cs="Times New Roman"/>
          <w:sz w:val="24"/>
          <w:szCs w:val="24"/>
        </w:rPr>
        <w:t>Ennajeh</w:t>
      </w:r>
      <w:proofErr w:type="spellEnd"/>
      <w:r w:rsidRPr="003B59C5">
        <w:rPr>
          <w:rFonts w:ascii="Times New Roman" w:eastAsia="Times New Roman" w:hAnsi="Times New Roman" w:cs="Times New Roman"/>
          <w:sz w:val="24"/>
          <w:szCs w:val="24"/>
        </w:rPr>
        <w:t xml:space="preserve">, S., </w:t>
      </w:r>
      <w:proofErr w:type="spellStart"/>
      <w:r w:rsidRPr="003B59C5">
        <w:rPr>
          <w:rFonts w:ascii="Times New Roman" w:eastAsia="Times New Roman" w:hAnsi="Times New Roman" w:cs="Times New Roman"/>
          <w:sz w:val="24"/>
          <w:szCs w:val="24"/>
        </w:rPr>
        <w:t>Kchouk</w:t>
      </w:r>
      <w:proofErr w:type="spellEnd"/>
      <w:r w:rsidRPr="003B59C5">
        <w:rPr>
          <w:rFonts w:ascii="Times New Roman" w:eastAsia="Times New Roman" w:hAnsi="Times New Roman" w:cs="Times New Roman"/>
          <w:sz w:val="24"/>
          <w:szCs w:val="24"/>
        </w:rPr>
        <w:t xml:space="preserve">, M. E., and </w:t>
      </w:r>
      <w:proofErr w:type="spellStart"/>
      <w:r w:rsidRPr="003B59C5">
        <w:rPr>
          <w:rFonts w:ascii="Times New Roman" w:eastAsia="Times New Roman" w:hAnsi="Times New Roman" w:cs="Times New Roman"/>
          <w:sz w:val="24"/>
          <w:szCs w:val="24"/>
        </w:rPr>
        <w:t>Mahmoudi</w:t>
      </w:r>
      <w:proofErr w:type="spellEnd"/>
      <w:r w:rsidRPr="003B59C5">
        <w:rPr>
          <w:rFonts w:ascii="Times New Roman" w:eastAsia="Times New Roman" w:hAnsi="Times New Roman" w:cs="Times New Roman"/>
          <w:sz w:val="24"/>
          <w:szCs w:val="24"/>
        </w:rPr>
        <w:t xml:space="preserve">, H. (2021). The efficiency of different priming agents for improving germination and early seedling growth of barley under salinity stress. </w:t>
      </w:r>
      <w:r w:rsidRPr="003B59C5">
        <w:rPr>
          <w:rFonts w:ascii="Times New Roman" w:eastAsia="Times New Roman" w:hAnsi="Times New Roman" w:cs="Times New Roman"/>
          <w:i/>
          <w:iCs/>
          <w:sz w:val="24"/>
          <w:szCs w:val="24"/>
        </w:rPr>
        <w:t>Plants</w:t>
      </w:r>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bCs/>
          <w:sz w:val="24"/>
          <w:szCs w:val="24"/>
        </w:rPr>
        <w:t>10</w:t>
      </w:r>
      <w:r w:rsidRPr="003B59C5">
        <w:rPr>
          <w:rFonts w:ascii="Times New Roman" w:eastAsia="Times New Roman" w:hAnsi="Times New Roman" w:cs="Times New Roman"/>
          <w:sz w:val="24"/>
          <w:szCs w:val="24"/>
        </w:rPr>
        <w:t xml:space="preserve">(11): 2414. </w:t>
      </w:r>
      <w:hyperlink r:id="rId12" w:tgtFrame="_blank" w:history="1">
        <w:r w:rsidRPr="00437D3A">
          <w:rPr>
            <w:rFonts w:ascii="Times New Roman" w:eastAsia="Times New Roman" w:hAnsi="Times New Roman" w:cs="Times New Roman"/>
            <w:sz w:val="24"/>
            <w:szCs w:val="24"/>
            <w:u w:val="single"/>
          </w:rPr>
          <w:t>https://doi.org/10.3390/plants10112414</w:t>
        </w:r>
      </w:hyperlink>
    </w:p>
    <w:p w:rsidR="00437D3A" w:rsidRPr="00437D3A" w:rsidRDefault="00437D3A" w:rsidP="000B54BF">
      <w:pPr>
        <w:pStyle w:val="NormalWeb"/>
        <w:spacing w:after="0" w:afterAutospacing="0" w:line="360" w:lineRule="auto"/>
        <w:ind w:firstLine="720"/>
        <w:jc w:val="both"/>
      </w:pPr>
      <w:proofErr w:type="spellStart"/>
      <w:r w:rsidRPr="00437D3A">
        <w:lastRenderedPageBreak/>
        <w:t>Chethan</w:t>
      </w:r>
      <w:proofErr w:type="spellEnd"/>
      <w:r w:rsidRPr="00437D3A">
        <w:t xml:space="preserve">, S., &amp; </w:t>
      </w:r>
      <w:proofErr w:type="spellStart"/>
      <w:r w:rsidRPr="00437D3A">
        <w:t>Malleshi</w:t>
      </w:r>
      <w:proofErr w:type="spellEnd"/>
      <w:r w:rsidRPr="00437D3A">
        <w:t xml:space="preserve">, N. G. (2007). Finger millet polyphenols: Characterization and their nutraceutical potential. </w:t>
      </w:r>
      <w:r w:rsidRPr="00437D3A">
        <w:rPr>
          <w:i/>
          <w:iCs/>
          <w:bdr w:val="none" w:sz="0" w:space="0" w:color="auto" w:frame="1"/>
        </w:rPr>
        <w:t>American Journal of Food Technology</w:t>
      </w:r>
      <w:r w:rsidRPr="00437D3A">
        <w:t xml:space="preserve">, </w:t>
      </w:r>
      <w:r w:rsidRPr="00437D3A">
        <w:rPr>
          <w:i/>
          <w:iCs/>
          <w:bdr w:val="none" w:sz="0" w:space="0" w:color="auto" w:frame="1"/>
        </w:rPr>
        <w:t>2</w:t>
      </w:r>
      <w:r w:rsidRPr="00437D3A">
        <w:t xml:space="preserve">(7), 582–592. </w:t>
      </w:r>
      <w:hyperlink r:id="rId13" w:tgtFrame="_blank" w:history="1">
        <w:r w:rsidRPr="00437D3A">
          <w:rPr>
            <w:rStyle w:val="Hyperlink"/>
            <w:rFonts w:eastAsiaTheme="majorEastAsia"/>
            <w:color w:val="auto"/>
            <w:bdr w:val="none" w:sz="0" w:space="0" w:color="auto" w:frame="1"/>
          </w:rPr>
          <w:t>https://doi.org/10.17221/206/2016-CJFS</w:t>
        </w:r>
      </w:hyperlink>
    </w:p>
    <w:p w:rsidR="00437D3A" w:rsidRPr="00437D3A" w:rsidRDefault="00437D3A" w:rsidP="000B54BF">
      <w:pPr>
        <w:pStyle w:val="NormalWeb"/>
        <w:spacing w:line="360" w:lineRule="auto"/>
        <w:ind w:firstLine="720"/>
        <w:jc w:val="both"/>
      </w:pPr>
      <w:proofErr w:type="spellStart"/>
      <w:r w:rsidRPr="00437D3A">
        <w:t>Chhajer</w:t>
      </w:r>
      <w:proofErr w:type="spellEnd"/>
      <w:r w:rsidRPr="00437D3A">
        <w:t xml:space="preserve">, A. K., </w:t>
      </w:r>
      <w:proofErr w:type="spellStart"/>
      <w:r w:rsidRPr="00437D3A">
        <w:t>Gour</w:t>
      </w:r>
      <w:proofErr w:type="spellEnd"/>
      <w:r w:rsidRPr="00437D3A">
        <w:t xml:space="preserve">, V. S., Kumar, P., Raj, A., Tayal, P., </w:t>
      </w:r>
      <w:proofErr w:type="spellStart"/>
      <w:r w:rsidRPr="00437D3A">
        <w:t>Rathi</w:t>
      </w:r>
      <w:proofErr w:type="spellEnd"/>
      <w:r w:rsidRPr="00437D3A">
        <w:t xml:space="preserve">, D., Sahil, M., &amp; Kothari, S. L. (2026). Biotechnology of millets: Current scenario and future prospects. </w:t>
      </w:r>
      <w:r w:rsidRPr="00437D3A">
        <w:rPr>
          <w:i/>
          <w:iCs/>
        </w:rPr>
        <w:t>Journal of Applied Biology and Biotechnology</w:t>
      </w:r>
      <w:r w:rsidRPr="00437D3A">
        <w:t xml:space="preserve">, </w:t>
      </w:r>
      <w:r w:rsidRPr="00437D3A">
        <w:rPr>
          <w:i/>
          <w:iCs/>
        </w:rPr>
        <w:t>14</w:t>
      </w:r>
      <w:r w:rsidRPr="00437D3A">
        <w:t xml:space="preserve">(S1), 5–20. </w:t>
      </w:r>
      <w:hyperlink w:tgtFrame="_blank" w:history="1">
        <w:r w:rsidRPr="00437D3A">
          <w:rPr>
            <w:rStyle w:val="Hyperlink"/>
            <w:color w:val="auto"/>
          </w:rPr>
          <w:t>https://doi.org/10.7324/JABB.2026.273153</w:t>
        </w:r>
      </w:hyperlink>
    </w:p>
    <w:p w:rsidR="00437D3A" w:rsidRPr="00437D3A" w:rsidRDefault="00437D3A" w:rsidP="000B54BF">
      <w:pPr>
        <w:pStyle w:val="NormalWeb"/>
        <w:spacing w:after="0" w:afterAutospacing="0" w:line="360" w:lineRule="auto"/>
        <w:ind w:firstLine="720"/>
        <w:jc w:val="both"/>
      </w:pPr>
      <w:proofErr w:type="spellStart"/>
      <w:r w:rsidRPr="00437D3A">
        <w:t>Chhikara</w:t>
      </w:r>
      <w:proofErr w:type="spellEnd"/>
      <w:r w:rsidRPr="00437D3A">
        <w:t xml:space="preserve">, N., Sharma, P., </w:t>
      </w:r>
      <w:proofErr w:type="spellStart"/>
      <w:r w:rsidRPr="00437D3A">
        <w:t>Jaglan</w:t>
      </w:r>
      <w:proofErr w:type="spellEnd"/>
      <w:r w:rsidRPr="00437D3A">
        <w:t xml:space="preserve">, S., &amp; </w:t>
      </w:r>
      <w:proofErr w:type="spellStart"/>
      <w:r w:rsidRPr="00437D3A">
        <w:t>Panghal</w:t>
      </w:r>
      <w:proofErr w:type="spellEnd"/>
      <w:r w:rsidRPr="00437D3A">
        <w:t xml:space="preserve">, A. (2023). Exploring the potential of sorghum with reference to its bioactive, physicochemical properties and potential health benefits. </w:t>
      </w:r>
      <w:r w:rsidRPr="00437D3A">
        <w:rPr>
          <w:i/>
          <w:iCs/>
          <w:bdr w:val="none" w:sz="0" w:space="0" w:color="auto" w:frame="1"/>
        </w:rPr>
        <w:t>Food &amp; Function</w:t>
      </w:r>
      <w:r w:rsidRPr="00437D3A">
        <w:t xml:space="preserve">, </w:t>
      </w:r>
      <w:r w:rsidRPr="00437D3A">
        <w:rPr>
          <w:i/>
          <w:iCs/>
          <w:bdr w:val="none" w:sz="0" w:space="0" w:color="auto" w:frame="1"/>
        </w:rPr>
        <w:t>15</w:t>
      </w:r>
      <w:r w:rsidRPr="00437D3A">
        <w:t>(5).</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sz w:val="24"/>
          <w:szCs w:val="24"/>
        </w:rPr>
        <w:t>Dafaallah</w:t>
      </w:r>
      <w:proofErr w:type="spellEnd"/>
      <w:r w:rsidRPr="00437D3A">
        <w:rPr>
          <w:rFonts w:ascii="Times New Roman" w:eastAsia="Times New Roman" w:hAnsi="Times New Roman" w:cs="Times New Roman"/>
          <w:sz w:val="24"/>
          <w:szCs w:val="24"/>
        </w:rPr>
        <w:t xml:space="preserve">, A.B. (2019). Application of Duncan's Multiple Range Test (DMRT) in agricultural research. OPSTAT Statistical Procedures Reference. </w:t>
      </w:r>
    </w:p>
    <w:p w:rsidR="00437D3A" w:rsidRPr="00437D3A" w:rsidRDefault="00437D3A" w:rsidP="000B54BF">
      <w:pPr>
        <w:pStyle w:val="NormalWeb"/>
        <w:spacing w:after="0" w:afterAutospacing="0" w:line="360" w:lineRule="auto"/>
        <w:ind w:firstLine="720"/>
        <w:jc w:val="both"/>
      </w:pPr>
      <w:proofErr w:type="spellStart"/>
      <w:r w:rsidRPr="00437D3A">
        <w:t>Diao</w:t>
      </w:r>
      <w:proofErr w:type="spellEnd"/>
      <w:r w:rsidRPr="00437D3A">
        <w:t xml:space="preserve">, X., &amp; Jia, G. (2015). Origin and phylogenetic analysis of foxtail millet. In </w:t>
      </w:r>
      <w:r w:rsidRPr="00437D3A">
        <w:rPr>
          <w:i/>
          <w:iCs/>
          <w:bdr w:val="none" w:sz="0" w:space="0" w:color="auto" w:frame="1"/>
        </w:rPr>
        <w:t xml:space="preserve">Genetics and Genomics of </w:t>
      </w:r>
      <w:proofErr w:type="spellStart"/>
      <w:r w:rsidRPr="00437D3A">
        <w:rPr>
          <w:i/>
          <w:iCs/>
          <w:bdr w:val="none" w:sz="0" w:space="0" w:color="auto" w:frame="1"/>
        </w:rPr>
        <w:t>Setaria</w:t>
      </w:r>
      <w:proofErr w:type="spellEnd"/>
      <w:r w:rsidRPr="00437D3A">
        <w:t xml:space="preserve"> (pp. 13–27). Springer. </w:t>
      </w:r>
      <w:hyperlink w:tgtFrame="_blank" w:history="1">
        <w:r w:rsidRPr="00437D3A">
          <w:rPr>
            <w:rStyle w:val="Hyperlink"/>
            <w:rFonts w:eastAsiaTheme="majorEastAsia"/>
            <w:color w:val="auto"/>
            <w:bdr w:val="none" w:sz="0" w:space="0" w:color="auto" w:frame="1"/>
          </w:rPr>
          <w:t>https://doi.org/10.1007/978-3-7091-1854-2_2</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sz w:val="24"/>
          <w:szCs w:val="24"/>
        </w:rPr>
        <w:t>Elezz</w:t>
      </w:r>
      <w:proofErr w:type="spellEnd"/>
      <w:r w:rsidRPr="00437D3A">
        <w:rPr>
          <w:rFonts w:ascii="Times New Roman" w:eastAsia="Times New Roman" w:hAnsi="Times New Roman" w:cs="Times New Roman"/>
          <w:sz w:val="24"/>
          <w:szCs w:val="24"/>
        </w:rPr>
        <w:t xml:space="preserve">, A.A. and Ahmed, T. (2021). The efficacy data of two household cleaning and disinfecting agents on </w:t>
      </w:r>
      <w:r w:rsidRPr="00437D3A">
        <w:rPr>
          <w:rFonts w:ascii="Times New Roman" w:eastAsia="Times New Roman" w:hAnsi="Times New Roman" w:cs="Times New Roman"/>
          <w:i/>
          <w:iCs/>
          <w:sz w:val="24"/>
          <w:szCs w:val="24"/>
        </w:rPr>
        <w:t xml:space="preserve">Lens </w:t>
      </w:r>
      <w:proofErr w:type="spellStart"/>
      <w:r w:rsidRPr="00437D3A">
        <w:rPr>
          <w:rFonts w:ascii="Times New Roman" w:eastAsia="Times New Roman" w:hAnsi="Times New Roman" w:cs="Times New Roman"/>
          <w:i/>
          <w:iCs/>
          <w:sz w:val="24"/>
          <w:szCs w:val="24"/>
        </w:rPr>
        <w:t>culinaris</w:t>
      </w:r>
      <w:proofErr w:type="spellEnd"/>
      <w:r w:rsidRPr="00437D3A">
        <w:rPr>
          <w:rFonts w:ascii="Times New Roman" w:eastAsia="Times New Roman" w:hAnsi="Times New Roman" w:cs="Times New Roman"/>
          <w:sz w:val="24"/>
          <w:szCs w:val="24"/>
        </w:rPr>
        <w:t xml:space="preserve"> and </w:t>
      </w:r>
      <w:proofErr w:type="spellStart"/>
      <w:r w:rsidRPr="00437D3A">
        <w:rPr>
          <w:rFonts w:ascii="Times New Roman" w:eastAsia="Times New Roman" w:hAnsi="Times New Roman" w:cs="Times New Roman"/>
          <w:i/>
          <w:iCs/>
          <w:sz w:val="24"/>
          <w:szCs w:val="24"/>
        </w:rPr>
        <w:t>Vicia</w:t>
      </w:r>
      <w:proofErr w:type="spellEnd"/>
      <w:r w:rsidRPr="00437D3A">
        <w:rPr>
          <w:rFonts w:ascii="Times New Roman" w:eastAsia="Times New Roman" w:hAnsi="Times New Roman" w:cs="Times New Roman"/>
          <w:i/>
          <w:iCs/>
          <w:sz w:val="24"/>
          <w:szCs w:val="24"/>
        </w:rPr>
        <w:t xml:space="preserve"> </w:t>
      </w:r>
      <w:proofErr w:type="spellStart"/>
      <w:r w:rsidRPr="00437D3A">
        <w:rPr>
          <w:rFonts w:ascii="Times New Roman" w:eastAsia="Times New Roman" w:hAnsi="Times New Roman" w:cs="Times New Roman"/>
          <w:i/>
          <w:iCs/>
          <w:sz w:val="24"/>
          <w:szCs w:val="24"/>
        </w:rPr>
        <w:t>faba</w:t>
      </w:r>
      <w:proofErr w:type="spellEnd"/>
      <w:r w:rsidRPr="00437D3A">
        <w:rPr>
          <w:rFonts w:ascii="Times New Roman" w:eastAsia="Times New Roman" w:hAnsi="Times New Roman" w:cs="Times New Roman"/>
          <w:sz w:val="24"/>
          <w:szCs w:val="24"/>
        </w:rPr>
        <w:t xml:space="preserve"> seed germination. </w:t>
      </w:r>
      <w:r w:rsidRPr="00437D3A">
        <w:rPr>
          <w:rFonts w:ascii="Times New Roman" w:eastAsia="Times New Roman" w:hAnsi="Times New Roman" w:cs="Times New Roman"/>
          <w:i/>
          <w:iCs/>
          <w:sz w:val="24"/>
          <w:szCs w:val="24"/>
        </w:rPr>
        <w:t>Data in Brief</w:t>
      </w:r>
      <w:r w:rsidRPr="00437D3A">
        <w:rPr>
          <w:rFonts w:ascii="Times New Roman" w:eastAsia="Times New Roman" w:hAnsi="Times New Roman" w:cs="Times New Roman"/>
          <w:sz w:val="24"/>
          <w:szCs w:val="24"/>
        </w:rPr>
        <w:t xml:space="preserve">, 106811. </w:t>
      </w:r>
      <w:hyperlink r:id="rId14" w:history="1">
        <w:r w:rsidRPr="00437D3A">
          <w:rPr>
            <w:rStyle w:val="Hyperlink"/>
            <w:rFonts w:ascii="Times New Roman" w:eastAsia="Times New Roman" w:hAnsi="Times New Roman" w:cs="Times New Roman"/>
            <w:color w:val="auto"/>
            <w:sz w:val="24"/>
            <w:szCs w:val="24"/>
          </w:rPr>
          <w:t>https://doi.org/10.1016/j.dib.2021.106811</w:t>
        </w:r>
      </w:hyperlink>
      <w:r w:rsidRPr="00437D3A">
        <w:rPr>
          <w:rFonts w:ascii="Times New Roman" w:eastAsia="Times New Roman" w:hAnsi="Times New Roman" w:cs="Times New Roman"/>
          <w:sz w:val="24"/>
          <w:szCs w:val="24"/>
        </w:rPr>
        <w:t xml:space="preserve"> </w:t>
      </w:r>
    </w:p>
    <w:p w:rsidR="00437D3A" w:rsidRPr="00437D3A" w:rsidRDefault="00437D3A" w:rsidP="000B54BF">
      <w:pPr>
        <w:pStyle w:val="NormalWeb"/>
        <w:spacing w:line="360" w:lineRule="auto"/>
        <w:ind w:firstLine="720"/>
        <w:jc w:val="both"/>
      </w:pPr>
      <w:r w:rsidRPr="00437D3A">
        <w:t xml:space="preserve">FAO. (2023). </w:t>
      </w:r>
      <w:r w:rsidRPr="00437D3A">
        <w:rPr>
          <w:i/>
          <w:iCs/>
        </w:rPr>
        <w:t>Unleashing the potential of millets: Background paper for the International Year of Millets 2023</w:t>
      </w:r>
      <w:r w:rsidRPr="00437D3A">
        <w:t xml:space="preserve">. Food and Agriculture Organization of the United Nations. </w:t>
      </w:r>
      <w:hyperlink r:id="rId15" w:tgtFrame="_blank" w:history="1">
        <w:r w:rsidRPr="00437D3A">
          <w:rPr>
            <w:rStyle w:val="Hyperlink"/>
            <w:color w:val="auto"/>
          </w:rPr>
          <w:t>https://doi.org/10.4060/cc7484en</w:t>
        </w:r>
      </w:hyperlink>
    </w:p>
    <w:p w:rsidR="00437D3A" w:rsidRPr="00437D3A" w:rsidRDefault="00437D3A" w:rsidP="000B54BF">
      <w:pPr>
        <w:pStyle w:val="NormalWeb"/>
        <w:spacing w:line="360" w:lineRule="auto"/>
        <w:ind w:firstLine="720"/>
        <w:jc w:val="both"/>
      </w:pPr>
      <w:r w:rsidRPr="00437D3A">
        <w:t xml:space="preserve">Fernández-Pascual, E., Carta, A., </w:t>
      </w:r>
      <w:proofErr w:type="spellStart"/>
      <w:r w:rsidRPr="00437D3A">
        <w:t>Rosbakh</w:t>
      </w:r>
      <w:proofErr w:type="spellEnd"/>
      <w:r w:rsidRPr="00437D3A">
        <w:t xml:space="preserve">, S., Jiménez-Alfaro, B., Cruz-Tejada, D. M., Wagner, M., </w:t>
      </w:r>
      <w:proofErr w:type="spellStart"/>
      <w:r w:rsidRPr="00437D3A">
        <w:t>Pinzani</w:t>
      </w:r>
      <w:proofErr w:type="spellEnd"/>
      <w:r w:rsidRPr="00437D3A">
        <w:t xml:space="preserve">, L., </w:t>
      </w:r>
      <w:proofErr w:type="spellStart"/>
      <w:r w:rsidRPr="00437D3A">
        <w:t>Lukács</w:t>
      </w:r>
      <w:proofErr w:type="spellEnd"/>
      <w:r w:rsidRPr="00437D3A">
        <w:t xml:space="preserve">, K., &amp; </w:t>
      </w:r>
      <w:proofErr w:type="spellStart"/>
      <w:r w:rsidRPr="00437D3A">
        <w:t>Phartyal</w:t>
      </w:r>
      <w:proofErr w:type="spellEnd"/>
      <w:r w:rsidRPr="00437D3A">
        <w:t xml:space="preserve">, S. S. (2026). Delayed seed germination as a strategy to cope with environmental stress and disturbance. </w:t>
      </w:r>
      <w:r w:rsidRPr="00437D3A">
        <w:rPr>
          <w:i/>
          <w:iCs/>
        </w:rPr>
        <w:t>Journal of Vegetation Science</w:t>
      </w:r>
      <w:r w:rsidRPr="00437D3A">
        <w:t xml:space="preserve">, </w:t>
      </w:r>
      <w:r w:rsidRPr="00437D3A">
        <w:rPr>
          <w:i/>
          <w:iCs/>
        </w:rPr>
        <w:t>37</w:t>
      </w:r>
      <w:r w:rsidRPr="00437D3A">
        <w:t xml:space="preserve">(2), e70140. </w:t>
      </w:r>
      <w:hyperlink w:tgtFrame="_blank" w:history="1">
        <w:r w:rsidRPr="00437D3A">
          <w:rPr>
            <w:rStyle w:val="Hyperlink"/>
            <w:color w:val="auto"/>
          </w:rPr>
          <w:t>https://doi.org/10.1111/jvs.70140</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Guo, X., </w:t>
      </w:r>
      <w:proofErr w:type="spellStart"/>
      <w:r w:rsidRPr="003B59C5">
        <w:rPr>
          <w:rFonts w:ascii="Times New Roman" w:eastAsia="Times New Roman" w:hAnsi="Times New Roman" w:cs="Times New Roman"/>
          <w:sz w:val="24"/>
          <w:szCs w:val="24"/>
        </w:rPr>
        <w:t>Zhi</w:t>
      </w:r>
      <w:proofErr w:type="spellEnd"/>
      <w:r w:rsidRPr="003B59C5">
        <w:rPr>
          <w:rFonts w:ascii="Times New Roman" w:eastAsia="Times New Roman" w:hAnsi="Times New Roman" w:cs="Times New Roman"/>
          <w:sz w:val="24"/>
          <w:szCs w:val="24"/>
        </w:rPr>
        <w:t xml:space="preserve">, W., Feng, Y., Zhou, G. &amp; Zhu, G. (2022). Seed priming improved salt-stressed sorghum growth by enhancing antioxidative defense.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w:t>
      </w:r>
      <w:hyperlink r:id="rId16" w:history="1">
        <w:r w:rsidRPr="003B59C5">
          <w:rPr>
            <w:rFonts w:ascii="Times New Roman" w:eastAsia="Times New Roman" w:hAnsi="Times New Roman" w:cs="Times New Roman"/>
            <w:sz w:val="24"/>
            <w:szCs w:val="24"/>
            <w:u w:val="single"/>
          </w:rPr>
          <w:t>https://doi.org/10.1371/journal.pone.0263036</w:t>
        </w:r>
      </w:hyperlink>
      <w:r w:rsidRPr="003B59C5">
        <w:rPr>
          <w:rFonts w:ascii="Times New Roman" w:eastAsia="Times New Roman" w:hAnsi="Times New Roman" w:cs="Times New Roman"/>
          <w:sz w:val="24"/>
          <w:szCs w:val="24"/>
        </w:rPr>
        <w:t xml:space="preserve"> </w:t>
      </w:r>
    </w:p>
    <w:p w:rsidR="00437D3A" w:rsidRPr="00437D3A" w:rsidRDefault="00437D3A" w:rsidP="000B54BF">
      <w:pPr>
        <w:pStyle w:val="NormalWeb"/>
        <w:spacing w:after="0" w:afterAutospacing="0" w:line="360" w:lineRule="auto"/>
        <w:ind w:firstLine="720"/>
        <w:jc w:val="both"/>
      </w:pPr>
      <w:r w:rsidRPr="00437D3A">
        <w:lastRenderedPageBreak/>
        <w:t xml:space="preserve">Gupta, V., Gupta, S. K., Sharma, A., &amp; Sharma, M. (2023). Nutritional profile and food safety of raw and value-added food products of sorghum and millets in sub-Saharan Africa and South Asia. </w:t>
      </w:r>
      <w:r w:rsidRPr="00437D3A">
        <w:rPr>
          <w:i/>
          <w:iCs/>
          <w:bdr w:val="none" w:sz="0" w:space="0" w:color="auto" w:frame="1"/>
        </w:rPr>
        <w:t>Cogent Food &amp; Agriculture</w:t>
      </w:r>
      <w:r w:rsidRPr="00437D3A">
        <w:t xml:space="preserve">, </w:t>
      </w:r>
      <w:r w:rsidRPr="00437D3A">
        <w:rPr>
          <w:i/>
          <w:iCs/>
          <w:bdr w:val="none" w:sz="0" w:space="0" w:color="auto" w:frame="1"/>
        </w:rPr>
        <w:t>11</w:t>
      </w:r>
      <w:r w:rsidRPr="00437D3A">
        <w:t xml:space="preserve">(1). </w:t>
      </w:r>
      <w:hyperlink w:tgtFrame="_blank" w:history="1">
        <w:r w:rsidRPr="00437D3A">
          <w:rPr>
            <w:rStyle w:val="Hyperlink"/>
            <w:rFonts w:eastAsiaTheme="majorEastAsia"/>
            <w:color w:val="auto"/>
            <w:bdr w:val="none" w:sz="0" w:space="0" w:color="auto" w:frame="1"/>
          </w:rPr>
          <w:t>https://doi.org/10.1080/23311932.2025.2461628</w:t>
        </w:r>
      </w:hyperlink>
    </w:p>
    <w:p w:rsidR="00437D3A" w:rsidRPr="00437D3A" w:rsidRDefault="00437D3A" w:rsidP="000B54BF">
      <w:pPr>
        <w:pStyle w:val="NormalWeb"/>
        <w:spacing w:after="0" w:afterAutospacing="0" w:line="360" w:lineRule="auto"/>
        <w:ind w:firstLine="720"/>
        <w:jc w:val="both"/>
      </w:pPr>
      <w:r w:rsidRPr="00437D3A">
        <w:t xml:space="preserve">Hill, H. J., Taylor, A. G., &amp; Huang, X. L. (1997). Seed vigor testing. </w:t>
      </w:r>
      <w:r w:rsidRPr="00437D3A">
        <w:rPr>
          <w:i/>
          <w:iCs/>
          <w:bdr w:val="none" w:sz="0" w:space="0" w:color="auto" w:frame="1"/>
        </w:rPr>
        <w:t>Journal of New Seeds</w:t>
      </w:r>
      <w:r w:rsidRPr="00437D3A">
        <w:t xml:space="preserve">, </w:t>
      </w:r>
      <w:r w:rsidRPr="00437D3A">
        <w:rPr>
          <w:i/>
          <w:iCs/>
          <w:bdr w:val="none" w:sz="0" w:space="0" w:color="auto" w:frame="1"/>
        </w:rPr>
        <w:t>1</w:t>
      </w:r>
      <w:r w:rsidRPr="00437D3A">
        <w:t>(1), 1–32.</w:t>
      </w:r>
    </w:p>
    <w:p w:rsidR="00437D3A" w:rsidRPr="00437D3A" w:rsidRDefault="00437D3A" w:rsidP="000B54BF">
      <w:pPr>
        <w:pStyle w:val="NormalWeb"/>
        <w:spacing w:after="0" w:afterAutospacing="0" w:line="360" w:lineRule="auto"/>
        <w:ind w:firstLine="720"/>
        <w:jc w:val="both"/>
      </w:pPr>
      <w:r w:rsidRPr="00437D3A">
        <w:t xml:space="preserve">International Seed Testing Association (ISTA). (2021). </w:t>
      </w:r>
      <w:r w:rsidRPr="00437D3A">
        <w:rPr>
          <w:i/>
          <w:iCs/>
          <w:bdr w:val="none" w:sz="0" w:space="0" w:color="auto" w:frame="1"/>
        </w:rPr>
        <w:t>International Rules for Seed Testing</w:t>
      </w:r>
      <w:r w:rsidRPr="00437D3A">
        <w:t xml:space="preserve">. ISTA, </w:t>
      </w:r>
      <w:proofErr w:type="spellStart"/>
      <w:r w:rsidRPr="00437D3A">
        <w:t>Bassersdorf</w:t>
      </w:r>
      <w:proofErr w:type="spellEnd"/>
      <w:r w:rsidRPr="00437D3A">
        <w:t>, Switzerland.</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ISTA (2022). </w:t>
      </w:r>
      <w:r w:rsidRPr="00437D3A">
        <w:rPr>
          <w:rFonts w:ascii="Times New Roman" w:eastAsia="Times New Roman" w:hAnsi="Times New Roman" w:cs="Times New Roman"/>
          <w:i/>
          <w:iCs/>
          <w:sz w:val="24"/>
          <w:szCs w:val="24"/>
        </w:rPr>
        <w:t>International Rules for Seed Testing</w:t>
      </w:r>
      <w:r w:rsidRPr="00437D3A">
        <w:rPr>
          <w:rFonts w:ascii="Times New Roman" w:eastAsia="Times New Roman" w:hAnsi="Times New Roman" w:cs="Times New Roman"/>
          <w:sz w:val="24"/>
          <w:szCs w:val="24"/>
        </w:rPr>
        <w:t xml:space="preserve">. International Seed Testing Association, </w:t>
      </w:r>
      <w:proofErr w:type="spellStart"/>
      <w:r w:rsidRPr="00437D3A">
        <w:rPr>
          <w:rFonts w:ascii="Times New Roman" w:eastAsia="Times New Roman" w:hAnsi="Times New Roman" w:cs="Times New Roman"/>
          <w:sz w:val="24"/>
          <w:szCs w:val="24"/>
        </w:rPr>
        <w:t>Bassersdorf</w:t>
      </w:r>
      <w:proofErr w:type="spellEnd"/>
      <w:r w:rsidRPr="00437D3A">
        <w:rPr>
          <w:rFonts w:ascii="Times New Roman" w:eastAsia="Times New Roman" w:hAnsi="Times New Roman" w:cs="Times New Roman"/>
          <w:sz w:val="24"/>
          <w:szCs w:val="24"/>
        </w:rPr>
        <w:t xml:space="preserve">, Switzerland.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ISTA (2023). </w:t>
      </w:r>
      <w:r w:rsidRPr="00437D3A">
        <w:rPr>
          <w:rFonts w:ascii="Times New Roman" w:eastAsia="Times New Roman" w:hAnsi="Times New Roman" w:cs="Times New Roman"/>
          <w:i/>
          <w:iCs/>
          <w:sz w:val="24"/>
          <w:szCs w:val="24"/>
        </w:rPr>
        <w:t>ISTA Rules for Seed Testing — 2023 Edition</w:t>
      </w:r>
      <w:r w:rsidRPr="00437D3A">
        <w:rPr>
          <w:rFonts w:ascii="Times New Roman" w:eastAsia="Times New Roman" w:hAnsi="Times New Roman" w:cs="Times New Roman"/>
          <w:sz w:val="24"/>
          <w:szCs w:val="24"/>
        </w:rPr>
        <w:t>. International Seed Testing Association, Cairo/</w:t>
      </w:r>
      <w:proofErr w:type="spellStart"/>
      <w:r w:rsidRPr="00437D3A">
        <w:rPr>
          <w:rFonts w:ascii="Times New Roman" w:eastAsia="Times New Roman" w:hAnsi="Times New Roman" w:cs="Times New Roman"/>
          <w:sz w:val="24"/>
          <w:szCs w:val="24"/>
        </w:rPr>
        <w:t>Bassersdorf</w:t>
      </w:r>
      <w:proofErr w:type="spellEnd"/>
      <w:r w:rsidRPr="00437D3A">
        <w:rPr>
          <w:rFonts w:ascii="Times New Roman" w:eastAsia="Times New Roman" w:hAnsi="Times New Roman" w:cs="Times New Roman"/>
          <w:sz w:val="24"/>
          <w:szCs w:val="24"/>
        </w:rPr>
        <w:t xml:space="preserve">.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3B59C5">
        <w:rPr>
          <w:rFonts w:ascii="Times New Roman" w:eastAsia="Times New Roman" w:hAnsi="Times New Roman" w:cs="Times New Roman"/>
          <w:sz w:val="24"/>
          <w:szCs w:val="24"/>
        </w:rPr>
        <w:t>Jatana</w:t>
      </w:r>
      <w:proofErr w:type="spellEnd"/>
      <w:r w:rsidRPr="003B59C5">
        <w:rPr>
          <w:rFonts w:ascii="Times New Roman" w:eastAsia="Times New Roman" w:hAnsi="Times New Roman" w:cs="Times New Roman"/>
          <w:sz w:val="24"/>
          <w:szCs w:val="24"/>
        </w:rPr>
        <w:t xml:space="preserve">, B.S., Grover, S., Ram, H. &amp; Baath, G.S. (2024). Seed priming: Molecular and physiological mechanisms underlying biotic and abiotic stress tolerance. </w:t>
      </w:r>
      <w:r w:rsidRPr="003B59C5">
        <w:rPr>
          <w:rFonts w:ascii="Times New Roman" w:eastAsia="Times New Roman" w:hAnsi="Times New Roman" w:cs="Times New Roman"/>
          <w:i/>
          <w:iCs/>
          <w:sz w:val="24"/>
          <w:szCs w:val="24"/>
        </w:rPr>
        <w:t>Agronomy</w:t>
      </w:r>
      <w:r w:rsidRPr="003B59C5">
        <w:rPr>
          <w:rFonts w:ascii="Times New Roman" w:eastAsia="Times New Roman" w:hAnsi="Times New Roman" w:cs="Times New Roman"/>
          <w:sz w:val="24"/>
          <w:szCs w:val="24"/>
        </w:rPr>
        <w:t xml:space="preserve">, 14, 2901. </w:t>
      </w:r>
      <w:hyperlink r:id="rId17" w:history="1">
        <w:r w:rsidRPr="003B59C5">
          <w:rPr>
            <w:rFonts w:ascii="Times New Roman" w:eastAsia="Times New Roman" w:hAnsi="Times New Roman" w:cs="Times New Roman"/>
            <w:sz w:val="24"/>
            <w:szCs w:val="24"/>
            <w:u w:val="single"/>
          </w:rPr>
          <w:t>https://doi.org/10.3390/agronomy14122901</w:t>
        </w:r>
      </w:hyperlink>
      <w:r w:rsidRPr="003B59C5">
        <w:rPr>
          <w:rFonts w:ascii="Times New Roman" w:eastAsia="Times New Roman" w:hAnsi="Times New Roman" w:cs="Times New Roman"/>
          <w:sz w:val="24"/>
          <w:szCs w:val="24"/>
        </w:rPr>
        <w:t xml:space="preserve">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Mandal, P., K. R. Prakash and R. Wanyama. 2025.</w:t>
      </w:r>
      <w:r w:rsidRPr="00437D3A">
        <w:rPr>
          <w:rFonts w:ascii="Times New Roman" w:eastAsia="Times New Roman" w:hAnsi="Times New Roman" w:cs="Times New Roman"/>
          <w:sz w:val="24"/>
          <w:szCs w:val="24"/>
        </w:rPr>
        <w:t xml:space="preserve"> Role of potassium chloride in enhancing crop resilience: A physiological perspective. </w:t>
      </w:r>
      <w:r w:rsidRPr="00437D3A">
        <w:rPr>
          <w:rFonts w:ascii="Times New Roman" w:eastAsia="Times New Roman" w:hAnsi="Times New Roman" w:cs="Times New Roman"/>
          <w:i/>
          <w:iCs/>
          <w:sz w:val="24"/>
          <w:szCs w:val="24"/>
        </w:rPr>
        <w:t>Field Crops Res.</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301</w:t>
      </w:r>
      <w:r w:rsidRPr="00437D3A">
        <w:rPr>
          <w:rFonts w:ascii="Times New Roman" w:eastAsia="Times New Roman" w:hAnsi="Times New Roman" w:cs="Times New Roman"/>
          <w:sz w:val="24"/>
          <w:szCs w:val="24"/>
        </w:rPr>
        <w:t>: 108-115.</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Matthews, S. and A. A. Powell. 2006.</w:t>
      </w:r>
      <w:r w:rsidRPr="00437D3A">
        <w:rPr>
          <w:rFonts w:ascii="Times New Roman" w:eastAsia="Times New Roman" w:hAnsi="Times New Roman" w:cs="Times New Roman"/>
          <w:sz w:val="24"/>
          <w:szCs w:val="24"/>
        </w:rPr>
        <w:t xml:space="preserve"> Electrical conductivity </w:t>
      </w:r>
      <w:proofErr w:type="spellStart"/>
      <w:r w:rsidRPr="00437D3A">
        <w:rPr>
          <w:rFonts w:ascii="Times New Roman" w:eastAsia="Times New Roman" w:hAnsi="Times New Roman" w:cs="Times New Roman"/>
          <w:sz w:val="24"/>
          <w:szCs w:val="24"/>
        </w:rPr>
        <w:t>programme</w:t>
      </w:r>
      <w:proofErr w:type="spellEnd"/>
      <w:r w:rsidRPr="00437D3A">
        <w:rPr>
          <w:rFonts w:ascii="Times New Roman" w:eastAsia="Times New Roman" w:hAnsi="Times New Roman" w:cs="Times New Roman"/>
          <w:sz w:val="24"/>
          <w:szCs w:val="24"/>
        </w:rPr>
        <w:t xml:space="preserve"> for </w:t>
      </w:r>
      <w:proofErr w:type="spellStart"/>
      <w:r w:rsidRPr="00437D3A">
        <w:rPr>
          <w:rFonts w:ascii="Times New Roman" w:eastAsia="Times New Roman" w:hAnsi="Times New Roman" w:cs="Times New Roman"/>
          <w:sz w:val="24"/>
          <w:szCs w:val="24"/>
        </w:rPr>
        <w:t>vigour</w:t>
      </w:r>
      <w:proofErr w:type="spellEnd"/>
      <w:r w:rsidRPr="00437D3A">
        <w:rPr>
          <w:rFonts w:ascii="Times New Roman" w:eastAsia="Times New Roman" w:hAnsi="Times New Roman" w:cs="Times New Roman"/>
          <w:sz w:val="24"/>
          <w:szCs w:val="24"/>
        </w:rPr>
        <w:t xml:space="preserve"> testing. In: </w:t>
      </w:r>
      <w:r w:rsidRPr="00437D3A">
        <w:rPr>
          <w:rFonts w:ascii="Times New Roman" w:eastAsia="Times New Roman" w:hAnsi="Times New Roman" w:cs="Times New Roman"/>
          <w:i/>
          <w:iCs/>
          <w:sz w:val="24"/>
          <w:szCs w:val="24"/>
        </w:rPr>
        <w:t>ISTA Handbook on Vigour Test Methods</w:t>
      </w:r>
      <w:r w:rsidRPr="00437D3A">
        <w:rPr>
          <w:rFonts w:ascii="Times New Roman" w:eastAsia="Times New Roman" w:hAnsi="Times New Roman" w:cs="Times New Roman"/>
          <w:sz w:val="24"/>
          <w:szCs w:val="24"/>
        </w:rPr>
        <w:t xml:space="preserve">. International Seed Testing Association, </w:t>
      </w:r>
      <w:proofErr w:type="spellStart"/>
      <w:r w:rsidRPr="00437D3A">
        <w:rPr>
          <w:rFonts w:ascii="Times New Roman" w:eastAsia="Times New Roman" w:hAnsi="Times New Roman" w:cs="Times New Roman"/>
          <w:sz w:val="24"/>
          <w:szCs w:val="24"/>
        </w:rPr>
        <w:t>Bassersdorf</w:t>
      </w:r>
      <w:proofErr w:type="spellEnd"/>
      <w:r w:rsidRPr="00437D3A">
        <w:rPr>
          <w:rFonts w:ascii="Times New Roman" w:eastAsia="Times New Roman" w:hAnsi="Times New Roman" w:cs="Times New Roman"/>
          <w:sz w:val="24"/>
          <w:szCs w:val="24"/>
        </w:rPr>
        <w:t>, Switzerland. pp. 1-15.</w:t>
      </w:r>
    </w:p>
    <w:p w:rsidR="00437D3A" w:rsidRPr="00437D3A" w:rsidRDefault="00437D3A" w:rsidP="000B54BF">
      <w:pPr>
        <w:pStyle w:val="NormalWeb"/>
        <w:spacing w:line="360" w:lineRule="auto"/>
        <w:ind w:firstLine="720"/>
        <w:jc w:val="both"/>
      </w:pPr>
      <w:r w:rsidRPr="00437D3A">
        <w:t xml:space="preserve">Meena, K. K., Meena, S., Joshi, M., &amp; </w:t>
      </w:r>
      <w:proofErr w:type="spellStart"/>
      <w:r w:rsidRPr="00437D3A">
        <w:t>Dhotre</w:t>
      </w:r>
      <w:proofErr w:type="spellEnd"/>
      <w:r w:rsidRPr="00437D3A">
        <w:t xml:space="preserve">, A. V. (2024). Nutritional and functional exploration of pearl millet and its processing and utilization: An overview. </w:t>
      </w:r>
      <w:r w:rsidRPr="00437D3A">
        <w:rPr>
          <w:i/>
          <w:iCs/>
        </w:rPr>
        <w:t>Food and Humanity</w:t>
      </w:r>
      <w:r w:rsidRPr="00437D3A">
        <w:t xml:space="preserve">, </w:t>
      </w:r>
      <w:r w:rsidRPr="00437D3A">
        <w:rPr>
          <w:i/>
          <w:iCs/>
        </w:rPr>
        <w:t>3</w:t>
      </w:r>
      <w:r w:rsidRPr="00437D3A">
        <w:t xml:space="preserve">, 100334. </w:t>
      </w:r>
      <w:hyperlink w:tgtFrame="_blank" w:history="1">
        <w:r w:rsidRPr="00437D3A">
          <w:rPr>
            <w:rStyle w:val="Hyperlink"/>
            <w:color w:val="auto"/>
          </w:rPr>
          <w:t>https://doi.org/10.1016/j.foohum.2024.100334</w:t>
        </w:r>
      </w:hyperlink>
      <w:r w:rsidRPr="00437D3A">
        <w:t xml:space="preserve"> Cited by: 22</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Moradi, L. and </w:t>
      </w:r>
      <w:proofErr w:type="spellStart"/>
      <w:r w:rsidRPr="00437D3A">
        <w:rPr>
          <w:rFonts w:ascii="Times New Roman" w:eastAsia="Times New Roman" w:hAnsi="Times New Roman" w:cs="Times New Roman"/>
          <w:sz w:val="24"/>
          <w:szCs w:val="24"/>
        </w:rPr>
        <w:t>Siosemardeh</w:t>
      </w:r>
      <w:proofErr w:type="spellEnd"/>
      <w:r w:rsidRPr="00437D3A">
        <w:rPr>
          <w:rFonts w:ascii="Times New Roman" w:eastAsia="Times New Roman" w:hAnsi="Times New Roman" w:cs="Times New Roman"/>
          <w:sz w:val="24"/>
          <w:szCs w:val="24"/>
        </w:rPr>
        <w:t xml:space="preserve">, A. (2023). Combination of seed priming and nutrient foliar application improved physiological attributes, grain yield, and biofortification of rainfed wheat. </w:t>
      </w:r>
      <w:r w:rsidRPr="00437D3A">
        <w:rPr>
          <w:rFonts w:ascii="Times New Roman" w:eastAsia="Times New Roman" w:hAnsi="Times New Roman" w:cs="Times New Roman"/>
          <w:i/>
          <w:iCs/>
          <w:sz w:val="24"/>
          <w:szCs w:val="24"/>
        </w:rPr>
        <w:t>Frontiers in Plant Science</w:t>
      </w:r>
      <w:r w:rsidRPr="00437D3A">
        <w:rPr>
          <w:rFonts w:ascii="Times New Roman" w:eastAsia="Times New Roman" w:hAnsi="Times New Roman" w:cs="Times New Roman"/>
          <w:sz w:val="24"/>
          <w:szCs w:val="24"/>
        </w:rPr>
        <w:t xml:space="preserve">. </w:t>
      </w:r>
      <w:hyperlink r:id="rId18" w:history="1">
        <w:r w:rsidRPr="00437D3A">
          <w:rPr>
            <w:rStyle w:val="Hyperlink"/>
            <w:rFonts w:ascii="Times New Roman" w:eastAsia="Times New Roman" w:hAnsi="Times New Roman" w:cs="Times New Roman"/>
            <w:color w:val="auto"/>
            <w:sz w:val="24"/>
            <w:szCs w:val="24"/>
          </w:rPr>
          <w:t>https://doi.org/10.3389/fpls.2023.1287677</w:t>
        </w:r>
      </w:hyperlink>
      <w:r w:rsidRPr="00437D3A">
        <w:rPr>
          <w:rFonts w:ascii="Times New Roman" w:eastAsia="Times New Roman" w:hAnsi="Times New Roman" w:cs="Times New Roman"/>
          <w:sz w:val="24"/>
          <w:szCs w:val="24"/>
        </w:rPr>
        <w:t xml:space="preserve"> </w:t>
      </w:r>
    </w:p>
    <w:p w:rsidR="00437D3A" w:rsidRPr="00437D3A" w:rsidRDefault="00437D3A" w:rsidP="000B54BF">
      <w:pPr>
        <w:pStyle w:val="NormalWeb"/>
        <w:spacing w:line="360" w:lineRule="auto"/>
        <w:ind w:firstLine="720"/>
        <w:jc w:val="both"/>
      </w:pPr>
      <w:proofErr w:type="spellStart"/>
      <w:r w:rsidRPr="00437D3A">
        <w:lastRenderedPageBreak/>
        <w:t>Osede</w:t>
      </w:r>
      <w:proofErr w:type="spellEnd"/>
      <w:r w:rsidRPr="00437D3A">
        <w:t xml:space="preserve">, O. J., Fernando, W. M. A. D. B., </w:t>
      </w:r>
      <w:proofErr w:type="spellStart"/>
      <w:r w:rsidRPr="00437D3A">
        <w:t>Abdulraheem</w:t>
      </w:r>
      <w:proofErr w:type="spellEnd"/>
      <w:r w:rsidRPr="00437D3A">
        <w:t xml:space="preserve">, R. A., </w:t>
      </w:r>
      <w:proofErr w:type="spellStart"/>
      <w:r w:rsidRPr="00437D3A">
        <w:t>Kariyawasam</w:t>
      </w:r>
      <w:proofErr w:type="spellEnd"/>
      <w:r w:rsidRPr="00437D3A">
        <w:t xml:space="preserve">, K. P., Samarasinghe, A. S., Fernando, W. M. K. T., Barnes, H., Robertson, M., </w:t>
      </w:r>
      <w:proofErr w:type="spellStart"/>
      <w:r w:rsidRPr="00437D3A">
        <w:t>Jayatunga</w:t>
      </w:r>
      <w:proofErr w:type="spellEnd"/>
      <w:r w:rsidRPr="00437D3A">
        <w:t xml:space="preserve">, D. P. W., De Silva, B. G. D. N. K., &amp; </w:t>
      </w:r>
      <w:proofErr w:type="spellStart"/>
      <w:r w:rsidRPr="00437D3A">
        <w:t>Jayasena</w:t>
      </w:r>
      <w:proofErr w:type="spellEnd"/>
      <w:r w:rsidRPr="00437D3A">
        <w:t xml:space="preserve">, V. (2024). Sorghum and sorghum-based products: Nutritional composition, prebiotic potential and health benefits in gut microbiota interactions. </w:t>
      </w:r>
      <w:r w:rsidRPr="00437D3A">
        <w:rPr>
          <w:i/>
          <w:iCs/>
        </w:rPr>
        <w:t>Journal of the Science of Food and Agriculture</w:t>
      </w:r>
      <w:r w:rsidRPr="00437D3A">
        <w:t xml:space="preserve">, </w:t>
      </w:r>
      <w:r w:rsidRPr="00437D3A">
        <w:rPr>
          <w:i/>
          <w:iCs/>
        </w:rPr>
        <w:t>104</w:t>
      </w:r>
      <w:r w:rsidRPr="00437D3A">
        <w:t xml:space="preserve">(12). </w:t>
      </w:r>
      <w:hyperlink w:tgtFrame="_blank" w:history="1">
        <w:r w:rsidRPr="00437D3A">
          <w:rPr>
            <w:rStyle w:val="Hyperlink"/>
            <w:color w:val="auto"/>
          </w:rPr>
          <w:t>https://doi.org/10.1002/jsfa.12661</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bCs/>
          <w:sz w:val="24"/>
          <w:szCs w:val="24"/>
        </w:rPr>
        <w:t>Panse</w:t>
      </w:r>
      <w:proofErr w:type="spellEnd"/>
      <w:r w:rsidRPr="00437D3A">
        <w:rPr>
          <w:rFonts w:ascii="Times New Roman" w:eastAsia="Times New Roman" w:hAnsi="Times New Roman" w:cs="Times New Roman"/>
          <w:bCs/>
          <w:sz w:val="24"/>
          <w:szCs w:val="24"/>
        </w:rPr>
        <w:t xml:space="preserve">, V. G. and P. V. </w:t>
      </w:r>
      <w:proofErr w:type="spellStart"/>
      <w:r w:rsidRPr="00437D3A">
        <w:rPr>
          <w:rFonts w:ascii="Times New Roman" w:eastAsia="Times New Roman" w:hAnsi="Times New Roman" w:cs="Times New Roman"/>
          <w:bCs/>
          <w:sz w:val="24"/>
          <w:szCs w:val="24"/>
        </w:rPr>
        <w:t>Sukhatme</w:t>
      </w:r>
      <w:proofErr w:type="spellEnd"/>
      <w:r w:rsidRPr="00437D3A">
        <w:rPr>
          <w:rFonts w:ascii="Times New Roman" w:eastAsia="Times New Roman" w:hAnsi="Times New Roman" w:cs="Times New Roman"/>
          <w:bCs/>
          <w:sz w:val="24"/>
          <w:szCs w:val="24"/>
        </w:rPr>
        <w:t>. 1985.</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i/>
          <w:iCs/>
          <w:sz w:val="24"/>
          <w:szCs w:val="24"/>
        </w:rPr>
        <w:t>Statistical Methods for Agricultural Workers</w:t>
      </w:r>
      <w:r w:rsidRPr="00437D3A">
        <w:rPr>
          <w:rFonts w:ascii="Times New Roman" w:eastAsia="Times New Roman" w:hAnsi="Times New Roman" w:cs="Times New Roman"/>
          <w:sz w:val="24"/>
          <w:szCs w:val="24"/>
        </w:rPr>
        <w:t>. Indian Council of Agricultural Research (ICAR), New Delhi.</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Patel, A., Patil, S. S., Gaikwad, S. S. and Yadav, R. K. (2023). Halopriming as a strategy for improving crop establishment under abiotic stress. </w:t>
      </w:r>
      <w:r w:rsidRPr="00437D3A">
        <w:rPr>
          <w:rFonts w:ascii="Times New Roman" w:eastAsia="Times New Roman" w:hAnsi="Times New Roman" w:cs="Times New Roman"/>
          <w:i/>
          <w:iCs/>
          <w:sz w:val="24"/>
          <w:szCs w:val="24"/>
        </w:rPr>
        <w:t>Agricultural Reviews</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44</w:t>
      </w:r>
      <w:r w:rsidRPr="00437D3A">
        <w:rPr>
          <w:rFonts w:ascii="Times New Roman" w:eastAsia="Times New Roman" w:hAnsi="Times New Roman" w:cs="Times New Roman"/>
          <w:sz w:val="24"/>
          <w:szCs w:val="24"/>
        </w:rPr>
        <w:t>(4): 521-526. doi:10.18805/ag.RF-282</w:t>
      </w:r>
    </w:p>
    <w:p w:rsidR="00437D3A" w:rsidRPr="00437D3A" w:rsidRDefault="00437D3A" w:rsidP="000B54BF">
      <w:pPr>
        <w:pStyle w:val="NormalWeb"/>
        <w:spacing w:line="360" w:lineRule="auto"/>
        <w:ind w:firstLine="720"/>
      </w:pPr>
      <w:r w:rsidRPr="00437D3A">
        <w:t xml:space="preserve">Press Information Bureau (PIB). (2026). </w:t>
      </w:r>
      <w:r w:rsidRPr="00437D3A">
        <w:rPr>
          <w:i/>
          <w:iCs/>
        </w:rPr>
        <w:t>India’s resilient production systems in agriculture</w:t>
      </w:r>
      <w:r w:rsidRPr="00437D3A">
        <w:t xml:space="preserve">. Government of India. </w:t>
      </w:r>
      <w:hyperlink w:tgtFrame="_blank" w:history="1">
        <w:r w:rsidRPr="00437D3A">
          <w:rPr>
            <w:rStyle w:val="Hyperlink"/>
            <w:color w:val="auto"/>
          </w:rPr>
          <w:t>https://www.pib.gov.in/pressreleasedetail.aspx?prid=2248987</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Sharma, G. (2018). Seed </w:t>
      </w:r>
      <w:proofErr w:type="spellStart"/>
      <w:r w:rsidRPr="00437D3A">
        <w:rPr>
          <w:rFonts w:ascii="Times New Roman" w:eastAsia="Times New Roman" w:hAnsi="Times New Roman" w:cs="Times New Roman"/>
          <w:sz w:val="24"/>
          <w:szCs w:val="24"/>
        </w:rPr>
        <w:t>vigour</w:t>
      </w:r>
      <w:proofErr w:type="spellEnd"/>
      <w:r w:rsidRPr="00437D3A">
        <w:rPr>
          <w:rFonts w:ascii="Times New Roman" w:eastAsia="Times New Roman" w:hAnsi="Times New Roman" w:cs="Times New Roman"/>
          <w:sz w:val="24"/>
          <w:szCs w:val="24"/>
        </w:rPr>
        <w:t xml:space="preserve"> testing: Principles and methods. </w:t>
      </w:r>
      <w:r w:rsidRPr="00437D3A">
        <w:rPr>
          <w:rFonts w:ascii="Times New Roman" w:eastAsia="Times New Roman" w:hAnsi="Times New Roman" w:cs="Times New Roman"/>
          <w:i/>
          <w:iCs/>
          <w:sz w:val="24"/>
          <w:szCs w:val="24"/>
        </w:rPr>
        <w:t>ResearchGate</w:t>
      </w:r>
      <w:r w:rsidRPr="00437D3A">
        <w:rPr>
          <w:rFonts w:ascii="Times New Roman" w:eastAsia="Times New Roman" w:hAnsi="Times New Roman" w:cs="Times New Roman"/>
          <w:sz w:val="24"/>
          <w:szCs w:val="24"/>
        </w:rPr>
        <w:t xml:space="preserve">. DOI: 10.13140/RG.2.2.14567.24484 </w:t>
      </w:r>
    </w:p>
    <w:p w:rsidR="00437D3A" w:rsidRPr="00437D3A" w:rsidRDefault="00437D3A" w:rsidP="000B54BF">
      <w:pPr>
        <w:pStyle w:val="NormalWeb"/>
        <w:spacing w:after="0" w:afterAutospacing="0" w:line="360" w:lineRule="auto"/>
        <w:ind w:left="720"/>
        <w:jc w:val="both"/>
      </w:pPr>
      <w:proofErr w:type="spellStart"/>
      <w:r w:rsidRPr="00437D3A">
        <w:t>Shivay</w:t>
      </w:r>
      <w:proofErr w:type="spellEnd"/>
      <w:r w:rsidRPr="00437D3A">
        <w:t xml:space="preserve">, Y. S., Prasad, R., &amp; Pal, M. (2017). Millets: The nutricereals of the future. </w:t>
      </w:r>
      <w:r w:rsidRPr="00437D3A">
        <w:rPr>
          <w:i/>
          <w:iCs/>
          <w:bdr w:val="none" w:sz="0" w:space="0" w:color="auto" w:frame="1"/>
        </w:rPr>
        <w:t>Indian Farming</w:t>
      </w:r>
      <w:r w:rsidRPr="00437D3A">
        <w:t xml:space="preserve">, </w:t>
      </w:r>
      <w:r w:rsidRPr="00437D3A">
        <w:rPr>
          <w:i/>
          <w:iCs/>
          <w:bdr w:val="none" w:sz="0" w:space="0" w:color="auto" w:frame="1"/>
        </w:rPr>
        <w:t>67</w:t>
      </w:r>
      <w:r w:rsidRPr="00437D3A">
        <w:t>(11), 3–7.</w:t>
      </w:r>
    </w:p>
    <w:p w:rsidR="00437D3A" w:rsidRPr="00437D3A" w:rsidRDefault="00437D3A" w:rsidP="000B54BF">
      <w:pPr>
        <w:pStyle w:val="NormalWeb"/>
        <w:spacing w:after="0" w:afterAutospacing="0" w:line="360" w:lineRule="auto"/>
        <w:ind w:firstLine="720"/>
        <w:jc w:val="both"/>
      </w:pPr>
      <w:proofErr w:type="spellStart"/>
      <w:r w:rsidRPr="00437D3A">
        <w:t>Shobana</w:t>
      </w:r>
      <w:proofErr w:type="spellEnd"/>
      <w:r w:rsidRPr="00437D3A">
        <w:t xml:space="preserve">, S., &amp; </w:t>
      </w:r>
      <w:proofErr w:type="spellStart"/>
      <w:r w:rsidRPr="00437D3A">
        <w:t>Malleshi</w:t>
      </w:r>
      <w:proofErr w:type="spellEnd"/>
      <w:r w:rsidRPr="00437D3A">
        <w:t xml:space="preserve">, N. G. (2013). Finger millet (Eleusine coracana L.)-based food: Nutritional and health benefits. </w:t>
      </w:r>
      <w:r w:rsidRPr="00437D3A">
        <w:rPr>
          <w:i/>
          <w:iCs/>
          <w:bdr w:val="none" w:sz="0" w:space="0" w:color="auto" w:frame="1"/>
        </w:rPr>
        <w:t>Journal of Food Science and Technology</w:t>
      </w:r>
      <w:r w:rsidRPr="00437D3A">
        <w:t xml:space="preserve">, </w:t>
      </w:r>
      <w:r w:rsidRPr="00437D3A">
        <w:rPr>
          <w:i/>
          <w:iCs/>
          <w:bdr w:val="none" w:sz="0" w:space="0" w:color="auto" w:frame="1"/>
        </w:rPr>
        <w:t>50</w:t>
      </w:r>
      <w:r w:rsidRPr="00437D3A">
        <w:t>(1).</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Srivastava, A. K. and A. K. Kapoor. 2021.</w:t>
      </w:r>
      <w:r w:rsidRPr="00437D3A">
        <w:rPr>
          <w:rFonts w:ascii="Times New Roman" w:eastAsia="Times New Roman" w:hAnsi="Times New Roman" w:cs="Times New Roman"/>
          <w:sz w:val="24"/>
          <w:szCs w:val="24"/>
        </w:rPr>
        <w:t xml:space="preserve"> Seed </w:t>
      </w:r>
      <w:proofErr w:type="spellStart"/>
      <w:r w:rsidRPr="00437D3A">
        <w:rPr>
          <w:rFonts w:ascii="Times New Roman" w:eastAsia="Times New Roman" w:hAnsi="Times New Roman" w:cs="Times New Roman"/>
          <w:sz w:val="24"/>
          <w:szCs w:val="24"/>
        </w:rPr>
        <w:t>vigour</w:t>
      </w:r>
      <w:proofErr w:type="spellEnd"/>
      <w:r w:rsidRPr="00437D3A">
        <w:rPr>
          <w:rFonts w:ascii="Times New Roman" w:eastAsia="Times New Roman" w:hAnsi="Times New Roman" w:cs="Times New Roman"/>
          <w:sz w:val="24"/>
          <w:szCs w:val="24"/>
        </w:rPr>
        <w:t xml:space="preserve"> and its relationship with membrane integrity in small millets. </w:t>
      </w:r>
      <w:r w:rsidRPr="00437D3A">
        <w:rPr>
          <w:rFonts w:ascii="Times New Roman" w:eastAsia="Times New Roman" w:hAnsi="Times New Roman" w:cs="Times New Roman"/>
          <w:i/>
          <w:iCs/>
          <w:sz w:val="24"/>
          <w:szCs w:val="24"/>
        </w:rPr>
        <w:t>J. Cereal Sci.</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98</w:t>
      </w:r>
      <w:r w:rsidRPr="00437D3A">
        <w:rPr>
          <w:rFonts w:ascii="Times New Roman" w:eastAsia="Times New Roman" w:hAnsi="Times New Roman" w:cs="Times New Roman"/>
          <w:sz w:val="24"/>
          <w:szCs w:val="24"/>
        </w:rPr>
        <w:t>: 103162.</w:t>
      </w:r>
    </w:p>
    <w:p w:rsidR="00437D3A" w:rsidRPr="00437D3A" w:rsidRDefault="00437D3A" w:rsidP="000B54BF">
      <w:pPr>
        <w:pStyle w:val="NormalWeb"/>
        <w:spacing w:line="360" w:lineRule="auto"/>
        <w:ind w:firstLine="720"/>
        <w:jc w:val="both"/>
      </w:pPr>
      <w:r w:rsidRPr="00437D3A">
        <w:t xml:space="preserve">Srivastava, R. K., </w:t>
      </w:r>
      <w:proofErr w:type="spellStart"/>
      <w:r w:rsidRPr="00437D3A">
        <w:t>Satyavathi</w:t>
      </w:r>
      <w:proofErr w:type="spellEnd"/>
      <w:r w:rsidRPr="00437D3A">
        <w:t xml:space="preserve">, C. T., </w:t>
      </w:r>
      <w:proofErr w:type="spellStart"/>
      <w:r w:rsidRPr="00437D3A">
        <w:t>Thudi</w:t>
      </w:r>
      <w:proofErr w:type="spellEnd"/>
      <w:r w:rsidRPr="00437D3A">
        <w:t xml:space="preserve">, M., </w:t>
      </w:r>
      <w:proofErr w:type="spellStart"/>
      <w:r w:rsidRPr="00437D3A">
        <w:t>Selvi</w:t>
      </w:r>
      <w:proofErr w:type="spellEnd"/>
      <w:r w:rsidRPr="00437D3A">
        <w:t xml:space="preserve">, R., Panda, D., </w:t>
      </w:r>
      <w:proofErr w:type="spellStart"/>
      <w:r w:rsidRPr="00437D3A">
        <w:t>Govindaraj</w:t>
      </w:r>
      <w:proofErr w:type="spellEnd"/>
      <w:r w:rsidRPr="00437D3A">
        <w:t xml:space="preserve">, M., Gandhi, H., Varshney, R. K., &amp; </w:t>
      </w:r>
      <w:proofErr w:type="spellStart"/>
      <w:r w:rsidRPr="00437D3A">
        <w:t>Grando</w:t>
      </w:r>
      <w:proofErr w:type="spellEnd"/>
      <w:r w:rsidRPr="00437D3A">
        <w:t xml:space="preserve">, S. (2021). Pearl millet: A climate-resilient </w:t>
      </w:r>
      <w:proofErr w:type="spellStart"/>
      <w:r w:rsidRPr="00437D3A">
        <w:t>nutricereal</w:t>
      </w:r>
      <w:proofErr w:type="spellEnd"/>
      <w:r w:rsidRPr="00437D3A">
        <w:t xml:space="preserve"> for global food and nutrition security. </w:t>
      </w:r>
      <w:r w:rsidRPr="00437D3A">
        <w:rPr>
          <w:i/>
          <w:iCs/>
        </w:rPr>
        <w:t>Frontiers in Plant Science</w:t>
      </w:r>
      <w:r w:rsidRPr="00437D3A">
        <w:t xml:space="preserve">, </w:t>
      </w:r>
      <w:r w:rsidRPr="00437D3A">
        <w:rPr>
          <w:i/>
          <w:iCs/>
        </w:rPr>
        <w:t>12</w:t>
      </w:r>
      <w:r w:rsidRPr="00437D3A">
        <w:t xml:space="preserve">, 602371. </w:t>
      </w:r>
      <w:hyperlink w:tgtFrame="_blank" w:history="1">
        <w:r w:rsidRPr="00437D3A">
          <w:rPr>
            <w:rStyle w:val="Hyperlink"/>
            <w:color w:val="auto"/>
          </w:rPr>
          <w:t>https://doi.org/10.3389/fpls.2021.602371</w:t>
        </w:r>
      </w:hyperlink>
    </w:p>
    <w:p w:rsidR="00437D3A" w:rsidRPr="00437D3A" w:rsidRDefault="00437D3A" w:rsidP="000B54BF">
      <w:pPr>
        <w:pStyle w:val="NormalWeb"/>
        <w:spacing w:line="360" w:lineRule="auto"/>
        <w:ind w:firstLine="720"/>
        <w:jc w:val="both"/>
      </w:pPr>
      <w:r w:rsidRPr="00437D3A">
        <w:lastRenderedPageBreak/>
        <w:t xml:space="preserve">USDA Foreign Agricultural Service. (2026). </w:t>
      </w:r>
      <w:r w:rsidRPr="00437D3A">
        <w:rPr>
          <w:i/>
          <w:iCs/>
        </w:rPr>
        <w:t>Millet: World production, markets, and trade reports (MY 2025/2026)</w:t>
      </w:r>
      <w:r w:rsidRPr="00437D3A">
        <w:t xml:space="preserve">. </w:t>
      </w:r>
      <w:hyperlink w:tgtFrame="_blank" w:history="1">
        <w:r w:rsidRPr="00437D3A">
          <w:rPr>
            <w:rStyle w:val="Hyperlink"/>
            <w:color w:val="auto"/>
          </w:rPr>
          <w:t>https://www.fas.usda.gov/data/production/0459100</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bCs/>
          <w:sz w:val="24"/>
          <w:szCs w:val="24"/>
        </w:rPr>
        <w:t>Viju</w:t>
      </w:r>
      <w:proofErr w:type="spellEnd"/>
      <w:r w:rsidRPr="00437D3A">
        <w:rPr>
          <w:rFonts w:ascii="Times New Roman" w:eastAsia="Times New Roman" w:hAnsi="Times New Roman" w:cs="Times New Roman"/>
          <w:bCs/>
          <w:sz w:val="24"/>
          <w:szCs w:val="24"/>
        </w:rPr>
        <w:t>, M. A. U. 2024.</w:t>
      </w:r>
      <w:r w:rsidRPr="00437D3A">
        <w:rPr>
          <w:rFonts w:ascii="Times New Roman" w:eastAsia="Times New Roman" w:hAnsi="Times New Roman" w:cs="Times New Roman"/>
          <w:sz w:val="24"/>
          <w:szCs w:val="24"/>
        </w:rPr>
        <w:t xml:space="preserve"> Seedling stage dynamics and nutrient absorption under potassium supplementation. </w:t>
      </w:r>
      <w:r w:rsidRPr="00437D3A">
        <w:rPr>
          <w:rFonts w:ascii="Times New Roman" w:eastAsia="Times New Roman" w:hAnsi="Times New Roman" w:cs="Times New Roman"/>
          <w:i/>
          <w:iCs/>
          <w:sz w:val="24"/>
          <w:szCs w:val="24"/>
        </w:rPr>
        <w:t>J. Plantarum</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1</w:t>
      </w:r>
      <w:r w:rsidRPr="00437D3A">
        <w:rPr>
          <w:rFonts w:ascii="Times New Roman" w:eastAsia="Times New Roman" w:hAnsi="Times New Roman" w:cs="Times New Roman"/>
          <w:sz w:val="24"/>
          <w:szCs w:val="24"/>
        </w:rPr>
        <w:t>(4): 12-20.</w:t>
      </w:r>
    </w:p>
    <w:p w:rsidR="00437D3A" w:rsidRPr="00437D3A" w:rsidRDefault="00437D3A" w:rsidP="000B54BF">
      <w:pPr>
        <w:pStyle w:val="NormalWeb"/>
        <w:spacing w:line="360" w:lineRule="auto"/>
        <w:ind w:firstLine="720"/>
        <w:jc w:val="both"/>
      </w:pPr>
      <w:r w:rsidRPr="00437D3A">
        <w:t xml:space="preserve">Vinoth, A., &amp; </w:t>
      </w:r>
      <w:proofErr w:type="spellStart"/>
      <w:r w:rsidRPr="00437D3A">
        <w:t>Alaguraja</w:t>
      </w:r>
      <w:proofErr w:type="spellEnd"/>
      <w:r w:rsidRPr="00437D3A">
        <w:t xml:space="preserve">, P. (2024). Nutritional and therapeutic potential of millets: A review. </w:t>
      </w:r>
      <w:r w:rsidRPr="00437D3A">
        <w:rPr>
          <w:i/>
          <w:iCs/>
        </w:rPr>
        <w:t>International Journal of Food Science</w:t>
      </w:r>
      <w:r w:rsidRPr="00437D3A">
        <w:t xml:space="preserve">, </w:t>
      </w:r>
      <w:r w:rsidRPr="00437D3A">
        <w:rPr>
          <w:i/>
          <w:iCs/>
        </w:rPr>
        <w:t>2024</w:t>
      </w:r>
      <w:r w:rsidRPr="00437D3A">
        <w:t xml:space="preserve">, 5521460. </w:t>
      </w:r>
      <w:hyperlink w:tgtFrame="_blank" w:history="1">
        <w:r w:rsidRPr="00437D3A">
          <w:rPr>
            <w:rStyle w:val="Hyperlink"/>
            <w:color w:val="auto"/>
          </w:rPr>
          <w:t>https://doi.org/10.1155/2024/5521460</w:t>
        </w:r>
      </w:hyperlink>
      <w:r w:rsidR="00A54F77">
        <w:rPr>
          <w:rStyle w:val="Hyperlink"/>
          <w:color w:val="auto"/>
        </w:rPr>
        <w:t>.</w:t>
      </w:r>
    </w:p>
    <w:p w:rsidR="00437D3A" w:rsidRPr="00437D3A" w:rsidRDefault="00437D3A" w:rsidP="000B54BF">
      <w:pPr>
        <w:pStyle w:val="NormalWeb"/>
        <w:spacing w:line="360" w:lineRule="auto"/>
        <w:ind w:firstLine="720"/>
        <w:jc w:val="both"/>
      </w:pPr>
      <w:proofErr w:type="spellStart"/>
      <w:r w:rsidRPr="00437D3A">
        <w:t>Xiong</w:t>
      </w:r>
      <w:proofErr w:type="spellEnd"/>
      <w:r w:rsidRPr="00437D3A">
        <w:t xml:space="preserve">, Y., Zhang, P., Warner, R. D., &amp; Fang, Z. (2021). Sorghum grain: A review of its nutritional value, health benefits, and industrial applications. </w:t>
      </w:r>
      <w:r w:rsidRPr="00437D3A">
        <w:rPr>
          <w:i/>
          <w:iCs/>
        </w:rPr>
        <w:t>Journal of Cereal Science</w:t>
      </w:r>
      <w:r w:rsidRPr="00437D3A">
        <w:t xml:space="preserve">, </w:t>
      </w:r>
      <w:r w:rsidRPr="00437D3A">
        <w:rPr>
          <w:i/>
          <w:iCs/>
        </w:rPr>
        <w:t>98</w:t>
      </w:r>
      <w:r w:rsidRPr="00437D3A">
        <w:t xml:space="preserve">, 103176. </w:t>
      </w:r>
      <w:hyperlink w:tgtFrame="_blank" w:history="1">
        <w:r w:rsidRPr="00437D3A">
          <w:rPr>
            <w:rStyle w:val="Hyperlink"/>
            <w:color w:val="auto"/>
          </w:rPr>
          <w:t>https://doi.org/10.1016/j.jcs.2021.103176</w:t>
        </w:r>
      </w:hyperlink>
      <w:r w:rsidR="00A54F77">
        <w:rPr>
          <w:rStyle w:val="Hyperlink"/>
          <w:color w:val="auto"/>
        </w:rPr>
        <w:t>.</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Zhang, H., Liu, Y., Wen, F., Yao, D., Wang, L., Guo, J., Ni, L., Zhang, A., Tan, M. &amp; Jiang, M. (2021). The efficacy of different seed priming agents for promoting sorghum germination under salt stress.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16(1): e0245505. </w:t>
      </w:r>
      <w:hyperlink r:id="rId19" w:history="1">
        <w:r w:rsidRPr="003B59C5">
          <w:rPr>
            <w:rFonts w:ascii="Times New Roman" w:eastAsia="Times New Roman" w:hAnsi="Times New Roman" w:cs="Times New Roman"/>
            <w:sz w:val="24"/>
            <w:szCs w:val="24"/>
            <w:u w:val="single"/>
          </w:rPr>
          <w:t>https://doi.org/10.1371/journal.pone.0245505</w:t>
        </w:r>
      </w:hyperlink>
      <w:r w:rsidR="00A54F77">
        <w:rPr>
          <w:rFonts w:ascii="Times New Roman" w:eastAsia="Times New Roman" w:hAnsi="Times New Roman" w:cs="Times New Roman"/>
          <w:sz w:val="24"/>
          <w:szCs w:val="24"/>
        </w:rPr>
        <w:t>.</w:t>
      </w:r>
    </w:p>
    <w:p w:rsidR="00BD52B6" w:rsidRPr="00BD52B6" w:rsidRDefault="00BD52B6" w:rsidP="000B54BF">
      <w:pPr>
        <w:spacing w:line="360" w:lineRule="auto"/>
        <w:ind w:left="0"/>
        <w:jc w:val="both"/>
        <w:rPr>
          <w:rFonts w:ascii="Times New Roman" w:hAnsi="Times New Roman" w:cs="Times New Roman"/>
          <w:b/>
          <w:sz w:val="28"/>
        </w:rPr>
      </w:pPr>
    </w:p>
    <w:sectPr w:rsidR="00BD52B6" w:rsidRPr="00BD52B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er" w:date="2026-05-14T05:14:00Z" w:initials="a">
    <w:p w:rsidR="00CF5152" w:rsidRDefault="00CF5152">
      <w:pPr>
        <w:pStyle w:val="CommentText"/>
      </w:pPr>
      <w:r>
        <w:rPr>
          <w:rStyle w:val="CommentReference"/>
        </w:rPr>
        <w:annotationRef/>
      </w:r>
      <w:bookmarkStart w:id="1" w:name="_GoBack"/>
      <w:r>
        <w:t xml:space="preserve">Single line spacing is required for abstract. </w:t>
      </w:r>
      <w:r w:rsidR="0027561F">
        <w:t>The chronological order of arranging abstract is weak! It should indicated the introductory part of the study, time covered, brief methodology, results, conclusion and recommendations.</w:t>
      </w:r>
    </w:p>
    <w:bookmarkEnd w:id="1"/>
  </w:comment>
  <w:comment w:id="2" w:author="acer" w:date="2026-05-14T05:10:00Z" w:initials="a">
    <w:p w:rsidR="00CF5152" w:rsidRDefault="00CF5152">
      <w:pPr>
        <w:pStyle w:val="CommentText"/>
      </w:pPr>
      <w:r>
        <w:rPr>
          <w:rStyle w:val="CommentReference"/>
        </w:rPr>
        <w:annotationRef/>
      </w:r>
      <w:r>
        <w:t>A maximum of Five (5) keywords are enough.</w:t>
      </w:r>
    </w:p>
  </w:comment>
  <w:comment w:id="3" w:author="acer" w:date="2026-05-14T05:22:00Z" w:initials="a">
    <w:p w:rsidR="001C5F0C" w:rsidRDefault="001C5F0C">
      <w:pPr>
        <w:pStyle w:val="CommentText"/>
      </w:pPr>
      <w:r>
        <w:rPr>
          <w:rStyle w:val="CommentReference"/>
        </w:rPr>
        <w:annotationRef/>
      </w:r>
      <w:r>
        <w:t>Description of the study area is missing.</w:t>
      </w:r>
    </w:p>
  </w:comment>
  <w:comment w:id="4" w:author="acer" w:date="2026-05-14T05:42:00Z" w:initials="a">
    <w:p w:rsidR="001C5F0C" w:rsidRDefault="001C5F0C">
      <w:pPr>
        <w:pStyle w:val="CommentText"/>
      </w:pPr>
      <w:r>
        <w:rPr>
          <w:rStyle w:val="CommentReference"/>
        </w:rPr>
        <w:annotationRef/>
      </w:r>
      <w:r>
        <w:t xml:space="preserve">This should be break in to separate sub-headings, </w:t>
      </w:r>
      <w:r w:rsidR="009E35A4">
        <w:t xml:space="preserve">2.2. </w:t>
      </w:r>
      <w:r>
        <w:t xml:space="preserve">Collection of plant materials, </w:t>
      </w:r>
      <w:r w:rsidR="009E35A4">
        <w:t>and how /where the Potassium Chloride was sourced, 2.3. Experimental Design, where description of the desig</w:t>
      </w:r>
      <w:r w:rsidR="005C1074">
        <w:t>n employed in the study and other arrangements.</w:t>
      </w:r>
    </w:p>
  </w:comment>
  <w:comment w:id="5" w:author="acer" w:date="2026-05-14T05:47:00Z" w:initials="a">
    <w:p w:rsidR="005C1074" w:rsidRDefault="005C1074">
      <w:pPr>
        <w:pStyle w:val="CommentText"/>
      </w:pPr>
      <w:r>
        <w:rPr>
          <w:rStyle w:val="CommentReference"/>
        </w:rPr>
        <w:annotationRef/>
      </w:r>
      <w:r>
        <w:t>Grams and volume of the salt and solvent used should be stated here, also the number seeds per solution should also be indicated.</w:t>
      </w:r>
    </w:p>
  </w:comment>
  <w:comment w:id="6" w:author="acer" w:date="2026-05-14T06:18:00Z" w:initials="a">
    <w:p w:rsidR="00960FA3" w:rsidRDefault="00960FA3">
      <w:pPr>
        <w:pStyle w:val="CommentText"/>
      </w:pPr>
      <w:r>
        <w:rPr>
          <w:rStyle w:val="CommentReference"/>
        </w:rPr>
        <w:annotationRef/>
      </w:r>
      <w:r>
        <w:t xml:space="preserve">Detail information is needed to conform with the findings. </w:t>
      </w:r>
    </w:p>
  </w:comment>
  <w:comment w:id="7" w:author="acer" w:date="2026-05-14T05:52:00Z" w:initials="a">
    <w:p w:rsidR="005C1074" w:rsidRDefault="005C1074">
      <w:pPr>
        <w:pStyle w:val="CommentText"/>
      </w:pPr>
      <w:r>
        <w:rPr>
          <w:rStyle w:val="CommentReference"/>
        </w:rPr>
        <w:annotationRef/>
      </w:r>
      <w:r>
        <w:t>What do you mean here, the statement is not clear?</w:t>
      </w:r>
    </w:p>
  </w:comment>
  <w:comment w:id="8" w:author="acer" w:date="2026-05-14T05:54:00Z" w:initials="a">
    <w:p w:rsidR="00A93300" w:rsidRDefault="00A93300">
      <w:pPr>
        <w:pStyle w:val="CommentText"/>
      </w:pPr>
      <w:r>
        <w:rPr>
          <w:rStyle w:val="CommentReference"/>
        </w:rPr>
        <w:annotationRef/>
      </w:r>
      <w:r>
        <w:t>Any supportive source?</w:t>
      </w:r>
    </w:p>
  </w:comment>
  <w:comment w:id="9" w:author="acer" w:date="2026-05-14T05:56:00Z" w:initials="a">
    <w:p w:rsidR="00A93300" w:rsidRDefault="00A93300">
      <w:pPr>
        <w:pStyle w:val="CommentText"/>
      </w:pPr>
      <w:r>
        <w:rPr>
          <w:rStyle w:val="CommentReference"/>
        </w:rPr>
        <w:annotationRef/>
      </w:r>
      <w:r>
        <w:t>I don’t have a specific guide to this journal, but in this case the results should be separated with the discussion of clarity.</w:t>
      </w:r>
    </w:p>
  </w:comment>
  <w:comment w:id="10" w:author="acer" w:date="2026-05-14T06:00:00Z" w:initials="a">
    <w:p w:rsidR="00A93300" w:rsidRDefault="00A93300">
      <w:pPr>
        <w:pStyle w:val="CommentText"/>
      </w:pPr>
      <w:r>
        <w:rPr>
          <w:rStyle w:val="CommentReference"/>
        </w:rPr>
        <w:annotationRef/>
      </w:r>
      <w:r>
        <w:t>There is no single statement showing any variation. This indicated that the ANOVA said to use under statistical analysis remained unused.</w:t>
      </w:r>
    </w:p>
  </w:comment>
  <w:comment w:id="11" w:author="acer" w:date="2026-05-14T05:57:00Z" w:initials="a">
    <w:p w:rsidR="00A93300" w:rsidRDefault="00A93300">
      <w:pPr>
        <w:pStyle w:val="CommentText"/>
      </w:pPr>
      <w:r>
        <w:rPr>
          <w:rStyle w:val="CommentReference"/>
        </w:rPr>
        <w:annotationRef/>
      </w:r>
      <w:r>
        <w:t xml:space="preserve">Should be written as </w:t>
      </w:r>
      <w:r w:rsidRPr="00A93300">
        <w:rPr>
          <w:i/>
        </w:rPr>
        <w:t>et al</w:t>
      </w:r>
      <w:proofErr w:type="gramStart"/>
      <w:r w:rsidRPr="00A93300">
        <w:rPr>
          <w:i/>
        </w:rPr>
        <w:t>.,</w:t>
      </w:r>
      <w:proofErr w:type="gramEnd"/>
      <w:r>
        <w:t xml:space="preserve"> </w:t>
      </w:r>
    </w:p>
  </w:comment>
  <w:comment w:id="12" w:author="acer" w:date="2026-05-14T06:01:00Z" w:initials="a">
    <w:p w:rsidR="00A93300" w:rsidRDefault="00A93300" w:rsidP="00A93300">
      <w:pPr>
        <w:pStyle w:val="CommentText"/>
        <w:ind w:left="0"/>
      </w:pPr>
      <w:r>
        <w:rPr>
          <w:rStyle w:val="CommentReference"/>
        </w:rPr>
        <w:annotationRef/>
      </w:r>
      <w:r>
        <w:t>The use of standard table should be considered across all the paper.</w:t>
      </w:r>
    </w:p>
  </w:comment>
  <w:comment w:id="13" w:author="acer" w:date="2026-05-14T06:08:00Z" w:initials="a">
    <w:p w:rsidR="00FF2CCD" w:rsidRDefault="00FF2CCD">
      <w:pPr>
        <w:pStyle w:val="CommentText"/>
      </w:pPr>
      <w:r>
        <w:rPr>
          <w:rStyle w:val="CommentReference"/>
        </w:rPr>
        <w:annotationRef/>
      </w:r>
      <w:r>
        <w:t xml:space="preserve">This has no meaning please! How does the crop and seed vigor affect EC? </w:t>
      </w:r>
    </w:p>
  </w:comment>
  <w:comment w:id="14" w:author="acer" w:date="2026-05-14T06:14:00Z" w:initials="a">
    <w:p w:rsidR="00960FA3" w:rsidRDefault="00960FA3">
      <w:pPr>
        <w:pStyle w:val="CommentText"/>
      </w:pPr>
      <w:r>
        <w:rPr>
          <w:rStyle w:val="CommentReference"/>
        </w:rPr>
        <w:annotationRef/>
      </w:r>
      <w:r>
        <w:t>Table 5</w:t>
      </w:r>
      <w:proofErr w:type="gramStart"/>
      <w:r>
        <w:t>,6</w:t>
      </w:r>
      <w:proofErr w:type="gramEnd"/>
      <w:r>
        <w:t xml:space="preserve"> and 7 should be combined in to a single table. And statistical variation evidence across all the tables.</w:t>
      </w:r>
    </w:p>
  </w:comment>
  <w:comment w:id="15" w:author="acer" w:date="2026-05-14T06:15:00Z" w:initials="a">
    <w:p w:rsidR="00960FA3" w:rsidRDefault="00960FA3">
      <w:pPr>
        <w:pStyle w:val="CommentText"/>
      </w:pPr>
      <w:r>
        <w:rPr>
          <w:rStyle w:val="CommentReference"/>
        </w:rPr>
        <w:annotationRef/>
      </w:r>
      <w:r>
        <w:t>Table 8</w:t>
      </w:r>
      <w:proofErr w:type="gramStart"/>
      <w:r>
        <w:t>,9</w:t>
      </w:r>
      <w:proofErr w:type="gramEnd"/>
      <w:r>
        <w:t xml:space="preserve"> and 10 should combined in to a single table, and statistical variation evidence is important.</w:t>
      </w:r>
    </w:p>
  </w:comment>
  <w:comment w:id="16" w:author="acer" w:date="2026-05-14T06:17:00Z" w:initials="a">
    <w:p w:rsidR="00960FA3" w:rsidRDefault="00960FA3">
      <w:pPr>
        <w:pStyle w:val="CommentText"/>
      </w:pPr>
      <w:r>
        <w:rPr>
          <w:rStyle w:val="CommentReference"/>
        </w:rPr>
        <w:annotationRef/>
      </w:r>
      <w:r>
        <w:t>The conclusion is lengthy, and it requires no in-text citations. Also, the conclusion and recommendation should be in a separate headings.</w:t>
      </w:r>
    </w:p>
  </w:comment>
  <w:comment w:id="17" w:author="acer" w:date="2026-05-14T06:18:00Z" w:initials="a">
    <w:p w:rsidR="00960FA3" w:rsidRDefault="00960FA3">
      <w:pPr>
        <w:pStyle w:val="CommentText"/>
      </w:pPr>
      <w:r>
        <w:rPr>
          <w:rStyle w:val="CommentReference"/>
        </w:rPr>
        <w:annotationRef/>
      </w:r>
      <w:r>
        <w:t>APA 7</w:t>
      </w:r>
      <w:r w:rsidRPr="00960FA3">
        <w:rPr>
          <w:vertAlign w:val="superscript"/>
        </w:rPr>
        <w:t>th</w:t>
      </w:r>
      <w:r>
        <w:t xml:space="preserve"> edition Referencing style is highly recommended.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2A5" w:rsidRDefault="003C72A5" w:rsidP="00E44197">
      <w:r>
        <w:separator/>
      </w:r>
    </w:p>
  </w:endnote>
  <w:endnote w:type="continuationSeparator" w:id="0">
    <w:p w:rsidR="003C72A5" w:rsidRDefault="003C72A5" w:rsidP="00E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2" w:rsidRDefault="00CF5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2" w:rsidRDefault="00CF51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2" w:rsidRDefault="00CF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2A5" w:rsidRDefault="003C72A5" w:rsidP="00E44197">
      <w:r>
        <w:separator/>
      </w:r>
    </w:p>
  </w:footnote>
  <w:footnote w:type="continuationSeparator" w:id="0">
    <w:p w:rsidR="003C72A5" w:rsidRDefault="003C72A5" w:rsidP="00E44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2" w:rsidRDefault="00CF51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2" w:rsidRDefault="00CF51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7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52" w:rsidRDefault="00CF51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DF"/>
    <w:rsid w:val="00061E5B"/>
    <w:rsid w:val="00063973"/>
    <w:rsid w:val="000938C2"/>
    <w:rsid w:val="000B54BF"/>
    <w:rsid w:val="00100188"/>
    <w:rsid w:val="001016DF"/>
    <w:rsid w:val="00187302"/>
    <w:rsid w:val="001B75ED"/>
    <w:rsid w:val="001C5F0C"/>
    <w:rsid w:val="0027561F"/>
    <w:rsid w:val="002F4D9B"/>
    <w:rsid w:val="003C72A5"/>
    <w:rsid w:val="00437D3A"/>
    <w:rsid w:val="00514FC9"/>
    <w:rsid w:val="005C1074"/>
    <w:rsid w:val="00642A88"/>
    <w:rsid w:val="0072371F"/>
    <w:rsid w:val="00810377"/>
    <w:rsid w:val="008A0FEB"/>
    <w:rsid w:val="008B0B4E"/>
    <w:rsid w:val="008E3582"/>
    <w:rsid w:val="00960FA3"/>
    <w:rsid w:val="00965306"/>
    <w:rsid w:val="009E35A4"/>
    <w:rsid w:val="00A2237E"/>
    <w:rsid w:val="00A54F77"/>
    <w:rsid w:val="00A93300"/>
    <w:rsid w:val="00AA10D3"/>
    <w:rsid w:val="00B07B9F"/>
    <w:rsid w:val="00BD52B6"/>
    <w:rsid w:val="00C71B1E"/>
    <w:rsid w:val="00CF5152"/>
    <w:rsid w:val="00DC278C"/>
    <w:rsid w:val="00DE4B37"/>
    <w:rsid w:val="00E44197"/>
    <w:rsid w:val="00EC5884"/>
    <w:rsid w:val="00F10C2E"/>
    <w:rsid w:val="00FB6157"/>
    <w:rsid w:val="00FF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9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style>
  <w:style w:type="paragraph" w:styleId="Heading2">
    <w:name w:val="heading 2"/>
    <w:basedOn w:val="Normal"/>
    <w:link w:val="Heading2Char"/>
    <w:uiPriority w:val="9"/>
    <w:qFormat/>
    <w:rsid w:val="00BD52B6"/>
    <w:pPr>
      <w:widowControl/>
      <w:autoSpaceDE/>
      <w:autoSpaceDN/>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D52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2B6"/>
    <w:rPr>
      <w:rFonts w:ascii="Times New Roman" w:eastAsia="Times New Roman" w:hAnsi="Times New Roman" w:cs="Times New Roman"/>
      <w:b/>
      <w:bCs/>
      <w:sz w:val="36"/>
      <w:szCs w:val="36"/>
    </w:rPr>
  </w:style>
  <w:style w:type="paragraph" w:styleId="NormalWeb">
    <w:name w:val="Normal (Web)"/>
    <w:basedOn w:val="Normal"/>
    <w:uiPriority w:val="99"/>
    <w:unhideWhenUsed/>
    <w:rsid w:val="00BD52B6"/>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52B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52B6"/>
    <w:rPr>
      <w:color w:val="0000FF"/>
      <w:u w:val="single"/>
    </w:rPr>
  </w:style>
  <w:style w:type="table" w:styleId="TableGrid">
    <w:name w:val="Table Grid"/>
    <w:basedOn w:val="TableNormal"/>
    <w:uiPriority w:val="59"/>
    <w:rsid w:val="0043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7D3A"/>
    <w:pPr>
      <w:spacing w:before="61"/>
      <w:ind w:left="8"/>
      <w:jc w:val="center"/>
    </w:pPr>
    <w:rPr>
      <w:rFonts w:ascii="Arial MT" w:eastAsia="Arial MT" w:hAnsi="Arial MT" w:cs="Arial MT"/>
    </w:rPr>
  </w:style>
  <w:style w:type="character" w:styleId="Emphasis">
    <w:name w:val="Emphasis"/>
    <w:basedOn w:val="DefaultParagraphFont"/>
    <w:uiPriority w:val="20"/>
    <w:qFormat/>
    <w:rsid w:val="00437D3A"/>
    <w:rPr>
      <w:i/>
      <w:iCs/>
    </w:rPr>
  </w:style>
  <w:style w:type="paragraph" w:customStyle="1" w:styleId="font-claude-response-body">
    <w:name w:val="font-claude-response-body"/>
    <w:basedOn w:val="Normal"/>
    <w:rsid w:val="00437D3A"/>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D3A"/>
    <w:pPr>
      <w:tabs>
        <w:tab w:val="center" w:pos="4680"/>
        <w:tab w:val="right" w:pos="9360"/>
      </w:tabs>
    </w:pPr>
  </w:style>
  <w:style w:type="character" w:customStyle="1" w:styleId="HeaderChar">
    <w:name w:val="Header Char"/>
    <w:basedOn w:val="DefaultParagraphFont"/>
    <w:link w:val="Header"/>
    <w:uiPriority w:val="99"/>
    <w:rsid w:val="00437D3A"/>
  </w:style>
  <w:style w:type="paragraph" w:styleId="Footer">
    <w:name w:val="footer"/>
    <w:basedOn w:val="Normal"/>
    <w:link w:val="FooterChar"/>
    <w:uiPriority w:val="99"/>
    <w:unhideWhenUsed/>
    <w:rsid w:val="00437D3A"/>
    <w:pPr>
      <w:tabs>
        <w:tab w:val="center" w:pos="4680"/>
        <w:tab w:val="right" w:pos="9360"/>
      </w:tabs>
    </w:pPr>
  </w:style>
  <w:style w:type="character" w:customStyle="1" w:styleId="FooterChar">
    <w:name w:val="Footer Char"/>
    <w:basedOn w:val="DefaultParagraphFont"/>
    <w:link w:val="Footer"/>
    <w:uiPriority w:val="99"/>
    <w:rsid w:val="00437D3A"/>
  </w:style>
  <w:style w:type="character" w:styleId="Strong">
    <w:name w:val="Strong"/>
    <w:basedOn w:val="DefaultParagraphFont"/>
    <w:uiPriority w:val="22"/>
    <w:qFormat/>
    <w:rsid w:val="00437D3A"/>
    <w:rPr>
      <w:b/>
      <w:bCs/>
    </w:rPr>
  </w:style>
  <w:style w:type="paragraph" w:styleId="BalloonText">
    <w:name w:val="Balloon Text"/>
    <w:basedOn w:val="Normal"/>
    <w:link w:val="BalloonTextChar"/>
    <w:uiPriority w:val="99"/>
    <w:semiHidden/>
    <w:unhideWhenUsed/>
    <w:rsid w:val="002F4D9B"/>
    <w:rPr>
      <w:rFonts w:ascii="Tahoma" w:hAnsi="Tahoma" w:cs="Tahoma"/>
      <w:sz w:val="16"/>
      <w:szCs w:val="16"/>
    </w:rPr>
  </w:style>
  <w:style w:type="character" w:customStyle="1" w:styleId="BalloonTextChar">
    <w:name w:val="Balloon Text Char"/>
    <w:basedOn w:val="DefaultParagraphFont"/>
    <w:link w:val="BalloonText"/>
    <w:uiPriority w:val="99"/>
    <w:semiHidden/>
    <w:rsid w:val="002F4D9B"/>
    <w:rPr>
      <w:rFonts w:ascii="Tahoma" w:hAnsi="Tahoma" w:cs="Tahoma"/>
      <w:sz w:val="16"/>
      <w:szCs w:val="16"/>
    </w:rPr>
  </w:style>
  <w:style w:type="character" w:styleId="CommentReference">
    <w:name w:val="annotation reference"/>
    <w:basedOn w:val="DefaultParagraphFont"/>
    <w:uiPriority w:val="99"/>
    <w:semiHidden/>
    <w:unhideWhenUsed/>
    <w:rsid w:val="00CF5152"/>
    <w:rPr>
      <w:sz w:val="16"/>
      <w:szCs w:val="16"/>
    </w:rPr>
  </w:style>
  <w:style w:type="paragraph" w:styleId="CommentText">
    <w:name w:val="annotation text"/>
    <w:basedOn w:val="Normal"/>
    <w:link w:val="CommentTextChar"/>
    <w:uiPriority w:val="99"/>
    <w:semiHidden/>
    <w:unhideWhenUsed/>
    <w:rsid w:val="00CF5152"/>
    <w:rPr>
      <w:sz w:val="20"/>
      <w:szCs w:val="20"/>
    </w:rPr>
  </w:style>
  <w:style w:type="character" w:customStyle="1" w:styleId="CommentTextChar">
    <w:name w:val="Comment Text Char"/>
    <w:basedOn w:val="DefaultParagraphFont"/>
    <w:link w:val="CommentText"/>
    <w:uiPriority w:val="99"/>
    <w:semiHidden/>
    <w:rsid w:val="00CF5152"/>
    <w:rPr>
      <w:sz w:val="20"/>
      <w:szCs w:val="20"/>
    </w:rPr>
  </w:style>
  <w:style w:type="paragraph" w:styleId="CommentSubject">
    <w:name w:val="annotation subject"/>
    <w:basedOn w:val="CommentText"/>
    <w:next w:val="CommentText"/>
    <w:link w:val="CommentSubjectChar"/>
    <w:uiPriority w:val="99"/>
    <w:semiHidden/>
    <w:unhideWhenUsed/>
    <w:rsid w:val="00CF5152"/>
    <w:rPr>
      <w:b/>
      <w:bCs/>
    </w:rPr>
  </w:style>
  <w:style w:type="character" w:customStyle="1" w:styleId="CommentSubjectChar">
    <w:name w:val="Comment Subject Char"/>
    <w:basedOn w:val="CommentTextChar"/>
    <w:link w:val="CommentSubject"/>
    <w:uiPriority w:val="99"/>
    <w:semiHidden/>
    <w:rsid w:val="00CF5152"/>
    <w:rPr>
      <w:b/>
      <w:bCs/>
      <w:sz w:val="20"/>
      <w:szCs w:val="20"/>
    </w:rPr>
  </w:style>
  <w:style w:type="table" w:styleId="LightShading">
    <w:name w:val="Light Shading"/>
    <w:basedOn w:val="TableNormal"/>
    <w:uiPriority w:val="60"/>
    <w:rsid w:val="00A933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9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style>
  <w:style w:type="paragraph" w:styleId="Heading2">
    <w:name w:val="heading 2"/>
    <w:basedOn w:val="Normal"/>
    <w:link w:val="Heading2Char"/>
    <w:uiPriority w:val="9"/>
    <w:qFormat/>
    <w:rsid w:val="00BD52B6"/>
    <w:pPr>
      <w:widowControl/>
      <w:autoSpaceDE/>
      <w:autoSpaceDN/>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D52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2B6"/>
    <w:rPr>
      <w:rFonts w:ascii="Times New Roman" w:eastAsia="Times New Roman" w:hAnsi="Times New Roman" w:cs="Times New Roman"/>
      <w:b/>
      <w:bCs/>
      <w:sz w:val="36"/>
      <w:szCs w:val="36"/>
    </w:rPr>
  </w:style>
  <w:style w:type="paragraph" w:styleId="NormalWeb">
    <w:name w:val="Normal (Web)"/>
    <w:basedOn w:val="Normal"/>
    <w:uiPriority w:val="99"/>
    <w:unhideWhenUsed/>
    <w:rsid w:val="00BD52B6"/>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52B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52B6"/>
    <w:rPr>
      <w:color w:val="0000FF"/>
      <w:u w:val="single"/>
    </w:rPr>
  </w:style>
  <w:style w:type="table" w:styleId="TableGrid">
    <w:name w:val="Table Grid"/>
    <w:basedOn w:val="TableNormal"/>
    <w:uiPriority w:val="59"/>
    <w:rsid w:val="0043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7D3A"/>
    <w:pPr>
      <w:spacing w:before="61"/>
      <w:ind w:left="8"/>
      <w:jc w:val="center"/>
    </w:pPr>
    <w:rPr>
      <w:rFonts w:ascii="Arial MT" w:eastAsia="Arial MT" w:hAnsi="Arial MT" w:cs="Arial MT"/>
    </w:rPr>
  </w:style>
  <w:style w:type="character" w:styleId="Emphasis">
    <w:name w:val="Emphasis"/>
    <w:basedOn w:val="DefaultParagraphFont"/>
    <w:uiPriority w:val="20"/>
    <w:qFormat/>
    <w:rsid w:val="00437D3A"/>
    <w:rPr>
      <w:i/>
      <w:iCs/>
    </w:rPr>
  </w:style>
  <w:style w:type="paragraph" w:customStyle="1" w:styleId="font-claude-response-body">
    <w:name w:val="font-claude-response-body"/>
    <w:basedOn w:val="Normal"/>
    <w:rsid w:val="00437D3A"/>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D3A"/>
    <w:pPr>
      <w:tabs>
        <w:tab w:val="center" w:pos="4680"/>
        <w:tab w:val="right" w:pos="9360"/>
      </w:tabs>
    </w:pPr>
  </w:style>
  <w:style w:type="character" w:customStyle="1" w:styleId="HeaderChar">
    <w:name w:val="Header Char"/>
    <w:basedOn w:val="DefaultParagraphFont"/>
    <w:link w:val="Header"/>
    <w:uiPriority w:val="99"/>
    <w:rsid w:val="00437D3A"/>
  </w:style>
  <w:style w:type="paragraph" w:styleId="Footer">
    <w:name w:val="footer"/>
    <w:basedOn w:val="Normal"/>
    <w:link w:val="FooterChar"/>
    <w:uiPriority w:val="99"/>
    <w:unhideWhenUsed/>
    <w:rsid w:val="00437D3A"/>
    <w:pPr>
      <w:tabs>
        <w:tab w:val="center" w:pos="4680"/>
        <w:tab w:val="right" w:pos="9360"/>
      </w:tabs>
    </w:pPr>
  </w:style>
  <w:style w:type="character" w:customStyle="1" w:styleId="FooterChar">
    <w:name w:val="Footer Char"/>
    <w:basedOn w:val="DefaultParagraphFont"/>
    <w:link w:val="Footer"/>
    <w:uiPriority w:val="99"/>
    <w:rsid w:val="00437D3A"/>
  </w:style>
  <w:style w:type="character" w:styleId="Strong">
    <w:name w:val="Strong"/>
    <w:basedOn w:val="DefaultParagraphFont"/>
    <w:uiPriority w:val="22"/>
    <w:qFormat/>
    <w:rsid w:val="00437D3A"/>
    <w:rPr>
      <w:b/>
      <w:bCs/>
    </w:rPr>
  </w:style>
  <w:style w:type="paragraph" w:styleId="BalloonText">
    <w:name w:val="Balloon Text"/>
    <w:basedOn w:val="Normal"/>
    <w:link w:val="BalloonTextChar"/>
    <w:uiPriority w:val="99"/>
    <w:semiHidden/>
    <w:unhideWhenUsed/>
    <w:rsid w:val="002F4D9B"/>
    <w:rPr>
      <w:rFonts w:ascii="Tahoma" w:hAnsi="Tahoma" w:cs="Tahoma"/>
      <w:sz w:val="16"/>
      <w:szCs w:val="16"/>
    </w:rPr>
  </w:style>
  <w:style w:type="character" w:customStyle="1" w:styleId="BalloonTextChar">
    <w:name w:val="Balloon Text Char"/>
    <w:basedOn w:val="DefaultParagraphFont"/>
    <w:link w:val="BalloonText"/>
    <w:uiPriority w:val="99"/>
    <w:semiHidden/>
    <w:rsid w:val="002F4D9B"/>
    <w:rPr>
      <w:rFonts w:ascii="Tahoma" w:hAnsi="Tahoma" w:cs="Tahoma"/>
      <w:sz w:val="16"/>
      <w:szCs w:val="16"/>
    </w:rPr>
  </w:style>
  <w:style w:type="character" w:styleId="CommentReference">
    <w:name w:val="annotation reference"/>
    <w:basedOn w:val="DefaultParagraphFont"/>
    <w:uiPriority w:val="99"/>
    <w:semiHidden/>
    <w:unhideWhenUsed/>
    <w:rsid w:val="00CF5152"/>
    <w:rPr>
      <w:sz w:val="16"/>
      <w:szCs w:val="16"/>
    </w:rPr>
  </w:style>
  <w:style w:type="paragraph" w:styleId="CommentText">
    <w:name w:val="annotation text"/>
    <w:basedOn w:val="Normal"/>
    <w:link w:val="CommentTextChar"/>
    <w:uiPriority w:val="99"/>
    <w:semiHidden/>
    <w:unhideWhenUsed/>
    <w:rsid w:val="00CF5152"/>
    <w:rPr>
      <w:sz w:val="20"/>
      <w:szCs w:val="20"/>
    </w:rPr>
  </w:style>
  <w:style w:type="character" w:customStyle="1" w:styleId="CommentTextChar">
    <w:name w:val="Comment Text Char"/>
    <w:basedOn w:val="DefaultParagraphFont"/>
    <w:link w:val="CommentText"/>
    <w:uiPriority w:val="99"/>
    <w:semiHidden/>
    <w:rsid w:val="00CF5152"/>
    <w:rPr>
      <w:sz w:val="20"/>
      <w:szCs w:val="20"/>
    </w:rPr>
  </w:style>
  <w:style w:type="paragraph" w:styleId="CommentSubject">
    <w:name w:val="annotation subject"/>
    <w:basedOn w:val="CommentText"/>
    <w:next w:val="CommentText"/>
    <w:link w:val="CommentSubjectChar"/>
    <w:uiPriority w:val="99"/>
    <w:semiHidden/>
    <w:unhideWhenUsed/>
    <w:rsid w:val="00CF5152"/>
    <w:rPr>
      <w:b/>
      <w:bCs/>
    </w:rPr>
  </w:style>
  <w:style w:type="character" w:customStyle="1" w:styleId="CommentSubjectChar">
    <w:name w:val="Comment Subject Char"/>
    <w:basedOn w:val="CommentTextChar"/>
    <w:link w:val="CommentSubject"/>
    <w:uiPriority w:val="99"/>
    <w:semiHidden/>
    <w:rsid w:val="00CF5152"/>
    <w:rPr>
      <w:b/>
      <w:bCs/>
      <w:sz w:val="20"/>
      <w:szCs w:val="20"/>
    </w:rPr>
  </w:style>
  <w:style w:type="table" w:styleId="LightShading">
    <w:name w:val="Light Shading"/>
    <w:basedOn w:val="TableNormal"/>
    <w:uiPriority w:val="60"/>
    <w:rsid w:val="00A9330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690">
      <w:bodyDiv w:val="1"/>
      <w:marLeft w:val="0"/>
      <w:marRight w:val="0"/>
      <w:marTop w:val="0"/>
      <w:marBottom w:val="0"/>
      <w:divBdr>
        <w:top w:val="none" w:sz="0" w:space="0" w:color="auto"/>
        <w:left w:val="none" w:sz="0" w:space="0" w:color="auto"/>
        <w:bottom w:val="none" w:sz="0" w:space="0" w:color="auto"/>
        <w:right w:val="none" w:sz="0" w:space="0" w:color="auto"/>
      </w:divBdr>
    </w:div>
    <w:div w:id="486899620">
      <w:bodyDiv w:val="1"/>
      <w:marLeft w:val="0"/>
      <w:marRight w:val="0"/>
      <w:marTop w:val="0"/>
      <w:marBottom w:val="0"/>
      <w:divBdr>
        <w:top w:val="none" w:sz="0" w:space="0" w:color="auto"/>
        <w:left w:val="none" w:sz="0" w:space="0" w:color="auto"/>
        <w:bottom w:val="none" w:sz="0" w:space="0" w:color="auto"/>
        <w:right w:val="none" w:sz="0" w:space="0" w:color="auto"/>
      </w:divBdr>
    </w:div>
    <w:div w:id="1265923436">
      <w:bodyDiv w:val="1"/>
      <w:marLeft w:val="0"/>
      <w:marRight w:val="0"/>
      <w:marTop w:val="0"/>
      <w:marBottom w:val="0"/>
      <w:divBdr>
        <w:top w:val="none" w:sz="0" w:space="0" w:color="auto"/>
        <w:left w:val="none" w:sz="0" w:space="0" w:color="auto"/>
        <w:bottom w:val="none" w:sz="0" w:space="0" w:color="auto"/>
        <w:right w:val="none" w:sz="0" w:space="0" w:color="auto"/>
      </w:divBdr>
    </w:div>
    <w:div w:id="1390374281">
      <w:bodyDiv w:val="1"/>
      <w:marLeft w:val="0"/>
      <w:marRight w:val="0"/>
      <w:marTop w:val="0"/>
      <w:marBottom w:val="0"/>
      <w:divBdr>
        <w:top w:val="none" w:sz="0" w:space="0" w:color="auto"/>
        <w:left w:val="none" w:sz="0" w:space="0" w:color="auto"/>
        <w:bottom w:val="none" w:sz="0" w:space="0" w:color="auto"/>
        <w:right w:val="none" w:sz="0" w:space="0" w:color="auto"/>
      </w:divBdr>
    </w:div>
    <w:div w:id="1826048890">
      <w:bodyDiv w:val="1"/>
      <w:marLeft w:val="0"/>
      <w:marRight w:val="0"/>
      <w:marTop w:val="0"/>
      <w:marBottom w:val="0"/>
      <w:divBdr>
        <w:top w:val="none" w:sz="0" w:space="0" w:color="auto"/>
        <w:left w:val="none" w:sz="0" w:space="0" w:color="auto"/>
        <w:bottom w:val="none" w:sz="0" w:space="0" w:color="auto"/>
        <w:right w:val="none" w:sz="0" w:space="0" w:color="auto"/>
      </w:divBdr>
    </w:div>
    <w:div w:id="20146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https://doi.org/10.17221/206/2016-CJFS" TargetMode="External"/><Relationship Id="rId18" Type="http://schemas.openxmlformats.org/officeDocument/2006/relationships/hyperlink" Target="https://doi.org/10.3389/fpls.2023.128767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www.google.com/search?q=https://doi.org/10.3390/plants10112414" TargetMode="External"/><Relationship Id="rId17" Type="http://schemas.openxmlformats.org/officeDocument/2006/relationships/hyperlink" Target="https://doi.org/10.3390/agronomy14122901"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s://doi.org/10.1371/journal.pone.026303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060/cc7484en"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371/journal.pone.02455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dib.2021.10681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26</Pages>
  <Words>7582</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STUDENT1</dc:creator>
  <cp:lastModifiedBy>acer</cp:lastModifiedBy>
  <cp:revision>20</cp:revision>
  <dcterms:created xsi:type="dcterms:W3CDTF">2026-05-07T05:41:00Z</dcterms:created>
  <dcterms:modified xsi:type="dcterms:W3CDTF">2026-05-14T13:35:00Z</dcterms:modified>
</cp:coreProperties>
</file>