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4DC" w:rsidRDefault="00AD04F1">
      <w:pPr>
        <w:tabs>
          <w:tab w:val="left" w:pos="3955"/>
        </w:tabs>
        <w:spacing w:after="0"/>
        <w:jc w:val="center"/>
        <w:rPr>
          <w:rFonts w:ascii="Arial" w:hAnsi="Arial"/>
        </w:rPr>
      </w:pPr>
      <w:r>
        <w:rPr>
          <w:rFonts w:ascii="Arial" w:hAnsi="Arial" w:cs="Times New Roman"/>
          <w:b/>
          <w:bCs/>
          <w:sz w:val="36"/>
          <w:szCs w:val="36"/>
        </w:rPr>
        <w:t xml:space="preserve">HARNESSING ELECTRICITY FROM SODIUM CHLORIDE(NaCl) AND </w:t>
      </w:r>
      <w:proofErr w:type="gramStart"/>
      <w:r>
        <w:rPr>
          <w:rFonts w:ascii="Arial" w:hAnsi="Arial" w:cs="Times New Roman"/>
          <w:b/>
          <w:bCs/>
          <w:sz w:val="36"/>
          <w:szCs w:val="36"/>
        </w:rPr>
        <w:t>WATER(</w:t>
      </w:r>
      <w:proofErr w:type="gramEnd"/>
      <w:r>
        <w:rPr>
          <w:rFonts w:ascii="Arial" w:hAnsi="Arial" w:cs="Times New Roman"/>
          <w:b/>
          <w:bCs/>
          <w:sz w:val="36"/>
          <w:szCs w:val="36"/>
        </w:rPr>
        <w:t>H</w:t>
      </w:r>
      <w:r>
        <w:rPr>
          <w:rFonts w:ascii="Arial" w:hAnsi="Arial" w:cs="Times New Roman"/>
          <w:b/>
          <w:bCs/>
          <w:sz w:val="36"/>
          <w:szCs w:val="36"/>
          <w:vertAlign w:val="subscript"/>
        </w:rPr>
        <w:t>2</w:t>
      </w:r>
      <w:r>
        <w:rPr>
          <w:rFonts w:ascii="Arial" w:hAnsi="Arial" w:cs="Times New Roman"/>
          <w:b/>
          <w:bCs/>
          <w:sz w:val="36"/>
          <w:szCs w:val="36"/>
        </w:rPr>
        <w:t>O) FOR DOMESTIC CONSUMPTION</w:t>
      </w:r>
    </w:p>
    <w:p w:rsidR="00F154DC" w:rsidRDefault="00F154DC">
      <w:pPr>
        <w:tabs>
          <w:tab w:val="left" w:pos="3955"/>
        </w:tabs>
        <w:spacing w:after="0" w:line="360" w:lineRule="auto"/>
        <w:jc w:val="center"/>
        <w:rPr>
          <w:rFonts w:ascii="Arial" w:hAnsi="Arial" w:cs="Times New Roman"/>
        </w:rPr>
      </w:pPr>
    </w:p>
    <w:p w:rsidR="00F154DC" w:rsidRDefault="00F154DC">
      <w:pPr>
        <w:spacing w:after="0" w:line="360" w:lineRule="auto"/>
        <w:jc w:val="both"/>
        <w:rPr>
          <w:rFonts w:ascii="Arial" w:hAnsi="Arial"/>
          <w:sz w:val="24"/>
          <w:szCs w:val="24"/>
        </w:rPr>
      </w:pPr>
      <w:bookmarkStart w:id="0" w:name="_GoBack"/>
      <w:bookmarkEnd w:id="0"/>
    </w:p>
    <w:p w:rsidR="00F154DC" w:rsidRDefault="00F154DC">
      <w:pPr>
        <w:spacing w:after="0" w:line="360" w:lineRule="auto"/>
        <w:jc w:val="both"/>
        <w:rPr>
          <w:rFonts w:ascii="Arial" w:hAnsi="Arial"/>
          <w:sz w:val="24"/>
          <w:szCs w:val="24"/>
        </w:rPr>
      </w:pPr>
    </w:p>
    <w:p w:rsidR="00F154DC" w:rsidRDefault="00AD04F1">
      <w:pPr>
        <w:spacing w:after="0" w:line="360" w:lineRule="auto"/>
        <w:jc w:val="both"/>
        <w:rPr>
          <w:rFonts w:ascii="Arial" w:hAnsi="Arial"/>
        </w:rPr>
      </w:pPr>
      <w:r>
        <w:rPr>
          <w:rFonts w:ascii="Arial" w:hAnsi="Arial" w:cs="Times New Roman"/>
          <w:sz w:val="24"/>
          <w:szCs w:val="24"/>
        </w:rPr>
        <w:t xml:space="preserve"> </w:t>
      </w:r>
      <w:r>
        <w:rPr>
          <w:rFonts w:ascii="Arial" w:hAnsi="Arial" w:cs="Times New Roman"/>
          <w:b/>
          <w:bCs/>
          <w:sz w:val="24"/>
          <w:szCs w:val="24"/>
        </w:rPr>
        <w:t>ABSTRACT</w:t>
      </w:r>
    </w:p>
    <w:p w:rsidR="00F154DC" w:rsidRDefault="00AD04F1">
      <w:pPr>
        <w:pStyle w:val="BodyText"/>
        <w:jc w:val="both"/>
        <w:rPr>
          <w:rFonts w:ascii="Arial" w:hAnsi="Arial"/>
        </w:rPr>
      </w:pPr>
      <w:r>
        <w:rPr>
          <w:rFonts w:ascii="Arial" w:hAnsi="Arial"/>
          <w:sz w:val="20"/>
          <w:szCs w:val="20"/>
        </w:rPr>
        <w:t>The increasing deman</w:t>
      </w:r>
      <w:r>
        <w:rPr>
          <w:rFonts w:ascii="Arial" w:hAnsi="Arial"/>
          <w:sz w:val="20"/>
          <w:szCs w:val="20"/>
        </w:rPr>
        <w:t>d for clean, affordable, and sustainable energy has encouraged the exploration of alternative methods of electricity generation for domestic consumption. This study investigates the feasibility of harnessing electricity from sodium chloride (NaCl) and wate</w:t>
      </w:r>
      <w:r>
        <w:rPr>
          <w:rFonts w:ascii="Arial" w:hAnsi="Arial"/>
          <w:sz w:val="20"/>
          <w:szCs w:val="20"/>
        </w:rPr>
        <w:t>r (H₂O) using electrochemical principles. When salt dissolves in water, it forms free-moving ions that enable electrical conductivity. By immersing two dissimilar metal electrodes, such as zinc and copper, in a saltwater solution, an electrochemical reacti</w:t>
      </w:r>
      <w:r>
        <w:rPr>
          <w:rFonts w:ascii="Arial" w:hAnsi="Arial"/>
          <w:sz w:val="20"/>
          <w:szCs w:val="20"/>
        </w:rPr>
        <w:t>on occurs, generating a measurable electric current. Experimental results showed that a single saltwater cell produced an average voltage of approximately 0.76 V, and the voltage increased proportionally when multiple cells were connected in series. The fi</w:t>
      </w:r>
      <w:r>
        <w:rPr>
          <w:rFonts w:ascii="Arial" w:hAnsi="Arial"/>
          <w:sz w:val="20"/>
          <w:szCs w:val="20"/>
        </w:rPr>
        <w:t>ndings indicate that while the energy output is relatively low compared to conventional power sources, saltwater-based systems are simple, inexpensive, environmentally friendly, and suitable for low-power domestic applications such as LED lighting and smal</w:t>
      </w:r>
      <w:r>
        <w:rPr>
          <w:rFonts w:ascii="Arial" w:hAnsi="Arial"/>
          <w:sz w:val="20"/>
          <w:szCs w:val="20"/>
        </w:rPr>
        <w:t>l electronic devices. Additionally, the study demonstrates that electricity generation from sodium chloride and water is technically feasible and holds potential as a supplementary or backup energy solution for households, particularly in rural and off-gri</w:t>
      </w:r>
      <w:r>
        <w:rPr>
          <w:rFonts w:ascii="Arial" w:hAnsi="Arial"/>
          <w:sz w:val="20"/>
          <w:szCs w:val="20"/>
        </w:rPr>
        <w:t>d communities.</w:t>
      </w:r>
    </w:p>
    <w:p w:rsidR="00F154DC" w:rsidRDefault="00F154DC">
      <w:pPr>
        <w:pStyle w:val="BodyText"/>
        <w:rPr>
          <w:rFonts w:ascii="Arial" w:hAnsi="Arial"/>
          <w:sz w:val="24"/>
          <w:szCs w:val="24"/>
        </w:rPr>
      </w:pPr>
    </w:p>
    <w:p w:rsidR="00F154DC" w:rsidRDefault="00AD04F1">
      <w:pPr>
        <w:spacing w:after="0" w:line="360" w:lineRule="auto"/>
        <w:jc w:val="both"/>
        <w:rPr>
          <w:rFonts w:ascii="Arial" w:hAnsi="Arial"/>
        </w:rPr>
      </w:pPr>
      <w:r>
        <w:rPr>
          <w:rFonts w:ascii="Arial" w:hAnsi="Arial" w:cs="Times New Roman"/>
          <w:b/>
        </w:rPr>
        <w:t xml:space="preserve">1. INTRODUCTION </w:t>
      </w:r>
    </w:p>
    <w:p w:rsidR="00F154DC" w:rsidRDefault="00AD04F1">
      <w:pPr>
        <w:pStyle w:val="BodyText"/>
        <w:spacing w:line="360" w:lineRule="auto"/>
        <w:jc w:val="both"/>
        <w:rPr>
          <w:rFonts w:ascii="Arial" w:hAnsi="Arial"/>
          <w:sz w:val="20"/>
          <w:szCs w:val="20"/>
        </w:rPr>
      </w:pPr>
      <w:r>
        <w:rPr>
          <w:rFonts w:ascii="Arial" w:hAnsi="Arial" w:cs="Times New Roman"/>
          <w:sz w:val="20"/>
          <w:szCs w:val="20"/>
        </w:rPr>
        <w:t>Electricity is one of the most important discoveries in human history and remains the foundation of modern civilization. In homes across the world, electrical energy powers lighting systems, refrigerators, televisions, fans</w:t>
      </w:r>
      <w:r>
        <w:rPr>
          <w:rFonts w:ascii="Arial" w:hAnsi="Arial" w:cs="Times New Roman"/>
          <w:sz w:val="20"/>
          <w:szCs w:val="20"/>
        </w:rPr>
        <w:t>, air conditioners, computers, water pumps, and countless other appliances that improve comfort and productivity. Beyond convenience, electricity supports education, healthcare, communication, and small-scale economic activities carried out within househol</w:t>
      </w:r>
      <w:r>
        <w:rPr>
          <w:rFonts w:ascii="Arial" w:hAnsi="Arial" w:cs="Times New Roman"/>
          <w:sz w:val="20"/>
          <w:szCs w:val="20"/>
        </w:rPr>
        <w:t>ds [1]. Despite its importance, many communities; especially in developing countries and rural coastal areas, continue to experience unreliable electricity supply, high tariffs, and dependence on fuel-powered generators. These challenges highlight the urge</w:t>
      </w:r>
      <w:r>
        <w:rPr>
          <w:rFonts w:ascii="Arial" w:hAnsi="Arial" w:cs="Times New Roman"/>
          <w:sz w:val="20"/>
          <w:szCs w:val="20"/>
        </w:rPr>
        <w:t>nt need to explore alternative, affordable, and sustainable methods of generating electricity for domestic consumption [2,3].</w:t>
      </w:r>
    </w:p>
    <w:p w:rsidR="00F154DC" w:rsidRDefault="00AD04F1">
      <w:pPr>
        <w:pStyle w:val="BodyText"/>
        <w:spacing w:line="360" w:lineRule="auto"/>
        <w:jc w:val="both"/>
        <w:rPr>
          <w:rFonts w:ascii="Arial" w:hAnsi="Arial"/>
          <w:sz w:val="20"/>
          <w:szCs w:val="20"/>
        </w:rPr>
      </w:pPr>
      <w:r>
        <w:rPr>
          <w:rFonts w:ascii="Arial" w:hAnsi="Arial"/>
          <w:sz w:val="20"/>
          <w:szCs w:val="20"/>
        </w:rPr>
        <w:t>Traditional sources of electricity such as coal, oil, and natural gas have long dominated global energy production. However, these</w:t>
      </w:r>
      <w:r>
        <w:rPr>
          <w:rFonts w:ascii="Arial" w:hAnsi="Arial"/>
          <w:sz w:val="20"/>
          <w:szCs w:val="20"/>
        </w:rPr>
        <w:t xml:space="preserve"> fossil fuels are non-renewable and contribute significantly to environmental problems, including air pollution, greenhouse gas emissions, and climate change. As concerns about environmental sustainability grow, attention has shifted toward renewable and c</w:t>
      </w:r>
      <w:r>
        <w:rPr>
          <w:rFonts w:ascii="Arial" w:hAnsi="Arial"/>
          <w:sz w:val="20"/>
          <w:szCs w:val="20"/>
        </w:rPr>
        <w:t xml:space="preserve">leaner energy technologies such as solar, wind, and hydropower. While these technologies are promising, they also have limitations, including high installation costs, weather dependence, and storage challenges [4,5]. </w:t>
      </w:r>
      <w:r>
        <w:rPr>
          <w:rFonts w:ascii="Arial" w:hAnsi="Arial"/>
          <w:sz w:val="20"/>
          <w:szCs w:val="20"/>
        </w:rPr>
        <w:lastRenderedPageBreak/>
        <w:t>Consequently, researchers continue to i</w:t>
      </w:r>
      <w:r>
        <w:rPr>
          <w:rFonts w:ascii="Arial" w:hAnsi="Arial"/>
          <w:sz w:val="20"/>
          <w:szCs w:val="20"/>
        </w:rPr>
        <w:t>nvestigate other innovative and complementary energy solutions that are accessible, safe, and environmentally friendly. One such emerging area of interest is the harnessing of electricity from sodium chloride (NaCl) and water (H₂O) [7].</w:t>
      </w:r>
    </w:p>
    <w:p w:rsidR="00F154DC" w:rsidRDefault="00AD04F1">
      <w:pPr>
        <w:pStyle w:val="BodyText"/>
        <w:spacing w:line="360" w:lineRule="auto"/>
        <w:jc w:val="both"/>
        <w:rPr>
          <w:rFonts w:ascii="Arial" w:hAnsi="Arial"/>
          <w:sz w:val="20"/>
          <w:szCs w:val="20"/>
        </w:rPr>
      </w:pPr>
      <w:r>
        <w:rPr>
          <w:rFonts w:ascii="Arial" w:hAnsi="Arial"/>
          <w:sz w:val="20"/>
          <w:szCs w:val="20"/>
        </w:rPr>
        <w:t>Sodium chloride, co</w:t>
      </w:r>
      <w:r>
        <w:rPr>
          <w:rFonts w:ascii="Arial" w:hAnsi="Arial"/>
          <w:sz w:val="20"/>
          <w:szCs w:val="20"/>
        </w:rPr>
        <w:t>mmonly known as table salt, is one of the most abundant and widely available chemical compounds on Earth. It occurs naturally in seawater, salt lakes, underground rock salt deposits, and even in soil. Water, on the other hand, is essential for life and cov</w:t>
      </w:r>
      <w:r>
        <w:rPr>
          <w:rFonts w:ascii="Arial" w:hAnsi="Arial"/>
          <w:sz w:val="20"/>
          <w:szCs w:val="20"/>
        </w:rPr>
        <w:t>ers more than two-thirds of the Earth’s surface. When sodium chloride dissolves in water, it dissociates into positively charged sodium ions (Na⁺) and negatively charged chloride ions (Cl⁻). These ions are free to move within the solution, making saltwater</w:t>
      </w:r>
      <w:r>
        <w:rPr>
          <w:rFonts w:ascii="Arial" w:hAnsi="Arial"/>
          <w:sz w:val="20"/>
          <w:szCs w:val="20"/>
        </w:rPr>
        <w:t xml:space="preserve"> an excellent conductor of electricity. This simple chemical property forms the scientific foundation for generating electrical energy from saltwater systems [8].</w:t>
      </w:r>
    </w:p>
    <w:p w:rsidR="00F154DC" w:rsidRDefault="00AD04F1">
      <w:pPr>
        <w:pStyle w:val="BodyText"/>
        <w:spacing w:line="360" w:lineRule="auto"/>
        <w:jc w:val="both"/>
        <w:rPr>
          <w:rFonts w:ascii="Arial" w:hAnsi="Arial"/>
          <w:sz w:val="20"/>
          <w:szCs w:val="20"/>
        </w:rPr>
      </w:pPr>
      <w:r>
        <w:rPr>
          <w:rFonts w:ascii="Arial" w:hAnsi="Arial"/>
          <w:sz w:val="20"/>
          <w:szCs w:val="20"/>
        </w:rPr>
        <w:t>It is important to clarify that saltwater itself is not a primary source of energy in the sam</w:t>
      </w:r>
      <w:r>
        <w:rPr>
          <w:rFonts w:ascii="Arial" w:hAnsi="Arial"/>
          <w:sz w:val="20"/>
          <w:szCs w:val="20"/>
        </w:rPr>
        <w:t>e way sunlight or fossil fuels are. Instead, it acts as a medium that enables electrochemical reactions or energy conversion processes to occur. For example, when two different metals, such as zinc and copper, are placed in a saltwater solution, a chemical</w:t>
      </w:r>
      <w:r>
        <w:rPr>
          <w:rFonts w:ascii="Arial" w:hAnsi="Arial"/>
          <w:sz w:val="20"/>
          <w:szCs w:val="20"/>
        </w:rPr>
        <w:t xml:space="preserve"> reaction takes place between the metals and the electrolyte. This reaction causes electrons to flow from one metal (the anode) to the other (the cathode) through an external circuit, producing an electric current. This basic principle is similar to how ba</w:t>
      </w:r>
      <w:r>
        <w:rPr>
          <w:rFonts w:ascii="Arial" w:hAnsi="Arial"/>
          <w:sz w:val="20"/>
          <w:szCs w:val="20"/>
        </w:rPr>
        <w:t>tteries function and demonstrates how sodium chloride and water can facilitate electricity generation [9,10].</w:t>
      </w:r>
    </w:p>
    <w:p w:rsidR="00F154DC" w:rsidRDefault="00AD04F1">
      <w:pPr>
        <w:pStyle w:val="BodyText"/>
        <w:spacing w:line="360" w:lineRule="auto"/>
        <w:jc w:val="both"/>
        <w:rPr>
          <w:rFonts w:ascii="Arial" w:hAnsi="Arial"/>
          <w:sz w:val="20"/>
          <w:szCs w:val="20"/>
        </w:rPr>
      </w:pPr>
      <w:r>
        <w:rPr>
          <w:rFonts w:ascii="Arial" w:hAnsi="Arial"/>
          <w:sz w:val="20"/>
          <w:szCs w:val="20"/>
        </w:rPr>
        <w:t xml:space="preserve">Beyond simple electrochemical cells, more advanced technologies exploit the natural energy released when freshwater mixes with saltwater. This </w:t>
      </w:r>
      <w:r>
        <w:rPr>
          <w:rFonts w:ascii="Arial" w:hAnsi="Arial"/>
          <w:sz w:val="20"/>
          <w:szCs w:val="20"/>
        </w:rPr>
        <w:t>phenomenon, known as salinity gradient energy or “blue energy,” is based on the difference in salt concentration between two water bodies. When river water flows into the ocean, a large amount of chemical potential energy is released due to this concentrat</w:t>
      </w:r>
      <w:r>
        <w:rPr>
          <w:rFonts w:ascii="Arial" w:hAnsi="Arial"/>
          <w:sz w:val="20"/>
          <w:szCs w:val="20"/>
        </w:rPr>
        <w:t>ion difference. Through technologies such as reverse electrodialysis and pressure-retarded osmosis, this energy can be converted into usable electrical power. Although these systems are currently more suitable for large-scale applications, ongoing research</w:t>
      </w:r>
      <w:r>
        <w:rPr>
          <w:rFonts w:ascii="Arial" w:hAnsi="Arial"/>
          <w:sz w:val="20"/>
          <w:szCs w:val="20"/>
        </w:rPr>
        <w:t xml:space="preserve"> aims to adapt them for smaller and more localized use, potentially including domestic energy supply [11].</w:t>
      </w:r>
    </w:p>
    <w:p w:rsidR="00F154DC" w:rsidRDefault="00AD04F1">
      <w:pPr>
        <w:pStyle w:val="BodyText"/>
        <w:spacing w:line="360" w:lineRule="auto"/>
        <w:jc w:val="both"/>
        <w:rPr>
          <w:rFonts w:ascii="Arial" w:hAnsi="Arial"/>
          <w:sz w:val="20"/>
          <w:szCs w:val="20"/>
        </w:rPr>
      </w:pPr>
      <w:r>
        <w:rPr>
          <w:rFonts w:ascii="Arial" w:hAnsi="Arial"/>
          <w:sz w:val="20"/>
          <w:szCs w:val="20"/>
        </w:rPr>
        <w:t>The idea of harnessing electricity from NaCl and water is particularly attractive for coastal and riverine communities. In such regions, seawater and</w:t>
      </w:r>
      <w:r>
        <w:rPr>
          <w:rFonts w:ascii="Arial" w:hAnsi="Arial"/>
          <w:sz w:val="20"/>
          <w:szCs w:val="20"/>
        </w:rPr>
        <w:t xml:space="preserve"> brackish water are readily available resources that can be utilized without extensive extraction or transportation costs. For households in off-grid areas, small-scale saltwater-based power systems could provide supplemental electricity for lighting, phon</w:t>
      </w:r>
      <w:r>
        <w:rPr>
          <w:rFonts w:ascii="Arial" w:hAnsi="Arial"/>
          <w:sz w:val="20"/>
          <w:szCs w:val="20"/>
        </w:rPr>
        <w:t>e charging, or powering low-energy appliances. Additionally, saltwater battery technologies are being developed as safer alternatives to conventional lithium-ion batteries. Unlike some traditional batteries that contain toxic or flammable materials, saltwa</w:t>
      </w:r>
      <w:r>
        <w:rPr>
          <w:rFonts w:ascii="Arial" w:hAnsi="Arial"/>
          <w:sz w:val="20"/>
          <w:szCs w:val="20"/>
        </w:rPr>
        <w:t>ter batteries use non-toxic electrolytes, making them safer for home use and environmentally sustainable [12].</w:t>
      </w:r>
    </w:p>
    <w:p w:rsidR="00F154DC" w:rsidRDefault="00AD04F1">
      <w:pPr>
        <w:pStyle w:val="BodyText"/>
        <w:spacing w:line="360" w:lineRule="auto"/>
        <w:jc w:val="both"/>
        <w:rPr>
          <w:rFonts w:ascii="Arial" w:hAnsi="Arial"/>
          <w:sz w:val="20"/>
          <w:szCs w:val="20"/>
        </w:rPr>
      </w:pPr>
      <w:r>
        <w:rPr>
          <w:rFonts w:ascii="Arial" w:hAnsi="Arial"/>
          <w:sz w:val="20"/>
          <w:szCs w:val="20"/>
        </w:rPr>
        <w:t xml:space="preserve">Another important motivation for exploring saltwater-based electricity systems is energy security. Many households in developing nations rely on </w:t>
      </w:r>
      <w:r>
        <w:rPr>
          <w:rFonts w:ascii="Arial" w:hAnsi="Arial"/>
          <w:sz w:val="20"/>
          <w:szCs w:val="20"/>
        </w:rPr>
        <w:t xml:space="preserve">petrol or diesel generators during power outages. These </w:t>
      </w:r>
      <w:r>
        <w:rPr>
          <w:rFonts w:ascii="Arial" w:hAnsi="Arial"/>
          <w:sz w:val="20"/>
          <w:szCs w:val="20"/>
        </w:rPr>
        <w:lastRenderedPageBreak/>
        <w:t xml:space="preserve">generators are not only expensive to operate but also produce harmful fumes and noise pollution. By contrast, systems based on sodium chloride and water have the potential to operate quietly, safely, </w:t>
      </w:r>
      <w:r>
        <w:rPr>
          <w:rFonts w:ascii="Arial" w:hAnsi="Arial"/>
          <w:sz w:val="20"/>
          <w:szCs w:val="20"/>
        </w:rPr>
        <w:t>and with minimal environmental impact [13, 14]. Although they may not yet replace large-scale power plants, they can serve as backup or complementary energy sources within hybrid renewable systems.</w:t>
      </w:r>
    </w:p>
    <w:p w:rsidR="00F154DC" w:rsidRDefault="00AD04F1">
      <w:pPr>
        <w:pStyle w:val="BodyText"/>
        <w:spacing w:line="360" w:lineRule="auto"/>
        <w:jc w:val="both"/>
        <w:rPr>
          <w:rFonts w:ascii="Arial" w:hAnsi="Arial"/>
          <w:sz w:val="20"/>
          <w:szCs w:val="20"/>
        </w:rPr>
      </w:pPr>
      <w:r>
        <w:rPr>
          <w:rFonts w:ascii="Arial" w:hAnsi="Arial"/>
          <w:sz w:val="20"/>
          <w:szCs w:val="20"/>
        </w:rPr>
        <w:t>From an economic perspective, sodium chloride and water ar</w:t>
      </w:r>
      <w:r>
        <w:rPr>
          <w:rFonts w:ascii="Arial" w:hAnsi="Arial"/>
          <w:sz w:val="20"/>
          <w:szCs w:val="20"/>
        </w:rPr>
        <w:t>e inexpensive and widely accessible materials. This reduces the barrier to entry for experimentation, local innovation, and small-scale implementation. Students, researchers, and local engineers can design and test saltwater-based energy systems using rela</w:t>
      </w:r>
      <w:r>
        <w:rPr>
          <w:rFonts w:ascii="Arial" w:hAnsi="Arial"/>
          <w:sz w:val="20"/>
          <w:szCs w:val="20"/>
        </w:rPr>
        <w:t xml:space="preserve">tively simple materials. With advancements in electrode materials, corrosion resistance, and membrane technology, the efficiency and durability of these systems continue to improve [15, 16]. As technology progresses, the cost of production and maintenance </w:t>
      </w:r>
      <w:r>
        <w:rPr>
          <w:rFonts w:ascii="Arial" w:hAnsi="Arial"/>
          <w:sz w:val="20"/>
          <w:szCs w:val="20"/>
        </w:rPr>
        <w:t>is expected to decrease, making domestic applications more practical.</w:t>
      </w:r>
    </w:p>
    <w:p w:rsidR="00F154DC" w:rsidRDefault="00AD04F1">
      <w:pPr>
        <w:pStyle w:val="BodyText"/>
        <w:spacing w:line="360" w:lineRule="auto"/>
        <w:jc w:val="both"/>
        <w:rPr>
          <w:rFonts w:ascii="Arial" w:hAnsi="Arial"/>
          <w:sz w:val="20"/>
          <w:szCs w:val="20"/>
        </w:rPr>
      </w:pPr>
      <w:r>
        <w:rPr>
          <w:rFonts w:ascii="Arial" w:hAnsi="Arial"/>
          <w:sz w:val="20"/>
          <w:szCs w:val="20"/>
        </w:rPr>
        <w:t>However, like all emerging technologies, harnessing electricity from NaCl and water presents certain challenges. Issues such as electrode corrosion, limited energy density, and efficiency losses must be addressed before widespread domestic adoption can occ</w:t>
      </w:r>
      <w:r>
        <w:rPr>
          <w:rFonts w:ascii="Arial" w:hAnsi="Arial"/>
          <w:sz w:val="20"/>
          <w:szCs w:val="20"/>
        </w:rPr>
        <w:t xml:space="preserve">ur. Continued research in materials science, electrochemistry, and renewable energy engineering is crucial for overcoming these </w:t>
      </w:r>
      <w:proofErr w:type="gramStart"/>
      <w:r>
        <w:rPr>
          <w:rFonts w:ascii="Arial" w:hAnsi="Arial"/>
          <w:sz w:val="20"/>
          <w:szCs w:val="20"/>
        </w:rPr>
        <w:t>limitations[</w:t>
      </w:r>
      <w:proofErr w:type="gramEnd"/>
      <w:r>
        <w:rPr>
          <w:rFonts w:ascii="Arial" w:hAnsi="Arial"/>
          <w:sz w:val="20"/>
          <w:szCs w:val="20"/>
        </w:rPr>
        <w:t>17]. By integrating saltwater-based systems with other renewable technologies such as solar panels, it may be possib</w:t>
      </w:r>
      <w:r>
        <w:rPr>
          <w:rFonts w:ascii="Arial" w:hAnsi="Arial"/>
          <w:sz w:val="20"/>
          <w:szCs w:val="20"/>
        </w:rPr>
        <w:t>le to create reliable hybrid systems suitable for household use [18, 19].</w:t>
      </w:r>
    </w:p>
    <w:p w:rsidR="00F154DC" w:rsidRDefault="00AD04F1">
      <w:pPr>
        <w:spacing w:after="0" w:line="360" w:lineRule="auto"/>
        <w:jc w:val="both"/>
        <w:rPr>
          <w:rFonts w:ascii="Arial" w:hAnsi="Arial"/>
        </w:rPr>
      </w:pPr>
      <w:r>
        <w:rPr>
          <w:rFonts w:ascii="Arial" w:hAnsi="Arial" w:cs="Times New Roman"/>
          <w:b/>
        </w:rPr>
        <w:t>2. METHOD</w:t>
      </w:r>
    </w:p>
    <w:p w:rsidR="00F154DC" w:rsidRDefault="00AD04F1">
      <w:pPr>
        <w:spacing w:after="0" w:line="360" w:lineRule="auto"/>
        <w:jc w:val="both"/>
        <w:rPr>
          <w:rFonts w:ascii="Arial" w:hAnsi="Arial"/>
        </w:rPr>
      </w:pPr>
      <w:r>
        <w:rPr>
          <w:rFonts w:ascii="Arial" w:hAnsi="Arial" w:cs="Times New Roman"/>
          <w:b/>
        </w:rPr>
        <w:t>2.1 EXPERIMENTAL SETUP</w:t>
      </w:r>
    </w:p>
    <w:p w:rsidR="00F154DC" w:rsidRDefault="00AD04F1">
      <w:pPr>
        <w:pStyle w:val="BodyText"/>
        <w:rPr>
          <w:rFonts w:ascii="Arial" w:hAnsi="Arial"/>
        </w:rPr>
      </w:pPr>
      <w:r>
        <w:rPr>
          <w:rFonts w:ascii="Arial" w:hAnsi="Arial"/>
          <w:sz w:val="20"/>
          <w:szCs w:val="20"/>
        </w:rPr>
        <w:t>Constructing an electrochemical cell using saltwater as the electrolyte. First, sodium chloride is dissolved in clean water to form a saline solution</w:t>
      </w:r>
      <w:r>
        <w:rPr>
          <w:rFonts w:ascii="Arial" w:hAnsi="Arial"/>
          <w:sz w:val="20"/>
          <w:szCs w:val="20"/>
        </w:rPr>
        <w:t>. Two dissimilar metal electrodes, such as zinc and copper, are then immersed in the solution without touching each other. These metals must have different reactivity levels to create a potential difference. Zinc typically acts as the anode (negative elect</w:t>
      </w:r>
      <w:r>
        <w:rPr>
          <w:rFonts w:ascii="Arial" w:hAnsi="Arial"/>
          <w:sz w:val="20"/>
          <w:szCs w:val="20"/>
        </w:rPr>
        <w:t>rode) because it is more reactive and tends to lose electrons easily. Copper acts as the cathode (positive electrode). When the circuit is connected externally with a wire, zinc undergoes oxidation, releasing electrons. These electrons flow through the ext</w:t>
      </w:r>
      <w:r>
        <w:rPr>
          <w:rFonts w:ascii="Arial" w:hAnsi="Arial"/>
          <w:sz w:val="20"/>
          <w:szCs w:val="20"/>
        </w:rPr>
        <w:t>ernal circuit toward the copper electrode, generating an electric current. The saltwater solution allows the movement of ions, which completes the circuit internally.</w:t>
      </w:r>
    </w:p>
    <w:p w:rsidR="00F154DC" w:rsidRDefault="00AD04F1">
      <w:pPr>
        <w:pStyle w:val="BodyText"/>
        <w:rPr>
          <w:rFonts w:ascii="Arial" w:hAnsi="Arial"/>
          <w:sz w:val="20"/>
          <w:szCs w:val="20"/>
        </w:rPr>
      </w:pPr>
      <w:r>
        <w:rPr>
          <w:rFonts w:ascii="Arial" w:hAnsi="Arial" w:cs="Times New Roman"/>
          <w:sz w:val="20"/>
          <w:szCs w:val="20"/>
        </w:rPr>
        <w:t>To increase the voltage output, multiple saltwater cells can be connected in series. This</w:t>
      </w:r>
      <w:r>
        <w:rPr>
          <w:rFonts w:ascii="Arial" w:hAnsi="Arial" w:cs="Times New Roman"/>
          <w:sz w:val="20"/>
          <w:szCs w:val="20"/>
        </w:rPr>
        <w:t xml:space="preserve"> method is suitable for powering small domestic loads such as LED bulbs, small radios, or charging low-power devices. However, the electrodes gradually corrode and may need replacement over time.</w:t>
      </w:r>
    </w:p>
    <w:p w:rsidR="00F154DC" w:rsidRDefault="00F154DC">
      <w:pPr>
        <w:pStyle w:val="BodyText"/>
        <w:rPr>
          <w:rFonts w:ascii="Arial" w:hAnsi="Arial" w:cs="Times New Roman"/>
        </w:rPr>
      </w:pPr>
    </w:p>
    <w:p w:rsidR="00F154DC" w:rsidRDefault="00AD04F1">
      <w:pPr>
        <w:pStyle w:val="BodyText"/>
        <w:rPr>
          <w:rFonts w:ascii="Arial" w:hAnsi="Arial"/>
        </w:rPr>
      </w:pPr>
      <w:r>
        <w:rPr>
          <w:noProof/>
        </w:rPr>
        <w:lastRenderedPageBreak/>
        <w:drawing>
          <wp:anchor distT="0" distB="0" distL="0" distR="0" simplePos="0" relativeHeight="2" behindDoc="0" locked="0" layoutInCell="0" allowOverlap="1">
            <wp:simplePos x="0" y="0"/>
            <wp:positionH relativeFrom="column">
              <wp:align>center</wp:align>
            </wp:positionH>
            <wp:positionV relativeFrom="paragraph">
              <wp:posOffset>635</wp:posOffset>
            </wp:positionV>
            <wp:extent cx="5943600" cy="396240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a:stretch>
                      <a:fillRect/>
                    </a:stretch>
                  </pic:blipFill>
                  <pic:spPr bwMode="auto">
                    <a:xfrm>
                      <a:off x="0" y="0"/>
                      <a:ext cx="5943600" cy="3962400"/>
                    </a:xfrm>
                    <a:prstGeom prst="rect">
                      <a:avLst/>
                    </a:prstGeom>
                  </pic:spPr>
                </pic:pic>
              </a:graphicData>
            </a:graphic>
          </wp:anchor>
        </w:drawing>
      </w:r>
      <w:r>
        <w:rPr>
          <w:rFonts w:ascii="Arial" w:hAnsi="Arial" w:cs="Times New Roman"/>
        </w:rPr>
        <w:tab/>
      </w:r>
    </w:p>
    <w:p w:rsidR="00F154DC" w:rsidRDefault="00AD04F1">
      <w:pPr>
        <w:spacing w:after="0" w:line="360" w:lineRule="auto"/>
        <w:jc w:val="both"/>
        <w:rPr>
          <w:rFonts w:ascii="Arial" w:hAnsi="Arial"/>
        </w:rPr>
      </w:pPr>
      <w:r>
        <w:rPr>
          <w:rFonts w:ascii="Arial" w:hAnsi="Arial" w:cs="Times New Roman"/>
        </w:rPr>
        <w:t>Fig.1: Saltwater Electrochemical Cell Experiment Setup</w:t>
      </w:r>
    </w:p>
    <w:p w:rsidR="00F154DC" w:rsidRDefault="00F154DC">
      <w:pPr>
        <w:spacing w:after="0" w:line="360" w:lineRule="auto"/>
        <w:jc w:val="both"/>
        <w:rPr>
          <w:rFonts w:ascii="Arial" w:hAnsi="Arial" w:cs="Times New Roman"/>
          <w:b/>
        </w:rPr>
      </w:pPr>
    </w:p>
    <w:p w:rsidR="00F154DC" w:rsidRDefault="00AD04F1">
      <w:pPr>
        <w:spacing w:after="0" w:line="360" w:lineRule="auto"/>
        <w:jc w:val="both"/>
        <w:rPr>
          <w:rFonts w:ascii="Arial" w:hAnsi="Arial"/>
        </w:rPr>
      </w:pPr>
      <w:r>
        <w:rPr>
          <w:rFonts w:ascii="Arial" w:hAnsi="Arial" w:cs="Times New Roman"/>
          <w:b/>
        </w:rPr>
        <w:t>3. RESULTS AND DISCUSSION</w:t>
      </w:r>
    </w:p>
    <w:p w:rsidR="00F154DC" w:rsidRDefault="00AD04F1">
      <w:pPr>
        <w:pStyle w:val="BodyText"/>
        <w:jc w:val="both"/>
        <w:rPr>
          <w:rFonts w:ascii="Arial" w:hAnsi="Arial"/>
          <w:sz w:val="20"/>
          <w:szCs w:val="20"/>
        </w:rPr>
      </w:pPr>
      <w:r>
        <w:rPr>
          <w:rFonts w:ascii="Arial" w:hAnsi="Arial"/>
          <w:sz w:val="20"/>
          <w:szCs w:val="20"/>
        </w:rPr>
        <w:t>The experimental setup using a zinc electrode (anode), copper electrode (cathode), and sodium chloride (NaCl) solution as the electrolyte successfully generated measurable electrical energy. Upon immersing the electrodes in the sa</w:t>
      </w:r>
      <w:r>
        <w:rPr>
          <w:rFonts w:ascii="Arial" w:hAnsi="Arial"/>
          <w:sz w:val="20"/>
          <w:szCs w:val="20"/>
        </w:rPr>
        <w:t>ltwater solution and connecting them through an external circuit, a voltage reading of approximately 0.70–0.80 volts was observed on the digital multimeter. This confirmed that a potential difference was established due to the electrochemical reaction betw</w:t>
      </w:r>
      <w:r>
        <w:rPr>
          <w:rFonts w:ascii="Arial" w:hAnsi="Arial"/>
          <w:sz w:val="20"/>
          <w:szCs w:val="20"/>
        </w:rPr>
        <w:t>een the two dissimilar metals in the presence of the electrolyte. The LED connected to the circuit emitted a faint but steady light, demonstrating that usable electrical current was produced.</w:t>
      </w:r>
    </w:p>
    <w:p w:rsidR="00F154DC" w:rsidRDefault="00AD04F1">
      <w:pPr>
        <w:pStyle w:val="BodyText"/>
        <w:jc w:val="both"/>
        <w:rPr>
          <w:rFonts w:ascii="Arial" w:hAnsi="Arial"/>
          <w:sz w:val="20"/>
          <w:szCs w:val="20"/>
        </w:rPr>
      </w:pPr>
      <w:r>
        <w:rPr>
          <w:rFonts w:ascii="Arial" w:hAnsi="Arial"/>
          <w:sz w:val="20"/>
          <w:szCs w:val="20"/>
        </w:rPr>
        <w:t>The results shows that the conductivity of the saltwater solutio</w:t>
      </w:r>
      <w:r>
        <w:rPr>
          <w:rFonts w:ascii="Arial" w:hAnsi="Arial"/>
          <w:sz w:val="20"/>
          <w:szCs w:val="20"/>
        </w:rPr>
        <w:t>n played a crucial role in facilitating ion movement. When the concentration of sodium chloride in water was increased moderately, the voltage output remained nearly constant, but the current improved slightly due to enhanced ionic conductivity. However, b</w:t>
      </w:r>
      <w:r>
        <w:rPr>
          <w:rFonts w:ascii="Arial" w:hAnsi="Arial"/>
          <w:sz w:val="20"/>
          <w:szCs w:val="20"/>
        </w:rPr>
        <w:t>eyond a certain concentration, no significant increase in performance was observed. This suggests that while ionic concentration influences internal resistance, the overall voltage is primarily determined by the electrode materials rather than the salt con</w:t>
      </w:r>
      <w:r>
        <w:rPr>
          <w:rFonts w:ascii="Arial" w:hAnsi="Arial"/>
          <w:sz w:val="20"/>
          <w:szCs w:val="20"/>
        </w:rPr>
        <w:t>centration alone.</w:t>
      </w:r>
    </w:p>
    <w:p w:rsidR="00F154DC" w:rsidRDefault="00AD04F1">
      <w:pPr>
        <w:pStyle w:val="BodyText"/>
        <w:jc w:val="both"/>
        <w:rPr>
          <w:rFonts w:ascii="Arial" w:hAnsi="Arial"/>
          <w:sz w:val="20"/>
          <w:szCs w:val="20"/>
        </w:rPr>
      </w:pPr>
      <w:r>
        <w:rPr>
          <w:rFonts w:ascii="Arial" w:hAnsi="Arial"/>
          <w:sz w:val="20"/>
          <w:szCs w:val="20"/>
        </w:rPr>
        <w:t>During continuous operation, gradual corrosion of the zinc electrode was observed. This occurred because zinc, being more reactive, undergoes oxidation by losing electrons. The copper electrode showed minimal visible change, confirming it</w:t>
      </w:r>
      <w:r>
        <w:rPr>
          <w:rFonts w:ascii="Arial" w:hAnsi="Arial"/>
          <w:sz w:val="20"/>
          <w:szCs w:val="20"/>
        </w:rPr>
        <w:t xml:space="preserve">s role as the cathode where reduction reactions occurred. The corrosion of the anode indicates that electrode degradation is a limiting factor in long-term </w:t>
      </w:r>
      <w:r>
        <w:rPr>
          <w:rFonts w:ascii="Arial" w:hAnsi="Arial"/>
          <w:sz w:val="20"/>
          <w:szCs w:val="20"/>
        </w:rPr>
        <w:lastRenderedPageBreak/>
        <w:t>application. For domestic use, this implies that electrode materials must either be replaced periodi</w:t>
      </w:r>
      <w:r>
        <w:rPr>
          <w:rFonts w:ascii="Arial" w:hAnsi="Arial"/>
          <w:sz w:val="20"/>
          <w:szCs w:val="20"/>
        </w:rPr>
        <w:t>cally or substituted with more durable alternatives to ensure sustainability.</w:t>
      </w:r>
    </w:p>
    <w:p w:rsidR="00F154DC" w:rsidRDefault="00AD04F1">
      <w:pPr>
        <w:pStyle w:val="BodyText"/>
        <w:jc w:val="both"/>
        <w:rPr>
          <w:rFonts w:ascii="Arial" w:hAnsi="Arial"/>
          <w:sz w:val="20"/>
          <w:szCs w:val="20"/>
        </w:rPr>
      </w:pPr>
      <w:r>
        <w:rPr>
          <w:rFonts w:ascii="Arial" w:hAnsi="Arial"/>
          <w:sz w:val="20"/>
          <w:szCs w:val="20"/>
        </w:rPr>
        <w:t>When multiple saltwater cells were connected in series, the output voltage increased proportionally. For example, connecting three cells produced approximately 2.1–2.4 volts, suf</w:t>
      </w:r>
      <w:r>
        <w:rPr>
          <w:rFonts w:ascii="Arial" w:hAnsi="Arial"/>
          <w:sz w:val="20"/>
          <w:szCs w:val="20"/>
        </w:rPr>
        <w:t>ficient to power a brighter LED or charge small electronic devices for a short duration. This demonstrates that scalability is achievable, although the total power output remains relatively low compared to conventional household electricity sources. Theref</w:t>
      </w:r>
      <w:r>
        <w:rPr>
          <w:rFonts w:ascii="Arial" w:hAnsi="Arial"/>
          <w:sz w:val="20"/>
          <w:szCs w:val="20"/>
        </w:rPr>
        <w:t>ore, saltwater electrochemical cells are more suitable for low-power applications such as emergency lighting, small sensors, or educational demonstrations.</w:t>
      </w:r>
    </w:p>
    <w:p w:rsidR="00F154DC" w:rsidRDefault="00AD04F1">
      <w:pPr>
        <w:pStyle w:val="BodyText"/>
        <w:jc w:val="both"/>
        <w:rPr>
          <w:rFonts w:ascii="Arial" w:hAnsi="Arial"/>
          <w:sz w:val="20"/>
          <w:szCs w:val="20"/>
        </w:rPr>
      </w:pPr>
      <w:r>
        <w:rPr>
          <w:rFonts w:ascii="Arial" w:hAnsi="Arial"/>
          <w:sz w:val="20"/>
          <w:szCs w:val="20"/>
        </w:rPr>
        <w:t>The experiment also revealed that temperature slightly affected performance. Warmer saltwater soluti</w:t>
      </w:r>
      <w:r>
        <w:rPr>
          <w:rFonts w:ascii="Arial" w:hAnsi="Arial"/>
          <w:sz w:val="20"/>
          <w:szCs w:val="20"/>
        </w:rPr>
        <w:t>ons showed marginally improved conductivity due to increased ion mobility, resulting in a small rise in current output. However, temperature variation within normal environmental conditions did not drastically change voltage levels.</w:t>
      </w:r>
    </w:p>
    <w:p w:rsidR="00F154DC" w:rsidRDefault="00AD04F1">
      <w:pPr>
        <w:pStyle w:val="BodyText"/>
        <w:jc w:val="both"/>
        <w:rPr>
          <w:rFonts w:ascii="Arial" w:hAnsi="Arial"/>
          <w:sz w:val="20"/>
          <w:szCs w:val="20"/>
        </w:rPr>
      </w:pPr>
      <w:r>
        <w:rPr>
          <w:rFonts w:ascii="Arial" w:hAnsi="Arial"/>
          <w:sz w:val="20"/>
          <w:szCs w:val="20"/>
        </w:rPr>
        <w:t>From a practical standp</w:t>
      </w:r>
      <w:r>
        <w:rPr>
          <w:rFonts w:ascii="Arial" w:hAnsi="Arial"/>
          <w:sz w:val="20"/>
          <w:szCs w:val="20"/>
        </w:rPr>
        <w:t>oint, the findings confirm that sodium chloride and water can effectively serve as an electrolyte medium for electricity generation through electrochemical processes. The system is simple, inexpensive, and constructed from readily available materials, maki</w:t>
      </w:r>
      <w:r>
        <w:rPr>
          <w:rFonts w:ascii="Arial" w:hAnsi="Arial"/>
          <w:sz w:val="20"/>
          <w:szCs w:val="20"/>
        </w:rPr>
        <w:t>ng it accessible for rural or off-grid communities. However, the relatively low energy density limits its ability to power high-consumption household appliances such as refrigerators, electric irons, or air conditioners.</w:t>
      </w:r>
    </w:p>
    <w:p w:rsidR="00F154DC" w:rsidRDefault="00AD04F1">
      <w:pPr>
        <w:pStyle w:val="BodyText"/>
        <w:jc w:val="both"/>
        <w:rPr>
          <w:rFonts w:ascii="Arial" w:hAnsi="Arial"/>
          <w:sz w:val="20"/>
          <w:szCs w:val="20"/>
        </w:rPr>
      </w:pPr>
      <w:r>
        <w:rPr>
          <w:rFonts w:ascii="Arial" w:hAnsi="Arial"/>
          <w:sz w:val="20"/>
          <w:szCs w:val="20"/>
        </w:rPr>
        <w:t>In discussion, while the experiment</w:t>
      </w:r>
      <w:r>
        <w:rPr>
          <w:rFonts w:ascii="Arial" w:hAnsi="Arial"/>
          <w:sz w:val="20"/>
          <w:szCs w:val="20"/>
        </w:rPr>
        <w:t xml:space="preserve"> demonstrates technical feasibility, improvements are necessary for domestic-scale application. Enhancing electrode durability, reducing internal resistance, and integrating the system with energy storage technologies such as saltwater batteries or solar p</w:t>
      </w:r>
      <w:r>
        <w:rPr>
          <w:rFonts w:ascii="Arial" w:hAnsi="Arial"/>
          <w:sz w:val="20"/>
          <w:szCs w:val="20"/>
        </w:rPr>
        <w:t>anels could improve reliability [20]. Compared to fossil-fuel generators, this method produces no harmful emissions and operates silently, offering environmental advantages.</w:t>
      </w:r>
    </w:p>
    <w:p w:rsidR="00F154DC" w:rsidRDefault="00AD04F1">
      <w:pPr>
        <w:pStyle w:val="BodyText"/>
        <w:jc w:val="both"/>
        <w:rPr>
          <w:rFonts w:ascii="Arial" w:hAnsi="Arial"/>
          <w:sz w:val="20"/>
          <w:szCs w:val="20"/>
        </w:rPr>
      </w:pPr>
      <w:r>
        <w:rPr>
          <w:rFonts w:ascii="Arial" w:hAnsi="Arial"/>
          <w:sz w:val="20"/>
          <w:szCs w:val="20"/>
        </w:rPr>
        <w:t>The results validate that electricity can be harnessed from sodium chloride and wa</w:t>
      </w:r>
      <w:r>
        <w:rPr>
          <w:rFonts w:ascii="Arial" w:hAnsi="Arial"/>
          <w:sz w:val="20"/>
          <w:szCs w:val="20"/>
        </w:rPr>
        <w:t>ter through electrochemical means. Although current output is modest, the technology shows promise as a supplementary or backup domestic energy source, especially in areas with limited access to conventional power infrastructure.</w:t>
      </w:r>
    </w:p>
    <w:p w:rsidR="00F154DC" w:rsidRDefault="00F154DC">
      <w:pPr>
        <w:pStyle w:val="BodyText"/>
        <w:jc w:val="both"/>
        <w:rPr>
          <w:rFonts w:ascii="Arial" w:hAnsi="Arial"/>
          <w:sz w:val="20"/>
          <w:szCs w:val="20"/>
        </w:rPr>
      </w:pPr>
    </w:p>
    <w:p w:rsidR="00F154DC" w:rsidRDefault="00F154DC">
      <w:pPr>
        <w:pStyle w:val="BodyText"/>
        <w:jc w:val="both"/>
        <w:rPr>
          <w:rFonts w:ascii="Arial" w:hAnsi="Arial"/>
          <w:sz w:val="20"/>
          <w:szCs w:val="20"/>
        </w:rPr>
      </w:pPr>
    </w:p>
    <w:p w:rsidR="00F154DC" w:rsidRDefault="00F154DC">
      <w:pPr>
        <w:pStyle w:val="BodyText"/>
        <w:jc w:val="both"/>
        <w:rPr>
          <w:rFonts w:ascii="Arial" w:hAnsi="Arial"/>
          <w:sz w:val="20"/>
          <w:szCs w:val="20"/>
        </w:rPr>
      </w:pPr>
    </w:p>
    <w:p w:rsidR="00F154DC" w:rsidRDefault="00F154DC">
      <w:pPr>
        <w:pStyle w:val="BodyText"/>
        <w:jc w:val="both"/>
        <w:rPr>
          <w:rFonts w:ascii="Arial" w:hAnsi="Arial"/>
          <w:sz w:val="20"/>
          <w:szCs w:val="20"/>
        </w:rPr>
      </w:pPr>
    </w:p>
    <w:p w:rsidR="00F154DC" w:rsidRDefault="00F154DC">
      <w:pPr>
        <w:pStyle w:val="BodyText"/>
        <w:jc w:val="both"/>
        <w:rPr>
          <w:rFonts w:ascii="Arial" w:hAnsi="Arial"/>
          <w:sz w:val="20"/>
          <w:szCs w:val="20"/>
        </w:rPr>
      </w:pPr>
    </w:p>
    <w:p w:rsidR="00F154DC" w:rsidRDefault="00F154DC">
      <w:pPr>
        <w:pStyle w:val="BodyText"/>
        <w:jc w:val="both"/>
        <w:rPr>
          <w:rFonts w:ascii="Arial" w:hAnsi="Arial"/>
          <w:sz w:val="20"/>
          <w:szCs w:val="20"/>
        </w:rPr>
      </w:pPr>
    </w:p>
    <w:p w:rsidR="00F154DC" w:rsidRDefault="00F154DC">
      <w:pPr>
        <w:pStyle w:val="BodyText"/>
        <w:jc w:val="both"/>
        <w:rPr>
          <w:rFonts w:ascii="Arial" w:hAnsi="Arial"/>
          <w:sz w:val="20"/>
          <w:szCs w:val="20"/>
        </w:rPr>
      </w:pPr>
    </w:p>
    <w:p w:rsidR="00F154DC" w:rsidRDefault="00F154DC">
      <w:pPr>
        <w:pStyle w:val="BodyText"/>
        <w:jc w:val="both"/>
        <w:rPr>
          <w:rFonts w:ascii="Arial" w:hAnsi="Arial"/>
          <w:sz w:val="20"/>
          <w:szCs w:val="20"/>
        </w:rPr>
      </w:pPr>
    </w:p>
    <w:p w:rsidR="00F154DC" w:rsidRDefault="00F154DC">
      <w:pPr>
        <w:pStyle w:val="BodyText"/>
        <w:jc w:val="both"/>
        <w:rPr>
          <w:rFonts w:ascii="Arial" w:hAnsi="Arial"/>
          <w:sz w:val="20"/>
          <w:szCs w:val="20"/>
        </w:rPr>
      </w:pPr>
    </w:p>
    <w:p w:rsidR="00F154DC" w:rsidRDefault="00F154DC">
      <w:pPr>
        <w:pStyle w:val="BodyText"/>
        <w:jc w:val="both"/>
        <w:rPr>
          <w:rFonts w:ascii="Arial" w:hAnsi="Arial"/>
          <w:sz w:val="20"/>
          <w:szCs w:val="20"/>
        </w:rPr>
      </w:pPr>
    </w:p>
    <w:p w:rsidR="00F154DC" w:rsidRDefault="00F154DC">
      <w:pPr>
        <w:pStyle w:val="BodyText"/>
        <w:jc w:val="both"/>
        <w:rPr>
          <w:rFonts w:ascii="Arial" w:hAnsi="Arial"/>
          <w:sz w:val="20"/>
          <w:szCs w:val="20"/>
        </w:rPr>
      </w:pPr>
    </w:p>
    <w:p w:rsidR="00F154DC" w:rsidRDefault="00F154DC">
      <w:pPr>
        <w:pStyle w:val="BodyText"/>
        <w:jc w:val="both"/>
        <w:rPr>
          <w:rFonts w:ascii="Arial" w:hAnsi="Arial"/>
          <w:sz w:val="20"/>
          <w:szCs w:val="20"/>
        </w:rPr>
      </w:pPr>
    </w:p>
    <w:p w:rsidR="00F154DC" w:rsidRDefault="00F154DC">
      <w:pPr>
        <w:pStyle w:val="BodyText"/>
        <w:jc w:val="both"/>
        <w:rPr>
          <w:rFonts w:ascii="Arial" w:hAnsi="Arial"/>
          <w:sz w:val="20"/>
          <w:szCs w:val="20"/>
        </w:rPr>
      </w:pPr>
    </w:p>
    <w:p w:rsidR="00F154DC" w:rsidRDefault="00F154DC">
      <w:pPr>
        <w:spacing w:after="0" w:line="360" w:lineRule="auto"/>
        <w:jc w:val="both"/>
        <w:rPr>
          <w:rFonts w:ascii="Arial" w:hAnsi="Arial" w:cs="Times New Roman"/>
        </w:rPr>
      </w:pPr>
    </w:p>
    <w:p w:rsidR="00F154DC" w:rsidRDefault="00F154DC">
      <w:pPr>
        <w:spacing w:after="0" w:line="360" w:lineRule="auto"/>
        <w:jc w:val="both"/>
        <w:rPr>
          <w:rFonts w:ascii="Arial" w:hAnsi="Arial" w:cs="Times New Roman"/>
        </w:rPr>
      </w:pPr>
    </w:p>
    <w:p w:rsidR="00F154DC" w:rsidRDefault="00AD04F1">
      <w:pPr>
        <w:spacing w:after="0" w:line="360" w:lineRule="auto"/>
        <w:jc w:val="both"/>
        <w:rPr>
          <w:rFonts w:ascii="Arial" w:hAnsi="Arial"/>
        </w:rPr>
      </w:pPr>
      <w:r>
        <w:rPr>
          <w:rFonts w:ascii="Arial" w:hAnsi="Arial" w:cs="Times New Roman"/>
          <w:sz w:val="24"/>
          <w:szCs w:val="24"/>
        </w:rPr>
        <w:tab/>
      </w:r>
      <w:r>
        <w:rPr>
          <w:noProof/>
        </w:rPr>
        <w:drawing>
          <wp:anchor distT="0" distB="0" distL="0" distR="0" simplePos="0" relativeHeight="3" behindDoc="0" locked="0" layoutInCell="0" allowOverlap="1">
            <wp:simplePos x="0" y="0"/>
            <wp:positionH relativeFrom="column">
              <wp:align>center</wp:align>
            </wp:positionH>
            <wp:positionV relativeFrom="paragraph">
              <wp:posOffset>635</wp:posOffset>
            </wp:positionV>
            <wp:extent cx="5400675" cy="406717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stretch>
                      <a:fillRect/>
                    </a:stretch>
                  </pic:blipFill>
                  <pic:spPr bwMode="auto">
                    <a:xfrm>
                      <a:off x="0" y="0"/>
                      <a:ext cx="5400675" cy="4067175"/>
                    </a:xfrm>
                    <a:prstGeom prst="rect">
                      <a:avLst/>
                    </a:prstGeom>
                  </pic:spPr>
                </pic:pic>
              </a:graphicData>
            </a:graphic>
          </wp:anchor>
        </w:drawing>
      </w:r>
      <w:r>
        <w:rPr>
          <w:rFonts w:ascii="Arial" w:hAnsi="Arial" w:cs="Times New Roman"/>
          <w:sz w:val="24"/>
          <w:szCs w:val="24"/>
        </w:rPr>
        <w:tab/>
      </w:r>
    </w:p>
    <w:p w:rsidR="00F154DC" w:rsidRDefault="00F154DC">
      <w:pPr>
        <w:pStyle w:val="Heading3"/>
        <w:spacing w:before="0"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F154DC">
      <w:pPr>
        <w:pStyle w:val="BodyText"/>
        <w:spacing w:after="0" w:line="360" w:lineRule="auto"/>
        <w:jc w:val="both"/>
        <w:rPr>
          <w:rFonts w:ascii="Arial" w:hAnsi="Arial" w:cs="Times New Roman"/>
        </w:rPr>
      </w:pPr>
    </w:p>
    <w:p w:rsidR="00F154DC" w:rsidRDefault="00AD04F1">
      <w:pPr>
        <w:pStyle w:val="BodyText"/>
        <w:spacing w:after="0" w:line="360" w:lineRule="auto"/>
        <w:jc w:val="both"/>
        <w:rPr>
          <w:rFonts w:ascii="Arial" w:hAnsi="Arial"/>
        </w:rPr>
      </w:pPr>
      <w:r>
        <w:rPr>
          <w:rFonts w:ascii="Arial" w:hAnsi="Arial" w:cs="Times New Roman"/>
        </w:rPr>
        <w:t>Fig.2: Plot of output Voltage against Number of Saltwater Cells</w:t>
      </w:r>
    </w:p>
    <w:p w:rsidR="00F154DC" w:rsidRDefault="00F154DC">
      <w:pPr>
        <w:pStyle w:val="BodyText"/>
        <w:spacing w:after="0" w:line="360" w:lineRule="auto"/>
        <w:jc w:val="both"/>
        <w:rPr>
          <w:rFonts w:ascii="Arial" w:hAnsi="Arial" w:cs="Times New Roman"/>
        </w:rPr>
      </w:pPr>
    </w:p>
    <w:p w:rsidR="00F154DC" w:rsidRDefault="00AD04F1">
      <w:pPr>
        <w:pStyle w:val="BodyText"/>
        <w:jc w:val="both"/>
      </w:pPr>
      <w:r>
        <w:rPr>
          <w:rFonts w:ascii="Arial" w:hAnsi="Arial"/>
        </w:rPr>
        <w:tab/>
      </w:r>
      <w:r>
        <w:rPr>
          <w:rFonts w:ascii="Arial" w:hAnsi="Arial"/>
          <w:sz w:val="20"/>
          <w:szCs w:val="20"/>
        </w:rPr>
        <w:t xml:space="preserve">The plot shows the relationship between the number of saltwater electrochemical cells connected in series and the corresponding output voltage produced. Each individual cell generated approximately </w:t>
      </w:r>
      <w:r>
        <w:rPr>
          <w:rStyle w:val="Strong"/>
          <w:rFonts w:ascii="Arial" w:hAnsi="Arial"/>
          <w:b w:val="0"/>
          <w:bCs w:val="0"/>
          <w:sz w:val="20"/>
          <w:szCs w:val="20"/>
        </w:rPr>
        <w:t>0.76 V</w:t>
      </w:r>
      <w:r>
        <w:rPr>
          <w:rFonts w:ascii="Arial" w:hAnsi="Arial"/>
          <w:sz w:val="20"/>
          <w:szCs w:val="20"/>
        </w:rPr>
        <w:t xml:space="preserve">, and the total voltage increased proportionally as more cells were added. The graph clearly demonstrates a </w:t>
      </w:r>
      <w:r>
        <w:rPr>
          <w:rStyle w:val="Strong"/>
          <w:rFonts w:ascii="Arial" w:hAnsi="Arial"/>
          <w:b w:val="0"/>
          <w:bCs w:val="0"/>
          <w:sz w:val="20"/>
          <w:szCs w:val="20"/>
        </w:rPr>
        <w:t>linear relationship</w:t>
      </w:r>
      <w:r>
        <w:rPr>
          <w:rFonts w:ascii="Arial" w:hAnsi="Arial"/>
          <w:sz w:val="20"/>
          <w:szCs w:val="20"/>
        </w:rPr>
        <w:t xml:space="preserve"> between the number of cells and the output voltage. This confirms that connecting saltwater cells in series increases total volt</w:t>
      </w:r>
      <w:r>
        <w:rPr>
          <w:rFonts w:ascii="Arial" w:hAnsi="Arial"/>
          <w:sz w:val="20"/>
          <w:szCs w:val="20"/>
        </w:rPr>
        <w:t>age while maintaining the same current level. This result supports the experimental observation that scalability is possible for domestic applications. Although a single cell produces low voltage, combining multiple cells can generate sufficient voltage fo</w:t>
      </w:r>
      <w:r>
        <w:rPr>
          <w:rFonts w:ascii="Arial" w:hAnsi="Arial"/>
          <w:sz w:val="20"/>
          <w:szCs w:val="20"/>
        </w:rPr>
        <w:t>r small household devices such as LED lighting and low-power electronics.</w:t>
      </w:r>
    </w:p>
    <w:p w:rsidR="00F154DC" w:rsidRDefault="00F154DC">
      <w:pPr>
        <w:spacing w:after="0" w:line="360" w:lineRule="auto"/>
        <w:jc w:val="both"/>
        <w:rPr>
          <w:rFonts w:ascii="Arial" w:hAnsi="Arial" w:cs="Times New Roman"/>
        </w:rPr>
      </w:pPr>
    </w:p>
    <w:p w:rsidR="00F154DC" w:rsidRDefault="00AD04F1">
      <w:pPr>
        <w:spacing w:after="0" w:line="360" w:lineRule="auto"/>
        <w:jc w:val="both"/>
        <w:rPr>
          <w:rFonts w:ascii="Arial" w:hAnsi="Arial"/>
        </w:rPr>
      </w:pPr>
      <w:r>
        <w:rPr>
          <w:rFonts w:ascii="Arial" w:hAnsi="Arial" w:cs="Times New Roman"/>
          <w:b/>
          <w:bCs/>
        </w:rPr>
        <w:t>4. CONCLUSION</w:t>
      </w:r>
    </w:p>
    <w:p w:rsidR="00F154DC" w:rsidRDefault="00AD04F1">
      <w:pPr>
        <w:pStyle w:val="BodyText"/>
        <w:jc w:val="both"/>
        <w:rPr>
          <w:rFonts w:ascii="Arial" w:hAnsi="Arial"/>
        </w:rPr>
      </w:pPr>
      <w:r>
        <w:rPr>
          <w:rFonts w:ascii="Arial" w:hAnsi="Arial"/>
          <w:sz w:val="20"/>
          <w:szCs w:val="20"/>
        </w:rPr>
        <w:t>The study on harnessing electricity from sodium chloride (NaCl) and water (H₂O) demonstrates that saltwater can effectively function as an electrolyte for generating e</w:t>
      </w:r>
      <w:r>
        <w:rPr>
          <w:rFonts w:ascii="Arial" w:hAnsi="Arial"/>
          <w:sz w:val="20"/>
          <w:szCs w:val="20"/>
        </w:rPr>
        <w:t xml:space="preserve">lectrical energy through electrochemical processes. The research revealed that the performance of the system depends largely on the electrode materials used and the ionic conductivity of the saltwater solution. While increasing salt concentration improves </w:t>
      </w:r>
      <w:r>
        <w:rPr>
          <w:rFonts w:ascii="Arial" w:hAnsi="Arial"/>
          <w:sz w:val="20"/>
          <w:szCs w:val="20"/>
        </w:rPr>
        <w:t xml:space="preserve">conductivity to some extent, the overall voltage output is primarily determined by </w:t>
      </w:r>
      <w:r>
        <w:rPr>
          <w:rFonts w:ascii="Arial" w:hAnsi="Arial"/>
          <w:sz w:val="20"/>
          <w:szCs w:val="20"/>
        </w:rPr>
        <w:lastRenderedPageBreak/>
        <w:t>the electrochemical properties of the electrodes.  Although the power output of a simple saltwater electrochemical cell is relatively low compared to conventional electricit</w:t>
      </w:r>
      <w:r>
        <w:rPr>
          <w:rFonts w:ascii="Arial" w:hAnsi="Arial"/>
          <w:sz w:val="20"/>
          <w:szCs w:val="20"/>
        </w:rPr>
        <w:t>y sources, the technology shows promise for small-scale and emergency domestic use. It is particularly suitable for lighting, charging low-energy devices, and serving as a supplementary or backup power source. The system is inexpensive, environmentally fri</w:t>
      </w:r>
      <w:r>
        <w:rPr>
          <w:rFonts w:ascii="Arial" w:hAnsi="Arial"/>
          <w:sz w:val="20"/>
          <w:szCs w:val="20"/>
        </w:rPr>
        <w:t>endly, and easy to construct using readily available materials, making it accessible for rural and off-grid communities. In conclusion, harnessing electricity from sodium chloride and water is a feasible and sustainable approach for small-scale domestic en</w:t>
      </w:r>
      <w:r>
        <w:rPr>
          <w:rFonts w:ascii="Arial" w:hAnsi="Arial"/>
          <w:sz w:val="20"/>
          <w:szCs w:val="20"/>
        </w:rPr>
        <w:t>ergy generation. While it may not replace large power plants, it offers an innovative alternative that can contribute to renewable energy development, energy security, and environmental protection. With further research and technological advancement, saltw</w:t>
      </w:r>
      <w:r>
        <w:rPr>
          <w:rFonts w:ascii="Arial" w:hAnsi="Arial"/>
          <w:sz w:val="20"/>
          <w:szCs w:val="20"/>
        </w:rPr>
        <w:t>ater-based electricity systems could play a meaningful role in supporting clean and affordable household energy solutions in the future.</w:t>
      </w:r>
    </w:p>
    <w:p w:rsidR="00F154DC" w:rsidRDefault="00F154DC">
      <w:pPr>
        <w:spacing w:after="0" w:line="360" w:lineRule="auto"/>
        <w:jc w:val="both"/>
        <w:rPr>
          <w:rFonts w:ascii="Arial" w:hAnsi="Arial" w:cs="Times New Roman"/>
          <w:sz w:val="24"/>
          <w:szCs w:val="24"/>
        </w:rPr>
      </w:pPr>
    </w:p>
    <w:p w:rsidR="00F154DC" w:rsidRDefault="00AD04F1">
      <w:pPr>
        <w:spacing w:after="0" w:line="360" w:lineRule="auto"/>
        <w:jc w:val="both"/>
        <w:rPr>
          <w:rFonts w:ascii="Arial" w:hAnsi="Arial"/>
        </w:rPr>
      </w:pPr>
      <w:r>
        <w:rPr>
          <w:rFonts w:ascii="Arial" w:hAnsi="Arial" w:cs="Times New Roman"/>
          <w:b/>
          <w:sz w:val="24"/>
          <w:szCs w:val="24"/>
        </w:rPr>
        <w:t>REFERENCES</w:t>
      </w:r>
    </w:p>
    <w:p w:rsidR="00F154DC" w:rsidRDefault="00AD04F1">
      <w:pPr>
        <w:jc w:val="both"/>
      </w:pPr>
      <w:r>
        <w:rPr>
          <w:rFonts w:ascii="Arial" w:hAnsi="Arial"/>
          <w:sz w:val="20"/>
          <w:szCs w:val="20"/>
        </w:rPr>
        <w:t xml:space="preserve">[1]. Balman Zohuri, Electricity an Essential Necessity in Our Life, Advanced Smaller Modular </w:t>
      </w:r>
      <w:proofErr w:type="gramStart"/>
      <w:r>
        <w:rPr>
          <w:rFonts w:ascii="Arial" w:hAnsi="Arial"/>
          <w:sz w:val="20"/>
          <w:szCs w:val="20"/>
        </w:rPr>
        <w:t>Reactors,(</w:t>
      </w:r>
      <w:proofErr w:type="gramEnd"/>
      <w:r>
        <w:rPr>
          <w:rFonts w:ascii="Arial" w:hAnsi="Arial"/>
          <w:sz w:val="20"/>
          <w:szCs w:val="20"/>
        </w:rPr>
        <w:t>2016</w:t>
      </w:r>
      <w:r>
        <w:rPr>
          <w:rFonts w:ascii="Arial" w:hAnsi="Arial"/>
          <w:sz w:val="20"/>
          <w:szCs w:val="20"/>
        </w:rPr>
        <w:t xml:space="preserve">) pp.17-35. </w:t>
      </w:r>
      <w:hyperlink r:id="rId8">
        <w:r>
          <w:rPr>
            <w:rStyle w:val="Hyperlink"/>
            <w:rFonts w:ascii="Arial" w:hAnsi="Arial"/>
            <w:sz w:val="20"/>
            <w:szCs w:val="20"/>
          </w:rPr>
          <w:t>DOI:10.1007/978-3-319-23537-0_2</w:t>
        </w:r>
      </w:hyperlink>
      <w:r>
        <w:rPr>
          <w:rFonts w:ascii="Arial" w:hAnsi="Arial"/>
          <w:sz w:val="20"/>
          <w:szCs w:val="20"/>
        </w:rPr>
        <w:t xml:space="preserve"> https://doi.org/10.1007/978-3-030-23682-3_1</w:t>
      </w:r>
    </w:p>
    <w:p w:rsidR="00F154DC" w:rsidRDefault="00AD04F1">
      <w:pPr>
        <w:jc w:val="both"/>
      </w:pPr>
      <w:r>
        <w:rPr>
          <w:rFonts w:ascii="Arial" w:hAnsi="Arial"/>
          <w:sz w:val="20"/>
          <w:szCs w:val="20"/>
        </w:rPr>
        <w:t xml:space="preserve">[2]. Yan Shao, </w:t>
      </w:r>
      <w:proofErr w:type="spellStart"/>
      <w:r>
        <w:rPr>
          <w:rFonts w:ascii="Arial" w:hAnsi="Arial"/>
          <w:sz w:val="20"/>
          <w:szCs w:val="20"/>
        </w:rPr>
        <w:t>Zhe</w:t>
      </w:r>
      <w:proofErr w:type="spellEnd"/>
      <w:r>
        <w:rPr>
          <w:rFonts w:ascii="Arial" w:hAnsi="Arial"/>
          <w:sz w:val="20"/>
          <w:szCs w:val="20"/>
        </w:rPr>
        <w:t xml:space="preserve"> Yang, </w:t>
      </w:r>
      <w:proofErr w:type="spellStart"/>
      <w:r>
        <w:rPr>
          <w:rFonts w:ascii="Arial" w:hAnsi="Arial"/>
          <w:sz w:val="20"/>
          <w:szCs w:val="20"/>
        </w:rPr>
        <w:t>Yonghing</w:t>
      </w:r>
      <w:proofErr w:type="spellEnd"/>
      <w:r>
        <w:rPr>
          <w:rFonts w:ascii="Arial" w:hAnsi="Arial"/>
          <w:sz w:val="20"/>
          <w:szCs w:val="20"/>
        </w:rPr>
        <w:t xml:space="preserve"> Yan, Yuan Yan, Feruza Israilova, Nawal Khan, and Liu Chang, Energy Stra</w:t>
      </w:r>
      <w:r>
        <w:rPr>
          <w:rFonts w:ascii="Arial" w:hAnsi="Arial"/>
          <w:sz w:val="20"/>
          <w:szCs w:val="20"/>
        </w:rPr>
        <w:t xml:space="preserve">tegy Reviews, Elsevier, </w:t>
      </w:r>
      <w:hyperlink r:id="rId9">
        <w:r>
          <w:rPr>
            <w:rStyle w:val="Hyperlink"/>
            <w:rFonts w:ascii="Arial" w:hAnsi="Arial"/>
            <w:sz w:val="20"/>
            <w:szCs w:val="20"/>
          </w:rPr>
          <w:t>59</w:t>
        </w:r>
      </w:hyperlink>
      <w:r>
        <w:rPr>
          <w:rFonts w:ascii="Arial" w:hAnsi="Arial"/>
          <w:sz w:val="20"/>
          <w:szCs w:val="20"/>
        </w:rPr>
        <w:t xml:space="preserve"> (2025) 101707.</w:t>
      </w:r>
    </w:p>
    <w:p w:rsidR="00F154DC" w:rsidRDefault="00AD04F1">
      <w:pPr>
        <w:jc w:val="both"/>
      </w:pPr>
      <w:r>
        <w:rPr>
          <w:rFonts w:ascii="Arial" w:hAnsi="Arial"/>
          <w:sz w:val="20"/>
          <w:szCs w:val="20"/>
        </w:rPr>
        <w:t xml:space="preserve">[3]. </w:t>
      </w:r>
      <w:hyperlink r:id="rId10">
        <w:r>
          <w:rPr>
            <w:rStyle w:val="Hyperlink"/>
            <w:rFonts w:ascii="Arial" w:hAnsi="Arial"/>
            <w:sz w:val="20"/>
            <w:szCs w:val="20"/>
          </w:rPr>
          <w:t xml:space="preserve">Sunday </w:t>
        </w:r>
        <w:proofErr w:type="spellStart"/>
        <w:r>
          <w:rPr>
            <w:rStyle w:val="Hyperlink"/>
            <w:rFonts w:ascii="Arial" w:hAnsi="Arial"/>
            <w:sz w:val="20"/>
            <w:szCs w:val="20"/>
          </w:rPr>
          <w:t>olayinka</w:t>
        </w:r>
        <w:proofErr w:type="spellEnd"/>
        <w:r>
          <w:rPr>
            <w:rStyle w:val="Hyperlink"/>
            <w:rFonts w:ascii="Arial" w:hAnsi="Arial"/>
            <w:sz w:val="20"/>
            <w:szCs w:val="20"/>
          </w:rPr>
          <w:t xml:space="preserve"> </w:t>
        </w:r>
        <w:proofErr w:type="spellStart"/>
        <w:r>
          <w:rPr>
            <w:rStyle w:val="Hyperlink"/>
            <w:rFonts w:ascii="Arial" w:hAnsi="Arial"/>
            <w:sz w:val="20"/>
            <w:szCs w:val="20"/>
          </w:rPr>
          <w:t>Oyedepo</w:t>
        </w:r>
        <w:proofErr w:type="spellEnd"/>
      </w:hyperlink>
      <w:r>
        <w:rPr>
          <w:rFonts w:ascii="Arial" w:hAnsi="Arial"/>
          <w:sz w:val="20"/>
          <w:szCs w:val="20"/>
        </w:rPr>
        <w:t xml:space="preserve">, </w:t>
      </w:r>
      <w:hyperlink r:id="rId11">
        <w:r>
          <w:rPr>
            <w:rStyle w:val="Hyperlink"/>
            <w:rFonts w:ascii="Arial" w:hAnsi="Arial"/>
            <w:sz w:val="20"/>
            <w:szCs w:val="20"/>
          </w:rPr>
          <w:t>Philip Olufemi Babalola</w:t>
        </w:r>
      </w:hyperlink>
      <w:r>
        <w:rPr>
          <w:rFonts w:ascii="Arial" w:hAnsi="Arial"/>
          <w:sz w:val="20"/>
          <w:szCs w:val="20"/>
        </w:rPr>
        <w:t xml:space="preserve">, </w:t>
      </w:r>
      <w:hyperlink r:id="rId12">
        <w:r>
          <w:rPr>
            <w:rStyle w:val="Hyperlink"/>
            <w:rFonts w:ascii="Arial" w:hAnsi="Arial"/>
            <w:sz w:val="20"/>
            <w:szCs w:val="20"/>
          </w:rPr>
          <w:t xml:space="preserve">Chinwe </w:t>
        </w:r>
        <w:proofErr w:type="spellStart"/>
        <w:r>
          <w:rPr>
            <w:rStyle w:val="Hyperlink"/>
            <w:rFonts w:ascii="Arial" w:hAnsi="Arial"/>
            <w:sz w:val="20"/>
            <w:szCs w:val="20"/>
          </w:rPr>
          <w:t>Nwanya</w:t>
        </w:r>
        <w:proofErr w:type="spellEnd"/>
      </w:hyperlink>
      <w:r>
        <w:rPr>
          <w:rFonts w:ascii="Arial" w:hAnsi="Arial"/>
          <w:sz w:val="20"/>
          <w:szCs w:val="20"/>
        </w:rPr>
        <w:t xml:space="preserve">, </w:t>
      </w:r>
      <w:hyperlink r:id="rId13">
        <w:proofErr w:type="spellStart"/>
        <w:r>
          <w:rPr>
            <w:rStyle w:val="Hyperlink"/>
            <w:rFonts w:ascii="Arial" w:hAnsi="Arial"/>
            <w:sz w:val="20"/>
            <w:szCs w:val="20"/>
          </w:rPr>
          <w:t>Oluwaseun</w:t>
        </w:r>
        <w:proofErr w:type="spellEnd"/>
        <w:r>
          <w:rPr>
            <w:rStyle w:val="Hyperlink"/>
            <w:rFonts w:ascii="Arial" w:hAnsi="Arial"/>
            <w:sz w:val="20"/>
            <w:szCs w:val="20"/>
          </w:rPr>
          <w:t xml:space="preserve"> </w:t>
        </w:r>
        <w:proofErr w:type="spellStart"/>
        <w:r>
          <w:rPr>
            <w:rStyle w:val="Hyperlink"/>
            <w:rFonts w:ascii="Arial" w:hAnsi="Arial"/>
            <w:sz w:val="20"/>
            <w:szCs w:val="20"/>
          </w:rPr>
          <w:t>Kilanko</w:t>
        </w:r>
        <w:proofErr w:type="spellEnd"/>
      </w:hyperlink>
      <w:r>
        <w:rPr>
          <w:rFonts w:ascii="Arial" w:hAnsi="Arial"/>
          <w:sz w:val="20"/>
          <w:szCs w:val="20"/>
        </w:rPr>
        <w:t xml:space="preserve">, </w:t>
      </w:r>
      <w:hyperlink r:id="rId14">
        <w:r>
          <w:rPr>
            <w:rStyle w:val="Hyperlink"/>
            <w:rFonts w:ascii="Arial" w:hAnsi="Arial"/>
            <w:sz w:val="20"/>
            <w:szCs w:val="20"/>
          </w:rPr>
          <w:t>Oluwafemi Leramo</w:t>
        </w:r>
      </w:hyperlink>
      <w:r>
        <w:rPr>
          <w:rFonts w:ascii="Arial" w:hAnsi="Arial"/>
          <w:sz w:val="20"/>
          <w:szCs w:val="20"/>
        </w:rPr>
        <w:t xml:space="preserve">,  </w:t>
      </w:r>
      <w:hyperlink r:id="rId15">
        <w:r>
          <w:rPr>
            <w:rStyle w:val="Hyperlink"/>
            <w:rFonts w:ascii="Arial" w:hAnsi="Arial"/>
            <w:sz w:val="20"/>
            <w:szCs w:val="20"/>
          </w:rPr>
          <w:t xml:space="preserve">Abraham Kehinde </w:t>
        </w:r>
        <w:proofErr w:type="spellStart"/>
        <w:r>
          <w:rPr>
            <w:rStyle w:val="Hyperlink"/>
            <w:rFonts w:ascii="Arial" w:hAnsi="Arial"/>
            <w:sz w:val="20"/>
            <w:szCs w:val="20"/>
          </w:rPr>
          <w:t>Aworinde</w:t>
        </w:r>
        <w:proofErr w:type="spellEnd"/>
      </w:hyperlink>
      <w:r>
        <w:rPr>
          <w:rFonts w:ascii="Arial" w:hAnsi="Arial"/>
          <w:sz w:val="20"/>
          <w:szCs w:val="20"/>
        </w:rPr>
        <w:t xml:space="preserve">,  </w:t>
      </w:r>
      <w:hyperlink r:id="rId16">
        <w:proofErr w:type="spellStart"/>
        <w:r>
          <w:rPr>
            <w:rStyle w:val="Hyperlink"/>
            <w:rFonts w:ascii="Arial" w:hAnsi="Arial"/>
            <w:sz w:val="20"/>
            <w:szCs w:val="20"/>
          </w:rPr>
          <w:t>Adekeye</w:t>
        </w:r>
        <w:proofErr w:type="spellEnd"/>
        <w:r>
          <w:rPr>
            <w:rStyle w:val="Hyperlink"/>
            <w:rFonts w:ascii="Arial" w:hAnsi="Arial"/>
            <w:sz w:val="20"/>
            <w:szCs w:val="20"/>
          </w:rPr>
          <w:t xml:space="preserve"> Tunde</w:t>
        </w:r>
      </w:hyperlink>
      <w:r>
        <w:rPr>
          <w:rFonts w:ascii="Arial" w:hAnsi="Arial"/>
          <w:sz w:val="20"/>
          <w:szCs w:val="20"/>
        </w:rPr>
        <w:t xml:space="preserve">,  </w:t>
      </w:r>
      <w:hyperlink r:id="rId17">
        <w:r>
          <w:rPr>
            <w:rStyle w:val="Hyperlink"/>
            <w:rFonts w:ascii="Arial" w:hAnsi="Arial"/>
            <w:sz w:val="20"/>
            <w:szCs w:val="20"/>
          </w:rPr>
          <w:t xml:space="preserve">Joseph </w:t>
        </w:r>
        <w:proofErr w:type="spellStart"/>
        <w:r>
          <w:rPr>
            <w:rStyle w:val="Hyperlink"/>
            <w:rFonts w:ascii="Arial" w:hAnsi="Arial"/>
            <w:sz w:val="20"/>
            <w:szCs w:val="20"/>
          </w:rPr>
          <w:t>Adewumi</w:t>
        </w:r>
        <w:proofErr w:type="spellEnd"/>
        <w:r>
          <w:rPr>
            <w:rStyle w:val="Hyperlink"/>
            <w:rFonts w:ascii="Arial" w:hAnsi="Arial"/>
            <w:sz w:val="20"/>
            <w:szCs w:val="20"/>
          </w:rPr>
          <w:t xml:space="preserve"> </w:t>
        </w:r>
        <w:proofErr w:type="spellStart"/>
        <w:r>
          <w:rPr>
            <w:rStyle w:val="Hyperlink"/>
            <w:rFonts w:ascii="Arial" w:hAnsi="Arial"/>
            <w:sz w:val="20"/>
            <w:szCs w:val="20"/>
          </w:rPr>
          <w:t>Oyebanji</w:t>
        </w:r>
        <w:proofErr w:type="spellEnd"/>
      </w:hyperlink>
      <w:r>
        <w:rPr>
          <w:rFonts w:ascii="Arial" w:hAnsi="Arial"/>
          <w:sz w:val="20"/>
          <w:szCs w:val="20"/>
        </w:rPr>
        <w:t xml:space="preserve">, </w:t>
      </w:r>
      <w:hyperlink r:id="rId18">
        <w:proofErr w:type="spellStart"/>
        <w:r>
          <w:rPr>
            <w:rStyle w:val="Hyperlink"/>
            <w:rFonts w:ascii="Arial" w:hAnsi="Arial"/>
            <w:sz w:val="20"/>
            <w:szCs w:val="20"/>
          </w:rPr>
          <w:t>Olatunde</w:t>
        </w:r>
        <w:proofErr w:type="spellEnd"/>
        <w:r>
          <w:rPr>
            <w:rStyle w:val="Hyperlink"/>
            <w:rFonts w:ascii="Arial" w:hAnsi="Arial"/>
            <w:sz w:val="20"/>
            <w:szCs w:val="20"/>
          </w:rPr>
          <w:t xml:space="preserve"> </w:t>
        </w:r>
        <w:proofErr w:type="spellStart"/>
        <w:r>
          <w:rPr>
            <w:rStyle w:val="Hyperlink"/>
            <w:rFonts w:ascii="Arial" w:hAnsi="Arial"/>
            <w:sz w:val="20"/>
            <w:szCs w:val="20"/>
          </w:rPr>
          <w:t>Abidakun</w:t>
        </w:r>
        <w:proofErr w:type="spellEnd"/>
      </w:hyperlink>
      <w:r>
        <w:rPr>
          <w:rFonts w:ascii="Arial" w:hAnsi="Arial"/>
          <w:sz w:val="20"/>
          <w:szCs w:val="20"/>
        </w:rPr>
        <w:t xml:space="preserve">,  </w:t>
      </w:r>
      <w:hyperlink r:id="rId19">
        <w:proofErr w:type="spellStart"/>
        <w:r>
          <w:rPr>
            <w:rStyle w:val="Hyperlink"/>
            <w:rFonts w:ascii="Arial" w:hAnsi="Arial"/>
            <w:sz w:val="20"/>
            <w:szCs w:val="20"/>
          </w:rPr>
          <w:t>Orobome</w:t>
        </w:r>
        <w:proofErr w:type="spellEnd"/>
        <w:r>
          <w:rPr>
            <w:rStyle w:val="Hyperlink"/>
            <w:rFonts w:ascii="Arial" w:hAnsi="Arial"/>
            <w:sz w:val="20"/>
            <w:szCs w:val="20"/>
          </w:rPr>
          <w:t xml:space="preserve"> Larry </w:t>
        </w:r>
        <w:proofErr w:type="spellStart"/>
        <w:r>
          <w:rPr>
            <w:rStyle w:val="Hyperlink"/>
            <w:rFonts w:ascii="Arial" w:hAnsi="Arial"/>
            <w:sz w:val="20"/>
            <w:szCs w:val="20"/>
          </w:rPr>
          <w:t>Agberegha</w:t>
        </w:r>
        <w:proofErr w:type="spellEnd"/>
      </w:hyperlink>
      <w:r>
        <w:rPr>
          <w:rFonts w:ascii="Arial" w:hAnsi="Arial"/>
          <w:sz w:val="20"/>
          <w:szCs w:val="20"/>
        </w:rPr>
        <w:t xml:space="preserve">, Towards a Sustainable Electricity Supply in Nigeria: The Role of Decentralized Renewable Energy System, </w:t>
      </w:r>
      <w:hyperlink r:id="rId20">
        <w:r>
          <w:rPr>
            <w:rStyle w:val="Hyperlink"/>
            <w:rFonts w:ascii="Arial" w:hAnsi="Arial"/>
            <w:sz w:val="20"/>
            <w:szCs w:val="20"/>
          </w:rPr>
          <w:t>European Journal of Sustainable Development Research</w:t>
        </w:r>
      </w:hyperlink>
      <w:r>
        <w:rPr>
          <w:rFonts w:ascii="Arial" w:hAnsi="Arial"/>
          <w:sz w:val="20"/>
          <w:szCs w:val="20"/>
        </w:rPr>
        <w:t xml:space="preserve"> 2(4) (2018) 3908.</w:t>
      </w:r>
    </w:p>
    <w:p w:rsidR="00F154DC" w:rsidRDefault="00AD04F1">
      <w:pPr>
        <w:jc w:val="both"/>
        <w:rPr>
          <w:rFonts w:ascii="Arial" w:hAnsi="Arial"/>
          <w:sz w:val="20"/>
          <w:szCs w:val="20"/>
        </w:rPr>
      </w:pPr>
      <w:r>
        <w:rPr>
          <w:rFonts w:ascii="Arial" w:hAnsi="Arial"/>
          <w:sz w:val="20"/>
          <w:szCs w:val="20"/>
        </w:rPr>
        <w:t xml:space="preserve">[3]. </w:t>
      </w:r>
      <w:proofErr w:type="spellStart"/>
      <w:r>
        <w:rPr>
          <w:rFonts w:ascii="Arial" w:hAnsi="Arial"/>
          <w:sz w:val="20"/>
          <w:szCs w:val="20"/>
        </w:rPr>
        <w:t>Nwiido</w:t>
      </w:r>
      <w:proofErr w:type="spellEnd"/>
      <w:r>
        <w:rPr>
          <w:rFonts w:ascii="Arial" w:hAnsi="Arial"/>
          <w:sz w:val="20"/>
          <w:szCs w:val="20"/>
        </w:rPr>
        <w:t xml:space="preserve"> Friday, The Need For Utilization Of Renewable Po</w:t>
      </w:r>
      <w:r>
        <w:rPr>
          <w:rFonts w:ascii="Arial" w:hAnsi="Arial"/>
          <w:sz w:val="20"/>
          <w:szCs w:val="20"/>
        </w:rPr>
        <w:t>wer Technology For Rural Electrification Project In Rivers State, International Journal of Innovative Scientific &amp; Engineering Technologies Research 14(1) (2026</w:t>
      </w:r>
      <w:proofErr w:type="gramStart"/>
      <w:r>
        <w:rPr>
          <w:rFonts w:ascii="Arial" w:hAnsi="Arial"/>
          <w:sz w:val="20"/>
          <w:szCs w:val="20"/>
        </w:rPr>
        <w:t>)  133</w:t>
      </w:r>
      <w:proofErr w:type="gramEnd"/>
      <w:r>
        <w:rPr>
          <w:rFonts w:ascii="Arial" w:hAnsi="Arial"/>
          <w:sz w:val="20"/>
          <w:szCs w:val="20"/>
        </w:rPr>
        <w:t>-141.</w:t>
      </w:r>
    </w:p>
    <w:p w:rsidR="00F154DC" w:rsidRDefault="00AD04F1">
      <w:pPr>
        <w:jc w:val="both"/>
      </w:pPr>
      <w:r>
        <w:rPr>
          <w:rFonts w:ascii="Arial" w:hAnsi="Arial"/>
          <w:sz w:val="20"/>
          <w:szCs w:val="20"/>
        </w:rPr>
        <w:t xml:space="preserve">[4].  </w:t>
      </w:r>
      <w:proofErr w:type="spellStart"/>
      <w:r>
        <w:rPr>
          <w:rFonts w:ascii="Arial" w:hAnsi="Arial"/>
          <w:sz w:val="20"/>
          <w:szCs w:val="20"/>
        </w:rPr>
        <w:t>Jinjum</w:t>
      </w:r>
      <w:proofErr w:type="spellEnd"/>
      <w:r>
        <w:rPr>
          <w:rFonts w:ascii="Arial" w:hAnsi="Arial"/>
          <w:sz w:val="20"/>
          <w:szCs w:val="20"/>
        </w:rPr>
        <w:t xml:space="preserve"> Zhang, </w:t>
      </w:r>
      <w:bookmarkStart w:id="1" w:name="screen-reader-main-title"/>
      <w:bookmarkEnd w:id="1"/>
      <w:r>
        <w:rPr>
          <w:rFonts w:ascii="Arial" w:hAnsi="Arial"/>
          <w:sz w:val="20"/>
          <w:szCs w:val="20"/>
        </w:rPr>
        <w:t xml:space="preserve">Energy access challenge and the role of fossil fuels in meeting </w:t>
      </w:r>
      <w:r>
        <w:rPr>
          <w:rFonts w:ascii="Arial" w:hAnsi="Arial"/>
          <w:sz w:val="20"/>
          <w:szCs w:val="20"/>
        </w:rPr>
        <w:t xml:space="preserve">electricity demand: Promoting renewable energy capacity for sustainable development, </w:t>
      </w:r>
      <w:hyperlink r:id="rId21">
        <w:bookmarkStart w:id="2" w:name="publication-title"/>
        <w:bookmarkEnd w:id="2"/>
        <w:r>
          <w:rPr>
            <w:rStyle w:val="Hyperlink"/>
            <w:rFonts w:ascii="Arial" w:hAnsi="Arial"/>
            <w:sz w:val="20"/>
            <w:szCs w:val="20"/>
          </w:rPr>
          <w:t>Geoscience Frontiers</w:t>
        </w:r>
      </w:hyperlink>
      <w:r>
        <w:rPr>
          <w:rFonts w:ascii="Arial" w:hAnsi="Arial"/>
          <w:sz w:val="20"/>
          <w:szCs w:val="20"/>
        </w:rPr>
        <w:t>, 15(5) (2024), 101873.</w:t>
      </w:r>
    </w:p>
    <w:p w:rsidR="00F154DC" w:rsidRDefault="00AD04F1">
      <w:pPr>
        <w:jc w:val="both"/>
      </w:pPr>
      <w:r>
        <w:rPr>
          <w:rFonts w:ascii="Arial" w:hAnsi="Arial"/>
          <w:sz w:val="20"/>
          <w:szCs w:val="20"/>
        </w:rPr>
        <w:t>[5]. Alice Tellaroli, Hana Slamova, Nuhu Auwal Sh</w:t>
      </w:r>
      <w:r>
        <w:rPr>
          <w:rFonts w:ascii="Arial" w:hAnsi="Arial"/>
          <w:sz w:val="20"/>
          <w:szCs w:val="20"/>
        </w:rPr>
        <w:t>uaibu, From fossil fuels to renewable energy: opportunities and barriers to transition, DOI:</w:t>
      </w:r>
      <w:hyperlink r:id="rId22" w:tgtFrame="_blank">
        <w:r>
          <w:rPr>
            <w:rStyle w:val="Hyperlink"/>
            <w:rFonts w:ascii="Arial" w:hAnsi="Arial"/>
            <w:sz w:val="20"/>
            <w:szCs w:val="20"/>
          </w:rPr>
          <w:t>10.13140/RG.2.2.14418.67528</w:t>
        </w:r>
      </w:hyperlink>
    </w:p>
    <w:p w:rsidR="00F154DC" w:rsidRDefault="00AD04F1">
      <w:pPr>
        <w:jc w:val="both"/>
        <w:rPr>
          <w:rFonts w:ascii="Arial" w:hAnsi="Arial"/>
          <w:sz w:val="20"/>
          <w:szCs w:val="20"/>
        </w:rPr>
      </w:pPr>
      <w:r>
        <w:rPr>
          <w:rFonts w:ascii="Arial" w:hAnsi="Arial"/>
          <w:sz w:val="20"/>
          <w:szCs w:val="20"/>
        </w:rPr>
        <w:t>[6]. Abbasi, S. A., &amp; Abbasi, N. The likely adverse environme</w:t>
      </w:r>
      <w:r>
        <w:rPr>
          <w:rFonts w:ascii="Arial" w:hAnsi="Arial"/>
          <w:sz w:val="20"/>
          <w:szCs w:val="20"/>
        </w:rPr>
        <w:t>ntal impacts of renewable energy sources. Applied Energy, 65(1) (2000), 121–144. https://doi.org/10.1016/S0306-2619(99)00077-X</w:t>
      </w:r>
    </w:p>
    <w:p w:rsidR="00F154DC" w:rsidRDefault="00AD04F1">
      <w:pPr>
        <w:jc w:val="both"/>
        <w:rPr>
          <w:rFonts w:ascii="Arial" w:hAnsi="Arial"/>
          <w:sz w:val="20"/>
          <w:szCs w:val="20"/>
        </w:rPr>
      </w:pPr>
      <w:r>
        <w:rPr>
          <w:rFonts w:ascii="Arial" w:hAnsi="Arial"/>
          <w:sz w:val="20"/>
          <w:szCs w:val="20"/>
        </w:rPr>
        <w:t>[7]. Allen, M. R., &amp; Ingram, W. J. Constraints on future changes in climate and the hydrologic cycle. Nature, 419(6903) (2002) 22</w:t>
      </w:r>
      <w:r>
        <w:rPr>
          <w:rFonts w:ascii="Arial" w:hAnsi="Arial"/>
          <w:sz w:val="20"/>
          <w:szCs w:val="20"/>
        </w:rPr>
        <w:t>4–232. https://doi.org/10.1038/nature01092</w:t>
      </w:r>
    </w:p>
    <w:p w:rsidR="00F154DC" w:rsidRDefault="00AD04F1">
      <w:pPr>
        <w:jc w:val="both"/>
      </w:pPr>
      <w:r>
        <w:rPr>
          <w:rFonts w:ascii="Arial" w:hAnsi="Arial"/>
          <w:sz w:val="20"/>
          <w:szCs w:val="20"/>
        </w:rPr>
        <w:t xml:space="preserve">[8]. Andersen, A. D. (2014). No transition without transmission: HVDC electricity infrastructure as an enabler for renewable energy? Environmental Innovation and Societal Transitions, 13 (2014) 75–95. </w:t>
      </w:r>
      <w:hyperlink r:id="rId23">
        <w:r>
          <w:rPr>
            <w:rStyle w:val="Hyperlink"/>
            <w:rFonts w:ascii="Arial" w:hAnsi="Arial"/>
            <w:sz w:val="20"/>
            <w:szCs w:val="20"/>
          </w:rPr>
          <w:t>https://doi.org/10.1016/j.eist.2014.09.004</w:t>
        </w:r>
      </w:hyperlink>
    </w:p>
    <w:p w:rsidR="00F154DC" w:rsidRDefault="00AD04F1">
      <w:pPr>
        <w:jc w:val="both"/>
      </w:pPr>
      <w:r>
        <w:rPr>
          <w:rFonts w:ascii="Arial" w:hAnsi="Arial"/>
          <w:sz w:val="20"/>
          <w:szCs w:val="20"/>
        </w:rPr>
        <w:lastRenderedPageBreak/>
        <w:t xml:space="preserve">[9]. Masataka Murahara, Yuji Sato, Toshio Okawara, Salt as Alternative Energy Material to Fossil Fuel, </w:t>
      </w:r>
      <w:hyperlink r:id="rId24">
        <w:r>
          <w:rPr>
            <w:rStyle w:val="Hyperlink"/>
            <w:rFonts w:ascii="Arial" w:hAnsi="Arial"/>
            <w:sz w:val="20"/>
            <w:szCs w:val="20"/>
          </w:rPr>
          <w:t>Materials Research Society symposia proceedings. Materials Research Society</w:t>
        </w:r>
      </w:hyperlink>
      <w:r>
        <w:rPr>
          <w:rFonts w:ascii="Arial" w:hAnsi="Arial"/>
          <w:sz w:val="20"/>
          <w:szCs w:val="20"/>
        </w:rPr>
        <w:t xml:space="preserve">, (2023) 1492. </w:t>
      </w:r>
      <w:r>
        <w:rPr>
          <w:rFonts w:ascii="Arial" w:hAnsi="Arial"/>
          <w:sz w:val="20"/>
          <w:szCs w:val="20"/>
        </w:rPr>
        <w:t>DOI:</w:t>
      </w:r>
      <w:hyperlink r:id="rId25" w:tgtFrame="_blank">
        <w:r>
          <w:rPr>
            <w:rStyle w:val="Hyperlink"/>
            <w:rFonts w:ascii="Arial" w:hAnsi="Arial"/>
            <w:sz w:val="20"/>
            <w:szCs w:val="20"/>
          </w:rPr>
          <w:t>10.1557/opl.2013.219</w:t>
        </w:r>
      </w:hyperlink>
    </w:p>
    <w:p w:rsidR="00F154DC" w:rsidRDefault="00AD04F1">
      <w:pPr>
        <w:jc w:val="both"/>
        <w:rPr>
          <w:rFonts w:ascii="Arial" w:hAnsi="Arial"/>
          <w:sz w:val="20"/>
          <w:szCs w:val="20"/>
        </w:rPr>
      </w:pPr>
      <w:r>
        <w:rPr>
          <w:rFonts w:ascii="Arial" w:hAnsi="Arial"/>
          <w:sz w:val="20"/>
          <w:szCs w:val="20"/>
        </w:rPr>
        <w:t xml:space="preserve">[10]. </w:t>
      </w:r>
      <w:proofErr w:type="spellStart"/>
      <w:r>
        <w:rPr>
          <w:rFonts w:ascii="Arial" w:hAnsi="Arial"/>
          <w:sz w:val="20"/>
          <w:szCs w:val="20"/>
        </w:rPr>
        <w:t>Yanjiao</w:t>
      </w:r>
      <w:proofErr w:type="spellEnd"/>
      <w:r>
        <w:rPr>
          <w:rFonts w:ascii="Arial" w:hAnsi="Arial"/>
          <w:sz w:val="20"/>
          <w:szCs w:val="20"/>
        </w:rPr>
        <w:t xml:space="preserve"> Wang, Min Wang, </w:t>
      </w:r>
      <w:proofErr w:type="spellStart"/>
      <w:r>
        <w:rPr>
          <w:rFonts w:ascii="Arial" w:hAnsi="Arial"/>
          <w:sz w:val="20"/>
          <w:szCs w:val="20"/>
        </w:rPr>
        <w:t>Yuqing</w:t>
      </w:r>
      <w:proofErr w:type="spellEnd"/>
      <w:r>
        <w:rPr>
          <w:rFonts w:ascii="Arial" w:hAnsi="Arial"/>
          <w:sz w:val="20"/>
          <w:szCs w:val="20"/>
        </w:rPr>
        <w:t xml:space="preserve"> Yang, </w:t>
      </w:r>
      <w:proofErr w:type="spellStart"/>
      <w:r>
        <w:rPr>
          <w:rFonts w:ascii="Arial" w:hAnsi="Arial"/>
          <w:sz w:val="20"/>
          <w:szCs w:val="20"/>
        </w:rPr>
        <w:t>Deyu</w:t>
      </w:r>
      <w:proofErr w:type="spellEnd"/>
      <w:r>
        <w:rPr>
          <w:rFonts w:ascii="Arial" w:hAnsi="Arial"/>
          <w:sz w:val="20"/>
          <w:szCs w:val="20"/>
        </w:rPr>
        <w:t xml:space="preserve"> Kong, Chao </w:t>
      </w:r>
      <w:proofErr w:type="spellStart"/>
      <w:r>
        <w:rPr>
          <w:rFonts w:ascii="Arial" w:hAnsi="Arial"/>
          <w:sz w:val="20"/>
          <w:szCs w:val="20"/>
        </w:rPr>
        <w:t>meng</w:t>
      </w:r>
      <w:proofErr w:type="spellEnd"/>
      <w:r>
        <w:rPr>
          <w:rFonts w:ascii="Arial" w:hAnsi="Arial"/>
          <w:sz w:val="20"/>
          <w:szCs w:val="20"/>
        </w:rPr>
        <w:t xml:space="preserve">, </w:t>
      </w:r>
      <w:proofErr w:type="spellStart"/>
      <w:r>
        <w:rPr>
          <w:rFonts w:ascii="Arial" w:hAnsi="Arial"/>
          <w:sz w:val="20"/>
          <w:szCs w:val="20"/>
        </w:rPr>
        <w:t>Dongqing</w:t>
      </w:r>
      <w:proofErr w:type="spellEnd"/>
      <w:r>
        <w:rPr>
          <w:rFonts w:ascii="Arial" w:hAnsi="Arial"/>
          <w:sz w:val="20"/>
          <w:szCs w:val="20"/>
        </w:rPr>
        <w:t xml:space="preserve"> Zhang, Han Hu, </w:t>
      </w:r>
      <w:proofErr w:type="spellStart"/>
      <w:r>
        <w:rPr>
          <w:rFonts w:ascii="Arial" w:hAnsi="Arial"/>
          <w:sz w:val="20"/>
          <w:szCs w:val="20"/>
        </w:rPr>
        <w:t>Mingbo</w:t>
      </w:r>
      <w:proofErr w:type="spellEnd"/>
      <w:r>
        <w:rPr>
          <w:rFonts w:ascii="Arial" w:hAnsi="Arial"/>
          <w:sz w:val="20"/>
          <w:szCs w:val="20"/>
        </w:rPr>
        <w:t xml:space="preserve"> W</w:t>
      </w:r>
      <w:r>
        <w:rPr>
          <w:rFonts w:ascii="Arial" w:hAnsi="Arial"/>
          <w:sz w:val="20"/>
          <w:szCs w:val="20"/>
        </w:rPr>
        <w:t xml:space="preserve">u, </w:t>
      </w:r>
      <w:bookmarkStart w:id="3" w:name="screen-reader-main-title_Copy_1"/>
      <w:bookmarkEnd w:id="3"/>
      <w:r>
        <w:rPr>
          <w:rFonts w:ascii="Arial" w:hAnsi="Arial"/>
          <w:sz w:val="20"/>
          <w:szCs w:val="20"/>
        </w:rPr>
        <w:t xml:space="preserve">Potential technology for seawater electrolysis: Anion-exchange membrane water electrolysis, Chem Catalysis, 3(7) (2023) 100643. </w:t>
      </w:r>
    </w:p>
    <w:p w:rsidR="00F154DC" w:rsidRDefault="00AD04F1">
      <w:pPr>
        <w:jc w:val="both"/>
        <w:rPr>
          <w:rFonts w:ascii="Arial" w:hAnsi="Arial"/>
          <w:sz w:val="20"/>
          <w:szCs w:val="20"/>
        </w:rPr>
      </w:pPr>
      <w:r>
        <w:rPr>
          <w:rFonts w:ascii="Arial" w:hAnsi="Arial"/>
          <w:sz w:val="20"/>
          <w:szCs w:val="20"/>
        </w:rPr>
        <w:t xml:space="preserve">[11]. Cipollina Andrea &amp; Micale Giorgio, Sustainable Energy from Salinity Gradients, Woodhead Publishing, </w:t>
      </w:r>
      <w:r>
        <w:rPr>
          <w:rFonts w:ascii="Arial" w:hAnsi="Arial"/>
          <w:b/>
          <w:bCs/>
          <w:sz w:val="20"/>
          <w:szCs w:val="20"/>
        </w:rPr>
        <w:t>IS</w:t>
      </w:r>
      <w:r>
        <w:rPr>
          <w:rFonts w:ascii="Arial" w:hAnsi="Arial"/>
          <w:b/>
          <w:sz w:val="20"/>
          <w:szCs w:val="20"/>
        </w:rPr>
        <w:t>BN:</w:t>
      </w:r>
      <w:r>
        <w:rPr>
          <w:rFonts w:ascii="Arial" w:hAnsi="Arial"/>
          <w:sz w:val="20"/>
          <w:szCs w:val="20"/>
        </w:rPr>
        <w:t xml:space="preserve"> 978-0-08-100</w:t>
      </w:r>
      <w:r>
        <w:rPr>
          <w:rFonts w:ascii="Arial" w:hAnsi="Arial"/>
          <w:sz w:val="20"/>
          <w:szCs w:val="20"/>
        </w:rPr>
        <w:t xml:space="preserve">312-1, (2016), </w:t>
      </w:r>
      <w:r>
        <w:rPr>
          <w:rFonts w:ascii="Arial" w:hAnsi="Arial"/>
          <w:b/>
          <w:sz w:val="20"/>
          <w:szCs w:val="20"/>
        </w:rPr>
        <w:t>DOI:</w:t>
      </w:r>
      <w:r>
        <w:rPr>
          <w:rFonts w:ascii="Arial" w:hAnsi="Arial"/>
          <w:sz w:val="20"/>
          <w:szCs w:val="20"/>
        </w:rPr>
        <w:t xml:space="preserve"> 10.1016/C2014-0-03709-4.  10.1016/C2014-0-03709-4. </w:t>
      </w:r>
    </w:p>
    <w:p w:rsidR="00F154DC" w:rsidRDefault="00AD04F1">
      <w:pPr>
        <w:jc w:val="both"/>
      </w:pPr>
      <w:r>
        <w:rPr>
          <w:rFonts w:ascii="Arial" w:hAnsi="Arial"/>
          <w:sz w:val="20"/>
          <w:szCs w:val="20"/>
        </w:rPr>
        <w:t xml:space="preserve">[12]. </w:t>
      </w:r>
      <w:proofErr w:type="spellStart"/>
      <w:r>
        <w:rPr>
          <w:rFonts w:ascii="Arial" w:hAnsi="Arial"/>
          <w:sz w:val="20"/>
          <w:szCs w:val="20"/>
        </w:rPr>
        <w:t>Andri</w:t>
      </w:r>
      <w:proofErr w:type="spellEnd"/>
      <w:r>
        <w:rPr>
          <w:rFonts w:ascii="Arial" w:hAnsi="Arial"/>
          <w:sz w:val="20"/>
          <w:szCs w:val="20"/>
        </w:rPr>
        <w:t xml:space="preserve"> </w:t>
      </w:r>
      <w:proofErr w:type="spellStart"/>
      <w:r>
        <w:rPr>
          <w:rFonts w:ascii="Arial" w:hAnsi="Arial"/>
          <w:sz w:val="20"/>
          <w:szCs w:val="20"/>
        </w:rPr>
        <w:t>Kapuji</w:t>
      </w:r>
      <w:proofErr w:type="spellEnd"/>
      <w:r>
        <w:rPr>
          <w:rFonts w:ascii="Arial" w:hAnsi="Arial"/>
          <w:sz w:val="20"/>
          <w:szCs w:val="20"/>
        </w:rPr>
        <w:t xml:space="preserve"> </w:t>
      </w:r>
      <w:proofErr w:type="spellStart"/>
      <w:r>
        <w:rPr>
          <w:rFonts w:ascii="Arial" w:hAnsi="Arial"/>
          <w:sz w:val="20"/>
          <w:szCs w:val="20"/>
        </w:rPr>
        <w:t>Kaharian</w:t>
      </w:r>
      <w:proofErr w:type="spellEnd"/>
      <w:r>
        <w:rPr>
          <w:rFonts w:ascii="Arial" w:hAnsi="Arial"/>
          <w:sz w:val="20"/>
          <w:szCs w:val="20"/>
        </w:rPr>
        <w:t xml:space="preserve">, Nani </w:t>
      </w:r>
      <w:proofErr w:type="spellStart"/>
      <w:r>
        <w:rPr>
          <w:rFonts w:ascii="Arial" w:hAnsi="Arial"/>
          <w:sz w:val="20"/>
          <w:szCs w:val="20"/>
        </w:rPr>
        <w:t>Sofroh</w:t>
      </w:r>
      <w:proofErr w:type="spellEnd"/>
      <w:r>
        <w:rPr>
          <w:rFonts w:ascii="Arial" w:hAnsi="Arial"/>
          <w:sz w:val="20"/>
          <w:szCs w:val="20"/>
        </w:rPr>
        <w:t xml:space="preserve">, </w:t>
      </w:r>
      <w:proofErr w:type="spellStart"/>
      <w:r>
        <w:rPr>
          <w:rFonts w:ascii="Arial" w:hAnsi="Arial"/>
          <w:sz w:val="20"/>
          <w:szCs w:val="20"/>
        </w:rPr>
        <w:t>Didik</w:t>
      </w:r>
      <w:proofErr w:type="spellEnd"/>
      <w:r>
        <w:rPr>
          <w:rFonts w:ascii="Arial" w:hAnsi="Arial"/>
          <w:sz w:val="20"/>
          <w:szCs w:val="20"/>
        </w:rPr>
        <w:t xml:space="preserve"> </w:t>
      </w:r>
      <w:proofErr w:type="spellStart"/>
      <w:r>
        <w:rPr>
          <w:rFonts w:ascii="Arial" w:hAnsi="Arial"/>
          <w:sz w:val="20"/>
          <w:szCs w:val="20"/>
        </w:rPr>
        <w:t>Aribowo</w:t>
      </w:r>
      <w:proofErr w:type="spellEnd"/>
      <w:r>
        <w:rPr>
          <w:rFonts w:ascii="Arial" w:hAnsi="Arial"/>
          <w:sz w:val="20"/>
          <w:szCs w:val="20"/>
        </w:rPr>
        <w:t xml:space="preserve">,  Utilization of Sea Water as Source of Electrical Energy of Coastal People,  </w:t>
      </w:r>
      <w:hyperlink r:id="rId26">
        <w:r>
          <w:rPr>
            <w:rStyle w:val="Hyperlink"/>
            <w:rFonts w:ascii="Arial" w:hAnsi="Arial"/>
            <w:sz w:val="20"/>
            <w:szCs w:val="20"/>
          </w:rPr>
          <w:t xml:space="preserve">VOLT </w:t>
        </w:r>
        <w:proofErr w:type="spellStart"/>
        <w:r>
          <w:rPr>
            <w:rStyle w:val="Hyperlink"/>
            <w:rFonts w:ascii="Arial" w:hAnsi="Arial"/>
            <w:sz w:val="20"/>
            <w:szCs w:val="20"/>
          </w:rPr>
          <w:t>Jurnal</w:t>
        </w:r>
        <w:proofErr w:type="spellEnd"/>
        <w:r>
          <w:rPr>
            <w:rStyle w:val="Hyperlink"/>
            <w:rFonts w:ascii="Arial" w:hAnsi="Arial"/>
            <w:sz w:val="20"/>
            <w:szCs w:val="20"/>
          </w:rPr>
          <w:t xml:space="preserve"> </w:t>
        </w:r>
        <w:proofErr w:type="spellStart"/>
        <w:r>
          <w:rPr>
            <w:rStyle w:val="Hyperlink"/>
            <w:rFonts w:ascii="Arial" w:hAnsi="Arial"/>
            <w:sz w:val="20"/>
            <w:szCs w:val="20"/>
          </w:rPr>
          <w:t>Ilmiah</w:t>
        </w:r>
        <w:proofErr w:type="spellEnd"/>
        <w:r>
          <w:rPr>
            <w:rStyle w:val="Hyperlink"/>
            <w:rFonts w:ascii="Arial" w:hAnsi="Arial"/>
            <w:sz w:val="20"/>
            <w:szCs w:val="20"/>
          </w:rPr>
          <w:t xml:space="preserve"> Pendidikan Teknik Elektro</w:t>
        </w:r>
      </w:hyperlink>
      <w:r>
        <w:rPr>
          <w:rFonts w:ascii="Arial" w:hAnsi="Arial"/>
          <w:sz w:val="20"/>
          <w:szCs w:val="20"/>
        </w:rPr>
        <w:t xml:space="preserve"> 2(2) (2017) 175-180.</w:t>
      </w:r>
    </w:p>
    <w:p w:rsidR="00F154DC" w:rsidRDefault="00AD04F1">
      <w:pPr>
        <w:jc w:val="both"/>
      </w:pPr>
      <w:r>
        <w:rPr>
          <w:rFonts w:ascii="Arial" w:hAnsi="Arial"/>
          <w:sz w:val="20"/>
          <w:szCs w:val="20"/>
        </w:rPr>
        <w:t>[13]. Esmaeil Ahmadi, Benjamin McLellan, Beh</w:t>
      </w:r>
      <w:r>
        <w:rPr>
          <w:rFonts w:ascii="Arial" w:hAnsi="Arial"/>
          <w:sz w:val="20"/>
          <w:szCs w:val="20"/>
        </w:rPr>
        <w:t xml:space="preserve">nam Mohammedi </w:t>
      </w:r>
      <w:proofErr w:type="spellStart"/>
      <w:r>
        <w:rPr>
          <w:rFonts w:ascii="Arial" w:hAnsi="Arial"/>
          <w:sz w:val="20"/>
          <w:szCs w:val="20"/>
        </w:rPr>
        <w:t>Ivatloo</w:t>
      </w:r>
      <w:proofErr w:type="spellEnd"/>
      <w:r>
        <w:rPr>
          <w:rFonts w:ascii="Arial" w:hAnsi="Arial"/>
          <w:sz w:val="20"/>
          <w:szCs w:val="20"/>
        </w:rPr>
        <w:t xml:space="preserve">, and Tetsuo </w:t>
      </w:r>
      <w:proofErr w:type="spellStart"/>
      <w:r>
        <w:rPr>
          <w:rFonts w:ascii="Arial" w:hAnsi="Arial"/>
          <w:sz w:val="20"/>
          <w:szCs w:val="20"/>
        </w:rPr>
        <w:t>Tezuka</w:t>
      </w:r>
      <w:proofErr w:type="spellEnd"/>
      <w:r>
        <w:rPr>
          <w:rFonts w:ascii="Arial" w:hAnsi="Arial"/>
          <w:sz w:val="20"/>
          <w:szCs w:val="20"/>
        </w:rPr>
        <w:t xml:space="preserve">, The Role of Renewable Energy Resources in Sustainability of Water Desalination as a Potential Fresh-Water Source: An Updated Review, </w:t>
      </w:r>
      <w:proofErr w:type="spellStart"/>
      <w:r>
        <w:rPr>
          <w:rFonts w:ascii="Arial" w:hAnsi="Arial"/>
          <w:sz w:val="20"/>
          <w:szCs w:val="20"/>
        </w:rPr>
        <w:t>Sustainibility</w:t>
      </w:r>
      <w:proofErr w:type="spellEnd"/>
      <w:r>
        <w:rPr>
          <w:rFonts w:ascii="Arial" w:hAnsi="Arial"/>
          <w:sz w:val="20"/>
          <w:szCs w:val="20"/>
        </w:rPr>
        <w:t xml:space="preserve">, 12(13) (2020) 5233. </w:t>
      </w:r>
      <w:hyperlink r:id="rId27">
        <w:r>
          <w:rPr>
            <w:rStyle w:val="Hyperlink"/>
            <w:rFonts w:ascii="Arial" w:hAnsi="Arial"/>
            <w:sz w:val="20"/>
            <w:szCs w:val="20"/>
          </w:rPr>
          <w:t>https://doi.org/10.3390/su12135233</w:t>
        </w:r>
      </w:hyperlink>
    </w:p>
    <w:p w:rsidR="00F154DC" w:rsidRDefault="00AD04F1">
      <w:pPr>
        <w:jc w:val="both"/>
        <w:rPr>
          <w:rFonts w:ascii="Arial" w:hAnsi="Arial"/>
          <w:sz w:val="20"/>
          <w:szCs w:val="20"/>
        </w:rPr>
      </w:pPr>
      <w:r>
        <w:rPr>
          <w:rFonts w:ascii="Arial" w:hAnsi="Arial"/>
          <w:sz w:val="20"/>
          <w:szCs w:val="20"/>
        </w:rPr>
        <w:t xml:space="preserve">[14]. Muh. Ridwan </w:t>
      </w:r>
      <w:proofErr w:type="spellStart"/>
      <w:r>
        <w:rPr>
          <w:rFonts w:ascii="Arial" w:hAnsi="Arial"/>
          <w:sz w:val="20"/>
          <w:szCs w:val="20"/>
        </w:rPr>
        <w:t>kadir</w:t>
      </w:r>
      <w:proofErr w:type="spellEnd"/>
      <w:r>
        <w:rPr>
          <w:rFonts w:ascii="Arial" w:hAnsi="Arial"/>
          <w:sz w:val="20"/>
          <w:szCs w:val="20"/>
        </w:rPr>
        <w:t xml:space="preserve">, </w:t>
      </w:r>
      <w:proofErr w:type="spellStart"/>
      <w:r>
        <w:rPr>
          <w:rFonts w:ascii="Arial" w:hAnsi="Arial"/>
          <w:sz w:val="20"/>
          <w:szCs w:val="20"/>
        </w:rPr>
        <w:t>nurul</w:t>
      </w:r>
      <w:proofErr w:type="spellEnd"/>
      <w:r>
        <w:rPr>
          <w:rFonts w:ascii="Arial" w:hAnsi="Arial"/>
          <w:sz w:val="20"/>
          <w:szCs w:val="20"/>
        </w:rPr>
        <w:t xml:space="preserve"> </w:t>
      </w:r>
      <w:proofErr w:type="spellStart"/>
      <w:r>
        <w:rPr>
          <w:rFonts w:ascii="Arial" w:hAnsi="Arial"/>
          <w:sz w:val="20"/>
          <w:szCs w:val="20"/>
        </w:rPr>
        <w:t>Afiqah</w:t>
      </w:r>
      <w:proofErr w:type="spellEnd"/>
      <w:r>
        <w:rPr>
          <w:rFonts w:ascii="Arial" w:hAnsi="Arial"/>
          <w:sz w:val="20"/>
          <w:szCs w:val="20"/>
        </w:rPr>
        <w:t xml:space="preserve"> </w:t>
      </w:r>
      <w:proofErr w:type="spellStart"/>
      <w:r>
        <w:rPr>
          <w:rFonts w:ascii="Arial" w:hAnsi="Arial"/>
          <w:sz w:val="20"/>
          <w:szCs w:val="20"/>
        </w:rPr>
        <w:t>Arsyad</w:t>
      </w:r>
      <w:proofErr w:type="spellEnd"/>
      <w:r>
        <w:rPr>
          <w:rFonts w:ascii="Arial" w:hAnsi="Arial"/>
          <w:sz w:val="20"/>
          <w:szCs w:val="20"/>
        </w:rPr>
        <w:t xml:space="preserve">, Syarifah Nuraeni </w:t>
      </w:r>
      <w:proofErr w:type="spellStart"/>
      <w:r>
        <w:rPr>
          <w:rFonts w:ascii="Arial" w:hAnsi="Arial"/>
          <w:sz w:val="20"/>
          <w:szCs w:val="20"/>
        </w:rPr>
        <w:t>Alaydrus</w:t>
      </w:r>
      <w:proofErr w:type="spellEnd"/>
      <w:r>
        <w:rPr>
          <w:rFonts w:ascii="Arial" w:hAnsi="Arial"/>
          <w:sz w:val="20"/>
          <w:szCs w:val="20"/>
        </w:rPr>
        <w:t xml:space="preserve">, Wenny </w:t>
      </w:r>
      <w:proofErr w:type="spellStart"/>
      <w:r>
        <w:rPr>
          <w:rFonts w:ascii="Arial" w:hAnsi="Arial"/>
          <w:sz w:val="20"/>
          <w:szCs w:val="20"/>
        </w:rPr>
        <w:t>Puspita</w:t>
      </w:r>
      <w:proofErr w:type="spellEnd"/>
      <w:r>
        <w:rPr>
          <w:rFonts w:ascii="Arial" w:hAnsi="Arial"/>
          <w:sz w:val="20"/>
          <w:szCs w:val="20"/>
        </w:rPr>
        <w:t xml:space="preserve">, </w:t>
      </w:r>
      <w:proofErr w:type="spellStart"/>
      <w:r>
        <w:rPr>
          <w:rFonts w:ascii="Arial" w:hAnsi="Arial"/>
          <w:sz w:val="20"/>
          <w:szCs w:val="20"/>
        </w:rPr>
        <w:t>Sahrul</w:t>
      </w:r>
      <w:proofErr w:type="spellEnd"/>
      <w:r>
        <w:rPr>
          <w:rFonts w:ascii="Arial" w:hAnsi="Arial"/>
          <w:sz w:val="20"/>
          <w:szCs w:val="20"/>
        </w:rPr>
        <w:t xml:space="preserve"> </w:t>
      </w:r>
      <w:proofErr w:type="spellStart"/>
      <w:r>
        <w:rPr>
          <w:rFonts w:ascii="Arial" w:hAnsi="Arial"/>
          <w:sz w:val="20"/>
          <w:szCs w:val="20"/>
        </w:rPr>
        <w:t>Sahrul</w:t>
      </w:r>
      <w:proofErr w:type="spellEnd"/>
      <w:r>
        <w:rPr>
          <w:rFonts w:ascii="Arial" w:hAnsi="Arial"/>
          <w:sz w:val="20"/>
          <w:szCs w:val="20"/>
        </w:rPr>
        <w:t xml:space="preserve">, Muhammad </w:t>
      </w:r>
      <w:proofErr w:type="spellStart"/>
      <w:r>
        <w:rPr>
          <w:rFonts w:ascii="Arial" w:hAnsi="Arial"/>
          <w:sz w:val="20"/>
          <w:szCs w:val="20"/>
        </w:rPr>
        <w:t>Nurkhalis</w:t>
      </w:r>
      <w:proofErr w:type="spellEnd"/>
      <w:r>
        <w:rPr>
          <w:rFonts w:ascii="Arial" w:hAnsi="Arial"/>
          <w:sz w:val="20"/>
          <w:szCs w:val="20"/>
        </w:rPr>
        <w:t xml:space="preserve"> Agriawan, Hardi Hamzah, Seawater Lamp: Utilization of Seawater as an Alternative Energy Source to Generate Electricity, </w:t>
      </w:r>
      <w:proofErr w:type="spellStart"/>
      <w:r>
        <w:rPr>
          <w:rFonts w:ascii="Arial" w:hAnsi="Arial"/>
          <w:sz w:val="20"/>
          <w:szCs w:val="20"/>
        </w:rPr>
        <w:t>indonesian</w:t>
      </w:r>
      <w:proofErr w:type="spellEnd"/>
      <w:r>
        <w:rPr>
          <w:rFonts w:ascii="Arial" w:hAnsi="Arial"/>
          <w:sz w:val="20"/>
          <w:szCs w:val="20"/>
        </w:rPr>
        <w:t xml:space="preserve"> Review of Physics, 6(1) (2023) 7070.</w:t>
      </w:r>
    </w:p>
    <w:p w:rsidR="00F154DC" w:rsidRDefault="00AD04F1">
      <w:pPr>
        <w:jc w:val="both"/>
        <w:rPr>
          <w:rFonts w:ascii="Arial" w:hAnsi="Arial"/>
          <w:sz w:val="20"/>
          <w:szCs w:val="20"/>
        </w:rPr>
      </w:pPr>
      <w:r>
        <w:rPr>
          <w:rFonts w:ascii="Arial" w:hAnsi="Arial"/>
          <w:sz w:val="20"/>
          <w:szCs w:val="20"/>
        </w:rPr>
        <w:t xml:space="preserve">[15]. A. Susanto, M. S. Baskoro, S. H. </w:t>
      </w:r>
      <w:proofErr w:type="spellStart"/>
      <w:r>
        <w:rPr>
          <w:rFonts w:ascii="Arial" w:hAnsi="Arial"/>
          <w:sz w:val="20"/>
          <w:szCs w:val="20"/>
        </w:rPr>
        <w:t>Wisudo</w:t>
      </w:r>
      <w:proofErr w:type="spellEnd"/>
      <w:r>
        <w:rPr>
          <w:rFonts w:ascii="Arial" w:hAnsi="Arial"/>
          <w:sz w:val="20"/>
          <w:szCs w:val="20"/>
        </w:rPr>
        <w:t xml:space="preserve">, M. Riyanto, and F. </w:t>
      </w:r>
      <w:proofErr w:type="spellStart"/>
      <w:r>
        <w:rPr>
          <w:rFonts w:ascii="Arial" w:hAnsi="Arial"/>
          <w:sz w:val="20"/>
          <w:szCs w:val="20"/>
        </w:rPr>
        <w:t>Purwangka</w:t>
      </w:r>
      <w:proofErr w:type="spellEnd"/>
      <w:r>
        <w:rPr>
          <w:rFonts w:ascii="Arial" w:hAnsi="Arial"/>
          <w:sz w:val="20"/>
          <w:szCs w:val="20"/>
        </w:rPr>
        <w:t xml:space="preserve">, “Seawater </w:t>
      </w:r>
      <w:r>
        <w:rPr>
          <w:rFonts w:ascii="Arial" w:hAnsi="Arial"/>
          <w:sz w:val="20"/>
          <w:szCs w:val="20"/>
        </w:rPr>
        <w:t>Battery with Al-Cu, Zn-Cu, Gal-Cu Electrodes for Fishing Lamp,” Int. J. Renew. Energy Res., 7(4), pp. 1857–1868, 2017, doi:10.20508/</w:t>
      </w:r>
      <w:proofErr w:type="gramStart"/>
      <w:r>
        <w:rPr>
          <w:rFonts w:ascii="Arial" w:hAnsi="Arial"/>
          <w:sz w:val="20"/>
          <w:szCs w:val="20"/>
        </w:rPr>
        <w:t>ijrer.v</w:t>
      </w:r>
      <w:proofErr w:type="gramEnd"/>
      <w:r>
        <w:rPr>
          <w:rFonts w:ascii="Arial" w:hAnsi="Arial"/>
          <w:sz w:val="20"/>
          <w:szCs w:val="20"/>
        </w:rPr>
        <w:t>7i4.</w:t>
      </w:r>
    </w:p>
    <w:p w:rsidR="00F154DC" w:rsidRDefault="00AD04F1">
      <w:pPr>
        <w:jc w:val="both"/>
        <w:rPr>
          <w:rFonts w:ascii="Arial" w:hAnsi="Arial"/>
          <w:sz w:val="20"/>
          <w:szCs w:val="20"/>
        </w:rPr>
      </w:pPr>
      <w:r>
        <w:rPr>
          <w:rFonts w:ascii="Arial" w:hAnsi="Arial"/>
          <w:sz w:val="20"/>
          <w:szCs w:val="20"/>
        </w:rPr>
        <w:t xml:space="preserve">[16] Y. </w:t>
      </w:r>
      <w:proofErr w:type="spellStart"/>
      <w:r>
        <w:rPr>
          <w:rFonts w:ascii="Arial" w:hAnsi="Arial"/>
          <w:sz w:val="20"/>
          <w:szCs w:val="20"/>
        </w:rPr>
        <w:t>Umniyati</w:t>
      </w:r>
      <w:proofErr w:type="spellEnd"/>
      <w:r>
        <w:rPr>
          <w:rFonts w:ascii="Arial" w:hAnsi="Arial"/>
          <w:sz w:val="20"/>
          <w:szCs w:val="20"/>
        </w:rPr>
        <w:t xml:space="preserve">, “Preliminary Experiments on Potential Use of Salt-Water Battery 4 for Cheap Electric Storage: </w:t>
      </w:r>
      <w:r>
        <w:rPr>
          <w:rFonts w:ascii="Arial" w:hAnsi="Arial"/>
          <w:sz w:val="20"/>
          <w:szCs w:val="20"/>
        </w:rPr>
        <w:t xml:space="preserve">Work </w:t>
      </w:r>
      <w:proofErr w:type="gramStart"/>
      <w:r>
        <w:rPr>
          <w:rFonts w:ascii="Arial" w:hAnsi="Arial"/>
          <w:sz w:val="20"/>
          <w:szCs w:val="20"/>
        </w:rPr>
        <w:t>In</w:t>
      </w:r>
      <w:proofErr w:type="gramEnd"/>
      <w:r>
        <w:rPr>
          <w:rFonts w:ascii="Arial" w:hAnsi="Arial"/>
          <w:sz w:val="20"/>
          <w:szCs w:val="20"/>
        </w:rPr>
        <w:t xml:space="preserve"> Progress,” J. </w:t>
      </w:r>
      <w:proofErr w:type="spellStart"/>
      <w:r>
        <w:rPr>
          <w:rFonts w:ascii="Arial" w:hAnsi="Arial"/>
          <w:sz w:val="20"/>
          <w:szCs w:val="20"/>
        </w:rPr>
        <w:t>Ilmu</w:t>
      </w:r>
      <w:proofErr w:type="spellEnd"/>
      <w:r>
        <w:rPr>
          <w:rFonts w:ascii="Arial" w:hAnsi="Arial"/>
          <w:sz w:val="20"/>
          <w:szCs w:val="20"/>
        </w:rPr>
        <w:t xml:space="preserve"> dan </w:t>
      </w:r>
      <w:proofErr w:type="spellStart"/>
      <w:r>
        <w:rPr>
          <w:rFonts w:ascii="Arial" w:hAnsi="Arial"/>
          <w:sz w:val="20"/>
          <w:szCs w:val="20"/>
        </w:rPr>
        <w:t>Inov</w:t>
      </w:r>
      <w:proofErr w:type="spellEnd"/>
      <w:r>
        <w:rPr>
          <w:rFonts w:ascii="Arial" w:hAnsi="Arial"/>
          <w:sz w:val="20"/>
          <w:szCs w:val="20"/>
        </w:rPr>
        <w:t xml:space="preserve">. Fis., 5(1) (2021) pp. 74–81. </w:t>
      </w:r>
      <w:proofErr w:type="spellStart"/>
      <w:r>
        <w:rPr>
          <w:rFonts w:ascii="Arial" w:hAnsi="Arial"/>
          <w:sz w:val="20"/>
          <w:szCs w:val="20"/>
        </w:rPr>
        <w:t>doi</w:t>
      </w:r>
      <w:proofErr w:type="spellEnd"/>
      <w:r>
        <w:rPr>
          <w:rFonts w:ascii="Arial" w:hAnsi="Arial"/>
          <w:sz w:val="20"/>
          <w:szCs w:val="20"/>
        </w:rPr>
        <w:t>: 10.24198/</w:t>
      </w:r>
      <w:proofErr w:type="gramStart"/>
      <w:r>
        <w:rPr>
          <w:rFonts w:ascii="Arial" w:hAnsi="Arial"/>
          <w:sz w:val="20"/>
          <w:szCs w:val="20"/>
        </w:rPr>
        <w:t>jiif.v</w:t>
      </w:r>
      <w:proofErr w:type="gramEnd"/>
      <w:r>
        <w:rPr>
          <w:rFonts w:ascii="Arial" w:hAnsi="Arial"/>
          <w:sz w:val="20"/>
          <w:szCs w:val="20"/>
        </w:rPr>
        <w:t>5i1.31282.</w:t>
      </w:r>
    </w:p>
    <w:p w:rsidR="00F154DC" w:rsidRDefault="00AD04F1">
      <w:pPr>
        <w:jc w:val="both"/>
        <w:rPr>
          <w:rFonts w:ascii="Arial" w:hAnsi="Arial"/>
          <w:sz w:val="20"/>
          <w:szCs w:val="20"/>
        </w:rPr>
      </w:pPr>
      <w:r>
        <w:rPr>
          <w:rFonts w:ascii="Arial" w:hAnsi="Arial"/>
          <w:sz w:val="20"/>
          <w:szCs w:val="20"/>
        </w:rPr>
        <w:t xml:space="preserve">[17] E. Morabet, K. R. A., K. A. R., and A. M., “Saltwater </w:t>
      </w:r>
      <w:proofErr w:type="spellStart"/>
      <w:r>
        <w:rPr>
          <w:rFonts w:ascii="Arial" w:hAnsi="Arial"/>
          <w:sz w:val="20"/>
          <w:szCs w:val="20"/>
        </w:rPr>
        <w:t>aviable</w:t>
      </w:r>
      <w:proofErr w:type="spellEnd"/>
      <w:r>
        <w:rPr>
          <w:rFonts w:ascii="Arial" w:hAnsi="Arial"/>
          <w:sz w:val="20"/>
          <w:szCs w:val="20"/>
        </w:rPr>
        <w:t xml:space="preserve"> Source of Energy for Sustainable Rural Development,” in 16th International Conference on Env</w:t>
      </w:r>
      <w:r>
        <w:rPr>
          <w:rFonts w:ascii="Arial" w:hAnsi="Arial"/>
          <w:sz w:val="20"/>
          <w:szCs w:val="20"/>
        </w:rPr>
        <w:t>ironmental Science and Technology, (2019) pp. 205–206.</w:t>
      </w:r>
    </w:p>
    <w:p w:rsidR="00F154DC" w:rsidRDefault="00AD04F1">
      <w:pPr>
        <w:jc w:val="both"/>
      </w:pPr>
      <w:r>
        <w:rPr>
          <w:rFonts w:ascii="Arial" w:hAnsi="Arial"/>
          <w:sz w:val="20"/>
          <w:szCs w:val="20"/>
        </w:rPr>
        <w:t>[18]. F. Cheng, J. Chen, Metal–air batteries: from oxygen reduction electrochemistry to cathode catalysts, Chem. Soc. Rev., 41 (6) (2012</w:t>
      </w:r>
      <w:proofErr w:type="gramStart"/>
      <w:r>
        <w:rPr>
          <w:rFonts w:ascii="Arial" w:hAnsi="Arial"/>
          <w:sz w:val="20"/>
          <w:szCs w:val="20"/>
        </w:rPr>
        <w:t>)  p.</w:t>
      </w:r>
      <w:proofErr w:type="gramEnd"/>
      <w:r>
        <w:rPr>
          <w:rFonts w:ascii="Arial" w:hAnsi="Arial"/>
          <w:sz w:val="20"/>
          <w:szCs w:val="20"/>
        </w:rPr>
        <w:t xml:space="preserve"> 2172. </w:t>
      </w:r>
      <w:hyperlink r:id="rId28" w:tgtFrame="_blank">
        <w:r>
          <w:rPr>
            <w:rStyle w:val="Hyperlink"/>
            <w:rFonts w:ascii="Arial" w:hAnsi="Arial"/>
            <w:sz w:val="20"/>
            <w:szCs w:val="20"/>
          </w:rPr>
          <w:t>10.1039/c1cs15228a</w:t>
        </w:r>
      </w:hyperlink>
    </w:p>
    <w:p w:rsidR="00F154DC" w:rsidRDefault="00AD04F1">
      <w:pPr>
        <w:jc w:val="both"/>
      </w:pPr>
      <w:r>
        <w:rPr>
          <w:rFonts w:ascii="Arial" w:hAnsi="Arial"/>
          <w:sz w:val="20"/>
          <w:szCs w:val="20"/>
        </w:rPr>
        <w:t xml:space="preserve">[19]. Olusola </w:t>
      </w:r>
      <w:proofErr w:type="spellStart"/>
      <w:r>
        <w:rPr>
          <w:rFonts w:ascii="Arial" w:hAnsi="Arial"/>
          <w:sz w:val="20"/>
          <w:szCs w:val="20"/>
        </w:rPr>
        <w:t>david</w:t>
      </w:r>
      <w:proofErr w:type="spellEnd"/>
      <w:r>
        <w:rPr>
          <w:rFonts w:ascii="Arial" w:hAnsi="Arial"/>
          <w:sz w:val="20"/>
          <w:szCs w:val="20"/>
        </w:rPr>
        <w:t xml:space="preserve"> </w:t>
      </w:r>
      <w:proofErr w:type="spellStart"/>
      <w:r>
        <w:rPr>
          <w:rFonts w:ascii="Arial" w:hAnsi="Arial"/>
          <w:sz w:val="20"/>
          <w:szCs w:val="20"/>
        </w:rPr>
        <w:t>Ogundele</w:t>
      </w:r>
      <w:proofErr w:type="spellEnd"/>
      <w:r>
        <w:rPr>
          <w:rFonts w:ascii="Arial" w:hAnsi="Arial"/>
          <w:sz w:val="20"/>
          <w:szCs w:val="20"/>
        </w:rPr>
        <w:t xml:space="preserve">, David A. </w:t>
      </w:r>
      <w:proofErr w:type="spellStart"/>
      <w:r>
        <w:rPr>
          <w:rFonts w:ascii="Arial" w:hAnsi="Arial"/>
          <w:sz w:val="20"/>
          <w:szCs w:val="20"/>
        </w:rPr>
        <w:t>Oyegoke</w:t>
      </w:r>
      <w:proofErr w:type="spellEnd"/>
      <w:r>
        <w:rPr>
          <w:rFonts w:ascii="Arial" w:hAnsi="Arial"/>
          <w:sz w:val="20"/>
          <w:szCs w:val="20"/>
        </w:rPr>
        <w:t xml:space="preserve">, </w:t>
      </w:r>
      <w:proofErr w:type="spellStart"/>
      <w:r>
        <w:rPr>
          <w:rFonts w:ascii="Arial" w:hAnsi="Arial"/>
          <w:sz w:val="20"/>
          <w:szCs w:val="20"/>
        </w:rPr>
        <w:t>Anaum</w:t>
      </w:r>
      <w:proofErr w:type="spellEnd"/>
      <w:r>
        <w:rPr>
          <w:rFonts w:ascii="Arial" w:hAnsi="Arial"/>
          <w:sz w:val="20"/>
          <w:szCs w:val="20"/>
        </w:rPr>
        <w:t xml:space="preserve"> Temitope Emmanuel, Exploring the Potential and Challenges of Electrochemical Processes for Sustainable Waste Water Remediation and Treatment, </w:t>
      </w:r>
      <w:hyperlink r:id="rId29">
        <w:proofErr w:type="spellStart"/>
        <w:r>
          <w:rPr>
            <w:rStyle w:val="Hyperlink"/>
            <w:rFonts w:ascii="Arial" w:hAnsi="Arial"/>
            <w:sz w:val="20"/>
            <w:szCs w:val="20"/>
          </w:rPr>
          <w:t>Acadlore</w:t>
        </w:r>
        <w:proofErr w:type="spellEnd"/>
        <w:r>
          <w:rPr>
            <w:rStyle w:val="Hyperlink"/>
            <w:rFonts w:ascii="Arial" w:hAnsi="Arial"/>
            <w:sz w:val="20"/>
            <w:szCs w:val="20"/>
          </w:rPr>
          <w:t xml:space="preserve"> Transactions on Geosciences</w:t>
        </w:r>
      </w:hyperlink>
      <w:r>
        <w:rPr>
          <w:rFonts w:ascii="Arial" w:hAnsi="Arial"/>
          <w:sz w:val="20"/>
          <w:szCs w:val="20"/>
        </w:rPr>
        <w:t xml:space="preserve"> 2(2) (2023) 80-93</w:t>
      </w:r>
    </w:p>
    <w:p w:rsidR="00F154DC" w:rsidRDefault="00AD04F1">
      <w:pPr>
        <w:jc w:val="both"/>
        <w:rPr>
          <w:rFonts w:ascii="Arial" w:hAnsi="Arial"/>
        </w:rPr>
      </w:pPr>
      <w:r>
        <w:rPr>
          <w:rFonts w:ascii="Arial" w:hAnsi="Arial"/>
          <w:sz w:val="20"/>
          <w:szCs w:val="20"/>
        </w:rPr>
        <w:t xml:space="preserve">[20]. </w:t>
      </w:r>
      <w:proofErr w:type="spellStart"/>
      <w:r>
        <w:rPr>
          <w:rFonts w:ascii="Arial" w:hAnsi="Arial"/>
          <w:sz w:val="20"/>
          <w:szCs w:val="20"/>
        </w:rPr>
        <w:t>Sangmin</w:t>
      </w:r>
      <w:proofErr w:type="spellEnd"/>
      <w:r>
        <w:rPr>
          <w:rFonts w:ascii="Arial" w:hAnsi="Arial"/>
          <w:sz w:val="20"/>
          <w:szCs w:val="20"/>
        </w:rPr>
        <w:t xml:space="preserve"> p</w:t>
      </w:r>
      <w:r>
        <w:rPr>
          <w:rFonts w:ascii="Arial" w:hAnsi="Arial"/>
          <w:sz w:val="20"/>
          <w:szCs w:val="20"/>
        </w:rPr>
        <w:t xml:space="preserve">ark, </w:t>
      </w:r>
      <w:proofErr w:type="spellStart"/>
      <w:r>
        <w:rPr>
          <w:rFonts w:ascii="Arial" w:hAnsi="Arial"/>
          <w:sz w:val="20"/>
          <w:szCs w:val="20"/>
        </w:rPr>
        <w:t>Senthilkumar</w:t>
      </w:r>
      <w:proofErr w:type="spellEnd"/>
      <w:r>
        <w:rPr>
          <w:rFonts w:ascii="Arial" w:hAnsi="Arial"/>
          <w:sz w:val="20"/>
          <w:szCs w:val="20"/>
        </w:rPr>
        <w:t xml:space="preserve"> Baskar, </w:t>
      </w:r>
      <w:proofErr w:type="spellStart"/>
      <w:r>
        <w:rPr>
          <w:rFonts w:ascii="Arial" w:hAnsi="Arial"/>
          <w:sz w:val="20"/>
          <w:szCs w:val="20"/>
        </w:rPr>
        <w:t>Kyoungho</w:t>
      </w:r>
      <w:proofErr w:type="spellEnd"/>
      <w:r>
        <w:rPr>
          <w:rFonts w:ascii="Arial" w:hAnsi="Arial"/>
          <w:sz w:val="20"/>
          <w:szCs w:val="20"/>
        </w:rPr>
        <w:t xml:space="preserve"> Kim, Soo Min Hwang, </w:t>
      </w:r>
      <w:proofErr w:type="spellStart"/>
      <w:r>
        <w:rPr>
          <w:rFonts w:ascii="Arial" w:hAnsi="Arial"/>
          <w:sz w:val="20"/>
          <w:szCs w:val="20"/>
        </w:rPr>
        <w:t>Youngsik</w:t>
      </w:r>
      <w:proofErr w:type="spellEnd"/>
      <w:r>
        <w:rPr>
          <w:rFonts w:ascii="Arial" w:hAnsi="Arial"/>
          <w:sz w:val="20"/>
          <w:szCs w:val="20"/>
        </w:rPr>
        <w:t xml:space="preserve"> </w:t>
      </w:r>
      <w:proofErr w:type="spellStart"/>
      <w:r>
        <w:rPr>
          <w:rFonts w:ascii="Arial" w:hAnsi="Arial"/>
          <w:sz w:val="20"/>
          <w:szCs w:val="20"/>
        </w:rPr>
        <w:t>kim</w:t>
      </w:r>
      <w:proofErr w:type="spellEnd"/>
      <w:r>
        <w:rPr>
          <w:rFonts w:ascii="Arial" w:hAnsi="Arial"/>
          <w:sz w:val="20"/>
          <w:szCs w:val="20"/>
        </w:rPr>
        <w:t>, Saltwater as the energy source for low-cost, safe rechargeable batteries, Journal of Materials chemistry A, 4(19) (2016) 7207.</w:t>
      </w:r>
    </w:p>
    <w:p w:rsidR="00F154DC" w:rsidRDefault="00F154DC">
      <w:pPr>
        <w:jc w:val="both"/>
        <w:rPr>
          <w:rFonts w:ascii="Arial" w:hAnsi="Arial"/>
        </w:rPr>
      </w:pPr>
    </w:p>
    <w:p w:rsidR="00F154DC" w:rsidRDefault="00F154DC">
      <w:pPr>
        <w:jc w:val="both"/>
        <w:rPr>
          <w:rFonts w:ascii="Arial" w:hAnsi="Arial"/>
        </w:rPr>
      </w:pPr>
    </w:p>
    <w:p w:rsidR="00F154DC" w:rsidRDefault="00F154DC">
      <w:pPr>
        <w:jc w:val="both"/>
        <w:rPr>
          <w:rFonts w:ascii="Arial" w:hAnsi="Arial" w:cs="Times New Roman"/>
          <w:sz w:val="24"/>
          <w:szCs w:val="24"/>
        </w:rPr>
      </w:pPr>
    </w:p>
    <w:p w:rsidR="00F154DC" w:rsidRDefault="00F154DC">
      <w:pPr>
        <w:spacing w:after="0" w:line="360" w:lineRule="auto"/>
        <w:jc w:val="both"/>
        <w:rPr>
          <w:rFonts w:ascii="Arial" w:hAnsi="Arial"/>
          <w:sz w:val="24"/>
          <w:szCs w:val="24"/>
        </w:rPr>
      </w:pPr>
    </w:p>
    <w:sectPr w:rsidR="00F154DC">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04F1" w:rsidRDefault="00AD04F1" w:rsidP="009E5D0D">
      <w:pPr>
        <w:spacing w:after="0" w:line="240" w:lineRule="auto"/>
      </w:pPr>
      <w:r>
        <w:separator/>
      </w:r>
    </w:p>
  </w:endnote>
  <w:endnote w:type="continuationSeparator" w:id="0">
    <w:p w:rsidR="00AD04F1" w:rsidRDefault="00AD04F1" w:rsidP="009E5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Liberation Serif">
    <w:altName w:val="Times New Roman"/>
    <w:charset w:val="01"/>
    <w:family w:val="swiss"/>
    <w:pitch w:val="variable"/>
  </w:font>
  <w:font w:name="DejaVu Sans">
    <w:altName w:val="Arial Unicode MS"/>
    <w:charset w:val="80"/>
    <w:family w:val="auto"/>
    <w:pitch w:val="variable"/>
    <w:sig w:usb0="00000000" w:usb1="08070000" w:usb2="00000010" w:usb3="00000000" w:csb0="00020000" w:csb1="00000000"/>
  </w:font>
  <w:font w:name="Noto Sans Arabic">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D0D" w:rsidRDefault="009E5D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D0D" w:rsidRDefault="009E5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D0D" w:rsidRDefault="009E5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04F1" w:rsidRDefault="00AD04F1" w:rsidP="009E5D0D">
      <w:pPr>
        <w:spacing w:after="0" w:line="240" w:lineRule="auto"/>
      </w:pPr>
      <w:r>
        <w:separator/>
      </w:r>
    </w:p>
  </w:footnote>
  <w:footnote w:type="continuationSeparator" w:id="0">
    <w:p w:rsidR="00AD04F1" w:rsidRDefault="00AD04F1" w:rsidP="009E5D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D0D" w:rsidRDefault="009E5D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28775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D0D" w:rsidRDefault="009E5D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28775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D0D" w:rsidRDefault="009E5D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28775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4DC"/>
    <w:rsid w:val="0065617D"/>
    <w:rsid w:val="009E5D0D"/>
    <w:rsid w:val="00AD04F1"/>
    <w:rsid w:val="00E752EA"/>
    <w:rsid w:val="00F154DC"/>
    <w:rsid w:val="00F3679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B21D038-760B-45DE-9E67-84B1733F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1492"/>
    <w:pPr>
      <w:spacing w:after="200" w:line="276" w:lineRule="auto"/>
    </w:pPr>
  </w:style>
  <w:style w:type="paragraph" w:styleId="Heading2">
    <w:name w:val="heading 2"/>
    <w:basedOn w:val="Heading"/>
    <w:next w:val="BodyText"/>
    <w:qFormat/>
    <w:pPr>
      <w:spacing w:before="200"/>
      <w:outlineLvl w:val="1"/>
    </w:pPr>
    <w:rPr>
      <w:rFonts w:ascii="Liberation Serif" w:eastAsia="DejaVu Sans" w:hAnsi="Liberation Serif" w:cs="Noto Sans Arabic"/>
      <w:b/>
      <w:bCs/>
      <w:sz w:val="36"/>
      <w:szCs w:val="36"/>
    </w:rPr>
  </w:style>
  <w:style w:type="paragraph" w:styleId="Heading3">
    <w:name w:val="heading 3"/>
    <w:basedOn w:val="Heading"/>
    <w:next w:val="BodyText"/>
    <w:qFormat/>
    <w:pPr>
      <w:spacing w:before="140"/>
      <w:outlineLvl w:val="2"/>
    </w:pPr>
    <w:rPr>
      <w:rFonts w:ascii="Liberation Serif" w:eastAsia="DejaVu Sans" w:hAnsi="Liberation Serif" w:cs="Noto Sans Arab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customStyle="1" w:styleId="NumberingSymbols">
    <w:name w:val="Numbering Symbols"/>
    <w:qFormat/>
  </w:style>
  <w:style w:type="character" w:styleId="Strong">
    <w:name w:val="Strong"/>
    <w:qFormat/>
    <w:rPr>
      <w:b/>
      <w:b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361492"/>
    <w:pPr>
      <w:ind w:left="720"/>
      <w:contextualSpacing/>
    </w:pPr>
  </w:style>
  <w:style w:type="character" w:styleId="UnresolvedMention">
    <w:name w:val="Unresolved Mention"/>
    <w:basedOn w:val="DefaultParagraphFont"/>
    <w:uiPriority w:val="99"/>
    <w:semiHidden/>
    <w:unhideWhenUsed/>
    <w:rsid w:val="00F3679A"/>
    <w:rPr>
      <w:color w:val="605E5C"/>
      <w:shd w:val="clear" w:color="auto" w:fill="E1DFDD"/>
    </w:rPr>
  </w:style>
  <w:style w:type="paragraph" w:styleId="Header">
    <w:name w:val="header"/>
    <w:basedOn w:val="Normal"/>
    <w:link w:val="HeaderChar"/>
    <w:uiPriority w:val="99"/>
    <w:unhideWhenUsed/>
    <w:rsid w:val="009E5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D0D"/>
  </w:style>
  <w:style w:type="paragraph" w:styleId="Footer">
    <w:name w:val="footer"/>
    <w:basedOn w:val="Normal"/>
    <w:link w:val="FooterChar"/>
    <w:uiPriority w:val="99"/>
    <w:unhideWhenUsed/>
    <w:rsid w:val="009E5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researchgate.net/scientific-contributions/Oluwaseun-Kilanko-2060719236?_tp=eyJjb250ZXh0Ijp7ImZpcnN0UGFnZSI6InB1YmxpY2F0aW9uIiwicGFnZSI6InB1YmxpY2F0aW9uIn19" TargetMode="External"/><Relationship Id="rId18" Type="http://schemas.openxmlformats.org/officeDocument/2006/relationships/hyperlink" Target="https://www.researchgate.net/profile/Olatunde-Abidakun?_tp=eyJjb250ZXh0Ijp7ImZpcnN0UGFnZSI6InB1YmxpY2F0aW9uIiwicGFnZSI6InB1YmxpY2F0aW9uIn19" TargetMode="External"/><Relationship Id="rId26" Type="http://schemas.openxmlformats.org/officeDocument/2006/relationships/hyperlink" Target="https://www.researchgate.net/journal/VOLT-Jurnal-Ilmiah-Pendidikan-Teknik-Elektro-2528-5696?_tp=eyJjb250ZXh0Ijp7ImZpcnN0UGFnZSI6InB1YmxpY2F0aW9uIiwicGFnZSI6InB1YmxpY2F0aW9uIn19" TargetMode="External"/><Relationship Id="rId21" Type="http://schemas.openxmlformats.org/officeDocument/2006/relationships/hyperlink" Target="https://www.sciencedirect.com/journal/geoscience-frontiers" TargetMode="External"/><Relationship Id="rId34"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hyperlink" Target="https://www.researchgate.net/profile/Chinwe-Nwanya?_tp=eyJjb250ZXh0Ijp7ImZpcnN0UGFnZSI6InB1YmxpY2F0aW9uIiwicGFnZSI6InB1YmxpY2F0aW9uIn19" TargetMode="External"/><Relationship Id="rId17" Type="http://schemas.openxmlformats.org/officeDocument/2006/relationships/hyperlink" Target="https://www.researchgate.net/profile/Joseph-Adewumi-Oyebanji?_tp=eyJjb250ZXh0Ijp7ImZpcnN0UGFnZSI6InB1YmxpY2F0aW9uIiwicGFnZSI6InB1YmxpY2F0aW9uIn19" TargetMode="External"/><Relationship Id="rId25" Type="http://schemas.openxmlformats.org/officeDocument/2006/relationships/hyperlink" Target="https://doi.org/10.1557/opl.2013.219?urlappend=%3Futm_source%3Dresearchgate.net%26utm_medium%3Darticle"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www.researchgate.net/profile/Adekeye-Tunde?_tp=eyJjb250ZXh0Ijp7ImZpcnN0UGFnZSI6InB1YmxpY2F0aW9uIiwicGFnZSI6InB1YmxpY2F0aW9uIn19" TargetMode="External"/><Relationship Id="rId20" Type="http://schemas.openxmlformats.org/officeDocument/2006/relationships/hyperlink" Target="https://www.researchgate.net/journal/European-Journal-of-Sustainable-Development-Research-2542-4742?_tp=eyJjb250ZXh0Ijp7ImZpcnN0UGFnZSI6InB1YmxpY2F0aW9uIiwicGFnZSI6InB1YmxpY2F0aW9uIn19" TargetMode="External"/><Relationship Id="rId29" Type="http://schemas.openxmlformats.org/officeDocument/2006/relationships/hyperlink" Target="https://www.researchgate.net/journal/Acadlore-Transactions-on-Geosciences-2958-1877?_tp=eyJjb250ZXh0Ijp7ImZpcnN0UGFnZSI6InB1YmxpY2F0aW9uIiwicGFnZSI6InB1YmxpY2F0aW9uIn19"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researchgate.net/profile/Philip-Babalola?_tp=eyJjb250ZXh0Ijp7ImZpcnN0UGFnZSI6InB1YmxpY2F0aW9uIiwicGFnZSI6InB1YmxpY2F0aW9uIn19" TargetMode="External"/><Relationship Id="rId24" Type="http://schemas.openxmlformats.org/officeDocument/2006/relationships/hyperlink" Target="https://www.researchgate.net/journal/Materials-Research-Society-symposia-proceedings-Materials-Research-Society-1946-4274?_tp=eyJjb250ZXh0Ijp7ImZpcnN0UGFnZSI6InB1YmxpY2F0aW9uIiwicGFnZSI6InB1YmxpY2F0aW9uIn19"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researchgate.net/profile/Abraham-Aworinde?_tp=eyJjb250ZXh0Ijp7ImZpcnN0UGFnZSI6InB1YmxpY2F0aW9uIiwicGFnZSI6InB1YmxpY2F0aW9uIn19" TargetMode="External"/><Relationship Id="rId23" Type="http://schemas.openxmlformats.org/officeDocument/2006/relationships/hyperlink" Target="https://doi.org/10.1016/j.eist.2014.09.004" TargetMode="External"/><Relationship Id="rId28" Type="http://schemas.openxmlformats.org/officeDocument/2006/relationships/hyperlink" Target="https://doi.org/10.1039/c1cs15228a" TargetMode="External"/><Relationship Id="rId36" Type="http://schemas.openxmlformats.org/officeDocument/2006/relationships/fontTable" Target="fontTable.xml"/><Relationship Id="rId10" Type="http://schemas.openxmlformats.org/officeDocument/2006/relationships/hyperlink" Target="https://www.researchgate.net/profile/Sunday-Oyedepo?_tp=eyJjb250ZXh0Ijp7ImZpcnN0UGFnZSI6InB1YmxpY2F0aW9uIiwicGFnZSI6InB1YmxpY2F0aW9uIn19" TargetMode="External"/><Relationship Id="rId19" Type="http://schemas.openxmlformats.org/officeDocument/2006/relationships/hyperlink" Target="https://www.researchgate.net/scientific-contributions/Orobome-Larry-Agberegha-2147182834?_tp=eyJjb250ZXh0Ijp7ImZpcnN0UGFnZSI6InB1YmxpY2F0aW9uIiwicGFnZSI6InB1YmxpY2F0aW9uIn19" TargetMode="External"/><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www.sciencedirect.com/journal/energy-strategy-reviews/vol/59/suppl/C" TargetMode="External"/><Relationship Id="rId14" Type="http://schemas.openxmlformats.org/officeDocument/2006/relationships/hyperlink" Target="https://www.researchgate.net/profile/Oluwafemi-Leramo?_tp=eyJjb250ZXh0Ijp7ImZpcnN0UGFnZSI6InB1YmxpY2F0aW9uIiwicGFnZSI6InB1YmxpY2F0aW9uIn19" TargetMode="External"/><Relationship Id="rId22" Type="http://schemas.openxmlformats.org/officeDocument/2006/relationships/hyperlink" Target="https://doi.org/10.13140/RG.2.2.14418.67528" TargetMode="External"/><Relationship Id="rId27" Type="http://schemas.openxmlformats.org/officeDocument/2006/relationships/hyperlink" Target="https://doi.org/10.3390/su12135233"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doi.org/10.1007/978-3-319-23537-0_2"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8</Pages>
  <Words>3503</Words>
  <Characters>19970</Characters>
  <Application>Microsoft Office Word</Application>
  <DocSecurity>0</DocSecurity>
  <Lines>166</Lines>
  <Paragraphs>46</Paragraphs>
  <ScaleCrop>false</ScaleCrop>
  <Company/>
  <LinksUpToDate>false</LinksUpToDate>
  <CharactersWithSpaces>23427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PATRICK</dc:creator>
  <dc:description/>
  <cp:lastModifiedBy>SDI 1084</cp:lastModifiedBy>
  <cp:revision>43</cp:revision>
  <dcterms:created xsi:type="dcterms:W3CDTF">2025-07-14T11:52:00Z</dcterms:created>
  <dcterms:modified xsi:type="dcterms:W3CDTF">2026-03-24T10:59:00Z</dcterms:modified>
  <dc:language>en-NG</dc:language>
</cp:coreProperties>
</file>