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3D5A" w14:textId="77777777" w:rsidR="00637D0A" w:rsidRDefault="00684975">
      <w:pPr>
        <w:pStyle w:val="Title"/>
        <w:spacing w:after="0"/>
        <w:jc w:val="both"/>
        <w:rPr>
          <w:rFonts w:ascii="Calibri" w:hAnsi="Calibri"/>
          <w:sz w:val="22"/>
          <w:szCs w:val="22"/>
        </w:rPr>
      </w:pPr>
      <w:r>
        <w:rPr>
          <w:rFonts w:ascii="Calibri" w:hAnsi="Calibri"/>
          <w:sz w:val="22"/>
          <w:szCs w:val="22"/>
        </w:rPr>
        <w:t>Original Research Article</w:t>
      </w:r>
    </w:p>
    <w:p w14:paraId="1ADE6A8F" w14:textId="77777777" w:rsidR="00684975" w:rsidRDefault="00684975">
      <w:pPr>
        <w:pStyle w:val="Title"/>
        <w:spacing w:after="0"/>
        <w:jc w:val="both"/>
        <w:rPr>
          <w:rFonts w:ascii="Arial" w:hAnsi="Arial" w:cs="Arial"/>
        </w:rPr>
      </w:pPr>
    </w:p>
    <w:p w14:paraId="61AAA0A7" w14:textId="77777777" w:rsidR="00637D0A" w:rsidRDefault="00441CE7">
      <w:pPr>
        <w:pStyle w:val="Author"/>
        <w:spacing w:line="240" w:lineRule="auto"/>
        <w:rPr>
          <w:rFonts w:ascii="Arial" w:hAnsi="Arial" w:cs="Arial"/>
          <w:bCs/>
          <w:iCs/>
          <w:kern w:val="28"/>
          <w:sz w:val="36"/>
          <w:szCs w:val="36"/>
        </w:rPr>
      </w:pPr>
      <w:r>
        <w:rPr>
          <w:rFonts w:ascii="Arial" w:eastAsia="SimSun" w:hAnsi="Arial" w:cs="Arial"/>
          <w:sz w:val="36"/>
          <w:szCs w:val="36"/>
        </w:rPr>
        <w:t>Determinants of Firm Value: The Moderating Role of Dividend Policy in Food and Beverage Companies</w:t>
      </w:r>
      <w:r>
        <w:rPr>
          <w:rFonts w:ascii="Arial" w:hAnsi="Arial" w:cs="Arial"/>
          <w:bCs/>
          <w:iCs/>
          <w:kern w:val="28"/>
          <w:sz w:val="36"/>
          <w:szCs w:val="36"/>
        </w:rPr>
        <w:t xml:space="preserve"> </w:t>
      </w:r>
    </w:p>
    <w:p w14:paraId="34ADC3B0" w14:textId="77777777" w:rsidR="00684975" w:rsidRDefault="00684975">
      <w:pPr>
        <w:pStyle w:val="Affiliation"/>
        <w:spacing w:after="0" w:line="240" w:lineRule="auto"/>
        <w:rPr>
          <w:rFonts w:ascii="Arial" w:hAnsi="Arial" w:cs="Arial"/>
          <w:i/>
        </w:rPr>
      </w:pPr>
    </w:p>
    <w:p w14:paraId="0938FB47" w14:textId="77777777" w:rsidR="00684975" w:rsidRDefault="00684975">
      <w:pPr>
        <w:pStyle w:val="Affiliation"/>
        <w:spacing w:after="0" w:line="240" w:lineRule="auto"/>
        <w:rPr>
          <w:rFonts w:ascii="Arial" w:hAnsi="Arial" w:cs="Arial"/>
          <w:i/>
        </w:rPr>
      </w:pPr>
    </w:p>
    <w:p w14:paraId="6A0C7914" w14:textId="77777777" w:rsidR="00637D0A" w:rsidRDefault="00637D0A">
      <w:pPr>
        <w:pStyle w:val="Affiliation"/>
        <w:spacing w:after="0" w:line="240" w:lineRule="auto"/>
        <w:rPr>
          <w:rFonts w:ascii="Arial" w:hAnsi="Arial" w:cs="Arial"/>
          <w:i/>
        </w:rPr>
      </w:pPr>
    </w:p>
    <w:p w14:paraId="7B8DED7F" w14:textId="77777777" w:rsidR="00637D0A" w:rsidRDefault="00441CE7">
      <w:pPr>
        <w:pStyle w:val="Copyright"/>
        <w:spacing w:after="0" w:line="240" w:lineRule="auto"/>
        <w:jc w:val="both"/>
        <w:rPr>
          <w:rFonts w:ascii="Arial" w:hAnsi="Arial" w:cs="Arial"/>
        </w:rPr>
        <w:sectPr w:rsidR="00637D0A" w:rsidSect="005C2D7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7987326" wp14:editId="7E861E7D">
                <wp:extent cx="5303520" cy="0"/>
                <wp:effectExtent l="0" t="9525" r="11430" b="9525"/>
                <wp:docPr id="3" name="Autobentuk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003782E" id="_x0000_t32" coordsize="21600,21600" o:spt="32" o:oned="t" path="m,l21600,21600e" filled="f">
                <v:path arrowok="t" fillok="f" o:connecttype="none"/>
                <o:lock v:ext="edit" shapetype="t"/>
              </v:shapetype>
              <v:shape id="Autobentuk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0EDD1D4C" w14:textId="77777777" w:rsidR="00637D0A" w:rsidRDefault="00441CE7">
      <w:pPr>
        <w:pStyle w:val="AbstHead"/>
        <w:spacing w:after="0"/>
        <w:jc w:val="both"/>
        <w:rPr>
          <w:rFonts w:ascii="Arial" w:hAnsi="Arial" w:cs="Arial"/>
        </w:rPr>
      </w:pPr>
      <w:r>
        <w:rPr>
          <w:rFonts w:ascii="Arial" w:hAnsi="Arial" w:cs="Arial"/>
        </w:rPr>
        <w:t xml:space="preserve">ABSTRACT </w:t>
      </w:r>
    </w:p>
    <w:p w14:paraId="53B99F56" w14:textId="77777777" w:rsidR="00637D0A" w:rsidRDefault="00637D0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37D0A" w14:paraId="2D6D593E" w14:textId="77777777">
        <w:tc>
          <w:tcPr>
            <w:tcW w:w="9576" w:type="dxa"/>
            <w:shd w:val="clear" w:color="auto" w:fill="F2F2F2"/>
          </w:tcPr>
          <w:p w14:paraId="13227EF6" w14:textId="77777777" w:rsidR="00637D0A" w:rsidRPr="00CB5962" w:rsidRDefault="00441CE7">
            <w:pPr>
              <w:pStyle w:val="Body"/>
              <w:spacing w:after="0"/>
              <w:rPr>
                <w:rFonts w:ascii="Arial" w:eastAsia="Calibri" w:hAnsi="Arial" w:cs="Arial"/>
                <w:szCs w:val="22"/>
              </w:rPr>
            </w:pPr>
            <w:r w:rsidRPr="00CB5962">
              <w:rPr>
                <w:rFonts w:ascii="Arial" w:hAnsi="Arial" w:cs="Arial"/>
                <w:bCs/>
                <w:sz w:val="22"/>
                <w:szCs w:val="22"/>
                <w:lang w:val="id-ID"/>
              </w:rPr>
              <w:t>This study aims to analyze and test the influence of profitability, liquidity, and firm size on firm value with dividend policy as a moderating variable in companies in the food and beverages subsector listed on the Indonesia Stock Exchange for the period 2021-2024. The sampling method used in this study was purposive sampling, which yielded a sample of 30 companies. The data analysis method used in this study was Moderating Regression Analysis. The results of this study indicate that profitability has a negative and significant effect on firm value, liquidity has a positive and significant effect on firm value, and firm size has no significant effect on firm value. Dividend policy does not moderate the effect of profitability, liquidity, and firm size on firm value.</w:t>
            </w:r>
          </w:p>
        </w:tc>
      </w:tr>
    </w:tbl>
    <w:p w14:paraId="57056A00" w14:textId="77777777" w:rsidR="00637D0A" w:rsidRDefault="00637D0A">
      <w:pPr>
        <w:pStyle w:val="Body"/>
        <w:spacing w:after="0"/>
        <w:rPr>
          <w:rFonts w:ascii="Arial" w:hAnsi="Arial" w:cs="Arial"/>
          <w:i/>
        </w:rPr>
      </w:pPr>
    </w:p>
    <w:p w14:paraId="05C070F9" w14:textId="77777777" w:rsidR="00637D0A" w:rsidRDefault="00441CE7">
      <w:pPr>
        <w:pStyle w:val="Body"/>
        <w:spacing w:after="0"/>
        <w:rPr>
          <w:rFonts w:ascii="Arial" w:hAnsi="Arial" w:cs="Arial"/>
          <w:i/>
          <w:iCs/>
          <w:lang w:val="id-ID"/>
        </w:rPr>
      </w:pPr>
      <w:r>
        <w:rPr>
          <w:rFonts w:ascii="Arial" w:hAnsi="Arial" w:cs="Arial"/>
          <w:i/>
        </w:rPr>
        <w:t xml:space="preserve">Keywords: </w:t>
      </w:r>
      <w:r>
        <w:rPr>
          <w:rFonts w:ascii="Arial" w:hAnsi="Arial" w:cs="Arial"/>
          <w:i/>
          <w:iCs/>
          <w:lang w:val="id-ID"/>
        </w:rPr>
        <w:t>Firm Value; Profitabiliry; Liquidity; Firm Size; Dividend Policy</w:t>
      </w:r>
    </w:p>
    <w:p w14:paraId="42BAB44F" w14:textId="77777777" w:rsidR="00637D0A" w:rsidRDefault="00637D0A">
      <w:pPr>
        <w:pStyle w:val="Body"/>
        <w:spacing w:after="0"/>
        <w:rPr>
          <w:rFonts w:ascii="Arial" w:hAnsi="Arial" w:cs="Arial"/>
          <w:i/>
          <w:iCs/>
          <w:lang w:val="id-ID"/>
        </w:rPr>
      </w:pPr>
    </w:p>
    <w:p w14:paraId="0FA408DA" w14:textId="77777777" w:rsidR="00637D0A" w:rsidRDefault="00441CE7">
      <w:pPr>
        <w:pStyle w:val="AbstHead"/>
        <w:spacing w:after="0"/>
        <w:jc w:val="both"/>
        <w:rPr>
          <w:rFonts w:ascii="Arial" w:hAnsi="Arial" w:cs="Arial"/>
        </w:rPr>
      </w:pPr>
      <w:r>
        <w:rPr>
          <w:rFonts w:ascii="Arial" w:hAnsi="Arial" w:cs="Arial"/>
        </w:rPr>
        <w:t xml:space="preserve">1. INTRODUCTION </w:t>
      </w:r>
    </w:p>
    <w:p w14:paraId="22F457FB" w14:textId="77777777" w:rsidR="00637D0A" w:rsidRDefault="00637D0A">
      <w:pPr>
        <w:pStyle w:val="AbstHead"/>
        <w:spacing w:after="0"/>
        <w:jc w:val="both"/>
        <w:rPr>
          <w:rFonts w:ascii="Arial" w:hAnsi="Arial" w:cs="Arial"/>
        </w:rPr>
      </w:pPr>
    </w:p>
    <w:p w14:paraId="12E00849" w14:textId="77777777" w:rsidR="00637D0A" w:rsidRDefault="00441CE7">
      <w:pPr>
        <w:pStyle w:val="BodyText"/>
        <w:spacing w:before="138" w:line="360" w:lineRule="auto"/>
        <w:ind w:firstLine="0"/>
        <w:rPr>
          <w:rFonts w:ascii="Arial" w:hAnsi="Arial" w:cs="Arial"/>
          <w:lang w:val="id-ID"/>
        </w:rPr>
      </w:pPr>
      <w:r>
        <w:rPr>
          <w:rFonts w:ascii="Arial" w:hAnsi="Arial" w:cs="Arial"/>
          <w:lang w:val="id-ID"/>
        </w:rPr>
        <w:t>In the aftermath of the COVID-19 pandemic, companies across various industrial sectors faced challenges in maintaining the stability of their financial performance. During the pandemic, surging consumer demand, supply chain constraints, and supportive economic policies enabled companies to raise prices without losing customers, thereby sustaining corporate profits. In 2023, the global economic landscape underwent significant changes. Inflation began to slow, supply chains stabilized, and consumer purchasing power declined. These conditions placed significant pressure on many companies to maintain profit margins.</w:t>
      </w:r>
      <w:r>
        <w:rPr>
          <w:rFonts w:ascii="Arial" w:hAnsi="Arial" w:cs="Arial"/>
          <w:vertAlign w:val="superscript"/>
          <w:lang w:val="id-ID"/>
        </w:rPr>
        <w:t>.</w:t>
      </w:r>
    </w:p>
    <w:p w14:paraId="37AA92AA" w14:textId="77777777" w:rsidR="00637D0A" w:rsidRDefault="00441CE7">
      <w:pPr>
        <w:pStyle w:val="BodyText"/>
        <w:spacing w:before="138" w:line="360" w:lineRule="auto"/>
        <w:ind w:firstLine="0"/>
        <w:rPr>
          <w:rFonts w:ascii="Arial" w:hAnsi="Arial" w:cs="Arial"/>
          <w:lang w:val="id-ID"/>
        </w:rPr>
      </w:pPr>
      <w:r>
        <w:rPr>
          <w:rFonts w:ascii="Arial" w:hAnsi="Arial" w:cs="Arial"/>
          <w:lang w:val="id-ID"/>
        </w:rPr>
        <w:t xml:space="preserve">This phenomenon also occurred in the food and beverage sub-sector, where price competition intensified and companies were required to maintain operational efficiency to ensure stable financial performance. This is a critical aspect of corporate value that reflects management’s ability to manage resources and create value for shareholders (Laksono &amp; Wahidahwati, 2024). This situation indicates that companies need effective financial strategies to sustain corporate performance amid shifting economic conditions. One approach </w:t>
      </w:r>
      <w:r>
        <w:rPr>
          <w:rFonts w:ascii="Arial" w:hAnsi="Arial" w:cs="Arial"/>
          <w:lang w:val="id-ID"/>
        </w:rPr>
        <w:lastRenderedPageBreak/>
        <w:t>used to assess corporate performance involves evaluating corporate value, which influences stock prices (Deshi  &amp; Sunday, 2025).</w:t>
      </w:r>
    </w:p>
    <w:p w14:paraId="25C95BCD" w14:textId="77777777" w:rsidR="00637D0A" w:rsidRDefault="00441CE7">
      <w:pPr>
        <w:pStyle w:val="BodyText"/>
        <w:spacing w:before="138" w:line="360" w:lineRule="auto"/>
        <w:ind w:firstLine="0"/>
        <w:rPr>
          <w:rFonts w:ascii="Arial" w:hAnsi="Arial" w:cs="Arial"/>
          <w:lang w:val="id-ID"/>
        </w:rPr>
      </w:pPr>
      <w:r>
        <w:rPr>
          <w:rFonts w:ascii="Arial" w:hAnsi="Arial" w:cs="Arial"/>
          <w:lang w:val="id-ID"/>
        </w:rPr>
        <w:t xml:space="preserve">Companies with sound financial management can enhance their corporate value in the eyes of investors (Yuniningsih et al., 2019). Corporate value also reflects management’s success in managing corporate resources through various implemented financial policies. An increase in corporate value indicates that the market views a company’s performance positively, driven by improved profitability, efficient asset management, transparent financial reporting, and consistent dividend policies (Purnomo et al., 2023). </w:t>
      </w:r>
    </w:p>
    <w:p w14:paraId="38D38B5C" w14:textId="77777777" w:rsidR="00637D0A" w:rsidRDefault="00441CE7">
      <w:pPr>
        <w:pStyle w:val="BodyText"/>
        <w:spacing w:before="138" w:line="360" w:lineRule="auto"/>
        <w:ind w:firstLine="0"/>
        <w:rPr>
          <w:rFonts w:ascii="Arial" w:hAnsi="Arial" w:cs="Arial"/>
          <w:lang w:val="id-ID"/>
        </w:rPr>
      </w:pPr>
      <w:r>
        <w:rPr>
          <w:rFonts w:ascii="Arial" w:hAnsi="Arial" w:cs="Arial"/>
          <w:lang w:val="id-ID"/>
        </w:rPr>
        <w:t xml:space="preserve">A decline </w:t>
      </w:r>
      <w:r>
        <w:rPr>
          <w:rFonts w:ascii="Arial" w:hAnsi="Arial" w:cs="Arial"/>
          <w:i/>
          <w:iCs/>
          <w:lang w:val="id-ID"/>
        </w:rPr>
        <w:t xml:space="preserve">in the Price-to-Book Value ratio </w:t>
      </w:r>
      <w:r>
        <w:rPr>
          <w:rFonts w:ascii="Arial" w:hAnsi="Arial" w:cs="Arial"/>
          <w:lang w:val="id-ID"/>
        </w:rPr>
        <w:t>is evident from the growth rate in 2022 at 0.15, which then decreased to -0.19 in 2023, followed by a further decline to -0.34 in 2024, indicating that the market’s perception of performance in this sector has also deteriorated. Increasing global trade competition has caused the food and beverage industry to experience a decline in profit margins, which impacts company valuations (Murti &amp; Maharani, 2024). This phenomenon occurs when investors perceive operational risks or rising costs as higher than potential profits.</w:t>
      </w:r>
    </w:p>
    <w:p w14:paraId="269611A1" w14:textId="77777777" w:rsidR="00637D0A" w:rsidRDefault="00441CE7">
      <w:pPr>
        <w:pStyle w:val="BodyText"/>
        <w:spacing w:before="138" w:line="360" w:lineRule="auto"/>
        <w:ind w:firstLine="0"/>
        <w:rPr>
          <w:rFonts w:ascii="Arial" w:hAnsi="Arial" w:cs="Arial"/>
          <w:lang w:val="id-ID"/>
        </w:rPr>
      </w:pPr>
      <w:r>
        <w:rPr>
          <w:rFonts w:ascii="Arial" w:hAnsi="Arial" w:cs="Arial"/>
          <w:lang w:val="id-ID"/>
        </w:rPr>
        <w:t xml:space="preserve">Corporate value is measured using the Price-to-Book Value (PBV) ratio, which reflects the comparison between the stock price and the book value per share. The PBV ratio indicates how the market evaluates a company’s performance and its future prospects. The higher the PBV value, the greater the level of investor confidence in the company’s ability to create value for shareholders. </w:t>
      </w:r>
    </w:p>
    <w:p w14:paraId="662F12B8" w14:textId="77777777" w:rsidR="00637D0A" w:rsidRDefault="00441CE7">
      <w:pPr>
        <w:pStyle w:val="BodyText"/>
        <w:spacing w:before="138" w:line="360" w:lineRule="auto"/>
        <w:ind w:firstLine="0"/>
        <w:rPr>
          <w:rFonts w:ascii="Arial" w:hAnsi="Arial" w:cs="Arial"/>
          <w:lang w:val="id-ID"/>
        </w:rPr>
      </w:pPr>
      <w:r>
        <w:rPr>
          <w:rFonts w:ascii="Arial" w:hAnsi="Arial" w:cs="Arial"/>
          <w:lang w:val="id-ID"/>
        </w:rPr>
        <w:t>A company’s value can be influenced by various internal factors, one of which is profitability. Profitability reflects a company’s ability to generate profits from its operational activities. It is used to assess a company’s financial performance and the success of management in creating economic value (Ardianto, 2023). A company with a high level of profitability indicates that it has good prospects and can provide significant stock returns (Lutfita &amp; Takarini, 2021).</w:t>
      </w:r>
    </w:p>
    <w:p w14:paraId="36EE16C1" w14:textId="77777777" w:rsidR="00637D0A" w:rsidRDefault="00441CE7">
      <w:pPr>
        <w:pStyle w:val="BodyText"/>
        <w:spacing w:before="138" w:line="360" w:lineRule="auto"/>
        <w:rPr>
          <w:rFonts w:ascii="Arial" w:hAnsi="Arial" w:cs="Arial"/>
          <w:lang w:val="id-ID"/>
        </w:rPr>
      </w:pPr>
      <w:r>
        <w:rPr>
          <w:rFonts w:ascii="Arial" w:hAnsi="Arial" w:cs="Arial"/>
          <w:lang w:val="id-ID"/>
        </w:rPr>
        <w:tab/>
        <w:t xml:space="preserve">Liquidity is also a factor that can influence investors’ assessment of a company. A company is considered liquid if its current assets exceed its total liabilities (Utami &amp; Kushermanto, 2024). Companies with good liquidity are deemed to have stable financial conditions, enabling them to sustain their operational activities. </w:t>
      </w:r>
    </w:p>
    <w:p w14:paraId="66EBB1E4" w14:textId="77777777" w:rsidR="00637D0A" w:rsidRDefault="00441CE7">
      <w:pPr>
        <w:pStyle w:val="BodyText"/>
        <w:spacing w:before="138" w:line="360" w:lineRule="auto"/>
        <w:rPr>
          <w:rFonts w:ascii="Arial" w:hAnsi="Arial" w:cs="Arial"/>
          <w:lang w:val="id-ID"/>
        </w:rPr>
      </w:pPr>
      <w:r>
        <w:rPr>
          <w:rFonts w:ascii="Arial" w:hAnsi="Arial" w:cs="Arial"/>
          <w:lang w:val="id-ID"/>
        </w:rPr>
        <w:tab/>
        <w:t xml:space="preserve">Company size is a factor influencing corporate value as it reflects the scale of operations and the company’s economic capacity, indicating its financial strength and ability to manage business risks. Company size—defined by total assets, sales, and market </w:t>
      </w:r>
      <w:r>
        <w:rPr>
          <w:rFonts w:ascii="Arial" w:hAnsi="Arial" w:cs="Arial"/>
          <w:lang w:val="id-ID"/>
        </w:rPr>
        <w:lastRenderedPageBreak/>
        <w:t xml:space="preserve">capitalization—can indicate a company’s condition, where larger companies have an advantage in accessing funding to finance investments aimed at generating profits (Toni &amp; Anggara, 2021). </w:t>
      </w:r>
    </w:p>
    <w:p w14:paraId="7B14787A" w14:textId="77777777" w:rsidR="00637D0A" w:rsidRDefault="00441CE7">
      <w:pPr>
        <w:pStyle w:val="BodyText"/>
        <w:spacing w:before="138" w:line="360" w:lineRule="auto"/>
        <w:rPr>
          <w:rFonts w:ascii="Arial" w:hAnsi="Arial" w:cs="Arial"/>
          <w:lang w:val="id-ID"/>
        </w:rPr>
      </w:pPr>
      <w:r>
        <w:rPr>
          <w:rFonts w:ascii="Arial" w:hAnsi="Arial" w:cs="Arial"/>
          <w:lang w:val="id-ID"/>
        </w:rPr>
        <w:tab/>
        <w:t xml:space="preserve">Dividend policy is a management decision regarding the portion of net profit to be distributed to shareholders in the form of dividends. This policy reflects the company’s financial condition and stability, as companies with strong financial performance tend to be able to distribute dividends consistently (Yuniati, 2019). Stable dividend payments are perceived as a positive signal that can enhance investor confidence and contribute to an increase in corporate value. </w:t>
      </w:r>
    </w:p>
    <w:p w14:paraId="5B5EDBCD" w14:textId="77777777" w:rsidR="00637D0A" w:rsidRDefault="00441CE7">
      <w:pPr>
        <w:pStyle w:val="BodyText"/>
        <w:spacing w:before="138" w:line="360" w:lineRule="auto"/>
        <w:ind w:firstLine="720"/>
        <w:rPr>
          <w:rFonts w:ascii="Arial" w:hAnsi="Arial" w:cs="Arial"/>
          <w:i/>
          <w:iCs/>
          <w:lang w:val="id-ID"/>
        </w:rPr>
      </w:pPr>
      <w:r>
        <w:rPr>
          <w:rFonts w:ascii="Arial" w:hAnsi="Arial" w:cs="Arial"/>
          <w:lang w:val="id-ID"/>
        </w:rPr>
        <w:t xml:space="preserve">Companies with strong financial performance are expected to increase their value in the eyes of investors. However, in reality, there are still companies with high levels of profitability, liquidity, and company size that do not always see an increase in corporate value as reflected in </w:t>
      </w:r>
      <w:r>
        <w:rPr>
          <w:rFonts w:ascii="Arial" w:hAnsi="Arial" w:cs="Arial"/>
          <w:i/>
          <w:iCs/>
          <w:lang w:val="id-ID"/>
        </w:rPr>
        <w:t>the price-to-book ratio.</w:t>
      </w:r>
    </w:p>
    <w:p w14:paraId="61232E7F" w14:textId="77777777" w:rsidR="00637D0A" w:rsidRDefault="00441CE7">
      <w:pPr>
        <w:pStyle w:val="BodyText"/>
        <w:spacing w:before="138" w:line="360" w:lineRule="auto"/>
        <w:rPr>
          <w:rFonts w:ascii="Arial" w:hAnsi="Arial" w:cs="Arial"/>
          <w:lang w:val="id-ID"/>
        </w:rPr>
      </w:pPr>
      <w:r>
        <w:rPr>
          <w:rFonts w:ascii="Arial" w:hAnsi="Arial" w:cs="Arial"/>
          <w:lang w:val="id-ID"/>
        </w:rPr>
        <w:tab/>
        <w:t xml:space="preserve">Based on the explanation above, changes in a company’s value can be influenced by profitability, liquidity, and firm size. However, it remains unclear whether dividend policy, as a moderating variable, influences the relationship between profitability, liquidity, and firm size and firm value in the </w:t>
      </w:r>
      <w:r>
        <w:rPr>
          <w:rFonts w:ascii="Arial" w:hAnsi="Arial" w:cs="Arial"/>
          <w:i/>
          <w:iCs/>
          <w:lang w:val="id-ID"/>
        </w:rPr>
        <w:t xml:space="preserve">food and beverage </w:t>
      </w:r>
      <w:r>
        <w:rPr>
          <w:rFonts w:ascii="Arial" w:hAnsi="Arial" w:cs="Arial"/>
          <w:lang w:val="id-ID"/>
        </w:rPr>
        <w:t>subsector.</w:t>
      </w:r>
    </w:p>
    <w:p w14:paraId="1DBBB4FA" w14:textId="77777777" w:rsidR="00637D0A" w:rsidRDefault="00441CE7">
      <w:pPr>
        <w:pStyle w:val="BodyText"/>
        <w:spacing w:before="138" w:line="360" w:lineRule="auto"/>
        <w:ind w:firstLine="0"/>
        <w:jc w:val="center"/>
        <w:rPr>
          <w:rFonts w:ascii="Arial" w:hAnsi="Arial" w:cs="Arial"/>
          <w:lang w:val="id-ID"/>
        </w:rPr>
      </w:pPr>
      <w:r>
        <w:rPr>
          <w:noProof/>
        </w:rPr>
        <w:drawing>
          <wp:inline distT="0" distB="0" distL="114300" distR="114300" wp14:anchorId="7A4CAF9F" wp14:editId="6AFA5DAC">
            <wp:extent cx="3726815" cy="2372995"/>
            <wp:effectExtent l="0" t="0" r="6985" b="8255"/>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a:picLocks noChangeAspect="1"/>
                    </pic:cNvPicPr>
                  </pic:nvPicPr>
                  <pic:blipFill>
                    <a:blip r:embed="rId15"/>
                    <a:stretch>
                      <a:fillRect/>
                    </a:stretch>
                  </pic:blipFill>
                  <pic:spPr>
                    <a:xfrm>
                      <a:off x="0" y="0"/>
                      <a:ext cx="3726815" cy="2372995"/>
                    </a:xfrm>
                    <a:prstGeom prst="rect">
                      <a:avLst/>
                    </a:prstGeom>
                    <a:noFill/>
                    <a:ln>
                      <a:noFill/>
                    </a:ln>
                  </pic:spPr>
                </pic:pic>
              </a:graphicData>
            </a:graphic>
          </wp:inline>
        </w:drawing>
      </w:r>
    </w:p>
    <w:p w14:paraId="451A9171" w14:textId="77777777" w:rsidR="00637D0A" w:rsidRDefault="00441CE7">
      <w:pPr>
        <w:pStyle w:val="Heading1"/>
        <w:spacing w:before="0" w:after="0" w:line="276" w:lineRule="auto"/>
        <w:ind w:left="1440" w:firstLine="720"/>
        <w:jc w:val="both"/>
        <w:rPr>
          <w:rFonts w:cs="Arial"/>
          <w:sz w:val="22"/>
          <w:szCs w:val="22"/>
          <w:lang w:val="id-ID"/>
        </w:rPr>
      </w:pPr>
      <w:r>
        <w:rPr>
          <w:rFonts w:cs="Arial"/>
          <w:sz w:val="22"/>
          <w:szCs w:val="22"/>
          <w:lang w:val="id-ID"/>
        </w:rPr>
        <w:t>Fig 1. Conceptual framework of research</w:t>
      </w:r>
    </w:p>
    <w:p w14:paraId="274A85DA" w14:textId="77777777" w:rsidR="00637D0A" w:rsidRDefault="00637D0A">
      <w:pPr>
        <w:rPr>
          <w:lang w:val="id-ID"/>
        </w:rPr>
      </w:pPr>
    </w:p>
    <w:p w14:paraId="70FDC1F3" w14:textId="77777777" w:rsidR="00637D0A" w:rsidRDefault="00441CE7">
      <w:pPr>
        <w:pStyle w:val="NormalWeb"/>
        <w:jc w:val="both"/>
        <w:rPr>
          <w:rFonts w:ascii="Arial" w:hAnsi="Arial" w:cs="Arial"/>
          <w:sz w:val="21"/>
          <w:szCs w:val="21"/>
        </w:rPr>
      </w:pPr>
      <w:r>
        <w:rPr>
          <w:rStyle w:val="Strong"/>
          <w:rFonts w:ascii="Arial" w:hAnsi="Arial" w:cs="Arial"/>
          <w:b w:val="0"/>
          <w:bCs w:val="0"/>
          <w:sz w:val="21"/>
          <w:szCs w:val="21"/>
        </w:rPr>
        <w:t>H1:</w:t>
      </w:r>
      <w:r>
        <w:rPr>
          <w:rFonts w:ascii="Arial" w:hAnsi="Arial" w:cs="Arial"/>
          <w:sz w:val="21"/>
          <w:szCs w:val="21"/>
        </w:rPr>
        <w:t xml:space="preserve"> Profitability has a positive effect on Firm Value in food and beverage sub-sector companies listed on the Indonesia Stock Exchange (IDX).</w:t>
      </w:r>
    </w:p>
    <w:p w14:paraId="52068B9A" w14:textId="77777777" w:rsidR="00637D0A" w:rsidRDefault="00441CE7">
      <w:pPr>
        <w:pStyle w:val="NormalWeb"/>
        <w:jc w:val="both"/>
        <w:rPr>
          <w:rFonts w:ascii="Arial" w:hAnsi="Arial" w:cs="Arial"/>
          <w:sz w:val="21"/>
          <w:szCs w:val="21"/>
        </w:rPr>
      </w:pPr>
      <w:r>
        <w:rPr>
          <w:rStyle w:val="Strong"/>
          <w:rFonts w:ascii="Arial" w:hAnsi="Arial" w:cs="Arial"/>
          <w:b w:val="0"/>
          <w:bCs w:val="0"/>
          <w:sz w:val="21"/>
          <w:szCs w:val="21"/>
        </w:rPr>
        <w:t>H2:</w:t>
      </w:r>
      <w:r>
        <w:rPr>
          <w:rFonts w:ascii="Arial" w:hAnsi="Arial" w:cs="Arial"/>
          <w:sz w:val="21"/>
          <w:szCs w:val="21"/>
        </w:rPr>
        <w:t xml:space="preserve"> Liquidity has a positive effect on Firm Value in food and beverage sub-sector companies listed on the Indonesia Stock Exchange (IDX).</w:t>
      </w:r>
    </w:p>
    <w:p w14:paraId="60266464" w14:textId="77777777" w:rsidR="00637D0A" w:rsidRDefault="00441CE7">
      <w:pPr>
        <w:pStyle w:val="NormalWeb"/>
        <w:jc w:val="both"/>
        <w:rPr>
          <w:rFonts w:ascii="Arial" w:hAnsi="Arial" w:cs="Arial"/>
          <w:sz w:val="21"/>
          <w:szCs w:val="21"/>
        </w:rPr>
      </w:pPr>
      <w:r>
        <w:rPr>
          <w:rStyle w:val="Strong"/>
          <w:rFonts w:ascii="Arial" w:hAnsi="Arial" w:cs="Arial"/>
          <w:b w:val="0"/>
          <w:bCs w:val="0"/>
          <w:sz w:val="21"/>
          <w:szCs w:val="21"/>
        </w:rPr>
        <w:lastRenderedPageBreak/>
        <w:t>H3:</w:t>
      </w:r>
      <w:r>
        <w:rPr>
          <w:rFonts w:ascii="Arial" w:hAnsi="Arial" w:cs="Arial"/>
          <w:sz w:val="21"/>
          <w:szCs w:val="21"/>
        </w:rPr>
        <w:t xml:space="preserve"> Firm Size has a positive effect on Firm Value in food and beverage sub-sector companies listed on the Indonesia Stock Exchange (IDX).</w:t>
      </w:r>
    </w:p>
    <w:p w14:paraId="3BE63B2D" w14:textId="77777777" w:rsidR="00637D0A" w:rsidRDefault="00441CE7">
      <w:pPr>
        <w:pStyle w:val="NormalWeb"/>
        <w:jc w:val="both"/>
        <w:rPr>
          <w:rFonts w:ascii="Arial" w:hAnsi="Arial" w:cs="Arial"/>
          <w:sz w:val="21"/>
          <w:szCs w:val="21"/>
        </w:rPr>
      </w:pPr>
      <w:r>
        <w:rPr>
          <w:rStyle w:val="Strong"/>
          <w:rFonts w:ascii="Arial" w:hAnsi="Arial" w:cs="Arial"/>
          <w:b w:val="0"/>
          <w:bCs w:val="0"/>
          <w:sz w:val="21"/>
          <w:szCs w:val="21"/>
        </w:rPr>
        <w:t>H4:</w:t>
      </w:r>
      <w:r>
        <w:rPr>
          <w:rFonts w:ascii="Arial" w:hAnsi="Arial" w:cs="Arial"/>
          <w:sz w:val="21"/>
          <w:szCs w:val="21"/>
        </w:rPr>
        <w:t xml:space="preserve"> Dividend Policy moderates the relationship between Profitability and Firm Value in food and beverage sub-sector companies listed on the Indonesia Stock Exchange (IDX).</w:t>
      </w:r>
    </w:p>
    <w:p w14:paraId="0A7907F1" w14:textId="77777777" w:rsidR="00637D0A" w:rsidRDefault="00441CE7">
      <w:pPr>
        <w:pStyle w:val="NormalWeb"/>
        <w:jc w:val="both"/>
        <w:rPr>
          <w:rFonts w:ascii="Arial" w:hAnsi="Arial" w:cs="Arial"/>
          <w:sz w:val="21"/>
          <w:szCs w:val="21"/>
        </w:rPr>
      </w:pPr>
      <w:r>
        <w:rPr>
          <w:rStyle w:val="Strong"/>
          <w:rFonts w:ascii="Arial" w:hAnsi="Arial" w:cs="Arial"/>
          <w:b w:val="0"/>
          <w:bCs w:val="0"/>
          <w:sz w:val="21"/>
          <w:szCs w:val="21"/>
        </w:rPr>
        <w:t>H5:</w:t>
      </w:r>
      <w:r>
        <w:rPr>
          <w:rFonts w:ascii="Arial" w:hAnsi="Arial" w:cs="Arial"/>
          <w:sz w:val="21"/>
          <w:szCs w:val="21"/>
        </w:rPr>
        <w:t xml:space="preserve"> Dividend Policy moderates the relationship between Liquidity and Firm Value in food and beverage sub-sector companies listed on the Indonesia Stock Exchange (IDX).</w:t>
      </w:r>
    </w:p>
    <w:p w14:paraId="60324CD0" w14:textId="77777777" w:rsidR="00637D0A" w:rsidRDefault="00441CE7">
      <w:pPr>
        <w:pStyle w:val="NormalWeb"/>
        <w:jc w:val="both"/>
        <w:rPr>
          <w:lang w:val="id-ID"/>
        </w:rPr>
      </w:pPr>
      <w:r>
        <w:rPr>
          <w:rStyle w:val="Strong"/>
          <w:rFonts w:ascii="Arial" w:hAnsi="Arial" w:cs="Arial"/>
          <w:b w:val="0"/>
          <w:bCs w:val="0"/>
          <w:sz w:val="21"/>
          <w:szCs w:val="21"/>
        </w:rPr>
        <w:t>H6:</w:t>
      </w:r>
      <w:r>
        <w:rPr>
          <w:rFonts w:ascii="Arial" w:hAnsi="Arial" w:cs="Arial"/>
          <w:sz w:val="21"/>
          <w:szCs w:val="21"/>
        </w:rPr>
        <w:t xml:space="preserve"> Dividend Policy moderates the relationship between Firm Size and Firm Value in food and beverage sub-sector companies listed on the Indonesia Stock Exchange (IDX).</w:t>
      </w:r>
    </w:p>
    <w:p w14:paraId="04B9C479" w14:textId="77777777" w:rsidR="00637D0A" w:rsidRDefault="00441CE7">
      <w:pPr>
        <w:pStyle w:val="Heading1"/>
        <w:numPr>
          <w:ilvl w:val="0"/>
          <w:numId w:val="4"/>
        </w:numPr>
        <w:spacing w:before="0" w:after="0" w:line="276" w:lineRule="auto"/>
        <w:jc w:val="both"/>
        <w:rPr>
          <w:rFonts w:cs="Arial"/>
          <w:sz w:val="22"/>
          <w:szCs w:val="22"/>
          <w:lang w:val="id-ID"/>
        </w:rPr>
      </w:pPr>
      <w:r>
        <w:rPr>
          <w:rFonts w:cs="Arial"/>
          <w:sz w:val="22"/>
          <w:szCs w:val="22"/>
          <w:lang w:val="id-ID"/>
        </w:rPr>
        <w:t>MATERIAL AND METHODS</w:t>
      </w:r>
    </w:p>
    <w:p w14:paraId="65B30190" w14:textId="77777777" w:rsidR="00637D0A" w:rsidRDefault="00637D0A">
      <w:pPr>
        <w:rPr>
          <w:lang w:val="id-ID"/>
        </w:rPr>
      </w:pPr>
    </w:p>
    <w:p w14:paraId="1F4FE694" w14:textId="77777777" w:rsidR="00637D0A" w:rsidRDefault="00441CE7">
      <w:pPr>
        <w:numPr>
          <w:ilvl w:val="1"/>
          <w:numId w:val="4"/>
        </w:numPr>
        <w:rPr>
          <w:rFonts w:cs="Arial"/>
          <w:b/>
          <w:sz w:val="22"/>
          <w:szCs w:val="22"/>
          <w:lang w:val="id-ID"/>
        </w:rPr>
      </w:pPr>
      <w:r>
        <w:rPr>
          <w:rFonts w:cs="Arial"/>
          <w:b/>
          <w:sz w:val="22"/>
          <w:szCs w:val="22"/>
          <w:lang w:val="id-ID"/>
        </w:rPr>
        <w:t>MATERIAL</w:t>
      </w:r>
    </w:p>
    <w:p w14:paraId="574D7981" w14:textId="77777777" w:rsidR="00637D0A" w:rsidRDefault="00637D0A">
      <w:pPr>
        <w:rPr>
          <w:rFonts w:cs="Arial"/>
          <w:b/>
          <w:sz w:val="22"/>
          <w:szCs w:val="22"/>
          <w:lang w:val="id-ID"/>
        </w:rPr>
      </w:pPr>
    </w:p>
    <w:p w14:paraId="523B3D7A" w14:textId="77777777" w:rsidR="00637D0A" w:rsidRDefault="00441CE7">
      <w:pPr>
        <w:pStyle w:val="IEEEHeading2"/>
        <w:numPr>
          <w:ilvl w:val="0"/>
          <w:numId w:val="0"/>
        </w:numPr>
        <w:spacing w:before="0" w:after="0" w:line="276" w:lineRule="auto"/>
        <w:jc w:val="both"/>
        <w:rPr>
          <w:rFonts w:ascii="Arial" w:hAnsi="Arial" w:cs="Arial"/>
          <w:i w:val="0"/>
          <w:iCs/>
          <w:sz w:val="22"/>
          <w:szCs w:val="22"/>
          <w:u w:val="single"/>
        </w:rPr>
      </w:pPr>
      <w:r>
        <w:rPr>
          <w:rFonts w:ascii="Arial" w:hAnsi="Arial" w:cs="Arial"/>
          <w:b/>
          <w:i w:val="0"/>
          <w:iCs/>
          <w:sz w:val="22"/>
          <w:szCs w:val="22"/>
          <w:u w:val="single"/>
          <w:lang w:val="id-ID"/>
        </w:rPr>
        <w:t>2.1.1</w:t>
      </w:r>
      <w:r>
        <w:rPr>
          <w:rFonts w:ascii="Arial" w:hAnsi="Arial" w:cs="Arial"/>
          <w:b/>
          <w:i w:val="0"/>
          <w:iCs/>
          <w:sz w:val="22"/>
          <w:szCs w:val="22"/>
          <w:u w:val="single"/>
          <w:lang w:val="id-ID"/>
        </w:rPr>
        <w:tab/>
        <w:t>Signalling Theory</w:t>
      </w:r>
    </w:p>
    <w:p w14:paraId="45B25593" w14:textId="77777777" w:rsidR="00637D0A" w:rsidRDefault="00441CE7">
      <w:pPr>
        <w:pStyle w:val="Heading2"/>
        <w:numPr>
          <w:ilvl w:val="0"/>
          <w:numId w:val="0"/>
        </w:numPr>
        <w:ind w:leftChars="100" w:left="200"/>
        <w:jc w:val="both"/>
        <w:rPr>
          <w:rFonts w:ascii="Arial" w:hAnsi="Arial" w:cs="Arial"/>
          <w:i w:val="0"/>
          <w:sz w:val="22"/>
          <w:szCs w:val="22"/>
          <w:lang w:val="id-ID"/>
        </w:rPr>
      </w:pPr>
      <w:r>
        <w:rPr>
          <w:rFonts w:ascii="Arial" w:hAnsi="Arial" w:cs="Arial"/>
          <w:i w:val="0"/>
          <w:sz w:val="22"/>
          <w:szCs w:val="22"/>
          <w:lang w:val="id-ID"/>
        </w:rPr>
        <w:t>According to Brigham and Houston (2019), signaling theory refers to the communication by company management as holders of internal information to external parties, particularly investors, regarding information occurring in the capital market. Financial information disclosed by the company to the public is interpreted by investors as positive or negative signals that influence investment decisions and assessments of corporate value (Rorlen et al., 2025). Positive signals, in the form of credible and consistent information, will increase investor confidence in the company, thereby driving an increase in stock demand and leading to a rise in the company’s value. Conversely, negative signals reflect corporate instability and can reduce the company’s value.</w:t>
      </w:r>
    </w:p>
    <w:p w14:paraId="6589C397" w14:textId="77777777" w:rsidR="00637D0A" w:rsidRDefault="00637D0A">
      <w:pPr>
        <w:rPr>
          <w:lang w:val="id-ID"/>
        </w:rPr>
      </w:pPr>
    </w:p>
    <w:p w14:paraId="712153DD" w14:textId="77777777" w:rsidR="00637D0A" w:rsidRDefault="00441CE7">
      <w:pPr>
        <w:pStyle w:val="IEEEHeading2"/>
        <w:numPr>
          <w:ilvl w:val="0"/>
          <w:numId w:val="0"/>
        </w:numPr>
        <w:spacing w:before="0" w:after="0" w:line="276" w:lineRule="auto"/>
        <w:jc w:val="both"/>
        <w:rPr>
          <w:rFonts w:ascii="Arial" w:hAnsi="Arial" w:cs="Arial"/>
          <w:i w:val="0"/>
          <w:iCs/>
          <w:sz w:val="22"/>
          <w:szCs w:val="22"/>
          <w:u w:val="single"/>
        </w:rPr>
      </w:pPr>
      <w:r>
        <w:rPr>
          <w:rFonts w:ascii="Arial" w:hAnsi="Arial" w:cs="Arial"/>
          <w:b/>
          <w:bCs/>
          <w:i w:val="0"/>
          <w:iCs/>
          <w:sz w:val="22"/>
          <w:szCs w:val="22"/>
          <w:u w:val="single"/>
          <w:lang w:val="id-ID"/>
        </w:rPr>
        <w:t>2.1.2 Company Value</w:t>
      </w:r>
    </w:p>
    <w:p w14:paraId="269B4796" w14:textId="77777777" w:rsidR="00637D0A" w:rsidRDefault="00441CE7">
      <w:pPr>
        <w:pStyle w:val="Heading2"/>
        <w:numPr>
          <w:ilvl w:val="0"/>
          <w:numId w:val="0"/>
        </w:numPr>
        <w:ind w:leftChars="100" w:left="200"/>
        <w:jc w:val="both"/>
        <w:rPr>
          <w:lang w:val="id-ID"/>
        </w:rPr>
      </w:pPr>
      <w:r>
        <w:rPr>
          <w:rFonts w:ascii="Arial" w:hAnsi="Arial" w:cs="Arial"/>
          <w:i w:val="0"/>
          <w:sz w:val="22"/>
          <w:szCs w:val="22"/>
          <w:lang w:val="id-ID"/>
        </w:rPr>
        <w:t>Corporate value represents the market’s perception of the company’s level of success, as reflected in stock market prices, and reflects investors’ expectations regarding the company’s ability to generate future cash flows. The higher the stock price formed in the market, the higher the corporate value (Ramadhani et al., 2025). The company’s long-term objective is to enhance shareholder welfare by continuously increasing corporate value (Lutfita &amp; Takarini, 2021). The price-to-book value (PBV) ratio serves as a proxy for corporate value, as a higher PBV value indicates greater investor confidence that the company possesses strong growth prospects.</w:t>
      </w:r>
    </w:p>
    <w:p w14:paraId="2E161A8A" w14:textId="77777777" w:rsidR="00637D0A" w:rsidRDefault="00637D0A">
      <w:pPr>
        <w:rPr>
          <w:lang w:val="id-ID"/>
        </w:rPr>
      </w:pPr>
    </w:p>
    <w:p w14:paraId="2104D9D4" w14:textId="77777777" w:rsidR="00637D0A" w:rsidRDefault="00441CE7">
      <w:pPr>
        <w:pStyle w:val="IEEEHeading2"/>
        <w:numPr>
          <w:ilvl w:val="0"/>
          <w:numId w:val="0"/>
        </w:numPr>
        <w:spacing w:before="0" w:after="0" w:line="276"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2.1.3 Profitability</w:t>
      </w:r>
    </w:p>
    <w:p w14:paraId="52256E9C" w14:textId="77777777" w:rsidR="00637D0A" w:rsidRDefault="00637D0A">
      <w:pPr>
        <w:pStyle w:val="IEEEParagraph"/>
        <w:rPr>
          <w:lang w:val="id-ID"/>
        </w:rPr>
      </w:pPr>
    </w:p>
    <w:p w14:paraId="0111334A" w14:textId="77777777" w:rsidR="00637D0A" w:rsidRDefault="00441CE7">
      <w:pPr>
        <w:pStyle w:val="Heading2"/>
        <w:numPr>
          <w:ilvl w:val="0"/>
          <w:numId w:val="0"/>
        </w:numPr>
        <w:ind w:leftChars="100" w:left="200"/>
        <w:jc w:val="both"/>
        <w:rPr>
          <w:rFonts w:ascii="Arial" w:hAnsi="Arial" w:cs="Arial"/>
          <w:i w:val="0"/>
          <w:sz w:val="22"/>
          <w:szCs w:val="22"/>
          <w:lang w:val="id-ID"/>
        </w:rPr>
      </w:pPr>
      <w:r>
        <w:rPr>
          <w:rFonts w:ascii="Arial" w:hAnsi="Arial" w:cs="Arial"/>
          <w:i w:val="0"/>
          <w:sz w:val="22"/>
          <w:szCs w:val="22"/>
          <w:lang w:val="id-ID"/>
        </w:rPr>
        <w:t xml:space="preserve">Profitability reflects a company’s success in utilizing assets, capital, and other resources to generate profits. Companies use profitability as a control mechanism for management to set targets, budgets, coordinate operations, and conduct evaluations within the organization (Takarini &amp; Pratiwi, 2022). Profitability serves as a signal to investors regarding the company’s growth prospects, as high profit </w:t>
      </w:r>
      <w:r>
        <w:rPr>
          <w:rFonts w:ascii="Arial" w:hAnsi="Arial" w:cs="Arial"/>
          <w:i w:val="0"/>
          <w:sz w:val="22"/>
          <w:szCs w:val="22"/>
          <w:lang w:val="id-ID"/>
        </w:rPr>
        <w:lastRenderedPageBreak/>
        <w:t>levels indicate operational stability and the potential for future increases in the company’s value. Return on Equity (ROE) is used to proxy profitability because it measures the amount of net profit generated per rupiah of capital invested in total equity.</w:t>
      </w:r>
    </w:p>
    <w:p w14:paraId="0BE93E7B" w14:textId="77777777" w:rsidR="00637D0A" w:rsidRDefault="00637D0A">
      <w:pPr>
        <w:rPr>
          <w:lang w:val="id-ID"/>
        </w:rPr>
      </w:pPr>
    </w:p>
    <w:p w14:paraId="0E0EA8B0" w14:textId="77777777" w:rsidR="00637D0A" w:rsidRDefault="00441CE7">
      <w:pPr>
        <w:pStyle w:val="IEEEHeading2"/>
        <w:numPr>
          <w:ilvl w:val="0"/>
          <w:numId w:val="0"/>
        </w:numPr>
        <w:spacing w:before="0" w:after="0" w:line="276"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2.1.4 Liquidity</w:t>
      </w:r>
    </w:p>
    <w:p w14:paraId="636A2929" w14:textId="77777777" w:rsidR="00637D0A" w:rsidRDefault="00637D0A">
      <w:pPr>
        <w:pStyle w:val="IEEEParagraph"/>
        <w:rPr>
          <w:lang w:val="id-ID"/>
        </w:rPr>
      </w:pPr>
    </w:p>
    <w:p w14:paraId="7AB9FB72" w14:textId="77777777" w:rsidR="00637D0A" w:rsidRDefault="00441CE7">
      <w:pPr>
        <w:ind w:leftChars="100" w:left="200"/>
        <w:jc w:val="both"/>
        <w:rPr>
          <w:rStyle w:val="Heading2Char"/>
          <w:rFonts w:ascii="Arial" w:hAnsi="Arial" w:cs="Arial"/>
          <w:i w:val="0"/>
          <w:sz w:val="22"/>
          <w:szCs w:val="22"/>
          <w:lang w:val="id-ID"/>
        </w:rPr>
      </w:pPr>
      <w:r>
        <w:rPr>
          <w:rStyle w:val="Heading2Char"/>
          <w:rFonts w:ascii="Arial" w:hAnsi="Arial" w:cs="Arial"/>
          <w:i w:val="0"/>
          <w:sz w:val="22"/>
          <w:szCs w:val="22"/>
          <w:lang w:val="id-ID"/>
        </w:rPr>
        <w:t>Liquidity is a company’s ability to meet its short-term obligations using its current assets. Companies with high liquidity levels tend to have greater financial flexibility, enabling them to maintain operational stability even in times of economic uncertainty (</w:t>
      </w:r>
      <w:proofErr w:type="spellStart"/>
      <w:r>
        <w:rPr>
          <w:rStyle w:val="Heading2Char"/>
          <w:rFonts w:ascii="Arial" w:hAnsi="Arial" w:cs="Arial"/>
          <w:i w:val="0"/>
          <w:sz w:val="22"/>
          <w:szCs w:val="22"/>
        </w:rPr>
        <w:t>Ndruru</w:t>
      </w:r>
      <w:proofErr w:type="spellEnd"/>
      <w:r>
        <w:rPr>
          <w:rStyle w:val="Heading2Char"/>
          <w:rFonts w:ascii="Arial" w:hAnsi="Arial" w:cs="Arial"/>
          <w:i w:val="0"/>
          <w:sz w:val="22"/>
          <w:szCs w:val="22"/>
        </w:rPr>
        <w:t>, M. et al.</w:t>
      </w:r>
      <w:r>
        <w:rPr>
          <w:rStyle w:val="Heading2Char"/>
          <w:rFonts w:ascii="Arial" w:hAnsi="Arial" w:cs="Arial"/>
          <w:i w:val="0"/>
          <w:sz w:val="22"/>
          <w:szCs w:val="22"/>
          <w:lang w:val="id-ID"/>
        </w:rPr>
        <w:t>, 2020). The faster a company’s cash cycle, the better its liquidity, as the company can more quickly convert inventory into accounts receivable and then into cash (Sastra, 2019). The Cash Ratio is used to gauge liquidity because it reflects the amount of cash or cash equivalents available to pay short-term debt.</w:t>
      </w:r>
    </w:p>
    <w:p w14:paraId="4BF03C00" w14:textId="77777777" w:rsidR="00637D0A" w:rsidRDefault="00637D0A">
      <w:pPr>
        <w:ind w:leftChars="100" w:left="200"/>
        <w:jc w:val="both"/>
        <w:rPr>
          <w:rStyle w:val="Heading2Char"/>
          <w:rFonts w:ascii="Arial" w:hAnsi="Arial" w:cs="Arial"/>
          <w:i w:val="0"/>
          <w:sz w:val="22"/>
          <w:szCs w:val="22"/>
          <w:lang w:val="id-ID"/>
        </w:rPr>
      </w:pPr>
    </w:p>
    <w:p w14:paraId="5A3AA1F1" w14:textId="77777777" w:rsidR="00637D0A" w:rsidRDefault="00441CE7">
      <w:pPr>
        <w:pStyle w:val="IEEEHeading2"/>
        <w:numPr>
          <w:ilvl w:val="0"/>
          <w:numId w:val="0"/>
        </w:numPr>
        <w:spacing w:before="0" w:after="0" w:line="276" w:lineRule="auto"/>
        <w:jc w:val="both"/>
        <w:rPr>
          <w:rFonts w:ascii="Arial" w:hAnsi="Arial" w:cs="Arial"/>
          <w:b/>
          <w:bCs/>
          <w:i w:val="0"/>
          <w:iCs/>
          <w:sz w:val="22"/>
          <w:szCs w:val="22"/>
          <w:u w:val="single"/>
          <w:lang w:val="id-ID"/>
        </w:rPr>
      </w:pPr>
      <w:r>
        <w:rPr>
          <w:rFonts w:ascii="Arial" w:hAnsi="Arial" w:cs="Arial"/>
          <w:b/>
          <w:bCs/>
          <w:i w:val="0"/>
          <w:iCs/>
          <w:sz w:val="22"/>
          <w:szCs w:val="22"/>
          <w:u w:val="single"/>
          <w:lang w:val="id-ID"/>
        </w:rPr>
        <w:t>2.1.5 Company Size</w:t>
      </w:r>
    </w:p>
    <w:p w14:paraId="16638181" w14:textId="77777777" w:rsidR="00637D0A" w:rsidRDefault="00637D0A">
      <w:pPr>
        <w:pStyle w:val="IEEEParagraph"/>
        <w:rPr>
          <w:lang w:val="id-ID"/>
        </w:rPr>
      </w:pPr>
    </w:p>
    <w:p w14:paraId="026BFB5F" w14:textId="77777777" w:rsidR="00637D0A" w:rsidRDefault="00441CE7">
      <w:pPr>
        <w:ind w:leftChars="100" w:left="200"/>
        <w:jc w:val="both"/>
        <w:rPr>
          <w:rStyle w:val="Heading2Char"/>
          <w:rFonts w:ascii="Arial" w:hAnsi="Arial" w:cs="Arial"/>
          <w:i w:val="0"/>
          <w:sz w:val="22"/>
          <w:szCs w:val="22"/>
          <w:lang w:val="id-ID" w:eastAsia="zh-CN"/>
        </w:rPr>
      </w:pPr>
      <w:r>
        <w:rPr>
          <w:rStyle w:val="Heading2Char"/>
          <w:rFonts w:ascii="Arial" w:hAnsi="Arial" w:cs="Arial"/>
          <w:i w:val="0"/>
          <w:sz w:val="22"/>
          <w:szCs w:val="22"/>
          <w:lang w:val="id-ID"/>
        </w:rPr>
        <w:t xml:space="preserve">Company size can determine financial strength, access to funding, and a company’s ability to manage business risks. Larger companies are better able to leverage economies of scale and possess stronger bargaining power with suppliers and consumers (Nainggolan et al., 2022). The larger the company, the greater its ability to control the market and pursue sustainable business expansion. Company size is influenced by company growth, financing policies, investment strategies, and market conditions (Dewantari et al., 2023). </w:t>
      </w:r>
      <w:r>
        <w:rPr>
          <w:rStyle w:val="Heading2Char"/>
          <w:rFonts w:ascii="Arial" w:hAnsi="Arial" w:cs="Arial"/>
          <w:i w:val="0"/>
          <w:sz w:val="22"/>
          <w:szCs w:val="22"/>
          <w:lang w:val="id-ID" w:eastAsia="zh-CN"/>
        </w:rPr>
        <w:t>The Ln. Total Assets is used to proxy for company size, measured using the company’s total assets.</w:t>
      </w:r>
    </w:p>
    <w:p w14:paraId="03972642" w14:textId="77777777" w:rsidR="00637D0A" w:rsidRDefault="00637D0A">
      <w:pPr>
        <w:ind w:leftChars="100" w:left="200"/>
        <w:jc w:val="both"/>
        <w:rPr>
          <w:rStyle w:val="Heading2Char"/>
          <w:rFonts w:ascii="Arial" w:hAnsi="Arial" w:cs="Arial"/>
          <w:i w:val="0"/>
          <w:sz w:val="22"/>
          <w:szCs w:val="22"/>
          <w:lang w:val="id-ID" w:eastAsia="zh-CN"/>
        </w:rPr>
      </w:pPr>
    </w:p>
    <w:p w14:paraId="58A3750A" w14:textId="77777777" w:rsidR="00637D0A" w:rsidRDefault="00637D0A">
      <w:pPr>
        <w:ind w:leftChars="100" w:left="200"/>
        <w:jc w:val="both"/>
        <w:rPr>
          <w:rStyle w:val="Heading2Char"/>
          <w:rFonts w:ascii="Arial" w:hAnsi="Arial" w:cs="Arial"/>
          <w:i w:val="0"/>
          <w:sz w:val="22"/>
          <w:szCs w:val="22"/>
          <w:lang w:val="id-ID" w:eastAsia="zh-CN"/>
        </w:rPr>
      </w:pPr>
    </w:p>
    <w:p w14:paraId="11CDE0E9" w14:textId="77777777" w:rsidR="00637D0A" w:rsidRDefault="00441CE7">
      <w:pPr>
        <w:pStyle w:val="IEEEHeading2"/>
        <w:numPr>
          <w:ilvl w:val="0"/>
          <w:numId w:val="0"/>
        </w:numPr>
        <w:spacing w:before="0" w:after="0" w:line="276" w:lineRule="auto"/>
        <w:jc w:val="both"/>
        <w:rPr>
          <w:rFonts w:ascii="Arial" w:hAnsi="Arial" w:cs="Arial"/>
          <w:i w:val="0"/>
          <w:iCs/>
          <w:sz w:val="22"/>
          <w:szCs w:val="22"/>
          <w:lang w:val="id-ID"/>
        </w:rPr>
      </w:pPr>
      <w:r>
        <w:rPr>
          <w:rFonts w:ascii="Arial" w:hAnsi="Arial" w:cs="Arial"/>
          <w:b/>
          <w:bCs/>
          <w:i w:val="0"/>
          <w:iCs/>
          <w:sz w:val="22"/>
          <w:szCs w:val="22"/>
          <w:u w:val="single"/>
          <w:lang w:val="id-ID"/>
        </w:rPr>
        <w:t>2.1.6 Dividend Policy</w:t>
      </w:r>
    </w:p>
    <w:p w14:paraId="2239FE7F" w14:textId="77777777" w:rsidR="00637D0A" w:rsidRDefault="00441CE7">
      <w:pPr>
        <w:pStyle w:val="Heading2"/>
        <w:numPr>
          <w:ilvl w:val="0"/>
          <w:numId w:val="0"/>
        </w:numPr>
        <w:ind w:leftChars="100" w:left="200"/>
        <w:jc w:val="both"/>
        <w:rPr>
          <w:rFonts w:ascii="Arial" w:hAnsi="Arial" w:cs="Arial"/>
          <w:i w:val="0"/>
          <w:sz w:val="22"/>
          <w:szCs w:val="22"/>
          <w:lang w:val="id-ID"/>
        </w:rPr>
      </w:pPr>
      <w:r>
        <w:rPr>
          <w:rFonts w:ascii="Arial" w:hAnsi="Arial" w:cs="Arial"/>
          <w:i w:val="0"/>
          <w:sz w:val="22"/>
          <w:szCs w:val="22"/>
          <w:lang w:val="id-ID"/>
        </w:rPr>
        <w:t xml:space="preserve">Dividend policy is a management decision regarding the amount of net profit to be distributed as dividends to shareholders. This policy aims to maintain a balance between current profit distribution and corporate growth to ensure that stock value continues to rise (Marshella &amp; Wijaya, 2024). Dividend policy must align with the company’s investment needs, as excessive dividend payouts can deplete internal funds and hinder long-term growth (Sudana, 2019). Dividends can be allocated in the form of non-cash assets to provide capital for the company’s investors or distributed in cash (Fakhrudinsyah &amp; Takarini, 2022). The Dividend Payout Ratio is used to proxy dividend policy; a high DPR indicates that the company distributes most of its profits to shareholders, while a low Dividend Payout Ratio indicates that the company retains profits for future expansion or investment. </w:t>
      </w:r>
    </w:p>
    <w:p w14:paraId="25E51C4A" w14:textId="77777777" w:rsidR="00637D0A" w:rsidRDefault="00637D0A">
      <w:pPr>
        <w:rPr>
          <w:lang w:val="id-ID"/>
        </w:rPr>
      </w:pPr>
    </w:p>
    <w:p w14:paraId="617B07AA" w14:textId="77777777" w:rsidR="00637D0A" w:rsidRDefault="00441CE7">
      <w:pPr>
        <w:pStyle w:val="Head1"/>
        <w:spacing w:after="0"/>
        <w:jc w:val="both"/>
        <w:rPr>
          <w:rFonts w:ascii="Arial" w:hAnsi="Arial" w:cs="Arial"/>
          <w:lang w:val="id-ID"/>
        </w:rPr>
      </w:pPr>
      <w:r>
        <w:rPr>
          <w:rFonts w:ascii="Arial" w:hAnsi="Arial" w:cs="Arial"/>
          <w:lang w:val="id-ID"/>
        </w:rPr>
        <w:t>2.2 RELATIONSHIP BETWEEN VARIABLE</w:t>
      </w:r>
    </w:p>
    <w:p w14:paraId="47E1FB38" w14:textId="77777777" w:rsidR="00637D0A" w:rsidRDefault="00637D0A">
      <w:pPr>
        <w:pStyle w:val="Head1"/>
        <w:spacing w:after="0"/>
        <w:jc w:val="both"/>
        <w:rPr>
          <w:rFonts w:ascii="Arial" w:hAnsi="Arial" w:cs="Arial"/>
          <w:lang w:val="id-ID"/>
        </w:rPr>
      </w:pPr>
    </w:p>
    <w:p w14:paraId="436F73DA" w14:textId="77777777" w:rsidR="00637D0A" w:rsidRDefault="00441CE7">
      <w:pPr>
        <w:pStyle w:val="Head1"/>
        <w:spacing w:after="0"/>
        <w:jc w:val="both"/>
        <w:rPr>
          <w:rFonts w:ascii="Arial" w:hAnsi="Arial" w:cs="Arial"/>
          <w:lang w:val="id-ID"/>
        </w:rPr>
      </w:pPr>
      <w:r>
        <w:rPr>
          <w:rFonts w:ascii="Arial" w:hAnsi="Arial" w:cs="Arial"/>
          <w:lang w:val="id-ID"/>
        </w:rPr>
        <w:t>2.3 METHODS</w:t>
      </w:r>
    </w:p>
    <w:p w14:paraId="25BC4A3D" w14:textId="77777777" w:rsidR="00637D0A" w:rsidRDefault="00637D0A">
      <w:pPr>
        <w:pStyle w:val="Head1"/>
        <w:spacing w:after="0"/>
        <w:jc w:val="both"/>
        <w:rPr>
          <w:rFonts w:ascii="Arial" w:hAnsi="Arial" w:cs="Arial"/>
          <w:lang w:val="id-ID"/>
        </w:rPr>
      </w:pPr>
    </w:p>
    <w:p w14:paraId="4378CA0C" w14:textId="77777777" w:rsidR="00637D0A" w:rsidRDefault="00441CE7">
      <w:pPr>
        <w:adjustRightInd w:val="0"/>
        <w:snapToGrid w:val="0"/>
        <w:jc w:val="both"/>
        <w:rPr>
          <w:rFonts w:ascii="Arial" w:eastAsia="SimSun" w:hAnsi="Arial" w:cs="Arial"/>
          <w:lang w:val="id-ID" w:eastAsia="zh-CN"/>
        </w:rPr>
      </w:pPr>
      <w:r>
        <w:rPr>
          <w:rFonts w:ascii="Arial" w:eastAsia="SimSun" w:hAnsi="Arial" w:cs="Arial"/>
          <w:lang w:val="id-ID" w:eastAsia="zh-CN"/>
        </w:rPr>
        <w:t xml:space="preserve">This study employs dependent, independent, and moderation variables. Profitability, liquidity, and firm size serve as the independent variables in this study. Firm value is used as the </w:t>
      </w:r>
      <w:r>
        <w:rPr>
          <w:rFonts w:ascii="Arial" w:eastAsia="SimSun" w:hAnsi="Arial" w:cs="Arial"/>
          <w:lang w:val="id-ID" w:eastAsia="zh-CN"/>
        </w:rPr>
        <w:lastRenderedPageBreak/>
        <w:t xml:space="preserve">dependent variable. Meanwhile, dividend policy functions as the moderation variable. There are 95 companies listed on the IDX in the food and beverages subsector; all of these companies constitute the study populaation. The selection criteria for the research sample were based on purposive sampling, resulting in a sample of 30 companies covering the period 2021-2024. This is a quantitative study using secondary data. Quantitative methods, including multiple linear regression and moderated regression analysis, were employed as data analysis techniques. The initial stage began with an outlier test, followed by classical assumption tests, which included tests for normality, autocorrelation, multicollinearity, and heteroscedasticity. The next stage involved hypothesis terting, comprising tests for the coefficient of determination, partial tests, and simultaneous tests. </w:t>
      </w:r>
    </w:p>
    <w:p w14:paraId="0BEBF791" w14:textId="77777777" w:rsidR="00637D0A" w:rsidRDefault="00637D0A">
      <w:pPr>
        <w:pStyle w:val="Body"/>
        <w:spacing w:after="0"/>
        <w:rPr>
          <w:rFonts w:ascii="Arial" w:hAnsi="Arial" w:cs="Arial"/>
          <w:b/>
          <w:bCs/>
          <w:lang w:val="id-ID"/>
        </w:rPr>
      </w:pPr>
    </w:p>
    <w:p w14:paraId="76853AE8" w14:textId="77777777" w:rsidR="00637D0A" w:rsidRDefault="00441CE7">
      <w:pPr>
        <w:pStyle w:val="Body"/>
        <w:numPr>
          <w:ilvl w:val="0"/>
          <w:numId w:val="4"/>
        </w:numPr>
        <w:spacing w:after="0"/>
        <w:rPr>
          <w:rFonts w:ascii="Arial" w:hAnsi="Arial" w:cs="Arial"/>
          <w:b/>
          <w:bCs/>
          <w:lang w:val="id-ID"/>
        </w:rPr>
      </w:pPr>
      <w:r>
        <w:rPr>
          <w:rFonts w:ascii="Arial" w:hAnsi="Arial" w:cs="Arial"/>
          <w:b/>
          <w:bCs/>
          <w:lang w:val="id-ID"/>
        </w:rPr>
        <w:t>RESULTS AND DISCUSSION</w:t>
      </w:r>
    </w:p>
    <w:p w14:paraId="7031D030" w14:textId="77777777" w:rsidR="00637D0A" w:rsidRDefault="00637D0A">
      <w:pPr>
        <w:pStyle w:val="Body"/>
        <w:spacing w:after="0"/>
        <w:rPr>
          <w:rFonts w:ascii="Arial" w:hAnsi="Arial" w:cs="Arial"/>
          <w:b/>
          <w:bCs/>
          <w:lang w:val="id-ID"/>
        </w:rPr>
      </w:pPr>
    </w:p>
    <w:p w14:paraId="420CAFA8" w14:textId="77777777" w:rsidR="00637D0A" w:rsidRDefault="00441CE7">
      <w:pPr>
        <w:pStyle w:val="Body"/>
        <w:numPr>
          <w:ilvl w:val="1"/>
          <w:numId w:val="4"/>
        </w:numPr>
        <w:spacing w:after="0"/>
        <w:rPr>
          <w:rFonts w:ascii="Arial" w:hAnsi="Arial" w:cs="Arial"/>
          <w:b/>
          <w:bCs/>
          <w:lang w:val="id-ID"/>
        </w:rPr>
      </w:pPr>
      <w:r>
        <w:rPr>
          <w:rFonts w:ascii="Arial" w:hAnsi="Arial" w:cs="Arial"/>
          <w:b/>
          <w:bCs/>
          <w:lang w:val="id-ID"/>
        </w:rPr>
        <w:t>RESULTS</w:t>
      </w:r>
    </w:p>
    <w:p w14:paraId="7BBBA15C" w14:textId="77777777" w:rsidR="00637D0A" w:rsidRDefault="00637D0A">
      <w:pPr>
        <w:pStyle w:val="Body"/>
        <w:spacing w:after="0"/>
        <w:rPr>
          <w:rFonts w:ascii="Arial" w:hAnsi="Arial" w:cs="Arial"/>
          <w:b/>
          <w:bCs/>
          <w:lang w:val="id-ID"/>
        </w:rPr>
      </w:pPr>
    </w:p>
    <w:p w14:paraId="682A44C0" w14:textId="77777777" w:rsidR="00637D0A" w:rsidRDefault="00441CE7">
      <w:pPr>
        <w:pStyle w:val="Body"/>
        <w:numPr>
          <w:ilvl w:val="2"/>
          <w:numId w:val="4"/>
        </w:numPr>
        <w:spacing w:after="0"/>
        <w:rPr>
          <w:rFonts w:ascii="Arial" w:hAnsi="Arial" w:cs="Arial"/>
          <w:b/>
          <w:bCs/>
          <w:u w:val="single"/>
          <w:lang w:val="id-ID"/>
        </w:rPr>
      </w:pPr>
      <w:r>
        <w:rPr>
          <w:rFonts w:ascii="Arial" w:hAnsi="Arial" w:cs="Arial"/>
          <w:b/>
          <w:bCs/>
          <w:u w:val="single"/>
          <w:lang w:val="id-ID"/>
        </w:rPr>
        <w:t>Outlier Test</w:t>
      </w:r>
    </w:p>
    <w:p w14:paraId="389C5D2E" w14:textId="77777777" w:rsidR="00637D0A" w:rsidRDefault="00637D0A">
      <w:pPr>
        <w:pStyle w:val="Body"/>
        <w:spacing w:after="0"/>
        <w:rPr>
          <w:rFonts w:ascii="Arial" w:hAnsi="Arial" w:cs="Arial"/>
          <w:b/>
          <w:bCs/>
          <w:u w:val="single"/>
          <w:lang w:val="id-ID"/>
        </w:rPr>
      </w:pPr>
    </w:p>
    <w:p w14:paraId="61AF88F9" w14:textId="77777777" w:rsidR="00637D0A" w:rsidRDefault="00441CE7">
      <w:pPr>
        <w:jc w:val="both"/>
        <w:rPr>
          <w:rFonts w:ascii="Arial" w:hAnsi="Arial" w:cs="Arial"/>
          <w:lang w:val="id-ID" w:eastAsia="zh-CN"/>
        </w:rPr>
      </w:pPr>
      <w:r>
        <w:rPr>
          <w:rFonts w:ascii="Arial" w:hAnsi="Arial" w:cs="Arial"/>
          <w:lang w:val="id-ID" w:eastAsia="zh-CN"/>
        </w:rPr>
        <w:t>The results of the outlier detection analysis on the data show that the maximum Mahalanobis distance 19,0638 &lt; 20,515 (outlier threshold), indicating the absence of outliers in the data. It can be concluded that the data quality is good and can be concluded that the data quality is good and can be further processed using the remaining 77 cases from the initial sample size of 120 cases.</w:t>
      </w:r>
    </w:p>
    <w:p w14:paraId="26269B70" w14:textId="77777777" w:rsidR="00637D0A" w:rsidRDefault="00637D0A">
      <w:pPr>
        <w:pStyle w:val="Body"/>
        <w:spacing w:after="0"/>
        <w:rPr>
          <w:rFonts w:ascii="Arial" w:hAnsi="Arial" w:cs="Arial"/>
          <w:b/>
          <w:bCs/>
          <w:lang w:val="id-ID"/>
        </w:rPr>
      </w:pPr>
    </w:p>
    <w:p w14:paraId="3225EF81" w14:textId="77777777" w:rsidR="00637D0A" w:rsidRDefault="00441CE7">
      <w:pPr>
        <w:pStyle w:val="Body"/>
        <w:spacing w:after="0"/>
        <w:ind w:left="2160" w:firstLine="720"/>
        <w:rPr>
          <w:rFonts w:ascii="Arial" w:hAnsi="Arial" w:cs="Arial"/>
          <w:b/>
          <w:bCs/>
          <w:lang w:val="id-ID"/>
        </w:rPr>
      </w:pPr>
      <w:r>
        <w:rPr>
          <w:rFonts w:ascii="Arial" w:hAnsi="Arial" w:cs="Arial"/>
          <w:b/>
          <w:bCs/>
          <w:lang w:val="id-ID"/>
        </w:rPr>
        <w:t>Table. 1 Outlier Test</w:t>
      </w:r>
    </w:p>
    <w:tbl>
      <w:tblPr>
        <w:tblStyle w:val="TableGrid"/>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50"/>
        <w:gridCol w:w="930"/>
        <w:gridCol w:w="1500"/>
        <w:gridCol w:w="615"/>
      </w:tblGrid>
      <w:tr w:rsidR="00637D0A" w14:paraId="6E3BAFD2" w14:textId="77777777">
        <w:trPr>
          <w:trHeight w:val="314"/>
          <w:jc w:val="center"/>
        </w:trPr>
        <w:tc>
          <w:tcPr>
            <w:tcW w:w="4815" w:type="dxa"/>
            <w:gridSpan w:val="5"/>
            <w:vAlign w:val="center"/>
          </w:tcPr>
          <w:p w14:paraId="7461FD34" w14:textId="77777777" w:rsidR="00637D0A" w:rsidRDefault="00441CE7">
            <w:pPr>
              <w:spacing w:line="320" w:lineRule="atLeast"/>
              <w:ind w:left="60" w:right="60"/>
              <w:jc w:val="center"/>
              <w:rPr>
                <w:rFonts w:ascii="Arial" w:hAnsi="Arial" w:cs="Arial"/>
                <w:sz w:val="20"/>
                <w:szCs w:val="20"/>
                <w:lang w:val="id-ID" w:eastAsia="zh-CN"/>
              </w:rPr>
            </w:pPr>
            <w:r>
              <w:rPr>
                <w:rFonts w:ascii="Arial" w:hAnsi="Arial" w:cs="Arial"/>
                <w:b/>
                <w:sz w:val="20"/>
                <w:szCs w:val="20"/>
              </w:rPr>
              <w:t xml:space="preserve">Residuals </w:t>
            </w:r>
            <w:proofErr w:type="spellStart"/>
            <w:r>
              <w:rPr>
                <w:rFonts w:ascii="Arial" w:hAnsi="Arial" w:cs="Arial"/>
                <w:b/>
                <w:sz w:val="20"/>
                <w:szCs w:val="20"/>
              </w:rPr>
              <w:t>Statistics</w:t>
            </w:r>
            <w:r>
              <w:rPr>
                <w:rFonts w:ascii="Arial" w:hAnsi="Arial" w:cs="Arial"/>
                <w:b/>
                <w:sz w:val="20"/>
                <w:szCs w:val="20"/>
                <w:vertAlign w:val="superscript"/>
              </w:rPr>
              <w:t>a</w:t>
            </w:r>
            <w:proofErr w:type="spellEnd"/>
          </w:p>
        </w:tc>
      </w:tr>
      <w:tr w:rsidR="00637D0A" w14:paraId="10B2AF7B" w14:textId="77777777">
        <w:trPr>
          <w:trHeight w:val="306"/>
          <w:jc w:val="center"/>
        </w:trPr>
        <w:tc>
          <w:tcPr>
            <w:tcW w:w="720" w:type="dxa"/>
            <w:vAlign w:val="bottom"/>
          </w:tcPr>
          <w:p w14:paraId="02D4F5EB" w14:textId="77777777" w:rsidR="00637D0A" w:rsidRDefault="00441CE7">
            <w:pPr>
              <w:spacing w:line="320" w:lineRule="atLeast"/>
              <w:ind w:left="60" w:right="60"/>
              <w:jc w:val="center"/>
              <w:rPr>
                <w:rFonts w:ascii="Arial" w:hAnsi="Arial" w:cs="Arial"/>
                <w:sz w:val="20"/>
                <w:szCs w:val="20"/>
                <w:lang w:val="id-ID" w:eastAsia="zh-CN"/>
              </w:rPr>
            </w:pPr>
            <w:r>
              <w:rPr>
                <w:rFonts w:ascii="Arial" w:hAnsi="Arial" w:cs="Arial"/>
                <w:sz w:val="20"/>
                <w:szCs w:val="20"/>
              </w:rPr>
              <w:t>Min</w:t>
            </w:r>
          </w:p>
        </w:tc>
        <w:tc>
          <w:tcPr>
            <w:tcW w:w="1050" w:type="dxa"/>
            <w:vAlign w:val="bottom"/>
          </w:tcPr>
          <w:p w14:paraId="3EEAD7C4" w14:textId="77777777" w:rsidR="00637D0A" w:rsidRDefault="00441CE7">
            <w:pPr>
              <w:spacing w:line="320" w:lineRule="atLeast"/>
              <w:ind w:left="60" w:right="60"/>
              <w:jc w:val="center"/>
              <w:rPr>
                <w:rFonts w:ascii="Arial" w:hAnsi="Arial" w:cs="Arial"/>
                <w:sz w:val="20"/>
                <w:szCs w:val="20"/>
                <w:lang w:val="id-ID" w:eastAsia="zh-CN"/>
              </w:rPr>
            </w:pPr>
            <w:r>
              <w:rPr>
                <w:rFonts w:ascii="Arial" w:hAnsi="Arial" w:cs="Arial"/>
                <w:sz w:val="20"/>
                <w:szCs w:val="20"/>
              </w:rPr>
              <w:t>Max</w:t>
            </w:r>
          </w:p>
        </w:tc>
        <w:tc>
          <w:tcPr>
            <w:tcW w:w="930" w:type="dxa"/>
            <w:vAlign w:val="bottom"/>
          </w:tcPr>
          <w:p w14:paraId="5264582A" w14:textId="77777777" w:rsidR="00637D0A" w:rsidRDefault="00441CE7">
            <w:pPr>
              <w:spacing w:line="320" w:lineRule="atLeast"/>
              <w:ind w:left="60" w:right="60"/>
              <w:jc w:val="center"/>
              <w:rPr>
                <w:rFonts w:ascii="Arial" w:hAnsi="Arial" w:cs="Arial"/>
                <w:sz w:val="20"/>
                <w:szCs w:val="20"/>
                <w:lang w:val="id-ID" w:eastAsia="zh-CN"/>
              </w:rPr>
            </w:pPr>
            <w:r>
              <w:rPr>
                <w:rFonts w:ascii="Arial" w:hAnsi="Arial" w:cs="Arial"/>
                <w:sz w:val="20"/>
                <w:szCs w:val="20"/>
              </w:rPr>
              <w:t>Mean</w:t>
            </w:r>
          </w:p>
        </w:tc>
        <w:tc>
          <w:tcPr>
            <w:tcW w:w="1500" w:type="dxa"/>
            <w:vAlign w:val="bottom"/>
          </w:tcPr>
          <w:p w14:paraId="6E972B8E" w14:textId="77777777" w:rsidR="00637D0A" w:rsidRDefault="00441CE7">
            <w:pPr>
              <w:spacing w:line="320" w:lineRule="atLeast"/>
              <w:ind w:left="60" w:right="60"/>
              <w:jc w:val="center"/>
              <w:rPr>
                <w:rFonts w:ascii="Arial" w:hAnsi="Arial" w:cs="Arial"/>
                <w:sz w:val="20"/>
                <w:szCs w:val="20"/>
                <w:lang w:val="id-ID" w:eastAsia="zh-CN"/>
              </w:rPr>
            </w:pPr>
            <w:r>
              <w:rPr>
                <w:rFonts w:ascii="Arial" w:hAnsi="Arial" w:cs="Arial"/>
                <w:sz w:val="20"/>
                <w:szCs w:val="20"/>
              </w:rPr>
              <w:t>Std. Deviation</w:t>
            </w:r>
          </w:p>
        </w:tc>
        <w:tc>
          <w:tcPr>
            <w:tcW w:w="615" w:type="dxa"/>
            <w:vAlign w:val="bottom"/>
          </w:tcPr>
          <w:p w14:paraId="386EE0CB" w14:textId="77777777" w:rsidR="00637D0A" w:rsidRDefault="00441CE7">
            <w:pPr>
              <w:spacing w:line="320" w:lineRule="atLeast"/>
              <w:ind w:left="60" w:right="60"/>
              <w:jc w:val="center"/>
              <w:rPr>
                <w:rFonts w:ascii="Arial" w:hAnsi="Arial" w:cs="Arial"/>
                <w:sz w:val="20"/>
                <w:szCs w:val="20"/>
                <w:lang w:val="id-ID" w:eastAsia="zh-CN"/>
              </w:rPr>
            </w:pPr>
            <w:r>
              <w:rPr>
                <w:rFonts w:ascii="Arial" w:hAnsi="Arial" w:cs="Arial"/>
                <w:sz w:val="20"/>
                <w:szCs w:val="20"/>
              </w:rPr>
              <w:t>N</w:t>
            </w:r>
          </w:p>
        </w:tc>
      </w:tr>
      <w:tr w:rsidR="00637D0A" w14:paraId="79730826" w14:textId="77777777">
        <w:trPr>
          <w:trHeight w:val="350"/>
          <w:jc w:val="center"/>
        </w:trPr>
        <w:tc>
          <w:tcPr>
            <w:tcW w:w="720" w:type="dxa"/>
          </w:tcPr>
          <w:p w14:paraId="3202AC18" w14:textId="77777777" w:rsidR="00637D0A" w:rsidRDefault="00441CE7">
            <w:pPr>
              <w:spacing w:line="320" w:lineRule="atLeast"/>
              <w:ind w:left="60" w:right="60"/>
              <w:jc w:val="right"/>
              <w:rPr>
                <w:rFonts w:ascii="Arial" w:hAnsi="Arial" w:cs="Arial"/>
                <w:sz w:val="20"/>
                <w:szCs w:val="20"/>
              </w:rPr>
            </w:pPr>
            <w:r>
              <w:rPr>
                <w:rFonts w:ascii="Arial" w:hAnsi="Arial" w:cs="Arial"/>
                <w:sz w:val="18"/>
                <w:szCs w:val="24"/>
              </w:rPr>
              <w:t>,326</w:t>
            </w:r>
          </w:p>
        </w:tc>
        <w:tc>
          <w:tcPr>
            <w:tcW w:w="1050" w:type="dxa"/>
          </w:tcPr>
          <w:p w14:paraId="2B90E737" w14:textId="77777777" w:rsidR="00637D0A" w:rsidRDefault="00441CE7">
            <w:pPr>
              <w:spacing w:line="320" w:lineRule="atLeast"/>
              <w:ind w:left="60" w:right="60"/>
              <w:jc w:val="right"/>
              <w:rPr>
                <w:rFonts w:ascii="Arial" w:hAnsi="Arial" w:cs="Arial"/>
                <w:sz w:val="20"/>
                <w:szCs w:val="20"/>
              </w:rPr>
            </w:pPr>
            <w:r>
              <w:rPr>
                <w:rFonts w:ascii="Arial" w:hAnsi="Arial" w:cs="Arial"/>
                <w:b/>
                <w:bCs/>
                <w:sz w:val="18"/>
                <w:szCs w:val="24"/>
              </w:rPr>
              <w:t>19.068</w:t>
            </w:r>
          </w:p>
        </w:tc>
        <w:tc>
          <w:tcPr>
            <w:tcW w:w="930" w:type="dxa"/>
          </w:tcPr>
          <w:p w14:paraId="7103024B" w14:textId="77777777" w:rsidR="00637D0A" w:rsidRDefault="00441CE7">
            <w:pPr>
              <w:spacing w:line="320" w:lineRule="atLeast"/>
              <w:ind w:left="60" w:right="60"/>
              <w:jc w:val="right"/>
              <w:rPr>
                <w:rFonts w:ascii="Arial" w:hAnsi="Arial" w:cs="Arial"/>
                <w:sz w:val="20"/>
                <w:szCs w:val="20"/>
              </w:rPr>
            </w:pPr>
            <w:r>
              <w:rPr>
                <w:rFonts w:ascii="Arial" w:hAnsi="Arial" w:cs="Arial"/>
                <w:sz w:val="18"/>
                <w:szCs w:val="24"/>
              </w:rPr>
              <w:t>3.948</w:t>
            </w:r>
          </w:p>
        </w:tc>
        <w:tc>
          <w:tcPr>
            <w:tcW w:w="1500" w:type="dxa"/>
          </w:tcPr>
          <w:p w14:paraId="1B7BE4DE" w14:textId="77777777" w:rsidR="00637D0A" w:rsidRDefault="00441CE7">
            <w:pPr>
              <w:spacing w:line="320" w:lineRule="atLeast"/>
              <w:ind w:left="60" w:right="60"/>
              <w:jc w:val="right"/>
              <w:rPr>
                <w:rFonts w:ascii="Arial" w:hAnsi="Arial" w:cs="Arial"/>
                <w:sz w:val="20"/>
                <w:szCs w:val="20"/>
              </w:rPr>
            </w:pPr>
            <w:r>
              <w:rPr>
                <w:rFonts w:ascii="Arial" w:hAnsi="Arial" w:cs="Arial"/>
                <w:sz w:val="18"/>
                <w:szCs w:val="24"/>
              </w:rPr>
              <w:t>3,197</w:t>
            </w:r>
          </w:p>
        </w:tc>
        <w:tc>
          <w:tcPr>
            <w:tcW w:w="615" w:type="dxa"/>
          </w:tcPr>
          <w:p w14:paraId="7B07E898" w14:textId="77777777" w:rsidR="00637D0A" w:rsidRDefault="00441CE7">
            <w:pPr>
              <w:spacing w:line="320" w:lineRule="atLeast"/>
              <w:ind w:left="60" w:right="60"/>
              <w:jc w:val="right"/>
              <w:rPr>
                <w:rFonts w:ascii="Arial" w:hAnsi="Arial" w:cs="Arial"/>
                <w:sz w:val="20"/>
                <w:szCs w:val="20"/>
                <w:lang w:val="id-ID"/>
              </w:rPr>
            </w:pPr>
            <w:r>
              <w:rPr>
                <w:rFonts w:ascii="Arial" w:hAnsi="Arial" w:cs="Arial"/>
                <w:sz w:val="20"/>
                <w:szCs w:val="20"/>
                <w:lang w:val="id-ID"/>
              </w:rPr>
              <w:t>77</w:t>
            </w:r>
          </w:p>
        </w:tc>
      </w:tr>
    </w:tbl>
    <w:p w14:paraId="4D0CA09A" w14:textId="77777777" w:rsidR="00637D0A" w:rsidRDefault="00637D0A">
      <w:pPr>
        <w:pStyle w:val="Body"/>
        <w:spacing w:after="0"/>
        <w:rPr>
          <w:rFonts w:ascii="Arial" w:hAnsi="Arial" w:cs="Arial"/>
          <w:b/>
          <w:bCs/>
          <w:lang w:val="id-ID"/>
        </w:rPr>
      </w:pPr>
    </w:p>
    <w:p w14:paraId="787A0517" w14:textId="77777777" w:rsidR="00637D0A" w:rsidRDefault="00637D0A">
      <w:pPr>
        <w:pStyle w:val="Body"/>
        <w:spacing w:after="0"/>
        <w:rPr>
          <w:rFonts w:ascii="Arial" w:hAnsi="Arial" w:cs="Arial"/>
          <w:b/>
          <w:bCs/>
          <w:u w:val="single"/>
          <w:lang w:val="id-ID"/>
        </w:rPr>
      </w:pPr>
    </w:p>
    <w:p w14:paraId="7C2238B1" w14:textId="77777777" w:rsidR="00637D0A" w:rsidRDefault="00637D0A">
      <w:pPr>
        <w:pStyle w:val="Body"/>
        <w:spacing w:after="0"/>
        <w:rPr>
          <w:rFonts w:ascii="Arial" w:hAnsi="Arial" w:cs="Arial"/>
          <w:b/>
          <w:bCs/>
          <w:u w:val="single"/>
          <w:lang w:val="id-ID"/>
        </w:rPr>
      </w:pPr>
    </w:p>
    <w:p w14:paraId="47E5C986" w14:textId="77777777" w:rsidR="00637D0A" w:rsidRDefault="00441CE7">
      <w:pPr>
        <w:pStyle w:val="Body"/>
        <w:numPr>
          <w:ilvl w:val="2"/>
          <w:numId w:val="4"/>
        </w:numPr>
        <w:spacing w:after="0"/>
        <w:rPr>
          <w:rFonts w:ascii="Arial" w:hAnsi="Arial" w:cs="Arial"/>
          <w:b/>
          <w:bCs/>
          <w:u w:val="single"/>
          <w:lang w:val="id-ID"/>
        </w:rPr>
      </w:pPr>
      <w:r>
        <w:rPr>
          <w:rFonts w:ascii="Arial" w:hAnsi="Arial" w:cs="Arial"/>
          <w:b/>
          <w:bCs/>
          <w:u w:val="single"/>
          <w:lang w:val="id-ID"/>
        </w:rPr>
        <w:t>Normality Test</w:t>
      </w:r>
    </w:p>
    <w:p w14:paraId="5570F0D2" w14:textId="77777777" w:rsidR="00637D0A" w:rsidRDefault="00637D0A">
      <w:pPr>
        <w:pStyle w:val="Body"/>
        <w:spacing w:after="0"/>
        <w:rPr>
          <w:rFonts w:ascii="Arial" w:hAnsi="Arial" w:cs="Arial"/>
          <w:b/>
          <w:bCs/>
          <w:u w:val="single"/>
          <w:lang w:val="id-ID"/>
        </w:rPr>
      </w:pPr>
    </w:p>
    <w:p w14:paraId="68D38BA4" w14:textId="77777777" w:rsidR="00637D0A" w:rsidRDefault="00441CE7">
      <w:pPr>
        <w:jc w:val="both"/>
        <w:rPr>
          <w:rFonts w:ascii="Arial" w:hAnsi="Arial" w:cs="Arial"/>
          <w:lang w:val="id-ID" w:eastAsia="zh-CN"/>
        </w:rPr>
      </w:pPr>
      <w:r>
        <w:rPr>
          <w:rFonts w:ascii="Arial" w:hAnsi="Arial" w:cs="Arial"/>
          <w:lang w:val="id-ID" w:eastAsia="zh-CN"/>
        </w:rPr>
        <w:t>Based on the results of the normality test using the One Sample Kolmogorov Smirnov test, the Asymp. Sig. (2-tailed) value is 0,085. This significance value is greater than the significance level of 0.05, so it can be concluded that the residual data are normally distributed.</w:t>
      </w:r>
    </w:p>
    <w:p w14:paraId="16A10D3D" w14:textId="77777777" w:rsidR="00637D0A" w:rsidRDefault="00637D0A">
      <w:pPr>
        <w:jc w:val="both"/>
        <w:rPr>
          <w:rFonts w:ascii="Arial" w:hAnsi="Arial" w:cs="Arial"/>
          <w:lang w:val="id-ID" w:eastAsia="zh-CN"/>
        </w:rPr>
      </w:pPr>
    </w:p>
    <w:p w14:paraId="3B859DE6" w14:textId="77777777" w:rsidR="00637D0A" w:rsidRDefault="00441CE7">
      <w:pPr>
        <w:ind w:left="2160" w:firstLine="720"/>
        <w:jc w:val="both"/>
        <w:rPr>
          <w:rFonts w:ascii="Arial" w:hAnsi="Arial" w:cs="Arial"/>
          <w:b/>
          <w:bCs/>
          <w:lang w:val="id-ID" w:eastAsia="zh-CN"/>
        </w:rPr>
      </w:pPr>
      <w:r>
        <w:rPr>
          <w:rFonts w:ascii="Arial" w:hAnsi="Arial" w:cs="Arial"/>
          <w:b/>
          <w:bCs/>
          <w:lang w:val="id-ID" w:eastAsia="zh-CN"/>
        </w:rPr>
        <w:t>Table. 2 Normality Test</w:t>
      </w:r>
    </w:p>
    <w:tbl>
      <w:tblPr>
        <w:tblW w:w="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8"/>
        <w:gridCol w:w="862"/>
      </w:tblGrid>
      <w:tr w:rsidR="00637D0A" w14:paraId="04C7AA81" w14:textId="77777777">
        <w:trPr>
          <w:cantSplit/>
          <w:trHeight w:val="322"/>
          <w:jc w:val="center"/>
        </w:trPr>
        <w:tc>
          <w:tcPr>
            <w:tcW w:w="4480" w:type="dxa"/>
            <w:gridSpan w:val="2"/>
            <w:tcBorders>
              <w:tl2br w:val="nil"/>
              <w:tr2bl w:val="nil"/>
            </w:tcBorders>
            <w:vAlign w:val="center"/>
          </w:tcPr>
          <w:p w14:paraId="10075800" w14:textId="77777777" w:rsidR="00637D0A" w:rsidRDefault="00441CE7">
            <w:pPr>
              <w:spacing w:line="320" w:lineRule="atLeast"/>
              <w:ind w:left="60" w:right="60"/>
              <w:jc w:val="center"/>
              <w:rPr>
                <w:rFonts w:ascii="Arial" w:hAnsi="Arial" w:cs="Arial"/>
              </w:rPr>
            </w:pPr>
            <w:r>
              <w:rPr>
                <w:rFonts w:ascii="Arial" w:hAnsi="Arial" w:cs="Arial"/>
                <w:b/>
              </w:rPr>
              <w:t>One-Sample Kolmogorov-Smirnov Test</w:t>
            </w:r>
          </w:p>
        </w:tc>
      </w:tr>
      <w:tr w:rsidR="00637D0A" w14:paraId="4EB8D259" w14:textId="77777777">
        <w:trPr>
          <w:cantSplit/>
          <w:trHeight w:val="332"/>
          <w:jc w:val="center"/>
        </w:trPr>
        <w:tc>
          <w:tcPr>
            <w:tcW w:w="3618" w:type="dxa"/>
            <w:tcBorders>
              <w:tl2br w:val="nil"/>
              <w:tr2bl w:val="nil"/>
            </w:tcBorders>
          </w:tcPr>
          <w:p w14:paraId="7AE4DAAC" w14:textId="77777777" w:rsidR="00637D0A" w:rsidRDefault="00441CE7">
            <w:pPr>
              <w:spacing w:line="320" w:lineRule="atLeast"/>
              <w:ind w:left="60" w:right="60"/>
              <w:rPr>
                <w:rFonts w:ascii="Arial" w:hAnsi="Arial" w:cs="Arial"/>
              </w:rPr>
            </w:pPr>
            <w:proofErr w:type="spellStart"/>
            <w:r>
              <w:rPr>
                <w:rFonts w:ascii="Arial" w:hAnsi="Arial" w:cs="Arial"/>
              </w:rPr>
              <w:t>Asymp</w:t>
            </w:r>
            <w:proofErr w:type="spellEnd"/>
            <w:r>
              <w:rPr>
                <w:rFonts w:ascii="Arial" w:hAnsi="Arial" w:cs="Arial"/>
              </w:rPr>
              <w:t>. Sig. (2-</w:t>
            </w:r>
            <w:proofErr w:type="gramStart"/>
            <w:r>
              <w:rPr>
                <w:rFonts w:ascii="Arial" w:hAnsi="Arial" w:cs="Arial"/>
              </w:rPr>
              <w:t>tailed)</w:t>
            </w:r>
            <w:r>
              <w:rPr>
                <w:rFonts w:ascii="Arial" w:hAnsi="Arial" w:cs="Arial"/>
                <w:vertAlign w:val="superscript"/>
              </w:rPr>
              <w:t>c</w:t>
            </w:r>
            <w:proofErr w:type="gramEnd"/>
          </w:p>
        </w:tc>
        <w:tc>
          <w:tcPr>
            <w:tcW w:w="862" w:type="dxa"/>
            <w:tcBorders>
              <w:tl2br w:val="nil"/>
              <w:tr2bl w:val="nil"/>
            </w:tcBorders>
          </w:tcPr>
          <w:p w14:paraId="38A5E116" w14:textId="77777777" w:rsidR="00637D0A" w:rsidRDefault="00441CE7">
            <w:pPr>
              <w:spacing w:line="320" w:lineRule="atLeast"/>
              <w:ind w:left="60" w:right="60"/>
              <w:jc w:val="right"/>
              <w:rPr>
                <w:rFonts w:ascii="Arial" w:hAnsi="Arial" w:cs="Arial"/>
              </w:rPr>
            </w:pPr>
            <w:r>
              <w:rPr>
                <w:rFonts w:ascii="Arial" w:hAnsi="Arial" w:cs="Arial"/>
              </w:rPr>
              <w:t>,</w:t>
            </w:r>
            <w:r>
              <w:rPr>
                <w:rFonts w:ascii="Arial" w:hAnsi="Arial" w:cs="Arial"/>
                <w:lang w:val="id-ID"/>
              </w:rPr>
              <w:t>085</w:t>
            </w:r>
            <w:r>
              <w:rPr>
                <w:rFonts w:ascii="Arial" w:hAnsi="Arial" w:cs="Arial"/>
                <w:vertAlign w:val="superscript"/>
              </w:rPr>
              <w:t>d</w:t>
            </w:r>
          </w:p>
        </w:tc>
      </w:tr>
    </w:tbl>
    <w:p w14:paraId="236A7381" w14:textId="77777777" w:rsidR="00637D0A" w:rsidRDefault="00637D0A">
      <w:pPr>
        <w:pStyle w:val="Body"/>
        <w:spacing w:after="0"/>
        <w:ind w:left="720" w:firstLine="720"/>
        <w:rPr>
          <w:rFonts w:ascii="Arial" w:hAnsi="Arial" w:cs="Arial"/>
          <w:b/>
          <w:bCs/>
          <w:lang w:val="id-ID"/>
        </w:rPr>
      </w:pPr>
    </w:p>
    <w:p w14:paraId="45DDE72B" w14:textId="77777777" w:rsidR="00637D0A" w:rsidRDefault="00637D0A">
      <w:pPr>
        <w:pStyle w:val="Body"/>
        <w:spacing w:after="0"/>
        <w:rPr>
          <w:rFonts w:ascii="Arial" w:hAnsi="Arial" w:cs="Arial"/>
          <w:b/>
          <w:bCs/>
          <w:u w:val="single"/>
          <w:lang w:val="id-ID"/>
        </w:rPr>
      </w:pPr>
    </w:p>
    <w:p w14:paraId="6CFA2526" w14:textId="77777777" w:rsidR="00637D0A" w:rsidRDefault="00637D0A">
      <w:pPr>
        <w:pStyle w:val="Body"/>
        <w:spacing w:after="0"/>
        <w:rPr>
          <w:rFonts w:ascii="Arial" w:hAnsi="Arial" w:cs="Arial"/>
          <w:b/>
          <w:bCs/>
          <w:u w:val="single"/>
          <w:lang w:val="id-ID"/>
        </w:rPr>
      </w:pPr>
    </w:p>
    <w:p w14:paraId="53701C6A" w14:textId="77777777" w:rsidR="00637D0A" w:rsidRDefault="00441CE7">
      <w:pPr>
        <w:pStyle w:val="Body"/>
        <w:numPr>
          <w:ilvl w:val="2"/>
          <w:numId w:val="4"/>
        </w:numPr>
        <w:spacing w:after="0"/>
        <w:rPr>
          <w:rFonts w:ascii="Arial" w:hAnsi="Arial" w:cs="Arial"/>
          <w:b/>
          <w:bCs/>
          <w:u w:val="single"/>
          <w:lang w:val="id-ID"/>
        </w:rPr>
      </w:pPr>
      <w:r>
        <w:rPr>
          <w:rFonts w:ascii="Arial" w:hAnsi="Arial" w:cs="Arial"/>
          <w:b/>
          <w:bCs/>
          <w:u w:val="single"/>
          <w:lang w:val="id-ID"/>
        </w:rPr>
        <w:t>Autocorrelation Test</w:t>
      </w:r>
    </w:p>
    <w:p w14:paraId="0EFEE0DB" w14:textId="77777777" w:rsidR="00637D0A" w:rsidRDefault="00637D0A">
      <w:pPr>
        <w:pStyle w:val="Body"/>
        <w:spacing w:after="0"/>
        <w:rPr>
          <w:rFonts w:ascii="Arial" w:hAnsi="Arial" w:cs="Arial"/>
          <w:b/>
          <w:bCs/>
          <w:u w:val="single"/>
          <w:lang w:val="id-ID"/>
        </w:rPr>
      </w:pPr>
    </w:p>
    <w:p w14:paraId="6304FCEF" w14:textId="77777777" w:rsidR="00637D0A" w:rsidRDefault="00441CE7">
      <w:pPr>
        <w:jc w:val="both"/>
        <w:rPr>
          <w:rFonts w:ascii="Arial" w:hAnsi="Arial" w:cs="Arial"/>
          <w:lang w:val="id-ID" w:eastAsia="zh-CN"/>
        </w:rPr>
      </w:pPr>
      <w:r>
        <w:rPr>
          <w:rFonts w:ascii="Arial" w:hAnsi="Arial" w:cs="Arial"/>
          <w:lang w:val="id-ID" w:eastAsia="zh-CN"/>
        </w:rPr>
        <w:t xml:space="preserve">Durbin waston value is 2.220 then, comparinf the table values with the number of data points (N) = 77 and the number of independent variables (K) = 4, we find dL = </w:t>
      </w:r>
      <w:r>
        <w:rPr>
          <w:rFonts w:ascii="Arial" w:hAnsi="Arial" w:cs="Arial"/>
          <w:lang w:val="id-ID"/>
        </w:rPr>
        <w:t>1.5228, dU = 1.7407, 4-dL = 2.4772, and 4-dU = 2.2593</w:t>
      </w:r>
      <w:r>
        <w:rPr>
          <w:rFonts w:ascii="Arial" w:hAnsi="Arial" w:cs="Arial"/>
          <w:lang w:val="id-ID" w:eastAsia="zh-CN"/>
        </w:rPr>
        <w:t xml:space="preserve">, so the durbin waston value lies between dU and 4-dU, or the region where neither positive or negative autocorrelation occurs. </w:t>
      </w:r>
    </w:p>
    <w:p w14:paraId="516852B0" w14:textId="77777777" w:rsidR="00637D0A" w:rsidRDefault="00637D0A">
      <w:pPr>
        <w:jc w:val="both"/>
        <w:rPr>
          <w:rFonts w:ascii="Arial" w:hAnsi="Arial" w:cs="Arial"/>
          <w:lang w:val="id-ID" w:eastAsia="zh-CN"/>
        </w:rPr>
      </w:pPr>
    </w:p>
    <w:p w14:paraId="2A38F910" w14:textId="77777777" w:rsidR="00637D0A" w:rsidRDefault="00637D0A">
      <w:pPr>
        <w:jc w:val="both"/>
        <w:rPr>
          <w:rFonts w:ascii="Arial" w:hAnsi="Arial" w:cs="Arial"/>
          <w:lang w:val="id-ID" w:eastAsia="zh-CN"/>
        </w:rPr>
      </w:pPr>
    </w:p>
    <w:p w14:paraId="66B7AD75" w14:textId="77777777" w:rsidR="00637D0A" w:rsidRDefault="00441CE7">
      <w:pPr>
        <w:ind w:left="1440" w:firstLineChars="610" w:firstLine="1225"/>
        <w:jc w:val="both"/>
        <w:rPr>
          <w:rFonts w:ascii="Arial" w:hAnsi="Arial" w:cs="Arial"/>
          <w:b/>
          <w:bCs/>
          <w:lang w:val="id-ID" w:eastAsia="zh-CN"/>
        </w:rPr>
      </w:pPr>
      <w:r>
        <w:rPr>
          <w:rFonts w:ascii="Arial" w:hAnsi="Arial" w:cs="Arial"/>
          <w:b/>
          <w:bCs/>
          <w:lang w:val="id-ID" w:eastAsia="zh-CN"/>
        </w:rPr>
        <w:t>Table. 3 Autocorrelation Test</w:t>
      </w:r>
    </w:p>
    <w:tbl>
      <w:tblPr>
        <w:tblW w:w="3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5"/>
        <w:gridCol w:w="2324"/>
      </w:tblGrid>
      <w:tr w:rsidR="00637D0A" w14:paraId="4DA1F97E" w14:textId="77777777">
        <w:trPr>
          <w:cantSplit/>
          <w:trHeight w:val="267"/>
          <w:jc w:val="center"/>
        </w:trPr>
        <w:tc>
          <w:tcPr>
            <w:tcW w:w="3099" w:type="dxa"/>
            <w:gridSpan w:val="2"/>
            <w:tcBorders>
              <w:tl2br w:val="nil"/>
              <w:tr2bl w:val="nil"/>
            </w:tcBorders>
            <w:vAlign w:val="center"/>
          </w:tcPr>
          <w:p w14:paraId="2F8648C2" w14:textId="77777777" w:rsidR="00637D0A" w:rsidRDefault="00441CE7">
            <w:pPr>
              <w:spacing w:line="320" w:lineRule="atLeast"/>
              <w:ind w:left="60" w:right="60"/>
              <w:jc w:val="center"/>
              <w:rPr>
                <w:rFonts w:ascii="Times New Roman" w:hAnsi="Times New Roman"/>
              </w:rPr>
            </w:pPr>
            <w:r>
              <w:rPr>
                <w:rFonts w:ascii="Times New Roman" w:hAnsi="Times New Roman"/>
                <w:b/>
              </w:rPr>
              <w:t xml:space="preserve">Model </w:t>
            </w:r>
            <w:proofErr w:type="spellStart"/>
            <w:r>
              <w:rPr>
                <w:rFonts w:ascii="Times New Roman" w:hAnsi="Times New Roman"/>
                <w:b/>
              </w:rPr>
              <w:t>Summary</w:t>
            </w:r>
            <w:r>
              <w:rPr>
                <w:rFonts w:ascii="Times New Roman" w:hAnsi="Times New Roman"/>
                <w:b/>
                <w:vertAlign w:val="superscript"/>
              </w:rPr>
              <w:t>b</w:t>
            </w:r>
            <w:proofErr w:type="spellEnd"/>
          </w:p>
        </w:tc>
      </w:tr>
      <w:tr w:rsidR="00637D0A" w14:paraId="6841C097" w14:textId="77777777">
        <w:trPr>
          <w:cantSplit/>
          <w:trHeight w:val="525"/>
          <w:jc w:val="center"/>
        </w:trPr>
        <w:tc>
          <w:tcPr>
            <w:tcW w:w="775" w:type="dxa"/>
            <w:tcBorders>
              <w:tl2br w:val="nil"/>
              <w:tr2bl w:val="nil"/>
            </w:tcBorders>
            <w:vAlign w:val="bottom"/>
          </w:tcPr>
          <w:p w14:paraId="59ED2765" w14:textId="77777777" w:rsidR="00637D0A" w:rsidRDefault="00441CE7">
            <w:pPr>
              <w:spacing w:line="320" w:lineRule="atLeast"/>
              <w:ind w:left="60" w:right="60"/>
              <w:rPr>
                <w:rFonts w:ascii="Arial" w:hAnsi="Arial" w:cs="Arial"/>
              </w:rPr>
            </w:pPr>
            <w:r>
              <w:rPr>
                <w:rFonts w:ascii="Arial" w:hAnsi="Arial" w:cs="Arial"/>
              </w:rPr>
              <w:t>Model</w:t>
            </w:r>
          </w:p>
        </w:tc>
        <w:tc>
          <w:tcPr>
            <w:tcW w:w="2324" w:type="dxa"/>
            <w:tcBorders>
              <w:tl2br w:val="nil"/>
              <w:tr2bl w:val="nil"/>
            </w:tcBorders>
            <w:vAlign w:val="bottom"/>
          </w:tcPr>
          <w:p w14:paraId="7A0D389C" w14:textId="77777777" w:rsidR="00637D0A" w:rsidRDefault="00441CE7">
            <w:pPr>
              <w:spacing w:line="320" w:lineRule="atLeast"/>
              <w:ind w:left="60" w:right="60"/>
              <w:jc w:val="center"/>
              <w:rPr>
                <w:rFonts w:ascii="Arial" w:hAnsi="Arial" w:cs="Arial"/>
              </w:rPr>
            </w:pPr>
            <w:r>
              <w:rPr>
                <w:rFonts w:ascii="Arial" w:hAnsi="Arial" w:cs="Arial"/>
              </w:rPr>
              <w:t>Durbin-Watson</w:t>
            </w:r>
          </w:p>
        </w:tc>
      </w:tr>
      <w:tr w:rsidR="00637D0A" w14:paraId="48C5F0A4" w14:textId="77777777">
        <w:trPr>
          <w:cantSplit/>
          <w:trHeight w:val="275"/>
          <w:jc w:val="center"/>
        </w:trPr>
        <w:tc>
          <w:tcPr>
            <w:tcW w:w="775" w:type="dxa"/>
            <w:tcBorders>
              <w:tl2br w:val="nil"/>
              <w:tr2bl w:val="nil"/>
            </w:tcBorders>
          </w:tcPr>
          <w:p w14:paraId="3D864DE0" w14:textId="77777777" w:rsidR="00637D0A" w:rsidRDefault="00441CE7">
            <w:pPr>
              <w:spacing w:line="320" w:lineRule="atLeast"/>
              <w:ind w:left="60" w:right="60"/>
              <w:rPr>
                <w:rFonts w:ascii="Arial" w:hAnsi="Arial" w:cs="Arial"/>
              </w:rPr>
            </w:pPr>
            <w:r>
              <w:rPr>
                <w:rFonts w:ascii="Arial" w:hAnsi="Arial" w:cs="Arial"/>
              </w:rPr>
              <w:t>1</w:t>
            </w:r>
          </w:p>
        </w:tc>
        <w:tc>
          <w:tcPr>
            <w:tcW w:w="2324" w:type="dxa"/>
            <w:tcBorders>
              <w:tl2br w:val="nil"/>
              <w:tr2bl w:val="nil"/>
            </w:tcBorders>
          </w:tcPr>
          <w:p w14:paraId="64666F3A" w14:textId="77777777" w:rsidR="00637D0A" w:rsidRDefault="00441CE7">
            <w:pPr>
              <w:spacing w:line="320" w:lineRule="atLeast"/>
              <w:ind w:left="60" w:right="60"/>
              <w:jc w:val="right"/>
              <w:rPr>
                <w:rFonts w:ascii="Arial" w:hAnsi="Arial" w:cs="Arial"/>
                <w:lang w:val="id-ID"/>
              </w:rPr>
            </w:pPr>
            <w:r>
              <w:rPr>
                <w:rFonts w:ascii="Arial" w:hAnsi="Arial" w:cs="Arial"/>
              </w:rPr>
              <w:t>2,</w:t>
            </w:r>
            <w:r>
              <w:rPr>
                <w:rFonts w:ascii="Arial" w:hAnsi="Arial" w:cs="Arial"/>
                <w:lang w:val="id-ID"/>
              </w:rPr>
              <w:t>220</w:t>
            </w:r>
          </w:p>
        </w:tc>
      </w:tr>
    </w:tbl>
    <w:p w14:paraId="6CADA4FC" w14:textId="77777777" w:rsidR="00637D0A" w:rsidRDefault="00637D0A">
      <w:pPr>
        <w:jc w:val="both"/>
        <w:rPr>
          <w:rFonts w:ascii="Arial" w:hAnsi="Arial" w:cs="Arial"/>
          <w:lang w:val="id-ID" w:eastAsia="zh-CN"/>
        </w:rPr>
      </w:pPr>
    </w:p>
    <w:p w14:paraId="5C9F367B" w14:textId="77777777" w:rsidR="00637D0A" w:rsidRDefault="00441CE7">
      <w:pPr>
        <w:numPr>
          <w:ilvl w:val="2"/>
          <w:numId w:val="4"/>
        </w:numPr>
        <w:jc w:val="both"/>
        <w:rPr>
          <w:rFonts w:ascii="Arial" w:hAnsi="Arial" w:cs="Arial"/>
          <w:b/>
          <w:bCs/>
          <w:u w:val="single"/>
          <w:lang w:val="id-ID" w:eastAsia="zh-CN"/>
        </w:rPr>
      </w:pPr>
      <w:r>
        <w:rPr>
          <w:rFonts w:ascii="Arial" w:hAnsi="Arial" w:cs="Arial"/>
          <w:b/>
          <w:bCs/>
          <w:u w:val="single"/>
          <w:lang w:val="id-ID" w:eastAsia="zh-CN"/>
        </w:rPr>
        <w:t>Multicollinearity Test</w:t>
      </w:r>
    </w:p>
    <w:p w14:paraId="62F9EBEA" w14:textId="77777777" w:rsidR="00637D0A" w:rsidRDefault="00637D0A">
      <w:pPr>
        <w:jc w:val="both"/>
        <w:rPr>
          <w:rFonts w:ascii="Arial" w:hAnsi="Arial" w:cs="Arial"/>
          <w:b/>
          <w:bCs/>
          <w:u w:val="single"/>
          <w:lang w:val="id-ID" w:eastAsia="zh-CN"/>
        </w:rPr>
      </w:pPr>
    </w:p>
    <w:p w14:paraId="28DC6B0B" w14:textId="77777777" w:rsidR="00637D0A" w:rsidRDefault="00441CE7">
      <w:pPr>
        <w:jc w:val="both"/>
        <w:rPr>
          <w:rFonts w:ascii="Arial" w:hAnsi="Arial" w:cs="Arial"/>
          <w:lang w:val="id-ID" w:eastAsia="zh-CN"/>
        </w:rPr>
      </w:pPr>
      <w:r>
        <w:rPr>
          <w:rFonts w:ascii="Arial" w:hAnsi="Arial" w:cs="Arial"/>
          <w:lang w:val="id-ID" w:eastAsia="zh-CN"/>
        </w:rPr>
        <w:t xml:space="preserve">The results of the multicollinearity test for this regression analysis indicate that the profitability = 1,077, liquidit = 1,127, Company Size = 1,267, and Dividend Policy = 1,226, where all independent variables have tolerance values &gt; 0.10 and VIF values &lt; 10. This indicates that there is no multicollineariry among the independent variables in the regression model. </w:t>
      </w:r>
    </w:p>
    <w:p w14:paraId="2B034237" w14:textId="77777777" w:rsidR="00637D0A" w:rsidRDefault="00637D0A">
      <w:pPr>
        <w:jc w:val="both"/>
        <w:rPr>
          <w:rFonts w:ascii="Arial" w:hAnsi="Arial" w:cs="Arial"/>
          <w:lang w:val="id-ID" w:eastAsia="zh-CN"/>
        </w:rPr>
      </w:pPr>
    </w:p>
    <w:p w14:paraId="370FFAD1" w14:textId="77777777" w:rsidR="00637D0A" w:rsidRDefault="00441CE7">
      <w:pPr>
        <w:ind w:left="1440" w:firstLineChars="560" w:firstLine="1124"/>
        <w:jc w:val="both"/>
        <w:rPr>
          <w:rFonts w:ascii="Arial" w:hAnsi="Arial" w:cs="Arial"/>
          <w:b/>
          <w:bCs/>
          <w:lang w:val="id-ID" w:eastAsia="zh-CN"/>
        </w:rPr>
      </w:pPr>
      <w:r>
        <w:rPr>
          <w:rFonts w:ascii="Arial" w:hAnsi="Arial" w:cs="Arial"/>
          <w:b/>
          <w:bCs/>
          <w:lang w:val="id-ID" w:eastAsia="zh-CN"/>
        </w:rPr>
        <w:t>Table. 4 Multicollinearity Test</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3"/>
        <w:gridCol w:w="1738"/>
        <w:gridCol w:w="986"/>
        <w:gridCol w:w="981"/>
      </w:tblGrid>
      <w:tr w:rsidR="00637D0A" w14:paraId="15D79853" w14:textId="77777777">
        <w:trPr>
          <w:cantSplit/>
          <w:trHeight w:val="292"/>
          <w:jc w:val="center"/>
        </w:trPr>
        <w:tc>
          <w:tcPr>
            <w:tcW w:w="4478" w:type="dxa"/>
            <w:gridSpan w:val="4"/>
            <w:tcBorders>
              <w:tl2br w:val="nil"/>
              <w:tr2bl w:val="nil"/>
            </w:tcBorders>
            <w:vAlign w:val="center"/>
          </w:tcPr>
          <w:p w14:paraId="7B15FEA9" w14:textId="77777777" w:rsidR="00637D0A" w:rsidRDefault="00441CE7">
            <w:pPr>
              <w:ind w:left="60" w:right="60"/>
              <w:jc w:val="center"/>
              <w:rPr>
                <w:rFonts w:ascii="Times New Roman" w:hAnsi="Times New Roman"/>
              </w:rPr>
            </w:pPr>
            <w:proofErr w:type="spellStart"/>
            <w:r>
              <w:rPr>
                <w:rFonts w:ascii="Times New Roman" w:hAnsi="Times New Roman"/>
                <w:b/>
              </w:rPr>
              <w:t>Coefficients</w:t>
            </w:r>
            <w:r>
              <w:rPr>
                <w:rFonts w:ascii="Times New Roman" w:hAnsi="Times New Roman"/>
                <w:b/>
                <w:vertAlign w:val="superscript"/>
              </w:rPr>
              <w:t>a</w:t>
            </w:r>
            <w:proofErr w:type="spellEnd"/>
          </w:p>
        </w:tc>
      </w:tr>
      <w:tr w:rsidR="00637D0A" w14:paraId="1CF943ED" w14:textId="77777777">
        <w:trPr>
          <w:cantSplit/>
          <w:trHeight w:val="306"/>
          <w:jc w:val="center"/>
        </w:trPr>
        <w:tc>
          <w:tcPr>
            <w:tcW w:w="2511" w:type="dxa"/>
            <w:gridSpan w:val="2"/>
            <w:vMerge w:val="restart"/>
            <w:tcBorders>
              <w:tl2br w:val="nil"/>
              <w:tr2bl w:val="nil"/>
            </w:tcBorders>
            <w:vAlign w:val="center"/>
          </w:tcPr>
          <w:p w14:paraId="0AFB769B" w14:textId="77777777" w:rsidR="00637D0A" w:rsidRDefault="00441CE7">
            <w:pPr>
              <w:spacing w:line="320" w:lineRule="atLeast"/>
              <w:ind w:left="60" w:right="60"/>
              <w:jc w:val="both"/>
              <w:rPr>
                <w:rFonts w:ascii="Times New Roman" w:hAnsi="Times New Roman"/>
                <w:lang w:val="id-ID"/>
              </w:rPr>
            </w:pPr>
            <w:r>
              <w:rPr>
                <w:rFonts w:ascii="Times New Roman" w:hAnsi="Times New Roman"/>
                <w:lang w:val="id-ID"/>
              </w:rPr>
              <w:t>Model</w:t>
            </w:r>
          </w:p>
        </w:tc>
        <w:tc>
          <w:tcPr>
            <w:tcW w:w="1967" w:type="dxa"/>
            <w:gridSpan w:val="2"/>
            <w:tcBorders>
              <w:tl2br w:val="nil"/>
              <w:tr2bl w:val="nil"/>
            </w:tcBorders>
            <w:vAlign w:val="center"/>
          </w:tcPr>
          <w:p w14:paraId="6C01D29A" w14:textId="77777777" w:rsidR="00637D0A" w:rsidRDefault="00441CE7">
            <w:pPr>
              <w:jc w:val="center"/>
              <w:rPr>
                <w:rFonts w:ascii="Times New Roman" w:hAnsi="Times New Roman"/>
              </w:rPr>
            </w:pPr>
            <w:r>
              <w:rPr>
                <w:rFonts w:ascii="Times New Roman" w:hAnsi="Times New Roman"/>
              </w:rPr>
              <w:t>Collinearity Statistics</w:t>
            </w:r>
          </w:p>
        </w:tc>
      </w:tr>
      <w:tr w:rsidR="00637D0A" w14:paraId="77F152C6" w14:textId="77777777">
        <w:trPr>
          <w:cantSplit/>
          <w:trHeight w:val="306"/>
          <w:jc w:val="center"/>
        </w:trPr>
        <w:tc>
          <w:tcPr>
            <w:tcW w:w="2511" w:type="dxa"/>
            <w:gridSpan w:val="2"/>
            <w:vMerge/>
            <w:tcBorders>
              <w:tl2br w:val="nil"/>
              <w:tr2bl w:val="nil"/>
            </w:tcBorders>
          </w:tcPr>
          <w:p w14:paraId="21AF96D1" w14:textId="77777777" w:rsidR="00637D0A" w:rsidRDefault="00637D0A">
            <w:pPr>
              <w:spacing w:line="320" w:lineRule="atLeast"/>
              <w:ind w:left="60" w:right="60"/>
              <w:rPr>
                <w:rFonts w:ascii="Times New Roman" w:hAnsi="Times New Roman"/>
              </w:rPr>
            </w:pPr>
          </w:p>
        </w:tc>
        <w:tc>
          <w:tcPr>
            <w:tcW w:w="986" w:type="dxa"/>
            <w:tcBorders>
              <w:tl2br w:val="nil"/>
              <w:tr2bl w:val="nil"/>
            </w:tcBorders>
            <w:vAlign w:val="center"/>
          </w:tcPr>
          <w:p w14:paraId="6839A0D9" w14:textId="77777777" w:rsidR="00637D0A" w:rsidRDefault="00441CE7">
            <w:pPr>
              <w:spacing w:line="320" w:lineRule="atLeast"/>
              <w:ind w:left="60" w:right="60"/>
              <w:jc w:val="center"/>
              <w:rPr>
                <w:rFonts w:ascii="Times New Roman" w:hAnsi="Times New Roman"/>
              </w:rPr>
            </w:pPr>
            <w:r>
              <w:rPr>
                <w:rFonts w:ascii="Times New Roman" w:hAnsi="Times New Roman"/>
              </w:rPr>
              <w:t>Tolerance</w:t>
            </w:r>
          </w:p>
        </w:tc>
        <w:tc>
          <w:tcPr>
            <w:tcW w:w="981" w:type="dxa"/>
            <w:tcBorders>
              <w:tl2br w:val="nil"/>
              <w:tr2bl w:val="nil"/>
            </w:tcBorders>
            <w:vAlign w:val="center"/>
          </w:tcPr>
          <w:p w14:paraId="05DC8545" w14:textId="77777777" w:rsidR="00637D0A" w:rsidRDefault="00441CE7">
            <w:pPr>
              <w:jc w:val="center"/>
              <w:rPr>
                <w:rFonts w:ascii="Times New Roman" w:hAnsi="Times New Roman"/>
                <w:lang w:val="id-ID"/>
              </w:rPr>
            </w:pPr>
            <w:r>
              <w:rPr>
                <w:rFonts w:ascii="Times New Roman" w:hAnsi="Times New Roman"/>
                <w:lang w:val="id-ID"/>
              </w:rPr>
              <w:t>VIF</w:t>
            </w:r>
          </w:p>
        </w:tc>
      </w:tr>
      <w:tr w:rsidR="00637D0A" w14:paraId="19254CEA" w14:textId="77777777">
        <w:trPr>
          <w:cantSplit/>
          <w:trHeight w:val="306"/>
          <w:jc w:val="center"/>
        </w:trPr>
        <w:tc>
          <w:tcPr>
            <w:tcW w:w="773" w:type="dxa"/>
            <w:vMerge w:val="restart"/>
            <w:tcBorders>
              <w:tl2br w:val="nil"/>
              <w:tr2bl w:val="nil"/>
            </w:tcBorders>
          </w:tcPr>
          <w:p w14:paraId="0001644E" w14:textId="77777777" w:rsidR="00637D0A" w:rsidRDefault="00441CE7">
            <w:pPr>
              <w:spacing w:line="320" w:lineRule="atLeast"/>
              <w:ind w:left="60" w:right="60"/>
              <w:rPr>
                <w:rFonts w:ascii="Times New Roman" w:hAnsi="Times New Roman"/>
              </w:rPr>
            </w:pPr>
            <w:r>
              <w:rPr>
                <w:rFonts w:ascii="Times New Roman" w:hAnsi="Times New Roman"/>
              </w:rPr>
              <w:t>1</w:t>
            </w:r>
          </w:p>
        </w:tc>
        <w:tc>
          <w:tcPr>
            <w:tcW w:w="1738" w:type="dxa"/>
            <w:tcBorders>
              <w:tl2br w:val="nil"/>
              <w:tr2bl w:val="nil"/>
            </w:tcBorders>
          </w:tcPr>
          <w:p w14:paraId="5071A6E1" w14:textId="77777777" w:rsidR="00637D0A" w:rsidRDefault="00441CE7">
            <w:pPr>
              <w:spacing w:line="320" w:lineRule="atLeast"/>
              <w:ind w:left="60" w:right="60"/>
              <w:rPr>
                <w:rFonts w:ascii="Times New Roman" w:hAnsi="Times New Roman"/>
              </w:rPr>
            </w:pPr>
            <w:r>
              <w:rPr>
                <w:rFonts w:ascii="Times New Roman" w:hAnsi="Times New Roman"/>
              </w:rPr>
              <w:t>(Constant)</w:t>
            </w:r>
          </w:p>
        </w:tc>
        <w:tc>
          <w:tcPr>
            <w:tcW w:w="986" w:type="dxa"/>
            <w:tcBorders>
              <w:tl2br w:val="nil"/>
              <w:tr2bl w:val="nil"/>
            </w:tcBorders>
            <w:vAlign w:val="center"/>
          </w:tcPr>
          <w:p w14:paraId="331BD577" w14:textId="77777777" w:rsidR="00637D0A" w:rsidRDefault="00637D0A">
            <w:pPr>
              <w:rPr>
                <w:rFonts w:ascii="Times New Roman" w:hAnsi="Times New Roman"/>
              </w:rPr>
            </w:pPr>
          </w:p>
        </w:tc>
        <w:tc>
          <w:tcPr>
            <w:tcW w:w="981" w:type="dxa"/>
            <w:tcBorders>
              <w:tl2br w:val="nil"/>
              <w:tr2bl w:val="nil"/>
            </w:tcBorders>
            <w:vAlign w:val="center"/>
          </w:tcPr>
          <w:p w14:paraId="4DD901C2" w14:textId="77777777" w:rsidR="00637D0A" w:rsidRDefault="00637D0A">
            <w:pPr>
              <w:rPr>
                <w:rFonts w:ascii="Times New Roman" w:hAnsi="Times New Roman"/>
              </w:rPr>
            </w:pPr>
          </w:p>
        </w:tc>
      </w:tr>
      <w:tr w:rsidR="00637D0A" w14:paraId="7FF2DC80" w14:textId="77777777">
        <w:trPr>
          <w:cantSplit/>
          <w:trHeight w:val="292"/>
          <w:jc w:val="center"/>
        </w:trPr>
        <w:tc>
          <w:tcPr>
            <w:tcW w:w="773" w:type="dxa"/>
            <w:vMerge/>
            <w:tcBorders>
              <w:tl2br w:val="nil"/>
              <w:tr2bl w:val="nil"/>
            </w:tcBorders>
          </w:tcPr>
          <w:p w14:paraId="470473E4" w14:textId="77777777" w:rsidR="00637D0A" w:rsidRDefault="00637D0A">
            <w:pPr>
              <w:rPr>
                <w:rFonts w:ascii="Times New Roman" w:hAnsi="Times New Roman"/>
              </w:rPr>
            </w:pPr>
          </w:p>
        </w:tc>
        <w:tc>
          <w:tcPr>
            <w:tcW w:w="1738" w:type="dxa"/>
            <w:tcBorders>
              <w:tl2br w:val="nil"/>
              <w:tr2bl w:val="nil"/>
            </w:tcBorders>
          </w:tcPr>
          <w:p w14:paraId="10DEC53A" w14:textId="77777777" w:rsidR="00637D0A" w:rsidRDefault="00441CE7">
            <w:pPr>
              <w:spacing w:line="320" w:lineRule="atLeast"/>
              <w:ind w:left="60" w:right="60"/>
              <w:rPr>
                <w:rFonts w:ascii="Times New Roman" w:hAnsi="Times New Roman"/>
                <w:lang w:val="id-ID"/>
              </w:rPr>
            </w:pPr>
            <w:proofErr w:type="spellStart"/>
            <w:r>
              <w:rPr>
                <w:rFonts w:ascii="Times New Roman" w:hAnsi="Times New Roman"/>
              </w:rPr>
              <w:t>Profitabili</w:t>
            </w:r>
            <w:proofErr w:type="spellEnd"/>
            <w:r>
              <w:rPr>
                <w:rFonts w:ascii="Times New Roman" w:hAnsi="Times New Roman"/>
                <w:lang w:val="id-ID"/>
              </w:rPr>
              <w:t>ty</w:t>
            </w:r>
          </w:p>
        </w:tc>
        <w:tc>
          <w:tcPr>
            <w:tcW w:w="986" w:type="dxa"/>
            <w:tcBorders>
              <w:tl2br w:val="nil"/>
              <w:tr2bl w:val="nil"/>
            </w:tcBorders>
          </w:tcPr>
          <w:p w14:paraId="4D40FBEA"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,9</w:t>
            </w:r>
            <w:r>
              <w:rPr>
                <w:rFonts w:ascii="Times New Roman" w:hAnsi="Times New Roman"/>
                <w:lang w:val="id-ID"/>
              </w:rPr>
              <w:t>28</w:t>
            </w:r>
          </w:p>
        </w:tc>
        <w:tc>
          <w:tcPr>
            <w:tcW w:w="981" w:type="dxa"/>
            <w:tcBorders>
              <w:tl2br w:val="nil"/>
              <w:tr2bl w:val="nil"/>
            </w:tcBorders>
          </w:tcPr>
          <w:p w14:paraId="510D228A"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1,</w:t>
            </w:r>
            <w:r>
              <w:rPr>
                <w:rFonts w:ascii="Times New Roman" w:hAnsi="Times New Roman"/>
                <w:lang w:val="id-ID"/>
              </w:rPr>
              <w:t>077</w:t>
            </w:r>
          </w:p>
        </w:tc>
      </w:tr>
      <w:tr w:rsidR="00637D0A" w14:paraId="5D8B408E" w14:textId="77777777">
        <w:trPr>
          <w:cantSplit/>
          <w:trHeight w:val="292"/>
          <w:jc w:val="center"/>
        </w:trPr>
        <w:tc>
          <w:tcPr>
            <w:tcW w:w="773" w:type="dxa"/>
            <w:vMerge/>
            <w:tcBorders>
              <w:tl2br w:val="nil"/>
              <w:tr2bl w:val="nil"/>
            </w:tcBorders>
          </w:tcPr>
          <w:p w14:paraId="23020892" w14:textId="77777777" w:rsidR="00637D0A" w:rsidRDefault="00637D0A">
            <w:pPr>
              <w:rPr>
                <w:rFonts w:ascii="Times New Roman" w:hAnsi="Times New Roman"/>
              </w:rPr>
            </w:pPr>
          </w:p>
        </w:tc>
        <w:tc>
          <w:tcPr>
            <w:tcW w:w="1738" w:type="dxa"/>
            <w:tcBorders>
              <w:tl2br w:val="nil"/>
              <w:tr2bl w:val="nil"/>
            </w:tcBorders>
          </w:tcPr>
          <w:p w14:paraId="200F9C70" w14:textId="77777777" w:rsidR="00637D0A" w:rsidRDefault="00441CE7">
            <w:pPr>
              <w:spacing w:line="320" w:lineRule="atLeast"/>
              <w:ind w:left="60" w:right="60"/>
              <w:rPr>
                <w:rFonts w:ascii="Times New Roman" w:hAnsi="Times New Roman"/>
                <w:lang w:val="id-ID"/>
              </w:rPr>
            </w:pPr>
            <w:proofErr w:type="spellStart"/>
            <w:r>
              <w:rPr>
                <w:rFonts w:ascii="Times New Roman" w:hAnsi="Times New Roman"/>
              </w:rPr>
              <w:t>Likuidi</w:t>
            </w:r>
            <w:proofErr w:type="spellEnd"/>
            <w:r>
              <w:rPr>
                <w:rFonts w:ascii="Times New Roman" w:hAnsi="Times New Roman"/>
                <w:lang w:val="id-ID"/>
              </w:rPr>
              <w:t>ty</w:t>
            </w:r>
          </w:p>
        </w:tc>
        <w:tc>
          <w:tcPr>
            <w:tcW w:w="986" w:type="dxa"/>
            <w:tcBorders>
              <w:tl2br w:val="nil"/>
              <w:tr2bl w:val="nil"/>
            </w:tcBorders>
          </w:tcPr>
          <w:p w14:paraId="11F12E89"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,8</w:t>
            </w:r>
            <w:r>
              <w:rPr>
                <w:rFonts w:ascii="Times New Roman" w:hAnsi="Times New Roman"/>
                <w:lang w:val="id-ID"/>
              </w:rPr>
              <w:t>87</w:t>
            </w:r>
          </w:p>
        </w:tc>
        <w:tc>
          <w:tcPr>
            <w:tcW w:w="981" w:type="dxa"/>
            <w:tcBorders>
              <w:tl2br w:val="nil"/>
              <w:tr2bl w:val="nil"/>
            </w:tcBorders>
          </w:tcPr>
          <w:p w14:paraId="6C92F9EF"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1,1</w:t>
            </w:r>
            <w:r>
              <w:rPr>
                <w:rFonts w:ascii="Times New Roman" w:hAnsi="Times New Roman"/>
                <w:lang w:val="id-ID"/>
              </w:rPr>
              <w:t>27</w:t>
            </w:r>
          </w:p>
        </w:tc>
      </w:tr>
      <w:tr w:rsidR="00637D0A" w14:paraId="0693880F" w14:textId="77777777">
        <w:trPr>
          <w:cantSplit/>
          <w:trHeight w:val="292"/>
          <w:jc w:val="center"/>
        </w:trPr>
        <w:tc>
          <w:tcPr>
            <w:tcW w:w="773" w:type="dxa"/>
            <w:vMerge/>
            <w:tcBorders>
              <w:tl2br w:val="nil"/>
              <w:tr2bl w:val="nil"/>
            </w:tcBorders>
          </w:tcPr>
          <w:p w14:paraId="423875CE" w14:textId="77777777" w:rsidR="00637D0A" w:rsidRDefault="00637D0A">
            <w:pPr>
              <w:rPr>
                <w:rFonts w:ascii="Times New Roman" w:hAnsi="Times New Roman"/>
              </w:rPr>
            </w:pPr>
          </w:p>
        </w:tc>
        <w:tc>
          <w:tcPr>
            <w:tcW w:w="1738" w:type="dxa"/>
            <w:tcBorders>
              <w:tl2br w:val="nil"/>
              <w:tr2bl w:val="nil"/>
            </w:tcBorders>
          </w:tcPr>
          <w:p w14:paraId="0B0C4119"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Company Size</w:t>
            </w:r>
          </w:p>
        </w:tc>
        <w:tc>
          <w:tcPr>
            <w:tcW w:w="986" w:type="dxa"/>
            <w:tcBorders>
              <w:tl2br w:val="nil"/>
              <w:tr2bl w:val="nil"/>
            </w:tcBorders>
          </w:tcPr>
          <w:p w14:paraId="702A06B7"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,7</w:t>
            </w:r>
            <w:r>
              <w:rPr>
                <w:rFonts w:ascii="Times New Roman" w:hAnsi="Times New Roman"/>
                <w:lang w:val="id-ID"/>
              </w:rPr>
              <w:t>89</w:t>
            </w:r>
          </w:p>
        </w:tc>
        <w:tc>
          <w:tcPr>
            <w:tcW w:w="981" w:type="dxa"/>
            <w:tcBorders>
              <w:tl2br w:val="nil"/>
              <w:tr2bl w:val="nil"/>
            </w:tcBorders>
          </w:tcPr>
          <w:p w14:paraId="175081E2"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1,</w:t>
            </w:r>
            <w:r>
              <w:rPr>
                <w:rFonts w:ascii="Times New Roman" w:hAnsi="Times New Roman"/>
                <w:lang w:val="id-ID"/>
              </w:rPr>
              <w:t>267</w:t>
            </w:r>
          </w:p>
        </w:tc>
      </w:tr>
      <w:tr w:rsidR="00637D0A" w14:paraId="1D76E036" w14:textId="77777777">
        <w:trPr>
          <w:cantSplit/>
          <w:trHeight w:val="301"/>
          <w:jc w:val="center"/>
        </w:trPr>
        <w:tc>
          <w:tcPr>
            <w:tcW w:w="773" w:type="dxa"/>
            <w:vMerge/>
            <w:tcBorders>
              <w:tl2br w:val="nil"/>
              <w:tr2bl w:val="nil"/>
            </w:tcBorders>
          </w:tcPr>
          <w:p w14:paraId="64D74977" w14:textId="77777777" w:rsidR="00637D0A" w:rsidRDefault="00637D0A">
            <w:pPr>
              <w:rPr>
                <w:rFonts w:ascii="Times New Roman" w:hAnsi="Times New Roman"/>
              </w:rPr>
            </w:pPr>
          </w:p>
        </w:tc>
        <w:tc>
          <w:tcPr>
            <w:tcW w:w="1738" w:type="dxa"/>
            <w:tcBorders>
              <w:tl2br w:val="nil"/>
              <w:tr2bl w:val="nil"/>
            </w:tcBorders>
          </w:tcPr>
          <w:p w14:paraId="322A45E7" w14:textId="77777777" w:rsidR="00637D0A" w:rsidRDefault="00441CE7">
            <w:pPr>
              <w:spacing w:line="320" w:lineRule="atLeast"/>
              <w:ind w:right="60"/>
              <w:rPr>
                <w:rFonts w:ascii="Times New Roman" w:hAnsi="Times New Roman"/>
                <w:lang w:val="id-ID"/>
              </w:rPr>
            </w:pPr>
            <w:r>
              <w:rPr>
                <w:rFonts w:ascii="Times New Roman" w:hAnsi="Times New Roman"/>
                <w:lang w:val="id-ID"/>
              </w:rPr>
              <w:t xml:space="preserve"> Dividend Policy</w:t>
            </w:r>
          </w:p>
        </w:tc>
        <w:tc>
          <w:tcPr>
            <w:tcW w:w="986" w:type="dxa"/>
            <w:tcBorders>
              <w:tl2br w:val="nil"/>
              <w:tr2bl w:val="nil"/>
            </w:tcBorders>
          </w:tcPr>
          <w:p w14:paraId="1AC8896F"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w:t>
            </w:r>
            <w:r>
              <w:rPr>
                <w:rFonts w:ascii="Times New Roman" w:hAnsi="Times New Roman"/>
                <w:lang w:val="id-ID"/>
              </w:rPr>
              <w:t>816</w:t>
            </w:r>
          </w:p>
        </w:tc>
        <w:tc>
          <w:tcPr>
            <w:tcW w:w="981" w:type="dxa"/>
            <w:tcBorders>
              <w:tl2br w:val="nil"/>
              <w:tr2bl w:val="nil"/>
            </w:tcBorders>
          </w:tcPr>
          <w:p w14:paraId="1A4D2AFD"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1,2</w:t>
            </w:r>
            <w:r>
              <w:rPr>
                <w:rFonts w:ascii="Times New Roman" w:hAnsi="Times New Roman"/>
                <w:lang w:val="id-ID"/>
              </w:rPr>
              <w:t>26</w:t>
            </w:r>
          </w:p>
        </w:tc>
      </w:tr>
    </w:tbl>
    <w:p w14:paraId="74844936" w14:textId="77777777" w:rsidR="00637D0A" w:rsidRDefault="00637D0A">
      <w:pPr>
        <w:pStyle w:val="Body"/>
        <w:spacing w:after="0"/>
        <w:rPr>
          <w:rFonts w:ascii="Arial" w:hAnsi="Arial" w:cs="Arial"/>
          <w:b/>
          <w:bCs/>
          <w:lang w:val="id-ID"/>
        </w:rPr>
      </w:pPr>
    </w:p>
    <w:p w14:paraId="11F99568" w14:textId="77777777" w:rsidR="00637D0A" w:rsidRDefault="00441CE7">
      <w:pPr>
        <w:numPr>
          <w:ilvl w:val="2"/>
          <w:numId w:val="4"/>
        </w:numPr>
        <w:jc w:val="both"/>
        <w:rPr>
          <w:rFonts w:ascii="Arial" w:hAnsi="Arial" w:cs="Arial"/>
          <w:b/>
          <w:bCs/>
          <w:u w:val="single"/>
          <w:lang w:val="id-ID" w:eastAsia="zh-CN"/>
        </w:rPr>
      </w:pPr>
      <w:r>
        <w:rPr>
          <w:rFonts w:ascii="Arial" w:hAnsi="Arial" w:cs="Arial"/>
          <w:b/>
          <w:bCs/>
          <w:u w:val="single"/>
          <w:lang w:val="id-ID" w:eastAsia="zh-CN"/>
        </w:rPr>
        <w:t>Heteroscedasticity Test</w:t>
      </w:r>
    </w:p>
    <w:p w14:paraId="2EE562C4" w14:textId="77777777" w:rsidR="00637D0A" w:rsidRDefault="00637D0A">
      <w:pPr>
        <w:jc w:val="both"/>
        <w:rPr>
          <w:rFonts w:ascii="Arial" w:hAnsi="Arial" w:cs="Arial"/>
          <w:b/>
          <w:bCs/>
          <w:u w:val="single"/>
          <w:lang w:val="id-ID" w:eastAsia="zh-CN"/>
        </w:rPr>
      </w:pPr>
    </w:p>
    <w:p w14:paraId="310AC495" w14:textId="77777777" w:rsidR="00637D0A" w:rsidRDefault="00441CE7">
      <w:pPr>
        <w:jc w:val="both"/>
        <w:rPr>
          <w:rFonts w:ascii="Arial" w:hAnsi="Arial" w:cs="Arial"/>
          <w:lang w:val="id-ID" w:eastAsia="zh-CN"/>
        </w:rPr>
      </w:pPr>
      <w:r>
        <w:rPr>
          <w:rFonts w:ascii="Arial" w:hAnsi="Arial" w:cs="Arial"/>
          <w:lang w:val="id-ID" w:eastAsia="zh-CN"/>
        </w:rPr>
        <w:t xml:space="preserve">The glazer test for heteroscedasticity in the independent variables yielded significance values &gt; 0.05, where profitability = 0,345, liquidity = 0,302, companiy size = 0,273, and dividend policy = 0,165. this indicates that there is no significant influence of the independent variables on the absolute residual value (ABS_RES). It can be concluded that the regression model does not exhibit heteroscedasticity ans satisfies the assumption of homoscedasticity. </w:t>
      </w:r>
    </w:p>
    <w:p w14:paraId="052457A2" w14:textId="77777777" w:rsidR="00637D0A" w:rsidRDefault="00637D0A">
      <w:pPr>
        <w:jc w:val="both"/>
        <w:rPr>
          <w:rFonts w:ascii="Arial" w:hAnsi="Arial" w:cs="Arial"/>
          <w:lang w:val="id-ID" w:eastAsia="zh-CN"/>
        </w:rPr>
      </w:pPr>
    </w:p>
    <w:p w14:paraId="5E428A9C" w14:textId="77777777" w:rsidR="00637D0A" w:rsidRDefault="00441CE7">
      <w:pPr>
        <w:ind w:left="1440" w:firstLine="720"/>
        <w:jc w:val="both"/>
        <w:rPr>
          <w:rFonts w:ascii="Arial" w:hAnsi="Arial" w:cs="Arial"/>
          <w:b/>
          <w:bCs/>
          <w:lang w:val="id-ID" w:eastAsia="zh-CN"/>
        </w:rPr>
      </w:pPr>
      <w:r>
        <w:rPr>
          <w:rFonts w:ascii="Arial" w:hAnsi="Arial" w:cs="Arial"/>
          <w:b/>
          <w:bCs/>
          <w:lang w:val="id-ID" w:eastAsia="zh-CN"/>
        </w:rPr>
        <w:t>Table. 5 Heteroscedasticity Test</w:t>
      </w:r>
    </w:p>
    <w:tbl>
      <w:tblPr>
        <w:tblW w:w="4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99"/>
        <w:gridCol w:w="826"/>
        <w:gridCol w:w="1045"/>
      </w:tblGrid>
      <w:tr w:rsidR="00637D0A" w14:paraId="74B1A976" w14:textId="77777777">
        <w:trPr>
          <w:cantSplit/>
          <w:trHeight w:val="167"/>
          <w:jc w:val="center"/>
        </w:trPr>
        <w:tc>
          <w:tcPr>
            <w:tcW w:w="4070" w:type="dxa"/>
            <w:gridSpan w:val="3"/>
            <w:tcBorders>
              <w:tl2br w:val="nil"/>
              <w:tr2bl w:val="nil"/>
            </w:tcBorders>
            <w:vAlign w:val="center"/>
          </w:tcPr>
          <w:p w14:paraId="39CC7BAF" w14:textId="77777777" w:rsidR="00637D0A" w:rsidRDefault="00441CE7">
            <w:pPr>
              <w:spacing w:line="320" w:lineRule="atLeast"/>
              <w:ind w:left="60" w:right="60"/>
              <w:jc w:val="center"/>
              <w:rPr>
                <w:rFonts w:ascii="Times New Roman" w:hAnsi="Times New Roman"/>
                <w:sz w:val="18"/>
                <w:szCs w:val="18"/>
              </w:rPr>
            </w:pPr>
            <w:proofErr w:type="spellStart"/>
            <w:r>
              <w:rPr>
                <w:rFonts w:ascii="Times New Roman" w:hAnsi="Times New Roman"/>
                <w:b/>
                <w:sz w:val="18"/>
                <w:szCs w:val="18"/>
              </w:rPr>
              <w:t>Coefficients</w:t>
            </w:r>
            <w:r>
              <w:rPr>
                <w:rFonts w:ascii="Times New Roman" w:hAnsi="Times New Roman"/>
                <w:b/>
                <w:sz w:val="18"/>
                <w:szCs w:val="18"/>
                <w:vertAlign w:val="superscript"/>
              </w:rPr>
              <w:t>a</w:t>
            </w:r>
            <w:proofErr w:type="spellEnd"/>
          </w:p>
        </w:tc>
      </w:tr>
      <w:tr w:rsidR="00637D0A" w14:paraId="2BFAF141" w14:textId="77777777">
        <w:trPr>
          <w:cantSplit/>
          <w:trHeight w:val="167"/>
          <w:jc w:val="center"/>
        </w:trPr>
        <w:tc>
          <w:tcPr>
            <w:tcW w:w="2199" w:type="dxa"/>
            <w:tcBorders>
              <w:tl2br w:val="nil"/>
              <w:tr2bl w:val="nil"/>
            </w:tcBorders>
          </w:tcPr>
          <w:p w14:paraId="5EBEF93E"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Model</w:t>
            </w:r>
          </w:p>
        </w:tc>
        <w:tc>
          <w:tcPr>
            <w:tcW w:w="826" w:type="dxa"/>
            <w:tcBorders>
              <w:tl2br w:val="nil"/>
              <w:tr2bl w:val="nil"/>
            </w:tcBorders>
            <w:vAlign w:val="center"/>
          </w:tcPr>
          <w:p w14:paraId="5F6CB695" w14:textId="77777777" w:rsidR="00637D0A" w:rsidRDefault="00441CE7">
            <w:pPr>
              <w:spacing w:line="320" w:lineRule="atLeast"/>
              <w:ind w:left="60" w:right="60"/>
              <w:jc w:val="center"/>
              <w:rPr>
                <w:rFonts w:ascii="Times New Roman" w:hAnsi="Times New Roman"/>
                <w:lang w:val="id-ID"/>
              </w:rPr>
            </w:pPr>
            <w:r>
              <w:rPr>
                <w:rFonts w:ascii="Times New Roman" w:hAnsi="Times New Roman"/>
                <w:lang w:val="id-ID"/>
              </w:rPr>
              <w:t>t</w:t>
            </w:r>
          </w:p>
        </w:tc>
        <w:tc>
          <w:tcPr>
            <w:tcW w:w="1045" w:type="dxa"/>
            <w:tcBorders>
              <w:tl2br w:val="nil"/>
              <w:tr2bl w:val="nil"/>
            </w:tcBorders>
            <w:vAlign w:val="center"/>
          </w:tcPr>
          <w:p w14:paraId="68A56405" w14:textId="77777777" w:rsidR="00637D0A" w:rsidRDefault="00441CE7">
            <w:pPr>
              <w:spacing w:line="320" w:lineRule="atLeast"/>
              <w:ind w:left="60" w:right="60"/>
              <w:jc w:val="center"/>
              <w:rPr>
                <w:rFonts w:ascii="Times New Roman" w:hAnsi="Times New Roman"/>
                <w:lang w:val="id-ID"/>
              </w:rPr>
            </w:pPr>
            <w:r>
              <w:rPr>
                <w:rFonts w:ascii="Times New Roman" w:hAnsi="Times New Roman"/>
                <w:lang w:val="id-ID"/>
              </w:rPr>
              <w:t>sig</w:t>
            </w:r>
          </w:p>
        </w:tc>
      </w:tr>
      <w:tr w:rsidR="00637D0A" w14:paraId="04F74E92" w14:textId="77777777">
        <w:trPr>
          <w:cantSplit/>
          <w:trHeight w:val="167"/>
          <w:jc w:val="center"/>
        </w:trPr>
        <w:tc>
          <w:tcPr>
            <w:tcW w:w="2199" w:type="dxa"/>
            <w:tcBorders>
              <w:tl2br w:val="nil"/>
              <w:tr2bl w:val="nil"/>
            </w:tcBorders>
          </w:tcPr>
          <w:p w14:paraId="5506117F" w14:textId="77777777" w:rsidR="00637D0A" w:rsidRDefault="00441CE7">
            <w:pPr>
              <w:spacing w:line="320" w:lineRule="atLeast"/>
              <w:ind w:left="60" w:right="60"/>
              <w:rPr>
                <w:rFonts w:ascii="Times New Roman" w:hAnsi="Times New Roman"/>
                <w:sz w:val="18"/>
                <w:szCs w:val="18"/>
              </w:rPr>
            </w:pPr>
            <w:r>
              <w:rPr>
                <w:rFonts w:ascii="Times New Roman" w:hAnsi="Times New Roman"/>
                <w:sz w:val="18"/>
                <w:szCs w:val="18"/>
              </w:rPr>
              <w:t>(Constant)</w:t>
            </w:r>
          </w:p>
        </w:tc>
        <w:tc>
          <w:tcPr>
            <w:tcW w:w="826" w:type="dxa"/>
            <w:tcBorders>
              <w:tl2br w:val="nil"/>
              <w:tr2bl w:val="nil"/>
            </w:tcBorders>
          </w:tcPr>
          <w:p w14:paraId="64DA0888"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lang w:val="id-ID"/>
              </w:rPr>
              <w:t>-</w:t>
            </w:r>
            <w:r>
              <w:rPr>
                <w:rFonts w:ascii="Times New Roman" w:hAnsi="Times New Roman"/>
                <w:sz w:val="18"/>
                <w:szCs w:val="18"/>
              </w:rPr>
              <w:t>,</w:t>
            </w:r>
            <w:r>
              <w:rPr>
                <w:rFonts w:ascii="Times New Roman" w:hAnsi="Times New Roman"/>
                <w:sz w:val="18"/>
                <w:szCs w:val="18"/>
                <w:lang w:val="id-ID"/>
              </w:rPr>
              <w:t>679</w:t>
            </w:r>
          </w:p>
        </w:tc>
        <w:tc>
          <w:tcPr>
            <w:tcW w:w="1045" w:type="dxa"/>
            <w:tcBorders>
              <w:tl2br w:val="nil"/>
              <w:tr2bl w:val="nil"/>
            </w:tcBorders>
          </w:tcPr>
          <w:p w14:paraId="1B86299E"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rPr>
              <w:t>,</w:t>
            </w:r>
            <w:r>
              <w:rPr>
                <w:rFonts w:ascii="Times New Roman" w:hAnsi="Times New Roman"/>
                <w:sz w:val="18"/>
                <w:szCs w:val="18"/>
                <w:lang w:val="id-ID"/>
              </w:rPr>
              <w:t>499</w:t>
            </w:r>
          </w:p>
        </w:tc>
      </w:tr>
      <w:tr w:rsidR="00637D0A" w14:paraId="58331160" w14:textId="77777777">
        <w:trPr>
          <w:cantSplit/>
          <w:trHeight w:val="167"/>
          <w:jc w:val="center"/>
        </w:trPr>
        <w:tc>
          <w:tcPr>
            <w:tcW w:w="2199" w:type="dxa"/>
            <w:tcBorders>
              <w:tl2br w:val="nil"/>
              <w:tr2bl w:val="nil"/>
            </w:tcBorders>
          </w:tcPr>
          <w:p w14:paraId="1E8DE50C" w14:textId="77777777" w:rsidR="00637D0A" w:rsidRDefault="00441CE7">
            <w:pPr>
              <w:spacing w:line="320" w:lineRule="atLeast"/>
              <w:ind w:left="60" w:right="60"/>
              <w:rPr>
                <w:rFonts w:ascii="Times New Roman" w:hAnsi="Times New Roman"/>
                <w:sz w:val="18"/>
                <w:szCs w:val="18"/>
                <w:lang w:val="id-ID"/>
              </w:rPr>
            </w:pPr>
            <w:proofErr w:type="spellStart"/>
            <w:r>
              <w:rPr>
                <w:rFonts w:ascii="Times New Roman" w:hAnsi="Times New Roman"/>
                <w:sz w:val="18"/>
                <w:szCs w:val="18"/>
              </w:rPr>
              <w:t>Profitabili</w:t>
            </w:r>
            <w:proofErr w:type="spellEnd"/>
            <w:r>
              <w:rPr>
                <w:rFonts w:ascii="Times New Roman" w:hAnsi="Times New Roman"/>
                <w:sz w:val="18"/>
                <w:szCs w:val="18"/>
                <w:lang w:val="id-ID"/>
              </w:rPr>
              <w:t>ty</w:t>
            </w:r>
          </w:p>
        </w:tc>
        <w:tc>
          <w:tcPr>
            <w:tcW w:w="826" w:type="dxa"/>
            <w:tcBorders>
              <w:tl2br w:val="nil"/>
              <w:tr2bl w:val="nil"/>
            </w:tcBorders>
          </w:tcPr>
          <w:p w14:paraId="4498C511"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lang w:val="id-ID"/>
              </w:rPr>
              <w:t>-0</w:t>
            </w:r>
            <w:r>
              <w:rPr>
                <w:rFonts w:ascii="Times New Roman" w:hAnsi="Times New Roman"/>
                <w:sz w:val="18"/>
                <w:szCs w:val="18"/>
              </w:rPr>
              <w:t>,</w:t>
            </w:r>
            <w:r>
              <w:rPr>
                <w:rFonts w:ascii="Times New Roman" w:hAnsi="Times New Roman"/>
                <w:sz w:val="18"/>
                <w:szCs w:val="18"/>
                <w:lang w:val="id-ID"/>
              </w:rPr>
              <w:t>950</w:t>
            </w:r>
          </w:p>
        </w:tc>
        <w:tc>
          <w:tcPr>
            <w:tcW w:w="1045" w:type="dxa"/>
            <w:tcBorders>
              <w:tl2br w:val="nil"/>
              <w:tr2bl w:val="nil"/>
            </w:tcBorders>
          </w:tcPr>
          <w:p w14:paraId="33CCF07F"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rPr>
              <w:t>,</w:t>
            </w:r>
            <w:r>
              <w:rPr>
                <w:rFonts w:ascii="Times New Roman" w:hAnsi="Times New Roman"/>
                <w:sz w:val="18"/>
                <w:szCs w:val="18"/>
                <w:lang w:val="id-ID"/>
              </w:rPr>
              <w:t>345</w:t>
            </w:r>
          </w:p>
        </w:tc>
      </w:tr>
      <w:tr w:rsidR="00637D0A" w14:paraId="257AD6D9" w14:textId="77777777">
        <w:trPr>
          <w:cantSplit/>
          <w:trHeight w:val="167"/>
          <w:jc w:val="center"/>
        </w:trPr>
        <w:tc>
          <w:tcPr>
            <w:tcW w:w="2199" w:type="dxa"/>
            <w:tcBorders>
              <w:tl2br w:val="nil"/>
              <w:tr2bl w:val="nil"/>
            </w:tcBorders>
          </w:tcPr>
          <w:p w14:paraId="3A2E7687" w14:textId="77777777" w:rsidR="00637D0A" w:rsidRDefault="00441CE7">
            <w:pPr>
              <w:spacing w:line="320" w:lineRule="atLeast"/>
              <w:ind w:left="60" w:right="60"/>
              <w:rPr>
                <w:rFonts w:ascii="Times New Roman" w:hAnsi="Times New Roman"/>
                <w:sz w:val="18"/>
                <w:szCs w:val="18"/>
                <w:lang w:val="id-ID"/>
              </w:rPr>
            </w:pPr>
            <w:proofErr w:type="spellStart"/>
            <w:r>
              <w:rPr>
                <w:rFonts w:ascii="Times New Roman" w:hAnsi="Times New Roman"/>
                <w:sz w:val="18"/>
                <w:szCs w:val="18"/>
              </w:rPr>
              <w:t>Likuidit</w:t>
            </w:r>
            <w:proofErr w:type="spellEnd"/>
            <w:r>
              <w:rPr>
                <w:rFonts w:ascii="Times New Roman" w:hAnsi="Times New Roman"/>
                <w:sz w:val="18"/>
                <w:szCs w:val="18"/>
                <w:lang w:val="id-ID"/>
              </w:rPr>
              <w:t>y</w:t>
            </w:r>
          </w:p>
        </w:tc>
        <w:tc>
          <w:tcPr>
            <w:tcW w:w="826" w:type="dxa"/>
            <w:tcBorders>
              <w:tl2br w:val="nil"/>
              <w:tr2bl w:val="nil"/>
            </w:tcBorders>
          </w:tcPr>
          <w:p w14:paraId="2385ED0A"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lang w:val="id-ID"/>
              </w:rPr>
              <w:t>1</w:t>
            </w:r>
            <w:r>
              <w:rPr>
                <w:rFonts w:ascii="Times New Roman" w:hAnsi="Times New Roman"/>
                <w:sz w:val="18"/>
                <w:szCs w:val="18"/>
              </w:rPr>
              <w:t>,</w:t>
            </w:r>
            <w:r>
              <w:rPr>
                <w:rFonts w:ascii="Times New Roman" w:hAnsi="Times New Roman"/>
                <w:sz w:val="18"/>
                <w:szCs w:val="18"/>
                <w:lang w:val="id-ID"/>
              </w:rPr>
              <w:t>039</w:t>
            </w:r>
          </w:p>
        </w:tc>
        <w:tc>
          <w:tcPr>
            <w:tcW w:w="1045" w:type="dxa"/>
            <w:tcBorders>
              <w:tl2br w:val="nil"/>
              <w:tr2bl w:val="nil"/>
            </w:tcBorders>
          </w:tcPr>
          <w:p w14:paraId="63E363DC"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rPr>
              <w:t>,3</w:t>
            </w:r>
            <w:r>
              <w:rPr>
                <w:rFonts w:ascii="Times New Roman" w:hAnsi="Times New Roman"/>
                <w:sz w:val="18"/>
                <w:szCs w:val="18"/>
                <w:lang w:val="id-ID"/>
              </w:rPr>
              <w:t>02</w:t>
            </w:r>
          </w:p>
        </w:tc>
      </w:tr>
      <w:tr w:rsidR="00637D0A" w14:paraId="4059B437" w14:textId="77777777">
        <w:trPr>
          <w:cantSplit/>
          <w:trHeight w:val="167"/>
          <w:jc w:val="center"/>
        </w:trPr>
        <w:tc>
          <w:tcPr>
            <w:tcW w:w="2199" w:type="dxa"/>
            <w:tcBorders>
              <w:tl2br w:val="nil"/>
              <w:tr2bl w:val="nil"/>
            </w:tcBorders>
          </w:tcPr>
          <w:p w14:paraId="74911A32" w14:textId="77777777" w:rsidR="00637D0A" w:rsidRDefault="00441CE7">
            <w:pPr>
              <w:spacing w:line="320" w:lineRule="atLeast"/>
              <w:ind w:left="60" w:right="60"/>
              <w:rPr>
                <w:rFonts w:ascii="Times New Roman" w:hAnsi="Times New Roman"/>
                <w:sz w:val="18"/>
                <w:szCs w:val="18"/>
                <w:lang w:val="id-ID"/>
              </w:rPr>
            </w:pPr>
            <w:r>
              <w:rPr>
                <w:rFonts w:ascii="Times New Roman" w:hAnsi="Times New Roman"/>
                <w:sz w:val="18"/>
                <w:szCs w:val="18"/>
                <w:lang w:val="id-ID"/>
              </w:rPr>
              <w:t>Company Size</w:t>
            </w:r>
          </w:p>
        </w:tc>
        <w:tc>
          <w:tcPr>
            <w:tcW w:w="826" w:type="dxa"/>
            <w:tcBorders>
              <w:tl2br w:val="nil"/>
              <w:tr2bl w:val="nil"/>
            </w:tcBorders>
          </w:tcPr>
          <w:p w14:paraId="7DA6E86C"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lang w:val="id-ID"/>
              </w:rPr>
              <w:t>1</w:t>
            </w:r>
            <w:r>
              <w:rPr>
                <w:rFonts w:ascii="Times New Roman" w:hAnsi="Times New Roman"/>
                <w:sz w:val="18"/>
                <w:szCs w:val="18"/>
              </w:rPr>
              <w:t>,1</w:t>
            </w:r>
            <w:r>
              <w:rPr>
                <w:rFonts w:ascii="Times New Roman" w:hAnsi="Times New Roman"/>
                <w:sz w:val="18"/>
                <w:szCs w:val="18"/>
                <w:lang w:val="id-ID"/>
              </w:rPr>
              <w:t>05</w:t>
            </w:r>
          </w:p>
        </w:tc>
        <w:tc>
          <w:tcPr>
            <w:tcW w:w="1045" w:type="dxa"/>
            <w:tcBorders>
              <w:tl2br w:val="nil"/>
              <w:tr2bl w:val="nil"/>
            </w:tcBorders>
          </w:tcPr>
          <w:p w14:paraId="072F659C"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rPr>
              <w:t>,</w:t>
            </w:r>
            <w:r>
              <w:rPr>
                <w:rFonts w:ascii="Times New Roman" w:hAnsi="Times New Roman"/>
                <w:sz w:val="18"/>
                <w:szCs w:val="18"/>
                <w:lang w:val="id-ID"/>
              </w:rPr>
              <w:t>273</w:t>
            </w:r>
          </w:p>
        </w:tc>
      </w:tr>
      <w:tr w:rsidR="00637D0A" w14:paraId="35B26B54" w14:textId="77777777">
        <w:trPr>
          <w:cantSplit/>
          <w:trHeight w:val="171"/>
          <w:jc w:val="center"/>
        </w:trPr>
        <w:tc>
          <w:tcPr>
            <w:tcW w:w="2199" w:type="dxa"/>
            <w:tcBorders>
              <w:tl2br w:val="nil"/>
              <w:tr2bl w:val="nil"/>
            </w:tcBorders>
          </w:tcPr>
          <w:p w14:paraId="4C6371B4" w14:textId="77777777" w:rsidR="00637D0A" w:rsidRDefault="00441CE7">
            <w:pPr>
              <w:spacing w:line="320" w:lineRule="atLeast"/>
              <w:ind w:right="60"/>
              <w:rPr>
                <w:rFonts w:ascii="Times New Roman" w:hAnsi="Times New Roman"/>
                <w:sz w:val="18"/>
                <w:szCs w:val="18"/>
                <w:lang w:val="id-ID"/>
              </w:rPr>
            </w:pPr>
            <w:r>
              <w:rPr>
                <w:rFonts w:ascii="Times New Roman" w:hAnsi="Times New Roman"/>
                <w:sz w:val="18"/>
                <w:szCs w:val="18"/>
                <w:lang w:val="id-ID"/>
              </w:rPr>
              <w:t xml:space="preserve"> Dividend Policy</w:t>
            </w:r>
          </w:p>
        </w:tc>
        <w:tc>
          <w:tcPr>
            <w:tcW w:w="826" w:type="dxa"/>
            <w:tcBorders>
              <w:tl2br w:val="nil"/>
              <w:tr2bl w:val="nil"/>
            </w:tcBorders>
          </w:tcPr>
          <w:p w14:paraId="1E0DEA6C"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lang w:val="id-ID"/>
              </w:rPr>
              <w:t>1</w:t>
            </w:r>
            <w:r>
              <w:rPr>
                <w:rFonts w:ascii="Times New Roman" w:hAnsi="Times New Roman"/>
                <w:sz w:val="18"/>
                <w:szCs w:val="18"/>
              </w:rPr>
              <w:t>,</w:t>
            </w:r>
            <w:r>
              <w:rPr>
                <w:rFonts w:ascii="Times New Roman" w:hAnsi="Times New Roman"/>
                <w:sz w:val="18"/>
                <w:szCs w:val="18"/>
                <w:lang w:val="id-ID"/>
              </w:rPr>
              <w:t>403</w:t>
            </w:r>
          </w:p>
        </w:tc>
        <w:tc>
          <w:tcPr>
            <w:tcW w:w="1045" w:type="dxa"/>
            <w:tcBorders>
              <w:tl2br w:val="nil"/>
              <w:tr2bl w:val="nil"/>
            </w:tcBorders>
          </w:tcPr>
          <w:p w14:paraId="16E6F785" w14:textId="77777777" w:rsidR="00637D0A" w:rsidRDefault="00441CE7">
            <w:pPr>
              <w:spacing w:line="320" w:lineRule="atLeast"/>
              <w:ind w:left="60" w:right="60"/>
              <w:jc w:val="right"/>
              <w:rPr>
                <w:rFonts w:ascii="Times New Roman" w:hAnsi="Times New Roman"/>
                <w:sz w:val="18"/>
                <w:szCs w:val="18"/>
                <w:lang w:val="id-ID"/>
              </w:rPr>
            </w:pPr>
            <w:r>
              <w:rPr>
                <w:rFonts w:ascii="Times New Roman" w:hAnsi="Times New Roman"/>
                <w:sz w:val="18"/>
                <w:szCs w:val="18"/>
              </w:rPr>
              <w:t>,</w:t>
            </w:r>
            <w:r>
              <w:rPr>
                <w:rFonts w:ascii="Times New Roman" w:hAnsi="Times New Roman"/>
                <w:sz w:val="18"/>
                <w:szCs w:val="18"/>
                <w:lang w:val="id-ID"/>
              </w:rPr>
              <w:t>165</w:t>
            </w:r>
          </w:p>
        </w:tc>
      </w:tr>
    </w:tbl>
    <w:p w14:paraId="18CC5055" w14:textId="77777777" w:rsidR="00637D0A" w:rsidRDefault="00637D0A">
      <w:pPr>
        <w:pStyle w:val="Body"/>
        <w:spacing w:after="0"/>
        <w:rPr>
          <w:rFonts w:ascii="Arial" w:hAnsi="Arial" w:cs="Arial"/>
          <w:b/>
          <w:bCs/>
          <w:lang w:val="id-ID"/>
        </w:rPr>
      </w:pPr>
    </w:p>
    <w:p w14:paraId="7132860C" w14:textId="77777777" w:rsidR="00637D0A" w:rsidRDefault="00441CE7">
      <w:pPr>
        <w:numPr>
          <w:ilvl w:val="2"/>
          <w:numId w:val="4"/>
        </w:numPr>
        <w:jc w:val="both"/>
        <w:rPr>
          <w:rFonts w:ascii="Arial" w:hAnsi="Arial" w:cs="Arial"/>
          <w:b/>
          <w:bCs/>
          <w:u w:val="single"/>
          <w:lang w:val="id-ID" w:eastAsia="zh-CN"/>
        </w:rPr>
      </w:pPr>
      <w:r>
        <w:rPr>
          <w:rFonts w:ascii="Arial" w:hAnsi="Arial" w:cs="Arial"/>
          <w:b/>
          <w:bCs/>
          <w:u w:val="single"/>
          <w:lang w:val="id-ID" w:eastAsia="zh-CN"/>
        </w:rPr>
        <w:t>Moderated Regression Analysis</w:t>
      </w:r>
    </w:p>
    <w:p w14:paraId="3A4D6AE7" w14:textId="77777777" w:rsidR="00637D0A" w:rsidRDefault="00637D0A">
      <w:pPr>
        <w:jc w:val="both"/>
        <w:rPr>
          <w:rFonts w:ascii="Arial" w:hAnsi="Arial" w:cs="Arial"/>
          <w:b/>
          <w:bCs/>
          <w:u w:val="single"/>
          <w:lang w:val="id-ID" w:eastAsia="zh-CN"/>
        </w:rPr>
      </w:pPr>
    </w:p>
    <w:p w14:paraId="470AF32A" w14:textId="77777777" w:rsidR="00637D0A" w:rsidRDefault="00441CE7">
      <w:pPr>
        <w:jc w:val="both"/>
        <w:rPr>
          <w:rFonts w:ascii="Arial" w:hAnsi="Arial" w:cs="Arial"/>
        </w:rPr>
      </w:pPr>
      <w:r>
        <w:rPr>
          <w:rFonts w:ascii="Arial" w:hAnsi="Arial" w:cs="Arial"/>
        </w:rPr>
        <w:lastRenderedPageBreak/>
        <w:t>Based on the regression model test table, the constant value is 3.354, indicating that profitability, liquidity, firm size, and the three moderation interaction variables are at zero or considered constant; therefore, the firm value (PBV) is 3.354.</w:t>
      </w:r>
    </w:p>
    <w:p w14:paraId="0A1F6488" w14:textId="77777777" w:rsidR="00637D0A" w:rsidRDefault="00637D0A">
      <w:pPr>
        <w:jc w:val="both"/>
        <w:rPr>
          <w:rFonts w:ascii="Arial" w:hAnsi="Arial" w:cs="Arial"/>
        </w:rPr>
      </w:pPr>
    </w:p>
    <w:p w14:paraId="716079D0" w14:textId="77777777" w:rsidR="00637D0A" w:rsidRDefault="00441CE7">
      <w:pPr>
        <w:jc w:val="both"/>
        <w:rPr>
          <w:rFonts w:ascii="Arial" w:hAnsi="Arial" w:cs="Arial"/>
        </w:rPr>
      </w:pPr>
      <w:r>
        <w:rPr>
          <w:rFonts w:ascii="Arial" w:hAnsi="Arial" w:cs="Arial"/>
        </w:rPr>
        <w:t>The regression coefficient of Profitability on Firm Value is negative at -1.226. This means that for every one-unit increase in Profitability, the Firm Value variable decreases by 1.226. The opposite is also true.</w:t>
      </w:r>
    </w:p>
    <w:p w14:paraId="1D2E1A8C" w14:textId="77777777" w:rsidR="00637D0A" w:rsidRDefault="00637D0A">
      <w:pPr>
        <w:jc w:val="both"/>
        <w:rPr>
          <w:rFonts w:ascii="Arial" w:hAnsi="Arial" w:cs="Arial"/>
        </w:rPr>
      </w:pPr>
    </w:p>
    <w:p w14:paraId="0CBD3B9D" w14:textId="77777777" w:rsidR="00637D0A" w:rsidRDefault="00441CE7">
      <w:pPr>
        <w:jc w:val="both"/>
        <w:rPr>
          <w:rFonts w:ascii="Arial" w:hAnsi="Arial" w:cs="Arial"/>
        </w:rPr>
      </w:pPr>
      <w:r>
        <w:rPr>
          <w:rFonts w:ascii="Arial" w:hAnsi="Arial" w:cs="Arial"/>
        </w:rPr>
        <w:t>The regression coefficient for liquidity on firm value is positive at 0.287. This means that for every one-unit increase in liquidity, firm value increases by 0.287 units. The reverse is also true.</w:t>
      </w:r>
    </w:p>
    <w:p w14:paraId="52A4A5D7" w14:textId="77777777" w:rsidR="00637D0A" w:rsidRDefault="00637D0A">
      <w:pPr>
        <w:jc w:val="both"/>
        <w:rPr>
          <w:rFonts w:ascii="Arial" w:hAnsi="Arial" w:cs="Arial"/>
        </w:rPr>
      </w:pPr>
    </w:p>
    <w:p w14:paraId="117AFE9A" w14:textId="77777777" w:rsidR="00637D0A" w:rsidRDefault="00441CE7">
      <w:pPr>
        <w:jc w:val="both"/>
        <w:rPr>
          <w:rFonts w:ascii="Arial" w:hAnsi="Arial" w:cs="Arial"/>
        </w:rPr>
      </w:pPr>
      <w:r>
        <w:rPr>
          <w:rFonts w:ascii="Arial" w:hAnsi="Arial" w:cs="Arial"/>
        </w:rPr>
        <w:t>The regression coefficient of Firm Size on Firm Value is negative at -0.082. This means that for every one-unit increase in firm size, firm value decreases by 0.082 units. The reverse is also true.</w:t>
      </w:r>
    </w:p>
    <w:p w14:paraId="36861716" w14:textId="77777777" w:rsidR="00637D0A" w:rsidRDefault="00637D0A">
      <w:pPr>
        <w:jc w:val="both"/>
        <w:rPr>
          <w:rFonts w:ascii="Arial" w:hAnsi="Arial" w:cs="Arial"/>
        </w:rPr>
      </w:pPr>
    </w:p>
    <w:p w14:paraId="51308939" w14:textId="77777777" w:rsidR="00637D0A" w:rsidRDefault="00441CE7">
      <w:pPr>
        <w:jc w:val="both"/>
        <w:rPr>
          <w:rFonts w:ascii="Arial" w:hAnsi="Arial" w:cs="Arial"/>
        </w:rPr>
      </w:pPr>
      <w:r>
        <w:rPr>
          <w:rFonts w:ascii="Arial" w:hAnsi="Arial" w:cs="Arial"/>
        </w:rPr>
        <w:t>The regression coefficient for the dividend policy on firm value is negative, at -0.913. This means that every one-unit increase in the dividend policy is followed by a 0.913-unit decrease in firm value. The reverse is also true.</w:t>
      </w:r>
    </w:p>
    <w:p w14:paraId="4E0D2E91" w14:textId="77777777" w:rsidR="00637D0A" w:rsidRDefault="00637D0A">
      <w:pPr>
        <w:jc w:val="both"/>
        <w:rPr>
          <w:rFonts w:ascii="Arial" w:hAnsi="Arial" w:cs="Arial"/>
        </w:rPr>
      </w:pPr>
    </w:p>
    <w:p w14:paraId="6AC048DD" w14:textId="77777777" w:rsidR="00637D0A" w:rsidRDefault="00441CE7">
      <w:pPr>
        <w:jc w:val="both"/>
        <w:rPr>
          <w:rFonts w:ascii="Arial" w:hAnsi="Arial" w:cs="Arial"/>
        </w:rPr>
      </w:pPr>
      <w:r>
        <w:rPr>
          <w:rFonts w:ascii="Arial" w:hAnsi="Arial" w:cs="Arial"/>
        </w:rPr>
        <w:t>The interaction coefficient of</w:t>
      </w:r>
      <w:r>
        <w:rPr>
          <w:rFonts w:ascii="Arial" w:hAnsi="Arial" w:cs="Arial"/>
          <w:lang w:val="id-ID"/>
        </w:rPr>
        <w:t xml:space="preserve"> profitability and dividend policy</w:t>
      </w:r>
      <w:r>
        <w:rPr>
          <w:rFonts w:ascii="Arial" w:hAnsi="Arial" w:cs="Arial"/>
        </w:rPr>
        <w:t xml:space="preserve"> on firm value. The coefficient value is -0.553, indicating a negative relationship. This means that a one-unit increase in the interaction between dividend policy and profitability will decrease firm value by 0.553 units.</w:t>
      </w:r>
    </w:p>
    <w:p w14:paraId="6DB83E78" w14:textId="77777777" w:rsidR="00637D0A" w:rsidRDefault="00637D0A">
      <w:pPr>
        <w:jc w:val="both"/>
        <w:rPr>
          <w:rFonts w:ascii="Arial" w:hAnsi="Arial" w:cs="Arial"/>
        </w:rPr>
      </w:pPr>
    </w:p>
    <w:p w14:paraId="504168EB" w14:textId="77777777" w:rsidR="00637D0A" w:rsidRDefault="00441CE7">
      <w:pPr>
        <w:jc w:val="both"/>
        <w:rPr>
          <w:rFonts w:ascii="Arial" w:hAnsi="Arial" w:cs="Arial"/>
          <w:lang w:val="id-ID"/>
        </w:rPr>
      </w:pPr>
      <w:r>
        <w:rPr>
          <w:rFonts w:ascii="Arial" w:hAnsi="Arial" w:cs="Arial"/>
          <w:lang w:val="id-ID"/>
        </w:rPr>
        <w:t>The i</w:t>
      </w:r>
      <w:proofErr w:type="spellStart"/>
      <w:r>
        <w:rPr>
          <w:rFonts w:ascii="Arial" w:hAnsi="Arial" w:cs="Arial"/>
        </w:rPr>
        <w:t>nteraction</w:t>
      </w:r>
      <w:proofErr w:type="spellEnd"/>
      <w:r>
        <w:rPr>
          <w:rFonts w:ascii="Arial" w:hAnsi="Arial" w:cs="Arial"/>
        </w:rPr>
        <w:t xml:space="preserve"> coefficient of </w:t>
      </w:r>
      <w:r>
        <w:rPr>
          <w:rFonts w:ascii="Arial" w:hAnsi="Arial" w:cs="Arial"/>
          <w:lang w:val="id-ID"/>
        </w:rPr>
        <w:t xml:space="preserve">liquidity and dividend policy </w:t>
      </w:r>
      <w:r>
        <w:rPr>
          <w:rFonts w:ascii="Arial" w:hAnsi="Arial" w:cs="Arial"/>
        </w:rPr>
        <w:t>on firm value. The coefficient value is 0.279, indicating a positive relationship. This means that a one-unit increase in the interaction between liquidity and dividend policy will increase firm value by 0.279 units.</w:t>
      </w:r>
      <w:r>
        <w:rPr>
          <w:rFonts w:ascii="Arial" w:hAnsi="Arial" w:cs="Arial"/>
          <w:lang w:val="id-ID"/>
        </w:rPr>
        <w:t xml:space="preserve"> </w:t>
      </w:r>
    </w:p>
    <w:p w14:paraId="7862EBCA" w14:textId="77777777" w:rsidR="00637D0A" w:rsidRDefault="00637D0A">
      <w:pPr>
        <w:jc w:val="both"/>
        <w:rPr>
          <w:rFonts w:ascii="Arial" w:hAnsi="Arial" w:cs="Arial"/>
          <w:lang w:val="id-ID"/>
        </w:rPr>
      </w:pPr>
    </w:p>
    <w:p w14:paraId="05FC9E38" w14:textId="77777777" w:rsidR="00637D0A" w:rsidRDefault="00441CE7">
      <w:pPr>
        <w:jc w:val="both"/>
        <w:rPr>
          <w:rFonts w:ascii="Arial" w:hAnsi="Arial" w:cs="Arial"/>
        </w:rPr>
      </w:pPr>
      <w:r>
        <w:rPr>
          <w:rFonts w:ascii="Arial" w:hAnsi="Arial" w:cs="Arial"/>
          <w:lang w:val="id-ID"/>
        </w:rPr>
        <w:t>The i</w:t>
      </w:r>
      <w:proofErr w:type="spellStart"/>
      <w:r>
        <w:rPr>
          <w:rFonts w:ascii="Arial" w:hAnsi="Arial" w:cs="Arial"/>
        </w:rPr>
        <w:t>nteraction</w:t>
      </w:r>
      <w:proofErr w:type="spellEnd"/>
      <w:r>
        <w:rPr>
          <w:rFonts w:ascii="Arial" w:hAnsi="Arial" w:cs="Arial"/>
        </w:rPr>
        <w:t xml:space="preserve"> coefficient of </w:t>
      </w:r>
      <w:r>
        <w:rPr>
          <w:rFonts w:ascii="Arial" w:hAnsi="Arial" w:cs="Arial"/>
          <w:lang w:val="id-ID"/>
        </w:rPr>
        <w:t>company size and dividend policy</w:t>
      </w:r>
      <w:r>
        <w:rPr>
          <w:rFonts w:ascii="Arial" w:hAnsi="Arial" w:cs="Arial"/>
        </w:rPr>
        <w:t xml:space="preserve"> on firm value. The coefficient value is 0.049, indicating a positive relationship. This means that a one-unit increase in the interaction between firm size and dividend policy will increase firm value by 0.049 units.</w:t>
      </w:r>
    </w:p>
    <w:p w14:paraId="474E8B4E" w14:textId="77777777" w:rsidR="00637D0A" w:rsidRDefault="00637D0A">
      <w:pPr>
        <w:jc w:val="both"/>
        <w:rPr>
          <w:rFonts w:ascii="Arial" w:hAnsi="Arial" w:cs="Arial"/>
        </w:rPr>
      </w:pPr>
    </w:p>
    <w:p w14:paraId="2B431BAF" w14:textId="77777777" w:rsidR="00637D0A" w:rsidRDefault="00441CE7">
      <w:pPr>
        <w:ind w:left="1440" w:firstLine="720"/>
        <w:jc w:val="both"/>
        <w:rPr>
          <w:rFonts w:ascii="Arial" w:hAnsi="Arial" w:cs="Arial"/>
          <w:lang w:val="id-ID" w:eastAsia="zh-CN"/>
        </w:rPr>
      </w:pPr>
      <w:r>
        <w:rPr>
          <w:rFonts w:ascii="Arial" w:hAnsi="Arial" w:cs="Arial"/>
          <w:b/>
          <w:bCs/>
          <w:lang w:val="id-ID"/>
        </w:rPr>
        <w:t xml:space="preserve">Table. 6 </w:t>
      </w:r>
      <w:r>
        <w:rPr>
          <w:rFonts w:ascii="Arial" w:hAnsi="Arial" w:cs="Arial"/>
          <w:b/>
          <w:bCs/>
          <w:lang w:val="id-ID" w:eastAsia="zh-CN"/>
        </w:rPr>
        <w:t>Moderated Regression Analysis</w:t>
      </w:r>
    </w:p>
    <w:tbl>
      <w:tblPr>
        <w:tblW w:w="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7"/>
        <w:gridCol w:w="935"/>
        <w:gridCol w:w="939"/>
      </w:tblGrid>
      <w:tr w:rsidR="00637D0A" w14:paraId="6AC02533" w14:textId="77777777">
        <w:trPr>
          <w:cantSplit/>
          <w:trHeight w:val="330"/>
          <w:jc w:val="center"/>
        </w:trPr>
        <w:tc>
          <w:tcPr>
            <w:tcW w:w="3791" w:type="dxa"/>
            <w:gridSpan w:val="3"/>
            <w:tcBorders>
              <w:tl2br w:val="nil"/>
              <w:tr2bl w:val="nil"/>
            </w:tcBorders>
            <w:vAlign w:val="center"/>
          </w:tcPr>
          <w:p w14:paraId="4889D513" w14:textId="77777777" w:rsidR="00637D0A" w:rsidRDefault="00441CE7">
            <w:pPr>
              <w:spacing w:line="320" w:lineRule="atLeast"/>
              <w:ind w:left="60" w:right="60"/>
              <w:jc w:val="center"/>
              <w:rPr>
                <w:rFonts w:ascii="Times New Roman" w:hAnsi="Times New Roman"/>
              </w:rPr>
            </w:pPr>
            <w:proofErr w:type="spellStart"/>
            <w:r>
              <w:rPr>
                <w:rFonts w:ascii="Times New Roman" w:hAnsi="Times New Roman"/>
                <w:b/>
              </w:rPr>
              <w:t>Coefficients</w:t>
            </w:r>
            <w:r>
              <w:rPr>
                <w:rFonts w:ascii="Times New Roman" w:hAnsi="Times New Roman"/>
                <w:b/>
                <w:vertAlign w:val="superscript"/>
              </w:rPr>
              <w:t>a</w:t>
            </w:r>
            <w:proofErr w:type="spellEnd"/>
          </w:p>
        </w:tc>
      </w:tr>
      <w:tr w:rsidR="00637D0A" w14:paraId="3E39E3CB" w14:textId="77777777">
        <w:trPr>
          <w:cantSplit/>
          <w:trHeight w:val="330"/>
          <w:jc w:val="center"/>
        </w:trPr>
        <w:tc>
          <w:tcPr>
            <w:tcW w:w="1917" w:type="dxa"/>
            <w:tcBorders>
              <w:tl2br w:val="nil"/>
              <w:tr2bl w:val="nil"/>
            </w:tcBorders>
          </w:tcPr>
          <w:p w14:paraId="685FF38F" w14:textId="77777777" w:rsidR="00637D0A" w:rsidRDefault="00637D0A">
            <w:pPr>
              <w:spacing w:line="320" w:lineRule="atLeast"/>
              <w:ind w:left="60" w:right="60"/>
              <w:rPr>
                <w:rFonts w:ascii="Times New Roman" w:hAnsi="Times New Roman"/>
              </w:rPr>
            </w:pPr>
          </w:p>
        </w:tc>
        <w:tc>
          <w:tcPr>
            <w:tcW w:w="935" w:type="dxa"/>
            <w:tcBorders>
              <w:tl2br w:val="nil"/>
              <w:tr2bl w:val="nil"/>
            </w:tcBorders>
            <w:vAlign w:val="bottom"/>
          </w:tcPr>
          <w:p w14:paraId="440FB394" w14:textId="77777777" w:rsidR="00637D0A" w:rsidRDefault="00441CE7">
            <w:pPr>
              <w:spacing w:line="320" w:lineRule="atLeast"/>
              <w:ind w:left="60" w:right="60"/>
              <w:jc w:val="center"/>
              <w:rPr>
                <w:rFonts w:ascii="Times New Roman" w:hAnsi="Times New Roman"/>
              </w:rPr>
            </w:pPr>
            <w:r>
              <w:rPr>
                <w:rFonts w:ascii="Times New Roman" w:hAnsi="Times New Roman"/>
              </w:rPr>
              <w:t>B</w:t>
            </w:r>
          </w:p>
        </w:tc>
        <w:tc>
          <w:tcPr>
            <w:tcW w:w="939" w:type="dxa"/>
            <w:tcBorders>
              <w:tl2br w:val="nil"/>
              <w:tr2bl w:val="nil"/>
            </w:tcBorders>
            <w:vAlign w:val="bottom"/>
          </w:tcPr>
          <w:p w14:paraId="29690D8F" w14:textId="77777777" w:rsidR="00637D0A" w:rsidRDefault="00441CE7">
            <w:pPr>
              <w:spacing w:line="320" w:lineRule="atLeast"/>
              <w:ind w:left="60" w:right="60"/>
              <w:jc w:val="center"/>
              <w:rPr>
                <w:rFonts w:ascii="Times New Roman" w:hAnsi="Times New Roman"/>
              </w:rPr>
            </w:pPr>
            <w:r>
              <w:rPr>
                <w:rFonts w:ascii="Times New Roman" w:hAnsi="Times New Roman"/>
              </w:rPr>
              <w:t>Std. Error</w:t>
            </w:r>
          </w:p>
        </w:tc>
      </w:tr>
      <w:tr w:rsidR="00637D0A" w14:paraId="2D1AA5D0" w14:textId="77777777">
        <w:trPr>
          <w:cantSplit/>
          <w:trHeight w:val="330"/>
          <w:jc w:val="center"/>
        </w:trPr>
        <w:tc>
          <w:tcPr>
            <w:tcW w:w="1917" w:type="dxa"/>
            <w:tcBorders>
              <w:tl2br w:val="nil"/>
              <w:tr2bl w:val="nil"/>
            </w:tcBorders>
          </w:tcPr>
          <w:p w14:paraId="4DE4A91A" w14:textId="77777777" w:rsidR="00637D0A" w:rsidRDefault="00441CE7">
            <w:pPr>
              <w:spacing w:line="320" w:lineRule="atLeast"/>
              <w:ind w:left="60" w:right="60"/>
              <w:rPr>
                <w:rFonts w:ascii="Times New Roman" w:hAnsi="Times New Roman"/>
              </w:rPr>
            </w:pPr>
            <w:r>
              <w:rPr>
                <w:rFonts w:ascii="Times New Roman" w:hAnsi="Times New Roman"/>
              </w:rPr>
              <w:t>(Constant)</w:t>
            </w:r>
          </w:p>
        </w:tc>
        <w:tc>
          <w:tcPr>
            <w:tcW w:w="935" w:type="dxa"/>
            <w:tcBorders>
              <w:tl2br w:val="nil"/>
              <w:tr2bl w:val="nil"/>
            </w:tcBorders>
          </w:tcPr>
          <w:p w14:paraId="583839CA"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3,</w:t>
            </w:r>
            <w:r>
              <w:rPr>
                <w:rFonts w:ascii="Times New Roman" w:hAnsi="Times New Roman"/>
                <w:color w:val="010205"/>
                <w:lang w:val="id-ID"/>
              </w:rPr>
              <w:t>354</w:t>
            </w:r>
          </w:p>
        </w:tc>
        <w:tc>
          <w:tcPr>
            <w:tcW w:w="939" w:type="dxa"/>
            <w:tcBorders>
              <w:tl2br w:val="nil"/>
              <w:tr2bl w:val="nil"/>
            </w:tcBorders>
          </w:tcPr>
          <w:p w14:paraId="000DD114"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2,101</w:t>
            </w:r>
          </w:p>
        </w:tc>
      </w:tr>
      <w:tr w:rsidR="00637D0A" w14:paraId="4F0997CE" w14:textId="77777777">
        <w:trPr>
          <w:cantSplit/>
          <w:trHeight w:val="330"/>
          <w:jc w:val="center"/>
        </w:trPr>
        <w:tc>
          <w:tcPr>
            <w:tcW w:w="1917" w:type="dxa"/>
            <w:tcBorders>
              <w:tl2br w:val="nil"/>
              <w:tr2bl w:val="nil"/>
            </w:tcBorders>
          </w:tcPr>
          <w:p w14:paraId="7257E338" w14:textId="77777777" w:rsidR="00637D0A" w:rsidRDefault="00441CE7">
            <w:pPr>
              <w:spacing w:line="320" w:lineRule="atLeast"/>
              <w:ind w:left="60" w:right="60"/>
              <w:rPr>
                <w:rFonts w:ascii="Times New Roman" w:hAnsi="Times New Roman"/>
                <w:lang w:val="id-ID"/>
              </w:rPr>
            </w:pPr>
            <w:proofErr w:type="spellStart"/>
            <w:r>
              <w:rPr>
                <w:rFonts w:ascii="Times New Roman" w:hAnsi="Times New Roman"/>
              </w:rPr>
              <w:t>Profitabili</w:t>
            </w:r>
            <w:proofErr w:type="spellEnd"/>
            <w:r>
              <w:rPr>
                <w:rFonts w:ascii="Times New Roman" w:hAnsi="Times New Roman"/>
                <w:lang w:val="id-ID"/>
              </w:rPr>
              <w:t>ty</w:t>
            </w:r>
          </w:p>
        </w:tc>
        <w:tc>
          <w:tcPr>
            <w:tcW w:w="935" w:type="dxa"/>
            <w:tcBorders>
              <w:tl2br w:val="nil"/>
              <w:tr2bl w:val="nil"/>
            </w:tcBorders>
          </w:tcPr>
          <w:p w14:paraId="30B4CDD6"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-1,226</w:t>
            </w:r>
          </w:p>
        </w:tc>
        <w:tc>
          <w:tcPr>
            <w:tcW w:w="939" w:type="dxa"/>
            <w:tcBorders>
              <w:tl2br w:val="nil"/>
              <w:tr2bl w:val="nil"/>
            </w:tcBorders>
          </w:tcPr>
          <w:p w14:paraId="23495333"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391</w:t>
            </w:r>
          </w:p>
        </w:tc>
      </w:tr>
      <w:tr w:rsidR="00637D0A" w14:paraId="03C4DCA8" w14:textId="77777777">
        <w:trPr>
          <w:cantSplit/>
          <w:trHeight w:val="330"/>
          <w:jc w:val="center"/>
        </w:trPr>
        <w:tc>
          <w:tcPr>
            <w:tcW w:w="1917" w:type="dxa"/>
            <w:tcBorders>
              <w:tl2br w:val="nil"/>
              <w:tr2bl w:val="nil"/>
            </w:tcBorders>
          </w:tcPr>
          <w:p w14:paraId="3E11903B" w14:textId="77777777" w:rsidR="00637D0A" w:rsidRDefault="00441CE7">
            <w:pPr>
              <w:spacing w:line="320" w:lineRule="atLeast"/>
              <w:ind w:left="60" w:right="60"/>
              <w:rPr>
                <w:rFonts w:ascii="Times New Roman" w:hAnsi="Times New Roman"/>
                <w:lang w:val="id-ID"/>
              </w:rPr>
            </w:pPr>
            <w:proofErr w:type="spellStart"/>
            <w:r>
              <w:rPr>
                <w:rFonts w:ascii="Times New Roman" w:hAnsi="Times New Roman"/>
              </w:rPr>
              <w:t>Likuidit</w:t>
            </w:r>
            <w:proofErr w:type="spellEnd"/>
            <w:r>
              <w:rPr>
                <w:rFonts w:ascii="Times New Roman" w:hAnsi="Times New Roman"/>
                <w:lang w:val="id-ID"/>
              </w:rPr>
              <w:t>y</w:t>
            </w:r>
          </w:p>
        </w:tc>
        <w:tc>
          <w:tcPr>
            <w:tcW w:w="935" w:type="dxa"/>
            <w:tcBorders>
              <w:tl2br w:val="nil"/>
              <w:tr2bl w:val="nil"/>
            </w:tcBorders>
          </w:tcPr>
          <w:p w14:paraId="42D6EB78"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287</w:t>
            </w:r>
          </w:p>
        </w:tc>
        <w:tc>
          <w:tcPr>
            <w:tcW w:w="939" w:type="dxa"/>
            <w:tcBorders>
              <w:tl2br w:val="nil"/>
              <w:tr2bl w:val="nil"/>
            </w:tcBorders>
          </w:tcPr>
          <w:p w14:paraId="4A1431BC"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106</w:t>
            </w:r>
          </w:p>
        </w:tc>
      </w:tr>
      <w:tr w:rsidR="00637D0A" w14:paraId="6CA29B22" w14:textId="77777777">
        <w:trPr>
          <w:cantSplit/>
          <w:trHeight w:val="310"/>
          <w:jc w:val="center"/>
        </w:trPr>
        <w:tc>
          <w:tcPr>
            <w:tcW w:w="1917" w:type="dxa"/>
            <w:tcBorders>
              <w:tl2br w:val="nil"/>
              <w:tr2bl w:val="nil"/>
            </w:tcBorders>
          </w:tcPr>
          <w:p w14:paraId="3251C6F7" w14:textId="77777777" w:rsidR="00637D0A" w:rsidRDefault="00441CE7">
            <w:pPr>
              <w:spacing w:line="320" w:lineRule="atLeast"/>
              <w:ind w:right="60"/>
              <w:rPr>
                <w:rFonts w:ascii="Times New Roman" w:hAnsi="Times New Roman"/>
                <w:lang w:val="id-ID"/>
              </w:rPr>
            </w:pPr>
            <w:r>
              <w:rPr>
                <w:rFonts w:ascii="Times New Roman" w:hAnsi="Times New Roman"/>
                <w:lang w:val="id-ID"/>
              </w:rPr>
              <w:t xml:space="preserve"> Company Size</w:t>
            </w:r>
          </w:p>
        </w:tc>
        <w:tc>
          <w:tcPr>
            <w:tcW w:w="935" w:type="dxa"/>
            <w:tcBorders>
              <w:tl2br w:val="nil"/>
              <w:tr2bl w:val="nil"/>
            </w:tcBorders>
          </w:tcPr>
          <w:p w14:paraId="064AB279"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082</w:t>
            </w:r>
          </w:p>
        </w:tc>
        <w:tc>
          <w:tcPr>
            <w:tcW w:w="939" w:type="dxa"/>
            <w:tcBorders>
              <w:tl2br w:val="nil"/>
              <w:tr2bl w:val="nil"/>
            </w:tcBorders>
          </w:tcPr>
          <w:p w14:paraId="7AAD7D08"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,0</w:t>
            </w:r>
            <w:r>
              <w:rPr>
                <w:rFonts w:ascii="Times New Roman" w:hAnsi="Times New Roman"/>
                <w:color w:val="010205"/>
                <w:lang w:val="id-ID"/>
              </w:rPr>
              <w:t>69</w:t>
            </w:r>
          </w:p>
        </w:tc>
      </w:tr>
      <w:tr w:rsidR="00637D0A" w14:paraId="0E19200F" w14:textId="77777777">
        <w:trPr>
          <w:cantSplit/>
          <w:trHeight w:val="353"/>
          <w:jc w:val="center"/>
        </w:trPr>
        <w:tc>
          <w:tcPr>
            <w:tcW w:w="1917" w:type="dxa"/>
            <w:tcBorders>
              <w:tl2br w:val="nil"/>
              <w:tr2bl w:val="nil"/>
            </w:tcBorders>
          </w:tcPr>
          <w:p w14:paraId="352651AD"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Dividend Policy</w:t>
            </w:r>
          </w:p>
        </w:tc>
        <w:tc>
          <w:tcPr>
            <w:tcW w:w="935" w:type="dxa"/>
            <w:tcBorders>
              <w:tl2br w:val="nil"/>
              <w:tr2bl w:val="nil"/>
            </w:tcBorders>
          </w:tcPr>
          <w:p w14:paraId="1A182A19"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-,913</w:t>
            </w:r>
          </w:p>
        </w:tc>
        <w:tc>
          <w:tcPr>
            <w:tcW w:w="939" w:type="dxa"/>
            <w:tcBorders>
              <w:tl2br w:val="nil"/>
              <w:tr2bl w:val="nil"/>
            </w:tcBorders>
          </w:tcPr>
          <w:p w14:paraId="2C13C92A"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lang w:val="id-ID"/>
              </w:rPr>
              <w:t>3</w:t>
            </w:r>
            <w:r>
              <w:rPr>
                <w:rFonts w:ascii="Times New Roman" w:hAnsi="Times New Roman"/>
                <w:color w:val="010205"/>
              </w:rPr>
              <w:t>,</w:t>
            </w:r>
            <w:r>
              <w:rPr>
                <w:rFonts w:ascii="Times New Roman" w:hAnsi="Times New Roman"/>
                <w:color w:val="010205"/>
                <w:lang w:val="id-ID"/>
              </w:rPr>
              <w:t>883</w:t>
            </w:r>
          </w:p>
        </w:tc>
      </w:tr>
      <w:tr w:rsidR="00637D0A" w14:paraId="7241E088" w14:textId="77777777">
        <w:trPr>
          <w:cantSplit/>
          <w:trHeight w:val="330"/>
          <w:jc w:val="center"/>
        </w:trPr>
        <w:tc>
          <w:tcPr>
            <w:tcW w:w="1917" w:type="dxa"/>
            <w:tcBorders>
              <w:tl2br w:val="nil"/>
              <w:tr2bl w:val="nil"/>
            </w:tcBorders>
          </w:tcPr>
          <w:p w14:paraId="74EFA415"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Profit*Dividend</w:t>
            </w:r>
          </w:p>
        </w:tc>
        <w:tc>
          <w:tcPr>
            <w:tcW w:w="935" w:type="dxa"/>
            <w:tcBorders>
              <w:tl2br w:val="nil"/>
              <w:tr2bl w:val="nil"/>
            </w:tcBorders>
          </w:tcPr>
          <w:p w14:paraId="2876A228"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-,553</w:t>
            </w:r>
          </w:p>
        </w:tc>
        <w:tc>
          <w:tcPr>
            <w:tcW w:w="939" w:type="dxa"/>
            <w:tcBorders>
              <w:tl2br w:val="nil"/>
              <w:tr2bl w:val="nil"/>
            </w:tcBorders>
          </w:tcPr>
          <w:p w14:paraId="6A379AFE"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,552</w:t>
            </w:r>
          </w:p>
        </w:tc>
      </w:tr>
      <w:tr w:rsidR="00637D0A" w14:paraId="2720BA09" w14:textId="77777777">
        <w:trPr>
          <w:cantSplit/>
          <w:trHeight w:val="330"/>
          <w:jc w:val="center"/>
        </w:trPr>
        <w:tc>
          <w:tcPr>
            <w:tcW w:w="1917" w:type="dxa"/>
            <w:tcBorders>
              <w:tl2br w:val="nil"/>
              <w:tr2bl w:val="nil"/>
            </w:tcBorders>
          </w:tcPr>
          <w:p w14:paraId="644FAE93"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Likuid*Dividend</w:t>
            </w:r>
          </w:p>
        </w:tc>
        <w:tc>
          <w:tcPr>
            <w:tcW w:w="935" w:type="dxa"/>
            <w:tcBorders>
              <w:tl2br w:val="nil"/>
              <w:tr2bl w:val="nil"/>
            </w:tcBorders>
          </w:tcPr>
          <w:p w14:paraId="5FE93044"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,279</w:t>
            </w:r>
          </w:p>
        </w:tc>
        <w:tc>
          <w:tcPr>
            <w:tcW w:w="939" w:type="dxa"/>
            <w:tcBorders>
              <w:tl2br w:val="nil"/>
              <w:tr2bl w:val="nil"/>
            </w:tcBorders>
          </w:tcPr>
          <w:p w14:paraId="0FED8C01"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,1</w:t>
            </w:r>
            <w:r>
              <w:rPr>
                <w:rFonts w:ascii="Times New Roman" w:hAnsi="Times New Roman"/>
                <w:color w:val="010205"/>
                <w:lang w:val="id-ID"/>
              </w:rPr>
              <w:t>62</w:t>
            </w:r>
          </w:p>
        </w:tc>
      </w:tr>
      <w:tr w:rsidR="00637D0A" w14:paraId="7CC160E3" w14:textId="77777777">
        <w:trPr>
          <w:cantSplit/>
          <w:trHeight w:val="359"/>
          <w:jc w:val="center"/>
        </w:trPr>
        <w:tc>
          <w:tcPr>
            <w:tcW w:w="1917" w:type="dxa"/>
            <w:tcBorders>
              <w:tl2br w:val="nil"/>
              <w:tr2bl w:val="nil"/>
            </w:tcBorders>
          </w:tcPr>
          <w:p w14:paraId="2D8DC389"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Size*Dividend</w:t>
            </w:r>
          </w:p>
        </w:tc>
        <w:tc>
          <w:tcPr>
            <w:tcW w:w="935" w:type="dxa"/>
            <w:tcBorders>
              <w:tl2br w:val="nil"/>
              <w:tr2bl w:val="nil"/>
            </w:tcBorders>
          </w:tcPr>
          <w:p w14:paraId="32933790"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,049</w:t>
            </w:r>
          </w:p>
        </w:tc>
        <w:tc>
          <w:tcPr>
            <w:tcW w:w="939" w:type="dxa"/>
            <w:tcBorders>
              <w:tl2br w:val="nil"/>
              <w:tr2bl w:val="nil"/>
            </w:tcBorders>
          </w:tcPr>
          <w:p w14:paraId="54C74C27"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131</w:t>
            </w:r>
          </w:p>
        </w:tc>
      </w:tr>
    </w:tbl>
    <w:p w14:paraId="21AED3CF" w14:textId="77777777" w:rsidR="00637D0A" w:rsidRDefault="00637D0A">
      <w:pPr>
        <w:pStyle w:val="Body"/>
        <w:spacing w:after="0"/>
        <w:rPr>
          <w:rFonts w:ascii="Arial" w:hAnsi="Arial" w:cs="Arial"/>
          <w:b/>
          <w:bCs/>
          <w:lang w:val="id-ID"/>
        </w:rPr>
      </w:pPr>
    </w:p>
    <w:p w14:paraId="4B00830A" w14:textId="77777777" w:rsidR="00637D0A" w:rsidRDefault="00441CE7">
      <w:pPr>
        <w:numPr>
          <w:ilvl w:val="2"/>
          <w:numId w:val="4"/>
        </w:numPr>
        <w:jc w:val="both"/>
        <w:rPr>
          <w:rFonts w:ascii="Arial" w:hAnsi="Arial" w:cs="Arial"/>
          <w:b/>
          <w:bCs/>
          <w:u w:val="single"/>
          <w:lang w:val="id-ID" w:eastAsia="zh-CN"/>
        </w:rPr>
      </w:pPr>
      <w:r>
        <w:rPr>
          <w:rFonts w:ascii="Arial" w:hAnsi="Arial" w:cs="Arial"/>
          <w:b/>
          <w:bCs/>
          <w:u w:val="single"/>
          <w:lang w:val="id-ID" w:eastAsia="zh-CN"/>
        </w:rPr>
        <w:t>Coefficient of Determination Test</w:t>
      </w:r>
    </w:p>
    <w:p w14:paraId="6DB0047A" w14:textId="77777777" w:rsidR="00637D0A" w:rsidRDefault="00637D0A">
      <w:pPr>
        <w:jc w:val="both"/>
        <w:rPr>
          <w:rFonts w:ascii="Arial" w:hAnsi="Arial" w:cs="Arial"/>
          <w:b/>
          <w:bCs/>
          <w:u w:val="single"/>
          <w:lang w:val="id-ID" w:eastAsia="zh-CN"/>
        </w:rPr>
      </w:pPr>
    </w:p>
    <w:p w14:paraId="14A8A11A" w14:textId="77777777" w:rsidR="00637D0A" w:rsidRDefault="00441CE7">
      <w:pPr>
        <w:jc w:val="both"/>
        <w:rPr>
          <w:rFonts w:ascii="Arial" w:hAnsi="Arial" w:cs="Arial"/>
          <w:b/>
          <w:bCs/>
          <w:lang w:val="id-ID"/>
        </w:rPr>
      </w:pPr>
      <w:r>
        <w:rPr>
          <w:rFonts w:ascii="Arial" w:hAnsi="Arial" w:cs="Arial"/>
        </w:rPr>
        <w:t>The results of the coefficient of determination test show be seen that the value of (R</w:t>
      </w:r>
      <w:proofErr w:type="gramStart"/>
      <w:r>
        <w:rPr>
          <w:rFonts w:ascii="Arial" w:hAnsi="Arial" w:cs="Arial"/>
        </w:rPr>
        <w:t>2 )</w:t>
      </w:r>
      <w:proofErr w:type="gramEnd"/>
      <w:r>
        <w:rPr>
          <w:rFonts w:ascii="Arial" w:hAnsi="Arial" w:cs="Arial"/>
        </w:rPr>
        <w:t xml:space="preserve"> is 0.639, which means that 63.9% of the variation in firm value can be explained by the </w:t>
      </w:r>
      <w:r>
        <w:rPr>
          <w:rFonts w:ascii="Arial" w:hAnsi="Arial" w:cs="Arial"/>
        </w:rPr>
        <w:lastRenderedPageBreak/>
        <w:t>variation in the four independent variables, namely profitability, liquidity, firm size, and dividend policy. Meanwhile, the remaining 36.9% is explained by other variables not included in the research model.</w:t>
      </w:r>
    </w:p>
    <w:p w14:paraId="243921C3" w14:textId="77777777" w:rsidR="00637D0A" w:rsidRDefault="00637D0A">
      <w:pPr>
        <w:pStyle w:val="Body"/>
        <w:spacing w:after="0"/>
        <w:rPr>
          <w:rFonts w:ascii="Arial" w:hAnsi="Arial" w:cs="Arial"/>
          <w:b/>
          <w:bCs/>
          <w:lang w:val="id-ID"/>
        </w:rPr>
      </w:pPr>
    </w:p>
    <w:p w14:paraId="3ED0FBF9" w14:textId="77777777" w:rsidR="00637D0A" w:rsidRDefault="00441CE7">
      <w:pPr>
        <w:ind w:left="1440" w:firstLine="720"/>
        <w:jc w:val="both"/>
        <w:rPr>
          <w:rFonts w:ascii="Arial" w:hAnsi="Arial" w:cs="Arial"/>
          <w:b/>
          <w:bCs/>
          <w:lang w:val="id-ID"/>
        </w:rPr>
      </w:pPr>
      <w:r>
        <w:rPr>
          <w:rFonts w:ascii="Arial" w:hAnsi="Arial" w:cs="Arial"/>
          <w:b/>
          <w:bCs/>
          <w:lang w:val="id-ID"/>
        </w:rPr>
        <w:t xml:space="preserve">Table. 7 </w:t>
      </w:r>
      <w:r>
        <w:rPr>
          <w:rFonts w:ascii="Arial" w:hAnsi="Arial" w:cs="Arial"/>
          <w:b/>
          <w:bCs/>
          <w:lang w:val="id-ID" w:eastAsia="zh-CN"/>
        </w:rPr>
        <w:t>Coefficient of Determination Test</w:t>
      </w:r>
    </w:p>
    <w:tbl>
      <w:tblPr>
        <w:tblW w:w="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4"/>
        <w:gridCol w:w="1256"/>
        <w:gridCol w:w="1700"/>
      </w:tblGrid>
      <w:tr w:rsidR="00637D0A" w14:paraId="4F08893F" w14:textId="77777777">
        <w:trPr>
          <w:cantSplit/>
          <w:trHeight w:val="363"/>
          <w:jc w:val="center"/>
        </w:trPr>
        <w:tc>
          <w:tcPr>
            <w:tcW w:w="4140" w:type="dxa"/>
            <w:gridSpan w:val="3"/>
            <w:tcBorders>
              <w:tl2br w:val="nil"/>
              <w:tr2bl w:val="nil"/>
            </w:tcBorders>
            <w:vAlign w:val="center"/>
          </w:tcPr>
          <w:p w14:paraId="725F59E5" w14:textId="77777777" w:rsidR="00637D0A" w:rsidRDefault="00441CE7">
            <w:pPr>
              <w:spacing w:line="320" w:lineRule="atLeast"/>
              <w:ind w:left="60" w:right="60"/>
              <w:jc w:val="center"/>
              <w:rPr>
                <w:rFonts w:ascii="Times New Roman" w:hAnsi="Times New Roman"/>
              </w:rPr>
            </w:pPr>
            <w:r>
              <w:rPr>
                <w:rFonts w:ascii="Times New Roman" w:hAnsi="Times New Roman"/>
                <w:b/>
              </w:rPr>
              <w:t xml:space="preserve">Model </w:t>
            </w:r>
            <w:proofErr w:type="spellStart"/>
            <w:r>
              <w:rPr>
                <w:rFonts w:ascii="Times New Roman" w:hAnsi="Times New Roman"/>
                <w:b/>
              </w:rPr>
              <w:t>Summary</w:t>
            </w:r>
            <w:r>
              <w:rPr>
                <w:rFonts w:ascii="Times New Roman" w:hAnsi="Times New Roman"/>
                <w:b/>
                <w:vertAlign w:val="superscript"/>
              </w:rPr>
              <w:t>b</w:t>
            </w:r>
            <w:proofErr w:type="spellEnd"/>
          </w:p>
        </w:tc>
      </w:tr>
      <w:tr w:rsidR="00637D0A" w14:paraId="0CA82806" w14:textId="77777777">
        <w:trPr>
          <w:cantSplit/>
          <w:trHeight w:val="716"/>
          <w:jc w:val="center"/>
        </w:trPr>
        <w:tc>
          <w:tcPr>
            <w:tcW w:w="1184" w:type="dxa"/>
            <w:tcBorders>
              <w:tl2br w:val="nil"/>
              <w:tr2bl w:val="nil"/>
            </w:tcBorders>
            <w:vAlign w:val="bottom"/>
          </w:tcPr>
          <w:p w14:paraId="158614D3" w14:textId="77777777" w:rsidR="00637D0A" w:rsidRDefault="00441CE7">
            <w:pPr>
              <w:spacing w:line="320" w:lineRule="atLeast"/>
              <w:ind w:left="60" w:right="60"/>
              <w:jc w:val="center"/>
              <w:rPr>
                <w:rFonts w:ascii="Times New Roman" w:hAnsi="Times New Roman"/>
              </w:rPr>
            </w:pPr>
            <w:r>
              <w:rPr>
                <w:rFonts w:ascii="Times New Roman" w:hAnsi="Times New Roman"/>
              </w:rPr>
              <w:t>R</w:t>
            </w:r>
          </w:p>
        </w:tc>
        <w:tc>
          <w:tcPr>
            <w:tcW w:w="1256" w:type="dxa"/>
            <w:tcBorders>
              <w:tl2br w:val="nil"/>
              <w:tr2bl w:val="nil"/>
            </w:tcBorders>
            <w:vAlign w:val="bottom"/>
          </w:tcPr>
          <w:p w14:paraId="53D99B72" w14:textId="77777777" w:rsidR="00637D0A" w:rsidRDefault="00441CE7">
            <w:pPr>
              <w:spacing w:line="320" w:lineRule="atLeast"/>
              <w:ind w:left="60" w:right="60"/>
              <w:jc w:val="center"/>
              <w:rPr>
                <w:rFonts w:ascii="Times New Roman" w:hAnsi="Times New Roman"/>
              </w:rPr>
            </w:pPr>
            <w:r>
              <w:rPr>
                <w:rFonts w:ascii="Times New Roman" w:hAnsi="Times New Roman"/>
              </w:rPr>
              <w:t>R Square</w:t>
            </w:r>
          </w:p>
        </w:tc>
        <w:tc>
          <w:tcPr>
            <w:tcW w:w="1700" w:type="dxa"/>
            <w:tcBorders>
              <w:tl2br w:val="nil"/>
              <w:tr2bl w:val="nil"/>
            </w:tcBorders>
            <w:vAlign w:val="bottom"/>
          </w:tcPr>
          <w:p w14:paraId="5E2D587A" w14:textId="77777777" w:rsidR="00637D0A" w:rsidRDefault="00441CE7">
            <w:pPr>
              <w:spacing w:line="320" w:lineRule="atLeast"/>
              <w:ind w:left="60" w:right="60"/>
              <w:jc w:val="center"/>
              <w:rPr>
                <w:rFonts w:ascii="Times New Roman" w:hAnsi="Times New Roman"/>
              </w:rPr>
            </w:pPr>
            <w:r>
              <w:rPr>
                <w:rFonts w:ascii="Times New Roman" w:hAnsi="Times New Roman"/>
              </w:rPr>
              <w:t>Adjusted R Square</w:t>
            </w:r>
          </w:p>
        </w:tc>
      </w:tr>
      <w:tr w:rsidR="00637D0A" w14:paraId="13F3CC70" w14:textId="77777777">
        <w:trPr>
          <w:cantSplit/>
          <w:trHeight w:val="374"/>
          <w:jc w:val="center"/>
        </w:trPr>
        <w:tc>
          <w:tcPr>
            <w:tcW w:w="1184" w:type="dxa"/>
            <w:tcBorders>
              <w:tl2br w:val="nil"/>
              <w:tr2bl w:val="nil"/>
            </w:tcBorders>
          </w:tcPr>
          <w:p w14:paraId="2A1430A5" w14:textId="77777777" w:rsidR="00637D0A" w:rsidRDefault="00441CE7">
            <w:pPr>
              <w:spacing w:line="320" w:lineRule="atLeast"/>
              <w:ind w:left="60" w:right="60"/>
              <w:jc w:val="right"/>
              <w:rPr>
                <w:rFonts w:ascii="Times New Roman" w:hAnsi="Times New Roman"/>
              </w:rPr>
            </w:pPr>
            <w:r>
              <w:rPr>
                <w:rFonts w:ascii="Times New Roman" w:hAnsi="Times New Roman"/>
              </w:rPr>
              <w:t>,</w:t>
            </w:r>
            <w:r>
              <w:rPr>
                <w:rFonts w:ascii="Times New Roman" w:hAnsi="Times New Roman"/>
                <w:lang w:val="id-ID"/>
              </w:rPr>
              <w:t>799</w:t>
            </w:r>
            <w:r>
              <w:rPr>
                <w:rFonts w:ascii="Times New Roman" w:hAnsi="Times New Roman"/>
                <w:vertAlign w:val="superscript"/>
              </w:rPr>
              <w:t>a</w:t>
            </w:r>
          </w:p>
        </w:tc>
        <w:tc>
          <w:tcPr>
            <w:tcW w:w="1256" w:type="dxa"/>
            <w:tcBorders>
              <w:tl2br w:val="nil"/>
              <w:tr2bl w:val="nil"/>
            </w:tcBorders>
          </w:tcPr>
          <w:p w14:paraId="639AE1D6"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w:t>
            </w:r>
            <w:r>
              <w:rPr>
                <w:rFonts w:ascii="Times New Roman" w:hAnsi="Times New Roman"/>
                <w:lang w:val="id-ID"/>
              </w:rPr>
              <w:t>639</w:t>
            </w:r>
          </w:p>
        </w:tc>
        <w:tc>
          <w:tcPr>
            <w:tcW w:w="1700" w:type="dxa"/>
            <w:tcBorders>
              <w:tl2br w:val="nil"/>
              <w:tr2bl w:val="nil"/>
            </w:tcBorders>
          </w:tcPr>
          <w:p w14:paraId="47D6BBEA"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w:t>
            </w:r>
            <w:r>
              <w:rPr>
                <w:rFonts w:ascii="Times New Roman" w:hAnsi="Times New Roman"/>
                <w:lang w:val="id-ID"/>
              </w:rPr>
              <w:t>619</w:t>
            </w:r>
          </w:p>
        </w:tc>
      </w:tr>
    </w:tbl>
    <w:p w14:paraId="0AF6A2A8" w14:textId="77777777" w:rsidR="00637D0A" w:rsidRDefault="00637D0A">
      <w:pPr>
        <w:pStyle w:val="Body"/>
        <w:spacing w:after="0"/>
        <w:rPr>
          <w:rFonts w:ascii="Arial" w:hAnsi="Arial" w:cs="Arial"/>
          <w:b/>
          <w:bCs/>
          <w:lang w:val="id-ID"/>
        </w:rPr>
      </w:pPr>
    </w:p>
    <w:p w14:paraId="32CAC2D3" w14:textId="77777777" w:rsidR="00637D0A" w:rsidRDefault="00441CE7">
      <w:pPr>
        <w:numPr>
          <w:ilvl w:val="2"/>
          <w:numId w:val="4"/>
        </w:numPr>
        <w:jc w:val="both"/>
        <w:rPr>
          <w:rFonts w:ascii="Times New Roman" w:hAnsi="Times New Roman"/>
          <w:b/>
          <w:bCs/>
          <w:u w:val="single"/>
          <w:lang w:val="id-ID" w:eastAsia="zh-CN"/>
        </w:rPr>
      </w:pPr>
      <w:r>
        <w:rPr>
          <w:rFonts w:ascii="Times New Roman" w:hAnsi="Times New Roman"/>
          <w:b/>
          <w:bCs/>
          <w:u w:val="single"/>
          <w:lang w:val="id-ID" w:eastAsia="zh-CN"/>
        </w:rPr>
        <w:t>Partial Test</w:t>
      </w:r>
    </w:p>
    <w:p w14:paraId="27A0F08C" w14:textId="77777777" w:rsidR="00637D0A" w:rsidRDefault="00637D0A">
      <w:pPr>
        <w:jc w:val="both"/>
        <w:rPr>
          <w:rFonts w:ascii="Times New Roman" w:hAnsi="Times New Roman"/>
          <w:b/>
          <w:bCs/>
          <w:u w:val="single"/>
          <w:lang w:val="id-ID" w:eastAsia="zh-CN"/>
        </w:rPr>
      </w:pPr>
    </w:p>
    <w:p w14:paraId="6438E0CE" w14:textId="77777777" w:rsidR="00637D0A" w:rsidRDefault="00441CE7">
      <w:pPr>
        <w:jc w:val="both"/>
        <w:rPr>
          <w:rFonts w:ascii="Arial" w:hAnsi="Arial" w:cs="Arial"/>
        </w:rPr>
      </w:pPr>
      <w:r>
        <w:rPr>
          <w:rFonts w:ascii="Arial" w:hAnsi="Arial" w:cs="Arial"/>
        </w:rPr>
        <w:t xml:space="preserve">Based on the results of the partial tests above, the profitability variable has a significance value of 0.003 &lt; 0.005, so it is considered to have a significant effect on firm value. The liquidity variable has a significance value of 0.009 &lt; 0.005, so it is considered to have a significant effect on firm value. The firm size variable has a significance value of 0.239 &gt; 0.005, so it is considered not to have a significant effect. The interaction variable between dividend policy and the profitability variable on firm value has a significance value of 0.320 &gt; 0.005; therefore, it can be concluded that dividend policy cannot moderate the relationship between profitability and firm value. The interaction variable between dividend policy and liquidity on firm value has a significance value of 0.090 &gt; 0.005; therefore, it can be concluded that dividend policy cannot moderate the relationship between liquidity and firm value. The interaction variable between dividend policy and firm size on firm value has a significance value of 0.710 &gt; 0.005; therefore, it can be concluded that dividend policy does not moderate the relationship between firm size and firm value. </w:t>
      </w:r>
    </w:p>
    <w:p w14:paraId="751536A5" w14:textId="77777777" w:rsidR="00637D0A" w:rsidRDefault="00637D0A">
      <w:pPr>
        <w:jc w:val="both"/>
        <w:rPr>
          <w:rFonts w:ascii="Arial" w:hAnsi="Arial" w:cs="Arial"/>
          <w:lang w:val="id-ID"/>
        </w:rPr>
      </w:pPr>
    </w:p>
    <w:p w14:paraId="49DE42CA" w14:textId="77777777" w:rsidR="00637D0A" w:rsidRDefault="00441CE7">
      <w:pPr>
        <w:ind w:left="2160" w:firstLineChars="510" w:firstLine="1024"/>
        <w:jc w:val="both"/>
        <w:rPr>
          <w:rFonts w:ascii="Arial" w:hAnsi="Arial" w:cs="Arial"/>
          <w:b/>
          <w:bCs/>
          <w:lang w:val="id-ID"/>
        </w:rPr>
      </w:pPr>
      <w:r>
        <w:rPr>
          <w:rFonts w:ascii="Arial" w:hAnsi="Arial" w:cs="Arial"/>
          <w:b/>
          <w:bCs/>
          <w:lang w:val="id-ID"/>
        </w:rPr>
        <w:t>Table. 8 Partial Test</w:t>
      </w:r>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0"/>
        <w:gridCol w:w="875"/>
        <w:gridCol w:w="650"/>
      </w:tblGrid>
      <w:tr w:rsidR="00637D0A" w14:paraId="34B7EFD4" w14:textId="77777777">
        <w:trPr>
          <w:cantSplit/>
          <w:trHeight w:val="312"/>
          <w:jc w:val="center"/>
        </w:trPr>
        <w:tc>
          <w:tcPr>
            <w:tcW w:w="3265" w:type="dxa"/>
            <w:gridSpan w:val="3"/>
            <w:tcBorders>
              <w:tl2br w:val="nil"/>
              <w:tr2bl w:val="nil"/>
            </w:tcBorders>
            <w:vAlign w:val="center"/>
          </w:tcPr>
          <w:p w14:paraId="6EB51A1E" w14:textId="77777777" w:rsidR="00637D0A" w:rsidRDefault="00441CE7">
            <w:pPr>
              <w:spacing w:line="320" w:lineRule="atLeast"/>
              <w:ind w:left="60" w:right="60"/>
              <w:jc w:val="center"/>
              <w:rPr>
                <w:rFonts w:ascii="Times New Roman" w:hAnsi="Times New Roman"/>
              </w:rPr>
            </w:pPr>
            <w:proofErr w:type="spellStart"/>
            <w:r>
              <w:rPr>
                <w:rFonts w:ascii="Times New Roman" w:hAnsi="Times New Roman"/>
                <w:b/>
              </w:rPr>
              <w:t>Coefficients</w:t>
            </w:r>
            <w:r>
              <w:rPr>
                <w:rFonts w:ascii="Times New Roman" w:hAnsi="Times New Roman"/>
                <w:b/>
                <w:vertAlign w:val="superscript"/>
              </w:rPr>
              <w:t>a</w:t>
            </w:r>
            <w:proofErr w:type="spellEnd"/>
          </w:p>
        </w:tc>
      </w:tr>
      <w:tr w:rsidR="00637D0A" w14:paraId="62ABEE0E" w14:textId="77777777">
        <w:trPr>
          <w:cantSplit/>
          <w:trHeight w:val="312"/>
          <w:jc w:val="center"/>
        </w:trPr>
        <w:tc>
          <w:tcPr>
            <w:tcW w:w="1740" w:type="dxa"/>
            <w:tcBorders>
              <w:tl2br w:val="nil"/>
              <w:tr2bl w:val="nil"/>
            </w:tcBorders>
          </w:tcPr>
          <w:p w14:paraId="0F786678" w14:textId="77777777" w:rsidR="00637D0A" w:rsidRDefault="00637D0A">
            <w:pPr>
              <w:spacing w:line="320" w:lineRule="atLeast"/>
              <w:ind w:left="60" w:right="60"/>
              <w:rPr>
                <w:rFonts w:ascii="Times New Roman" w:hAnsi="Times New Roman"/>
              </w:rPr>
            </w:pPr>
          </w:p>
        </w:tc>
        <w:tc>
          <w:tcPr>
            <w:tcW w:w="875" w:type="dxa"/>
            <w:tcBorders>
              <w:tl2br w:val="nil"/>
              <w:tr2bl w:val="nil"/>
            </w:tcBorders>
            <w:vAlign w:val="bottom"/>
          </w:tcPr>
          <w:p w14:paraId="18FFC3E4" w14:textId="77777777" w:rsidR="00637D0A" w:rsidRDefault="00441CE7">
            <w:pPr>
              <w:spacing w:line="320" w:lineRule="atLeast"/>
              <w:ind w:left="60" w:right="60"/>
              <w:jc w:val="center"/>
              <w:rPr>
                <w:rFonts w:ascii="Times New Roman" w:hAnsi="Times New Roman"/>
              </w:rPr>
            </w:pPr>
            <w:r>
              <w:rPr>
                <w:rFonts w:ascii="Times New Roman" w:hAnsi="Times New Roman"/>
              </w:rPr>
              <w:t>t</w:t>
            </w:r>
          </w:p>
        </w:tc>
        <w:tc>
          <w:tcPr>
            <w:tcW w:w="650" w:type="dxa"/>
            <w:tcBorders>
              <w:tl2br w:val="nil"/>
              <w:tr2bl w:val="nil"/>
            </w:tcBorders>
            <w:vAlign w:val="bottom"/>
          </w:tcPr>
          <w:p w14:paraId="270AC172" w14:textId="77777777" w:rsidR="00637D0A" w:rsidRDefault="00441CE7">
            <w:pPr>
              <w:spacing w:line="320" w:lineRule="atLeast"/>
              <w:ind w:left="60" w:right="60"/>
              <w:jc w:val="center"/>
              <w:rPr>
                <w:rFonts w:ascii="Times New Roman" w:hAnsi="Times New Roman"/>
              </w:rPr>
            </w:pPr>
            <w:r>
              <w:rPr>
                <w:rFonts w:ascii="Times New Roman" w:hAnsi="Times New Roman"/>
              </w:rPr>
              <w:t>Sig.</w:t>
            </w:r>
          </w:p>
        </w:tc>
      </w:tr>
      <w:tr w:rsidR="00637D0A" w14:paraId="392B2CCD" w14:textId="77777777">
        <w:trPr>
          <w:cantSplit/>
          <w:trHeight w:val="312"/>
          <w:jc w:val="center"/>
        </w:trPr>
        <w:tc>
          <w:tcPr>
            <w:tcW w:w="1740" w:type="dxa"/>
            <w:tcBorders>
              <w:tl2br w:val="nil"/>
              <w:tr2bl w:val="nil"/>
            </w:tcBorders>
          </w:tcPr>
          <w:p w14:paraId="78D87F66" w14:textId="77777777" w:rsidR="00637D0A" w:rsidRDefault="00441CE7">
            <w:pPr>
              <w:spacing w:line="320" w:lineRule="atLeast"/>
              <w:ind w:left="60" w:right="60"/>
              <w:rPr>
                <w:rFonts w:ascii="Times New Roman" w:hAnsi="Times New Roman"/>
              </w:rPr>
            </w:pPr>
            <w:r>
              <w:rPr>
                <w:rFonts w:ascii="Times New Roman" w:hAnsi="Times New Roman"/>
              </w:rPr>
              <w:t>(Constant)</w:t>
            </w:r>
          </w:p>
        </w:tc>
        <w:tc>
          <w:tcPr>
            <w:tcW w:w="875" w:type="dxa"/>
            <w:tcBorders>
              <w:tl2br w:val="nil"/>
              <w:tr2bl w:val="nil"/>
            </w:tcBorders>
          </w:tcPr>
          <w:p w14:paraId="249C76F9"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1</w:t>
            </w:r>
            <w:r>
              <w:rPr>
                <w:rFonts w:ascii="Times New Roman" w:hAnsi="Times New Roman"/>
              </w:rPr>
              <w:t>,</w:t>
            </w:r>
            <w:r>
              <w:rPr>
                <w:rFonts w:ascii="Times New Roman" w:hAnsi="Times New Roman"/>
                <w:lang w:val="id-ID"/>
              </w:rPr>
              <w:t>596</w:t>
            </w:r>
          </w:p>
        </w:tc>
        <w:tc>
          <w:tcPr>
            <w:tcW w:w="650" w:type="dxa"/>
            <w:tcBorders>
              <w:tl2br w:val="nil"/>
              <w:tr2bl w:val="nil"/>
            </w:tcBorders>
          </w:tcPr>
          <w:p w14:paraId="218CFF4F" w14:textId="77777777" w:rsidR="00637D0A" w:rsidRDefault="00441CE7">
            <w:pPr>
              <w:spacing w:line="320" w:lineRule="atLeast"/>
              <w:ind w:left="60" w:right="60"/>
              <w:jc w:val="right"/>
              <w:rPr>
                <w:rFonts w:ascii="Times New Roman" w:hAnsi="Times New Roman"/>
                <w:lang w:val="id-ID"/>
              </w:rPr>
            </w:pPr>
            <w:r>
              <w:rPr>
                <w:rFonts w:ascii="Times New Roman" w:hAnsi="Times New Roman"/>
              </w:rPr>
              <w:t>,</w:t>
            </w:r>
            <w:r>
              <w:rPr>
                <w:rFonts w:ascii="Times New Roman" w:hAnsi="Times New Roman"/>
                <w:lang w:val="id-ID"/>
              </w:rPr>
              <w:t>115</w:t>
            </w:r>
          </w:p>
        </w:tc>
      </w:tr>
      <w:tr w:rsidR="00637D0A" w14:paraId="7EBD1696" w14:textId="77777777">
        <w:trPr>
          <w:cantSplit/>
          <w:trHeight w:val="312"/>
          <w:jc w:val="center"/>
        </w:trPr>
        <w:tc>
          <w:tcPr>
            <w:tcW w:w="1740" w:type="dxa"/>
            <w:tcBorders>
              <w:tl2br w:val="nil"/>
              <w:tr2bl w:val="nil"/>
            </w:tcBorders>
          </w:tcPr>
          <w:p w14:paraId="486289AA" w14:textId="77777777" w:rsidR="00637D0A" w:rsidRDefault="00441CE7">
            <w:pPr>
              <w:spacing w:line="320" w:lineRule="atLeast"/>
              <w:ind w:left="60" w:right="60"/>
              <w:rPr>
                <w:rFonts w:ascii="Times New Roman" w:hAnsi="Times New Roman"/>
                <w:lang w:val="id-ID"/>
              </w:rPr>
            </w:pPr>
            <w:proofErr w:type="spellStart"/>
            <w:r>
              <w:rPr>
                <w:rFonts w:ascii="Times New Roman" w:hAnsi="Times New Roman"/>
              </w:rPr>
              <w:t>Profitabilit</w:t>
            </w:r>
            <w:proofErr w:type="spellEnd"/>
            <w:r>
              <w:rPr>
                <w:rFonts w:ascii="Times New Roman" w:hAnsi="Times New Roman"/>
                <w:lang w:val="id-ID"/>
              </w:rPr>
              <w:t>y</w:t>
            </w:r>
          </w:p>
        </w:tc>
        <w:tc>
          <w:tcPr>
            <w:tcW w:w="875" w:type="dxa"/>
            <w:tcBorders>
              <w:tl2br w:val="nil"/>
              <w:tr2bl w:val="nil"/>
            </w:tcBorders>
          </w:tcPr>
          <w:p w14:paraId="07482CC2"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lang w:val="id-ID"/>
              </w:rPr>
              <w:t>-3</w:t>
            </w:r>
            <w:r>
              <w:rPr>
                <w:rFonts w:ascii="Times New Roman" w:hAnsi="Times New Roman"/>
                <w:color w:val="010205"/>
              </w:rPr>
              <w:t>,</w:t>
            </w:r>
            <w:r>
              <w:rPr>
                <w:rFonts w:ascii="Times New Roman" w:hAnsi="Times New Roman"/>
                <w:color w:val="010205"/>
                <w:lang w:val="id-ID"/>
              </w:rPr>
              <w:t>133</w:t>
            </w:r>
          </w:p>
        </w:tc>
        <w:tc>
          <w:tcPr>
            <w:tcW w:w="650" w:type="dxa"/>
            <w:tcBorders>
              <w:tl2br w:val="nil"/>
              <w:tr2bl w:val="nil"/>
            </w:tcBorders>
          </w:tcPr>
          <w:p w14:paraId="76E9B476"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,00</w:t>
            </w:r>
            <w:r>
              <w:rPr>
                <w:rFonts w:ascii="Times New Roman" w:hAnsi="Times New Roman"/>
                <w:color w:val="010205"/>
                <w:lang w:val="id-ID"/>
              </w:rPr>
              <w:t>3</w:t>
            </w:r>
          </w:p>
        </w:tc>
      </w:tr>
      <w:tr w:rsidR="00637D0A" w14:paraId="7303B308" w14:textId="77777777">
        <w:trPr>
          <w:cantSplit/>
          <w:trHeight w:val="312"/>
          <w:jc w:val="center"/>
        </w:trPr>
        <w:tc>
          <w:tcPr>
            <w:tcW w:w="1740" w:type="dxa"/>
            <w:tcBorders>
              <w:tl2br w:val="nil"/>
              <w:tr2bl w:val="nil"/>
            </w:tcBorders>
          </w:tcPr>
          <w:p w14:paraId="37188549" w14:textId="77777777" w:rsidR="00637D0A" w:rsidRDefault="00441CE7">
            <w:pPr>
              <w:spacing w:line="320" w:lineRule="atLeast"/>
              <w:ind w:left="60" w:right="60"/>
              <w:rPr>
                <w:rFonts w:ascii="Times New Roman" w:hAnsi="Times New Roman"/>
                <w:lang w:val="id-ID"/>
              </w:rPr>
            </w:pPr>
            <w:proofErr w:type="spellStart"/>
            <w:r>
              <w:rPr>
                <w:rFonts w:ascii="Times New Roman" w:hAnsi="Times New Roman"/>
              </w:rPr>
              <w:t>Likuidit</w:t>
            </w:r>
            <w:proofErr w:type="spellEnd"/>
            <w:r>
              <w:rPr>
                <w:rFonts w:ascii="Times New Roman" w:hAnsi="Times New Roman"/>
                <w:lang w:val="id-ID"/>
              </w:rPr>
              <w:t>y</w:t>
            </w:r>
          </w:p>
        </w:tc>
        <w:tc>
          <w:tcPr>
            <w:tcW w:w="875" w:type="dxa"/>
            <w:tcBorders>
              <w:tl2br w:val="nil"/>
              <w:tr2bl w:val="nil"/>
            </w:tcBorders>
          </w:tcPr>
          <w:p w14:paraId="42BE00AF"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lang w:val="id-ID"/>
              </w:rPr>
              <w:t>2</w:t>
            </w:r>
            <w:r>
              <w:rPr>
                <w:rFonts w:ascii="Times New Roman" w:hAnsi="Times New Roman"/>
                <w:color w:val="010205"/>
              </w:rPr>
              <w:t>,</w:t>
            </w:r>
            <w:r>
              <w:rPr>
                <w:rFonts w:ascii="Times New Roman" w:hAnsi="Times New Roman"/>
                <w:color w:val="010205"/>
                <w:lang w:val="id-ID"/>
              </w:rPr>
              <w:t>701</w:t>
            </w:r>
          </w:p>
        </w:tc>
        <w:tc>
          <w:tcPr>
            <w:tcW w:w="650" w:type="dxa"/>
            <w:tcBorders>
              <w:tl2br w:val="nil"/>
              <w:tr2bl w:val="nil"/>
            </w:tcBorders>
          </w:tcPr>
          <w:p w14:paraId="0E2D1823"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009</w:t>
            </w:r>
          </w:p>
        </w:tc>
      </w:tr>
      <w:tr w:rsidR="00637D0A" w14:paraId="04921D1E" w14:textId="77777777">
        <w:trPr>
          <w:cantSplit/>
          <w:trHeight w:val="312"/>
          <w:jc w:val="center"/>
        </w:trPr>
        <w:tc>
          <w:tcPr>
            <w:tcW w:w="1740" w:type="dxa"/>
            <w:tcBorders>
              <w:tl2br w:val="nil"/>
              <w:tr2bl w:val="nil"/>
            </w:tcBorders>
          </w:tcPr>
          <w:p w14:paraId="6FF81C36"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Company Size</w:t>
            </w:r>
          </w:p>
        </w:tc>
        <w:tc>
          <w:tcPr>
            <w:tcW w:w="875" w:type="dxa"/>
            <w:tcBorders>
              <w:tl2br w:val="nil"/>
              <w:tr2bl w:val="nil"/>
            </w:tcBorders>
          </w:tcPr>
          <w:p w14:paraId="1C5F2972"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1</w:t>
            </w:r>
            <w:r>
              <w:rPr>
                <w:rFonts w:ascii="Times New Roman" w:hAnsi="Times New Roman"/>
                <w:color w:val="010205"/>
              </w:rPr>
              <w:t>,1</w:t>
            </w:r>
            <w:r>
              <w:rPr>
                <w:rFonts w:ascii="Times New Roman" w:hAnsi="Times New Roman"/>
                <w:color w:val="010205"/>
                <w:lang w:val="id-ID"/>
              </w:rPr>
              <w:t>87</w:t>
            </w:r>
          </w:p>
        </w:tc>
        <w:tc>
          <w:tcPr>
            <w:tcW w:w="650" w:type="dxa"/>
            <w:tcBorders>
              <w:tl2br w:val="nil"/>
              <w:tr2bl w:val="nil"/>
            </w:tcBorders>
          </w:tcPr>
          <w:p w14:paraId="09C5CE90"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239</w:t>
            </w:r>
          </w:p>
        </w:tc>
      </w:tr>
      <w:tr w:rsidR="00637D0A" w14:paraId="7833544A" w14:textId="77777777">
        <w:trPr>
          <w:cantSplit/>
          <w:trHeight w:val="312"/>
          <w:jc w:val="center"/>
        </w:trPr>
        <w:tc>
          <w:tcPr>
            <w:tcW w:w="1740" w:type="dxa"/>
            <w:tcBorders>
              <w:tl2br w:val="nil"/>
              <w:tr2bl w:val="nil"/>
            </w:tcBorders>
          </w:tcPr>
          <w:p w14:paraId="7473C137"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Dividend Policy</w:t>
            </w:r>
          </w:p>
        </w:tc>
        <w:tc>
          <w:tcPr>
            <w:tcW w:w="875" w:type="dxa"/>
            <w:tcBorders>
              <w:tl2br w:val="nil"/>
              <w:tr2bl w:val="nil"/>
            </w:tcBorders>
          </w:tcPr>
          <w:p w14:paraId="17C85976"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-,235</w:t>
            </w:r>
          </w:p>
        </w:tc>
        <w:tc>
          <w:tcPr>
            <w:tcW w:w="650" w:type="dxa"/>
            <w:tcBorders>
              <w:tl2br w:val="nil"/>
              <w:tr2bl w:val="nil"/>
            </w:tcBorders>
          </w:tcPr>
          <w:p w14:paraId="7C1CCEB8"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815</w:t>
            </w:r>
          </w:p>
        </w:tc>
      </w:tr>
      <w:tr w:rsidR="00637D0A" w14:paraId="01E6E6BC" w14:textId="77777777">
        <w:trPr>
          <w:cantSplit/>
          <w:trHeight w:val="312"/>
          <w:jc w:val="center"/>
        </w:trPr>
        <w:tc>
          <w:tcPr>
            <w:tcW w:w="1740" w:type="dxa"/>
            <w:tcBorders>
              <w:tl2br w:val="nil"/>
              <w:tr2bl w:val="nil"/>
            </w:tcBorders>
          </w:tcPr>
          <w:p w14:paraId="64358701"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Profit*Dividend</w:t>
            </w:r>
          </w:p>
        </w:tc>
        <w:tc>
          <w:tcPr>
            <w:tcW w:w="875" w:type="dxa"/>
            <w:tcBorders>
              <w:tl2br w:val="nil"/>
              <w:tr2bl w:val="nil"/>
            </w:tcBorders>
          </w:tcPr>
          <w:p w14:paraId="74890F65"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lang w:val="id-ID"/>
              </w:rPr>
              <w:t>-1</w:t>
            </w:r>
            <w:r>
              <w:rPr>
                <w:rFonts w:ascii="Times New Roman" w:hAnsi="Times New Roman"/>
                <w:color w:val="010205"/>
              </w:rPr>
              <w:t>,</w:t>
            </w:r>
            <w:r>
              <w:rPr>
                <w:rFonts w:ascii="Times New Roman" w:hAnsi="Times New Roman"/>
                <w:color w:val="010205"/>
                <w:lang w:val="id-ID"/>
              </w:rPr>
              <w:t>002</w:t>
            </w:r>
          </w:p>
        </w:tc>
        <w:tc>
          <w:tcPr>
            <w:tcW w:w="650" w:type="dxa"/>
            <w:tcBorders>
              <w:tl2br w:val="nil"/>
              <w:tr2bl w:val="nil"/>
            </w:tcBorders>
          </w:tcPr>
          <w:p w14:paraId="49209452"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320</w:t>
            </w:r>
          </w:p>
        </w:tc>
      </w:tr>
      <w:tr w:rsidR="00637D0A" w14:paraId="25919003" w14:textId="77777777">
        <w:trPr>
          <w:cantSplit/>
          <w:trHeight w:val="312"/>
          <w:jc w:val="center"/>
        </w:trPr>
        <w:tc>
          <w:tcPr>
            <w:tcW w:w="1740" w:type="dxa"/>
            <w:tcBorders>
              <w:tl2br w:val="nil"/>
              <w:tr2bl w:val="nil"/>
            </w:tcBorders>
          </w:tcPr>
          <w:p w14:paraId="122E5EB7"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Likuid*Dividend</w:t>
            </w:r>
          </w:p>
        </w:tc>
        <w:tc>
          <w:tcPr>
            <w:tcW w:w="875" w:type="dxa"/>
            <w:tcBorders>
              <w:tl2br w:val="nil"/>
              <w:tr2bl w:val="nil"/>
            </w:tcBorders>
          </w:tcPr>
          <w:p w14:paraId="17F4509A"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1,721</w:t>
            </w:r>
          </w:p>
        </w:tc>
        <w:tc>
          <w:tcPr>
            <w:tcW w:w="650" w:type="dxa"/>
            <w:tcBorders>
              <w:tl2br w:val="nil"/>
              <w:tr2bl w:val="nil"/>
            </w:tcBorders>
          </w:tcPr>
          <w:p w14:paraId="12C4DE51"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090</w:t>
            </w:r>
          </w:p>
        </w:tc>
      </w:tr>
      <w:tr w:rsidR="00637D0A" w14:paraId="27F2BF62" w14:textId="77777777">
        <w:trPr>
          <w:cantSplit/>
          <w:trHeight w:val="328"/>
          <w:jc w:val="center"/>
        </w:trPr>
        <w:tc>
          <w:tcPr>
            <w:tcW w:w="1740" w:type="dxa"/>
            <w:tcBorders>
              <w:tl2br w:val="nil"/>
              <w:tr2bl w:val="nil"/>
            </w:tcBorders>
          </w:tcPr>
          <w:p w14:paraId="5C4E7A9C" w14:textId="77777777" w:rsidR="00637D0A" w:rsidRDefault="00441CE7">
            <w:pPr>
              <w:spacing w:line="320" w:lineRule="atLeast"/>
              <w:ind w:left="60" w:right="60"/>
              <w:rPr>
                <w:rFonts w:ascii="Times New Roman" w:hAnsi="Times New Roman"/>
                <w:lang w:val="id-ID"/>
              </w:rPr>
            </w:pPr>
            <w:r>
              <w:rPr>
                <w:rFonts w:ascii="Times New Roman" w:hAnsi="Times New Roman"/>
                <w:lang w:val="id-ID"/>
              </w:rPr>
              <w:t>Size*Dividend</w:t>
            </w:r>
          </w:p>
        </w:tc>
        <w:tc>
          <w:tcPr>
            <w:tcW w:w="875" w:type="dxa"/>
            <w:tcBorders>
              <w:tl2br w:val="nil"/>
              <w:tr2bl w:val="nil"/>
            </w:tcBorders>
          </w:tcPr>
          <w:p w14:paraId="49C2A35D"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,373</w:t>
            </w:r>
          </w:p>
        </w:tc>
        <w:tc>
          <w:tcPr>
            <w:tcW w:w="650" w:type="dxa"/>
            <w:tcBorders>
              <w:tl2br w:val="nil"/>
              <w:tr2bl w:val="nil"/>
            </w:tcBorders>
          </w:tcPr>
          <w:p w14:paraId="4B0207D1" w14:textId="77777777" w:rsidR="00637D0A" w:rsidRDefault="00441CE7">
            <w:pPr>
              <w:spacing w:line="320" w:lineRule="atLeast"/>
              <w:ind w:left="60" w:right="60"/>
              <w:jc w:val="right"/>
              <w:rPr>
                <w:rFonts w:ascii="Times New Roman" w:hAnsi="Times New Roman"/>
                <w:lang w:val="id-ID"/>
              </w:rPr>
            </w:pPr>
            <w:r>
              <w:rPr>
                <w:rFonts w:ascii="Times New Roman" w:hAnsi="Times New Roman"/>
                <w:color w:val="010205"/>
              </w:rPr>
              <w:t>,</w:t>
            </w:r>
            <w:r>
              <w:rPr>
                <w:rFonts w:ascii="Times New Roman" w:hAnsi="Times New Roman"/>
                <w:color w:val="010205"/>
                <w:lang w:val="id-ID"/>
              </w:rPr>
              <w:t>710</w:t>
            </w:r>
          </w:p>
        </w:tc>
      </w:tr>
    </w:tbl>
    <w:p w14:paraId="26A4E001" w14:textId="77777777" w:rsidR="00637D0A" w:rsidRDefault="00637D0A">
      <w:pPr>
        <w:jc w:val="both"/>
        <w:rPr>
          <w:rFonts w:ascii="Arial" w:hAnsi="Arial" w:cs="Arial"/>
          <w:lang w:val="id-ID" w:eastAsia="zh-CN"/>
        </w:rPr>
      </w:pPr>
    </w:p>
    <w:p w14:paraId="1E325231" w14:textId="77777777" w:rsidR="00637D0A" w:rsidRDefault="00441CE7">
      <w:pPr>
        <w:numPr>
          <w:ilvl w:val="2"/>
          <w:numId w:val="4"/>
        </w:numPr>
        <w:jc w:val="both"/>
        <w:rPr>
          <w:rFonts w:ascii="Arial" w:hAnsi="Arial" w:cs="Arial"/>
          <w:b/>
          <w:bCs/>
          <w:u w:val="single"/>
          <w:lang w:val="id-ID" w:eastAsia="zh-CN"/>
        </w:rPr>
      </w:pPr>
      <w:r>
        <w:rPr>
          <w:rFonts w:ascii="Arial" w:hAnsi="Arial" w:cs="Arial"/>
          <w:b/>
          <w:bCs/>
          <w:u w:val="single"/>
          <w:lang w:val="id-ID" w:eastAsia="zh-CN"/>
        </w:rPr>
        <w:t>Simultaneous Test</w:t>
      </w:r>
    </w:p>
    <w:p w14:paraId="0B87F4C0" w14:textId="77777777" w:rsidR="00637D0A" w:rsidRDefault="00637D0A">
      <w:pPr>
        <w:jc w:val="both"/>
        <w:rPr>
          <w:rFonts w:ascii="Arial" w:hAnsi="Arial" w:cs="Arial"/>
          <w:b/>
          <w:bCs/>
          <w:u w:val="single"/>
          <w:lang w:val="id-ID" w:eastAsia="zh-CN"/>
        </w:rPr>
      </w:pPr>
    </w:p>
    <w:p w14:paraId="79C52025" w14:textId="77777777" w:rsidR="00637D0A" w:rsidRDefault="00441CE7">
      <w:pPr>
        <w:jc w:val="both"/>
        <w:rPr>
          <w:rFonts w:ascii="Arial" w:hAnsi="Arial" w:cs="Arial"/>
        </w:rPr>
      </w:pPr>
      <w:r>
        <w:rPr>
          <w:rFonts w:ascii="Arial" w:hAnsi="Arial" w:cs="Arial"/>
        </w:rPr>
        <w:t>The results of the simultaneous F-test show a significance value of Sig = &lt;0.001 &lt; 0.05, indicating that these variables collectively or simultaneously have a significant effect on the firm’s value (PBV) in companies within the food and beverages sub-sector listed on the Indonesia Stock Exchange. This indicates that the research model is capable of explaining the relationship between the independent variables and the moderating variable on firm value.</w:t>
      </w:r>
    </w:p>
    <w:p w14:paraId="1A6F26B3" w14:textId="77777777" w:rsidR="00637D0A" w:rsidRDefault="00637D0A">
      <w:pPr>
        <w:jc w:val="both"/>
        <w:rPr>
          <w:rFonts w:ascii="Arial" w:hAnsi="Arial" w:cs="Arial"/>
        </w:rPr>
      </w:pPr>
    </w:p>
    <w:p w14:paraId="352C733A" w14:textId="77777777" w:rsidR="00637D0A" w:rsidRDefault="00637D0A">
      <w:pPr>
        <w:jc w:val="both"/>
        <w:rPr>
          <w:rFonts w:ascii="Arial" w:hAnsi="Arial" w:cs="Arial"/>
        </w:rPr>
      </w:pPr>
    </w:p>
    <w:p w14:paraId="054D3584" w14:textId="77777777" w:rsidR="00637D0A" w:rsidRDefault="00637D0A">
      <w:pPr>
        <w:jc w:val="both"/>
        <w:rPr>
          <w:rFonts w:ascii="Arial" w:hAnsi="Arial" w:cs="Arial"/>
        </w:rPr>
      </w:pPr>
    </w:p>
    <w:p w14:paraId="7E0ABA54" w14:textId="77777777" w:rsidR="00637D0A" w:rsidRDefault="00637D0A">
      <w:pPr>
        <w:jc w:val="both"/>
        <w:rPr>
          <w:rFonts w:ascii="Arial" w:hAnsi="Arial" w:cs="Arial"/>
        </w:rPr>
      </w:pPr>
    </w:p>
    <w:p w14:paraId="7C9B1D40" w14:textId="77777777" w:rsidR="00637D0A" w:rsidRDefault="00441CE7">
      <w:pPr>
        <w:ind w:left="2160" w:firstLine="720"/>
        <w:jc w:val="both"/>
        <w:rPr>
          <w:rFonts w:ascii="Arial" w:hAnsi="Arial" w:cs="Arial"/>
          <w:lang w:val="id-ID"/>
        </w:rPr>
      </w:pPr>
      <w:r>
        <w:rPr>
          <w:rFonts w:ascii="Arial" w:hAnsi="Arial" w:cs="Arial"/>
          <w:b/>
          <w:bCs/>
          <w:lang w:val="id-ID"/>
        </w:rPr>
        <w:t>Table. 9</w:t>
      </w:r>
      <w:r>
        <w:rPr>
          <w:rFonts w:ascii="Arial" w:hAnsi="Arial" w:cs="Arial"/>
          <w:lang w:val="id-ID"/>
        </w:rPr>
        <w:t xml:space="preserve"> </w:t>
      </w:r>
      <w:r>
        <w:rPr>
          <w:rFonts w:ascii="Arial" w:hAnsi="Arial" w:cs="Arial"/>
          <w:b/>
          <w:bCs/>
          <w:lang w:val="id-ID" w:eastAsia="zh-CN"/>
        </w:rPr>
        <w:t>Simultaneous Test</w:t>
      </w:r>
    </w:p>
    <w:tbl>
      <w:tblPr>
        <w:tblW w:w="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3"/>
        <w:gridCol w:w="1406"/>
        <w:gridCol w:w="981"/>
      </w:tblGrid>
      <w:tr w:rsidR="00637D0A" w14:paraId="49EFD3E3" w14:textId="77777777">
        <w:trPr>
          <w:cantSplit/>
          <w:jc w:val="center"/>
        </w:trPr>
        <w:tc>
          <w:tcPr>
            <w:tcW w:w="4320" w:type="dxa"/>
            <w:gridSpan w:val="3"/>
            <w:tcBorders>
              <w:tl2br w:val="nil"/>
              <w:tr2bl w:val="nil"/>
            </w:tcBorders>
            <w:vAlign w:val="center"/>
          </w:tcPr>
          <w:p w14:paraId="65BE2073" w14:textId="77777777" w:rsidR="00637D0A" w:rsidRDefault="00441CE7">
            <w:pPr>
              <w:spacing w:line="320" w:lineRule="atLeast"/>
              <w:ind w:left="60" w:right="60"/>
              <w:jc w:val="center"/>
              <w:rPr>
                <w:rFonts w:ascii="Times New Roman" w:hAnsi="Times New Roman"/>
              </w:rPr>
            </w:pPr>
            <w:proofErr w:type="spellStart"/>
            <w:r>
              <w:rPr>
                <w:rFonts w:ascii="Times New Roman" w:hAnsi="Times New Roman"/>
                <w:b/>
              </w:rPr>
              <w:t>ANOVA</w:t>
            </w:r>
            <w:r>
              <w:rPr>
                <w:rFonts w:ascii="Times New Roman" w:hAnsi="Times New Roman"/>
                <w:b/>
                <w:vertAlign w:val="superscript"/>
              </w:rPr>
              <w:t>a</w:t>
            </w:r>
            <w:proofErr w:type="spellEnd"/>
          </w:p>
        </w:tc>
      </w:tr>
      <w:tr w:rsidR="00637D0A" w14:paraId="37AE07C4" w14:textId="77777777">
        <w:trPr>
          <w:cantSplit/>
          <w:jc w:val="center"/>
        </w:trPr>
        <w:tc>
          <w:tcPr>
            <w:tcW w:w="1933" w:type="dxa"/>
            <w:tcBorders>
              <w:tl2br w:val="nil"/>
              <w:tr2bl w:val="nil"/>
            </w:tcBorders>
            <w:vAlign w:val="bottom"/>
          </w:tcPr>
          <w:p w14:paraId="10A08BD3" w14:textId="77777777" w:rsidR="00637D0A" w:rsidRDefault="00441CE7">
            <w:pPr>
              <w:spacing w:line="320" w:lineRule="atLeast"/>
              <w:ind w:left="60" w:right="60"/>
              <w:rPr>
                <w:rFonts w:ascii="Times New Roman" w:hAnsi="Times New Roman"/>
              </w:rPr>
            </w:pPr>
            <w:r>
              <w:rPr>
                <w:rFonts w:ascii="Times New Roman" w:hAnsi="Times New Roman"/>
              </w:rPr>
              <w:t>Model</w:t>
            </w:r>
          </w:p>
        </w:tc>
        <w:tc>
          <w:tcPr>
            <w:tcW w:w="1406" w:type="dxa"/>
            <w:tcBorders>
              <w:tl2br w:val="nil"/>
              <w:tr2bl w:val="nil"/>
            </w:tcBorders>
            <w:vAlign w:val="bottom"/>
          </w:tcPr>
          <w:p w14:paraId="7A20E7C1" w14:textId="77777777" w:rsidR="00637D0A" w:rsidRDefault="00441CE7">
            <w:pPr>
              <w:spacing w:line="320" w:lineRule="atLeast"/>
              <w:ind w:left="60" w:right="60"/>
              <w:jc w:val="center"/>
              <w:rPr>
                <w:rFonts w:ascii="Times New Roman" w:hAnsi="Times New Roman"/>
              </w:rPr>
            </w:pPr>
            <w:r>
              <w:rPr>
                <w:rFonts w:ascii="Times New Roman" w:hAnsi="Times New Roman"/>
              </w:rPr>
              <w:t>Sum of Squares</w:t>
            </w:r>
          </w:p>
        </w:tc>
        <w:tc>
          <w:tcPr>
            <w:tcW w:w="981" w:type="dxa"/>
            <w:tcBorders>
              <w:tl2br w:val="nil"/>
              <w:tr2bl w:val="nil"/>
            </w:tcBorders>
            <w:vAlign w:val="bottom"/>
          </w:tcPr>
          <w:p w14:paraId="5B67C99A" w14:textId="77777777" w:rsidR="00637D0A" w:rsidRDefault="00441CE7">
            <w:pPr>
              <w:spacing w:line="320" w:lineRule="atLeast"/>
              <w:ind w:left="60" w:right="60"/>
              <w:jc w:val="center"/>
              <w:rPr>
                <w:rFonts w:ascii="Times New Roman" w:hAnsi="Times New Roman"/>
              </w:rPr>
            </w:pPr>
            <w:r>
              <w:rPr>
                <w:rFonts w:ascii="Times New Roman" w:hAnsi="Times New Roman"/>
              </w:rPr>
              <w:t>Sig.</w:t>
            </w:r>
          </w:p>
        </w:tc>
      </w:tr>
      <w:tr w:rsidR="00637D0A" w14:paraId="6791F31D" w14:textId="77777777">
        <w:trPr>
          <w:cantSplit/>
          <w:jc w:val="center"/>
        </w:trPr>
        <w:tc>
          <w:tcPr>
            <w:tcW w:w="1933" w:type="dxa"/>
            <w:tcBorders>
              <w:tl2br w:val="nil"/>
              <w:tr2bl w:val="nil"/>
            </w:tcBorders>
          </w:tcPr>
          <w:p w14:paraId="2A6CB67B" w14:textId="77777777" w:rsidR="00637D0A" w:rsidRDefault="00441CE7">
            <w:pPr>
              <w:spacing w:line="320" w:lineRule="atLeast"/>
              <w:ind w:left="60" w:right="60"/>
              <w:rPr>
                <w:rFonts w:ascii="Times New Roman" w:hAnsi="Times New Roman"/>
              </w:rPr>
            </w:pPr>
            <w:r>
              <w:rPr>
                <w:rFonts w:ascii="Times New Roman" w:hAnsi="Times New Roman"/>
              </w:rPr>
              <w:t>Regression</w:t>
            </w:r>
          </w:p>
        </w:tc>
        <w:tc>
          <w:tcPr>
            <w:tcW w:w="1406" w:type="dxa"/>
            <w:tcBorders>
              <w:tl2br w:val="nil"/>
              <w:tr2bl w:val="nil"/>
            </w:tcBorders>
          </w:tcPr>
          <w:p w14:paraId="27A16314"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38,713</w:t>
            </w:r>
          </w:p>
        </w:tc>
        <w:tc>
          <w:tcPr>
            <w:tcW w:w="981" w:type="dxa"/>
            <w:tcBorders>
              <w:tl2br w:val="nil"/>
              <w:tr2bl w:val="nil"/>
            </w:tcBorders>
          </w:tcPr>
          <w:p w14:paraId="7562BA4C" w14:textId="77777777" w:rsidR="00637D0A" w:rsidRDefault="00441CE7">
            <w:pPr>
              <w:spacing w:line="320" w:lineRule="atLeast"/>
              <w:ind w:left="60" w:right="60"/>
              <w:jc w:val="right"/>
              <w:rPr>
                <w:rFonts w:ascii="Times New Roman" w:hAnsi="Times New Roman"/>
              </w:rPr>
            </w:pPr>
            <w:r>
              <w:rPr>
                <w:rFonts w:ascii="Times New Roman" w:hAnsi="Times New Roman"/>
                <w:lang w:val="id-ID"/>
              </w:rPr>
              <w:t>&lt;</w:t>
            </w:r>
            <w:r>
              <w:rPr>
                <w:rFonts w:ascii="Times New Roman" w:hAnsi="Times New Roman"/>
              </w:rPr>
              <w:t>,00</w:t>
            </w:r>
            <w:r>
              <w:rPr>
                <w:rFonts w:ascii="Times New Roman" w:hAnsi="Times New Roman"/>
                <w:lang w:val="id-ID"/>
              </w:rPr>
              <w:t>1</w:t>
            </w:r>
            <w:r>
              <w:rPr>
                <w:rFonts w:ascii="Times New Roman" w:hAnsi="Times New Roman"/>
                <w:vertAlign w:val="superscript"/>
              </w:rPr>
              <w:t>b</w:t>
            </w:r>
          </w:p>
        </w:tc>
      </w:tr>
      <w:tr w:rsidR="00637D0A" w14:paraId="1F12B46E" w14:textId="77777777">
        <w:trPr>
          <w:cantSplit/>
          <w:jc w:val="center"/>
        </w:trPr>
        <w:tc>
          <w:tcPr>
            <w:tcW w:w="1933" w:type="dxa"/>
            <w:tcBorders>
              <w:tl2br w:val="nil"/>
              <w:tr2bl w:val="nil"/>
            </w:tcBorders>
          </w:tcPr>
          <w:p w14:paraId="652882F7" w14:textId="77777777" w:rsidR="00637D0A" w:rsidRDefault="00441CE7">
            <w:pPr>
              <w:spacing w:line="320" w:lineRule="atLeast"/>
              <w:ind w:left="60" w:right="60"/>
              <w:rPr>
                <w:rFonts w:ascii="Times New Roman" w:hAnsi="Times New Roman"/>
              </w:rPr>
            </w:pPr>
            <w:r>
              <w:rPr>
                <w:rFonts w:ascii="Times New Roman" w:hAnsi="Times New Roman"/>
              </w:rPr>
              <w:t>Residual</w:t>
            </w:r>
          </w:p>
        </w:tc>
        <w:tc>
          <w:tcPr>
            <w:tcW w:w="1406" w:type="dxa"/>
            <w:tcBorders>
              <w:tl2br w:val="nil"/>
              <w:tr2bl w:val="nil"/>
            </w:tcBorders>
          </w:tcPr>
          <w:p w14:paraId="5E3518FE"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19,193</w:t>
            </w:r>
          </w:p>
        </w:tc>
        <w:tc>
          <w:tcPr>
            <w:tcW w:w="981" w:type="dxa"/>
            <w:tcBorders>
              <w:tl2br w:val="nil"/>
              <w:tr2bl w:val="nil"/>
            </w:tcBorders>
            <w:vAlign w:val="center"/>
          </w:tcPr>
          <w:p w14:paraId="360CAB41" w14:textId="77777777" w:rsidR="00637D0A" w:rsidRDefault="00637D0A">
            <w:pPr>
              <w:rPr>
                <w:rFonts w:ascii="Times New Roman" w:hAnsi="Times New Roman"/>
              </w:rPr>
            </w:pPr>
          </w:p>
        </w:tc>
      </w:tr>
      <w:tr w:rsidR="00637D0A" w14:paraId="3B8D3870" w14:textId="77777777">
        <w:trPr>
          <w:cantSplit/>
          <w:jc w:val="center"/>
        </w:trPr>
        <w:tc>
          <w:tcPr>
            <w:tcW w:w="1933" w:type="dxa"/>
            <w:tcBorders>
              <w:tl2br w:val="nil"/>
              <w:tr2bl w:val="nil"/>
            </w:tcBorders>
          </w:tcPr>
          <w:p w14:paraId="2BA0B54E" w14:textId="77777777" w:rsidR="00637D0A" w:rsidRDefault="00441CE7">
            <w:pPr>
              <w:spacing w:line="320" w:lineRule="atLeast"/>
              <w:ind w:left="60" w:right="60"/>
              <w:rPr>
                <w:rFonts w:ascii="Times New Roman" w:hAnsi="Times New Roman"/>
              </w:rPr>
            </w:pPr>
            <w:r>
              <w:rPr>
                <w:rFonts w:ascii="Times New Roman" w:hAnsi="Times New Roman"/>
              </w:rPr>
              <w:t>Total</w:t>
            </w:r>
          </w:p>
        </w:tc>
        <w:tc>
          <w:tcPr>
            <w:tcW w:w="1406" w:type="dxa"/>
            <w:tcBorders>
              <w:tl2br w:val="nil"/>
              <w:tr2bl w:val="nil"/>
            </w:tcBorders>
          </w:tcPr>
          <w:p w14:paraId="4F5846E7" w14:textId="77777777" w:rsidR="00637D0A" w:rsidRDefault="00441CE7">
            <w:pPr>
              <w:spacing w:line="320" w:lineRule="atLeast"/>
              <w:ind w:left="60" w:right="60"/>
              <w:jc w:val="right"/>
              <w:rPr>
                <w:rFonts w:ascii="Times New Roman" w:hAnsi="Times New Roman"/>
                <w:lang w:val="id-ID"/>
              </w:rPr>
            </w:pPr>
            <w:r>
              <w:rPr>
                <w:rFonts w:ascii="Times New Roman" w:hAnsi="Times New Roman"/>
                <w:lang w:val="id-ID"/>
              </w:rPr>
              <w:t>57,906</w:t>
            </w:r>
          </w:p>
        </w:tc>
        <w:tc>
          <w:tcPr>
            <w:tcW w:w="981" w:type="dxa"/>
            <w:tcBorders>
              <w:tl2br w:val="nil"/>
              <w:tr2bl w:val="nil"/>
            </w:tcBorders>
            <w:vAlign w:val="center"/>
          </w:tcPr>
          <w:p w14:paraId="08A4F665" w14:textId="77777777" w:rsidR="00637D0A" w:rsidRDefault="00637D0A">
            <w:pPr>
              <w:rPr>
                <w:rFonts w:ascii="Times New Roman" w:hAnsi="Times New Roman"/>
              </w:rPr>
            </w:pPr>
          </w:p>
        </w:tc>
      </w:tr>
    </w:tbl>
    <w:p w14:paraId="33BAFFEC" w14:textId="77777777" w:rsidR="00637D0A" w:rsidRDefault="00637D0A">
      <w:pPr>
        <w:jc w:val="both"/>
        <w:rPr>
          <w:rFonts w:ascii="Arial" w:hAnsi="Arial" w:cs="Arial"/>
          <w:lang w:val="id-ID" w:eastAsia="zh-CN"/>
        </w:rPr>
      </w:pPr>
    </w:p>
    <w:p w14:paraId="27F8D568" w14:textId="77777777" w:rsidR="00637D0A" w:rsidRDefault="00441CE7">
      <w:pPr>
        <w:pStyle w:val="Body"/>
        <w:numPr>
          <w:ilvl w:val="1"/>
          <w:numId w:val="4"/>
        </w:numPr>
        <w:spacing w:after="0"/>
        <w:rPr>
          <w:rFonts w:ascii="Arial" w:hAnsi="Arial" w:cs="Arial"/>
          <w:b/>
          <w:bCs/>
          <w:lang w:val="id-ID"/>
        </w:rPr>
      </w:pPr>
      <w:r>
        <w:rPr>
          <w:rFonts w:ascii="Arial" w:hAnsi="Arial" w:cs="Arial"/>
          <w:b/>
          <w:bCs/>
          <w:lang w:val="id-ID"/>
        </w:rPr>
        <w:t>DISCUSSION</w:t>
      </w:r>
    </w:p>
    <w:p w14:paraId="101FB400" w14:textId="77777777" w:rsidR="00637D0A" w:rsidRDefault="00637D0A">
      <w:pPr>
        <w:pStyle w:val="Body"/>
        <w:spacing w:after="0"/>
        <w:rPr>
          <w:rFonts w:ascii="Arial" w:hAnsi="Arial" w:cs="Arial"/>
          <w:b/>
          <w:bCs/>
          <w:lang w:val="id-ID"/>
        </w:rPr>
      </w:pPr>
    </w:p>
    <w:p w14:paraId="2B4926D6" w14:textId="77777777" w:rsidR="00637D0A" w:rsidRDefault="00441CE7">
      <w:pPr>
        <w:numPr>
          <w:ilvl w:val="2"/>
          <w:numId w:val="4"/>
        </w:numPr>
        <w:jc w:val="both"/>
        <w:rPr>
          <w:rFonts w:ascii="Arial" w:hAnsi="Arial" w:cs="Arial"/>
          <w:b/>
          <w:bCs/>
          <w:u w:val="single"/>
        </w:rPr>
      </w:pPr>
      <w:r>
        <w:rPr>
          <w:rFonts w:ascii="Arial" w:hAnsi="Arial" w:cs="Arial"/>
          <w:b/>
          <w:bCs/>
          <w:u w:val="single"/>
        </w:rPr>
        <w:t>The Effect of Profitability on Firm Value</w:t>
      </w:r>
    </w:p>
    <w:p w14:paraId="3063BA7B" w14:textId="77777777" w:rsidR="00637D0A" w:rsidRDefault="00637D0A">
      <w:pPr>
        <w:jc w:val="both"/>
        <w:rPr>
          <w:rFonts w:ascii="Arial" w:hAnsi="Arial" w:cs="Arial"/>
          <w:b/>
          <w:bCs/>
          <w:u w:val="single"/>
        </w:rPr>
      </w:pPr>
    </w:p>
    <w:p w14:paraId="7CF5D93F" w14:textId="77777777" w:rsidR="00637D0A" w:rsidRDefault="00441CE7">
      <w:pPr>
        <w:jc w:val="both"/>
        <w:rPr>
          <w:rFonts w:ascii="Arial" w:hAnsi="Arial" w:cs="Arial"/>
        </w:rPr>
      </w:pPr>
      <w:r>
        <w:rPr>
          <w:rFonts w:ascii="Arial" w:hAnsi="Arial" w:cs="Arial"/>
        </w:rPr>
        <w:t>The research results show that profitability has a negative and significant effect on firm value. This indicates that high profitability is not always viewed positively by investors. Investors not only consider a company’s ability to generate profits but also assess how those profits are generated and their sustainability in the future. Companies with high profitability levels are perceived by investors as lacking investment in long-term growth and may reduce firm value (</w:t>
      </w:r>
      <w:proofErr w:type="spellStart"/>
      <w:r>
        <w:rPr>
          <w:rFonts w:ascii="Arial" w:hAnsi="Arial" w:cs="Arial"/>
        </w:rPr>
        <w:t>Hamdana</w:t>
      </w:r>
      <w:proofErr w:type="spellEnd"/>
      <w:r>
        <w:rPr>
          <w:rFonts w:ascii="Arial" w:hAnsi="Arial" w:cs="Arial"/>
        </w:rPr>
        <w:t>, 2024).</w:t>
      </w:r>
      <w:r>
        <w:rPr>
          <w:rFonts w:ascii="Arial" w:hAnsi="Arial" w:cs="Arial"/>
          <w:lang w:val="id-ID"/>
        </w:rPr>
        <w:t xml:space="preserve"> </w:t>
      </w:r>
      <w:r>
        <w:rPr>
          <w:rFonts w:ascii="Arial" w:hAnsi="Arial" w:cs="Arial"/>
        </w:rPr>
        <w:t xml:space="preserve">These findings align with research by </w:t>
      </w:r>
      <w:proofErr w:type="spellStart"/>
      <w:r>
        <w:rPr>
          <w:rFonts w:ascii="Arial" w:hAnsi="Arial" w:cs="Arial"/>
        </w:rPr>
        <w:t>Febriyanti</w:t>
      </w:r>
      <w:proofErr w:type="spellEnd"/>
      <w:r>
        <w:rPr>
          <w:rFonts w:ascii="Arial" w:hAnsi="Arial" w:cs="Arial"/>
        </w:rPr>
        <w:t xml:space="preserve"> et al. (2023), which showed that the profitability variable has a negative and significant effect on firm value. This is supported by research conducted by </w:t>
      </w:r>
      <w:proofErr w:type="spellStart"/>
      <w:r>
        <w:rPr>
          <w:rFonts w:ascii="Arial" w:hAnsi="Arial" w:cs="Arial"/>
        </w:rPr>
        <w:t>Ramadhania</w:t>
      </w:r>
      <w:proofErr w:type="spellEnd"/>
      <w:r>
        <w:rPr>
          <w:rFonts w:ascii="Arial" w:hAnsi="Arial" w:cs="Arial"/>
        </w:rPr>
        <w:t xml:space="preserve"> et al. (2025), where the profitability variable was found to have a negative and significant effect on firm value.</w:t>
      </w:r>
    </w:p>
    <w:p w14:paraId="7E9C3A8C" w14:textId="77777777" w:rsidR="00637D0A" w:rsidRDefault="00637D0A">
      <w:pPr>
        <w:jc w:val="both"/>
        <w:rPr>
          <w:rFonts w:ascii="Arial" w:hAnsi="Arial" w:cs="Arial"/>
        </w:rPr>
      </w:pPr>
    </w:p>
    <w:p w14:paraId="4A7F0605" w14:textId="77777777" w:rsidR="00637D0A" w:rsidRDefault="00441CE7">
      <w:pPr>
        <w:jc w:val="both"/>
        <w:rPr>
          <w:rFonts w:ascii="Arial" w:hAnsi="Arial" w:cs="Arial"/>
          <w:b/>
          <w:bCs/>
          <w:u w:val="single"/>
        </w:rPr>
      </w:pPr>
      <w:r>
        <w:rPr>
          <w:rFonts w:ascii="Arial" w:hAnsi="Arial" w:cs="Arial"/>
          <w:b/>
          <w:bCs/>
          <w:u w:val="single"/>
          <w:lang w:val="id-ID"/>
        </w:rPr>
        <w:t>3.2.2</w:t>
      </w:r>
      <w:r>
        <w:rPr>
          <w:rFonts w:ascii="Arial" w:hAnsi="Arial" w:cs="Arial"/>
          <w:b/>
          <w:bCs/>
          <w:u w:val="single"/>
        </w:rPr>
        <w:t>The Effect of Liquidity on Firm Value</w:t>
      </w:r>
    </w:p>
    <w:p w14:paraId="0616BCB8" w14:textId="77777777" w:rsidR="00637D0A" w:rsidRDefault="00637D0A">
      <w:pPr>
        <w:jc w:val="both"/>
        <w:rPr>
          <w:rFonts w:ascii="Arial" w:hAnsi="Arial" w:cs="Arial"/>
          <w:b/>
          <w:bCs/>
          <w:u w:val="single"/>
        </w:rPr>
      </w:pPr>
    </w:p>
    <w:p w14:paraId="31529C96" w14:textId="77777777" w:rsidR="00637D0A" w:rsidRDefault="00441CE7">
      <w:pPr>
        <w:jc w:val="both"/>
        <w:rPr>
          <w:rFonts w:ascii="Arial" w:hAnsi="Arial" w:cs="Arial"/>
        </w:rPr>
      </w:pPr>
      <w:r>
        <w:rPr>
          <w:rFonts w:ascii="Arial" w:hAnsi="Arial" w:cs="Arial"/>
        </w:rPr>
        <w:t>The research results indicate that liquidity has a positive and significant effect on firm value. These findings align with signaling theory, which suggests that a company’s ability to meet short-term obligations sends a positive signal to investors. Capital obtained by the company from investors can be used to enhance operational efficiency, thereby increasing profits (Tampubolon &amp; Putra, 2024). Increased investor interest in the company leads to rising stock prices, where higher stock prices reflect an increase in firm value.</w:t>
      </w:r>
      <w:r>
        <w:rPr>
          <w:rFonts w:ascii="Arial" w:hAnsi="Arial" w:cs="Arial"/>
          <w:lang w:val="id-ID"/>
        </w:rPr>
        <w:t xml:space="preserve"> </w:t>
      </w:r>
      <w:r>
        <w:rPr>
          <w:rFonts w:ascii="Arial" w:hAnsi="Arial" w:cs="Arial"/>
        </w:rPr>
        <w:t xml:space="preserve">These findings align with the research conducted by </w:t>
      </w:r>
      <w:proofErr w:type="spellStart"/>
      <w:r>
        <w:rPr>
          <w:rFonts w:ascii="Arial" w:hAnsi="Arial" w:cs="Arial"/>
        </w:rPr>
        <w:t>Apsari</w:t>
      </w:r>
      <w:proofErr w:type="spellEnd"/>
      <w:r>
        <w:rPr>
          <w:rFonts w:ascii="Arial" w:hAnsi="Arial" w:cs="Arial"/>
        </w:rPr>
        <w:t xml:space="preserve"> &amp; </w:t>
      </w:r>
      <w:proofErr w:type="spellStart"/>
      <w:r>
        <w:rPr>
          <w:rFonts w:ascii="Arial" w:hAnsi="Arial" w:cs="Arial"/>
        </w:rPr>
        <w:t>Yulianthi</w:t>
      </w:r>
      <w:proofErr w:type="spellEnd"/>
      <w:r>
        <w:rPr>
          <w:rFonts w:ascii="Arial" w:hAnsi="Arial" w:cs="Arial"/>
        </w:rPr>
        <w:t xml:space="preserve"> (2023), which states that liquidity has a positive and significant effect on firm value. In line with the results of research conducted by </w:t>
      </w:r>
      <w:proofErr w:type="spellStart"/>
      <w:r>
        <w:rPr>
          <w:rFonts w:ascii="Arial" w:hAnsi="Arial" w:cs="Arial"/>
        </w:rPr>
        <w:t>Mar’aqonitatillah</w:t>
      </w:r>
      <w:proofErr w:type="spellEnd"/>
      <w:r>
        <w:rPr>
          <w:rFonts w:ascii="Arial" w:hAnsi="Arial" w:cs="Arial"/>
        </w:rPr>
        <w:t xml:space="preserve"> &amp; </w:t>
      </w:r>
      <w:proofErr w:type="spellStart"/>
      <w:r>
        <w:rPr>
          <w:rFonts w:ascii="Arial" w:hAnsi="Arial" w:cs="Arial"/>
        </w:rPr>
        <w:t>Setiyono</w:t>
      </w:r>
      <w:proofErr w:type="spellEnd"/>
      <w:r>
        <w:rPr>
          <w:rFonts w:ascii="Arial" w:hAnsi="Arial" w:cs="Arial"/>
        </w:rPr>
        <w:t xml:space="preserve"> (2024), liquidity has a positive and significant effect on firm value. Furthermore, these findings are supported by Sarma &amp; </w:t>
      </w:r>
      <w:proofErr w:type="spellStart"/>
      <w:r>
        <w:rPr>
          <w:rFonts w:ascii="Arial" w:hAnsi="Arial" w:cs="Arial"/>
        </w:rPr>
        <w:t>Handayani</w:t>
      </w:r>
      <w:proofErr w:type="spellEnd"/>
      <w:r>
        <w:rPr>
          <w:rFonts w:ascii="Arial" w:hAnsi="Arial" w:cs="Arial"/>
        </w:rPr>
        <w:t xml:space="preserve"> (2025), who also found that liquidity has a positive and significant effect on firm value.</w:t>
      </w:r>
    </w:p>
    <w:p w14:paraId="494DF3BE" w14:textId="77777777" w:rsidR="00637D0A" w:rsidRDefault="00637D0A">
      <w:pPr>
        <w:jc w:val="both"/>
        <w:rPr>
          <w:rFonts w:ascii="Arial" w:hAnsi="Arial" w:cs="Arial"/>
        </w:rPr>
      </w:pPr>
    </w:p>
    <w:p w14:paraId="4E8CA447" w14:textId="77777777" w:rsidR="00637D0A" w:rsidRDefault="00441CE7">
      <w:pPr>
        <w:jc w:val="both"/>
        <w:rPr>
          <w:rFonts w:ascii="Arial" w:hAnsi="Arial" w:cs="Arial"/>
          <w:b/>
          <w:bCs/>
          <w:u w:val="single"/>
        </w:rPr>
      </w:pPr>
      <w:r>
        <w:rPr>
          <w:rFonts w:ascii="Arial" w:hAnsi="Arial" w:cs="Arial"/>
          <w:b/>
          <w:bCs/>
          <w:u w:val="single"/>
          <w:lang w:val="id-ID"/>
        </w:rPr>
        <w:t xml:space="preserve">3.2.3 </w:t>
      </w:r>
      <w:r>
        <w:rPr>
          <w:rFonts w:ascii="Arial" w:hAnsi="Arial" w:cs="Arial"/>
          <w:b/>
          <w:bCs/>
          <w:u w:val="single"/>
        </w:rPr>
        <w:t>The Effect of Firm Size on Firm Value</w:t>
      </w:r>
    </w:p>
    <w:p w14:paraId="048712FC" w14:textId="77777777" w:rsidR="00637D0A" w:rsidRDefault="00637D0A">
      <w:pPr>
        <w:jc w:val="both"/>
        <w:rPr>
          <w:rFonts w:ascii="Arial" w:hAnsi="Arial" w:cs="Arial"/>
          <w:b/>
          <w:bCs/>
          <w:u w:val="single"/>
        </w:rPr>
      </w:pPr>
    </w:p>
    <w:p w14:paraId="4CF00332" w14:textId="77777777" w:rsidR="00637D0A" w:rsidRDefault="00441CE7">
      <w:pPr>
        <w:jc w:val="both"/>
        <w:rPr>
          <w:rFonts w:ascii="Arial" w:hAnsi="Arial" w:cs="Arial"/>
        </w:rPr>
      </w:pPr>
      <w:r>
        <w:rPr>
          <w:rFonts w:ascii="Arial" w:hAnsi="Arial" w:cs="Arial"/>
        </w:rPr>
        <w:t>The results of the study indicate that company size does not have a significant effect on</w:t>
      </w:r>
      <w:r>
        <w:rPr>
          <w:rFonts w:ascii="Arial" w:hAnsi="Arial" w:cs="Arial"/>
          <w:lang w:val="id-ID"/>
        </w:rPr>
        <w:t xml:space="preserve"> firm value</w:t>
      </w:r>
      <w:r>
        <w:rPr>
          <w:rFonts w:ascii="Arial" w:hAnsi="Arial" w:cs="Arial"/>
        </w:rPr>
        <w:t>. This suggests that the size of a company is not yet a primary consideration for investors when evaluating a company. Investors tend to focus more on the stability of financial performance as reflected in financial statements before investing in the company (Alfian &amp; Susilo, 2024).  Large companies have high operational and asset management costs, so they may not necessarily be able to achieve the efficiencies needed to increase corporate value.</w:t>
      </w:r>
      <w:r>
        <w:rPr>
          <w:rFonts w:ascii="Arial" w:hAnsi="Arial" w:cs="Arial"/>
          <w:lang w:val="id-ID"/>
        </w:rPr>
        <w:t xml:space="preserve"> </w:t>
      </w:r>
      <w:r>
        <w:rPr>
          <w:rFonts w:ascii="Arial" w:hAnsi="Arial" w:cs="Arial"/>
        </w:rPr>
        <w:t xml:space="preserve">These findings align with the research conducted by Ratana &amp; Hermanto (2023), which showed that firm size has a negative but insignificant effect on firm value. This is supported by the findings of </w:t>
      </w:r>
      <w:proofErr w:type="spellStart"/>
      <w:r>
        <w:rPr>
          <w:rFonts w:ascii="Arial" w:hAnsi="Arial" w:cs="Arial"/>
        </w:rPr>
        <w:t>Kalbuana</w:t>
      </w:r>
      <w:proofErr w:type="spellEnd"/>
      <w:r>
        <w:rPr>
          <w:rFonts w:ascii="Arial" w:hAnsi="Arial" w:cs="Arial"/>
        </w:rPr>
        <w:t xml:space="preserve"> et al. (2021), where firm size was found to have a negative but insignificant effect on firm value.</w:t>
      </w:r>
    </w:p>
    <w:p w14:paraId="2EB7711A" w14:textId="77777777" w:rsidR="00637D0A" w:rsidRDefault="00637D0A">
      <w:pPr>
        <w:jc w:val="both"/>
        <w:rPr>
          <w:rFonts w:ascii="Arial" w:hAnsi="Arial" w:cs="Arial"/>
        </w:rPr>
      </w:pPr>
    </w:p>
    <w:p w14:paraId="4E7AC76A" w14:textId="77777777" w:rsidR="00637D0A" w:rsidRDefault="00637D0A">
      <w:pPr>
        <w:jc w:val="both"/>
        <w:rPr>
          <w:rFonts w:ascii="Arial" w:hAnsi="Arial" w:cs="Arial"/>
        </w:rPr>
      </w:pPr>
    </w:p>
    <w:p w14:paraId="57410699" w14:textId="77777777" w:rsidR="00637D0A" w:rsidRDefault="00637D0A">
      <w:pPr>
        <w:jc w:val="both"/>
        <w:rPr>
          <w:rFonts w:ascii="Arial" w:hAnsi="Arial" w:cs="Arial"/>
        </w:rPr>
      </w:pPr>
    </w:p>
    <w:p w14:paraId="74A6F44B" w14:textId="77777777" w:rsidR="00637D0A" w:rsidRDefault="00441CE7">
      <w:pPr>
        <w:jc w:val="both"/>
        <w:rPr>
          <w:rFonts w:ascii="Arial" w:hAnsi="Arial" w:cs="Arial"/>
          <w:b/>
          <w:bCs/>
          <w:u w:val="single"/>
        </w:rPr>
      </w:pPr>
      <w:r>
        <w:rPr>
          <w:rFonts w:ascii="Arial" w:hAnsi="Arial" w:cs="Arial"/>
          <w:b/>
          <w:bCs/>
          <w:u w:val="single"/>
          <w:lang w:val="id-ID"/>
        </w:rPr>
        <w:t xml:space="preserve">3.2.4 </w:t>
      </w:r>
      <w:r>
        <w:rPr>
          <w:rFonts w:ascii="Arial" w:hAnsi="Arial" w:cs="Arial"/>
          <w:b/>
          <w:bCs/>
          <w:u w:val="single"/>
        </w:rPr>
        <w:t xml:space="preserve">The Effect of Profitability on </w:t>
      </w:r>
      <w:r>
        <w:rPr>
          <w:rFonts w:ascii="Arial" w:hAnsi="Arial" w:cs="Arial"/>
          <w:b/>
          <w:bCs/>
          <w:u w:val="single"/>
          <w:lang w:val="id-ID"/>
        </w:rPr>
        <w:t>Firm Value</w:t>
      </w:r>
      <w:r>
        <w:rPr>
          <w:rFonts w:ascii="Arial" w:hAnsi="Arial" w:cs="Arial"/>
          <w:b/>
          <w:bCs/>
          <w:u w:val="single"/>
        </w:rPr>
        <w:t xml:space="preserve"> with Dividend Policy as a Moderating Variable</w:t>
      </w:r>
    </w:p>
    <w:p w14:paraId="43F6E3D9" w14:textId="77777777" w:rsidR="00637D0A" w:rsidRDefault="00637D0A">
      <w:pPr>
        <w:jc w:val="both"/>
        <w:rPr>
          <w:rFonts w:ascii="Arial" w:hAnsi="Arial" w:cs="Arial"/>
          <w:b/>
          <w:bCs/>
          <w:u w:val="single"/>
        </w:rPr>
      </w:pPr>
    </w:p>
    <w:p w14:paraId="718FC662" w14:textId="77777777" w:rsidR="00637D0A" w:rsidRDefault="00441CE7">
      <w:pPr>
        <w:jc w:val="both"/>
        <w:rPr>
          <w:rFonts w:ascii="Arial" w:hAnsi="Arial" w:cs="Arial"/>
        </w:rPr>
      </w:pPr>
      <w:r>
        <w:rPr>
          <w:rFonts w:ascii="Arial" w:hAnsi="Arial" w:cs="Arial"/>
        </w:rPr>
        <w:t>The results of the MRA test indicate that dividend policy does not moderate the relationship between profitability and firm value. This suggests that investors do not consider dividend payouts as a primary factor in assessing the relationship between a firm’s ability to generate profits and an increase in firm value. Investors tend to focus on the firm’s growth potential and operational performance rather than dividend payouts (Ivani &amp; Efendi, 2024).</w:t>
      </w:r>
      <w:r>
        <w:rPr>
          <w:rFonts w:ascii="Arial" w:hAnsi="Arial" w:cs="Arial"/>
          <w:lang w:val="id-ID"/>
        </w:rPr>
        <w:t xml:space="preserve"> </w:t>
      </w:r>
      <w:r>
        <w:rPr>
          <w:rFonts w:ascii="Arial" w:hAnsi="Arial" w:cs="Arial"/>
        </w:rPr>
        <w:t xml:space="preserve">These findings align with the research conducted by </w:t>
      </w:r>
      <w:proofErr w:type="spellStart"/>
      <w:r>
        <w:rPr>
          <w:rFonts w:ascii="Arial" w:hAnsi="Arial" w:cs="Arial"/>
        </w:rPr>
        <w:t>Nugraha</w:t>
      </w:r>
      <w:proofErr w:type="spellEnd"/>
      <w:r>
        <w:rPr>
          <w:rFonts w:ascii="Arial" w:hAnsi="Arial" w:cs="Arial"/>
        </w:rPr>
        <w:t xml:space="preserve"> et al. (2020), which showed that dividend policy cannot moderate the relationship between profitability and firm value. Consistent with the findings of the study conducted by </w:t>
      </w:r>
      <w:proofErr w:type="spellStart"/>
      <w:r>
        <w:rPr>
          <w:rFonts w:ascii="Arial" w:hAnsi="Arial" w:cs="Arial"/>
        </w:rPr>
        <w:t>Budiasih</w:t>
      </w:r>
      <w:proofErr w:type="spellEnd"/>
      <w:r>
        <w:rPr>
          <w:rFonts w:ascii="Arial" w:hAnsi="Arial" w:cs="Arial"/>
        </w:rPr>
        <w:t xml:space="preserve"> et al. (2023), which indicated that dividend policy cannot moderate the relationship between profitability and firm value.</w:t>
      </w:r>
    </w:p>
    <w:p w14:paraId="33BA938A" w14:textId="77777777" w:rsidR="00637D0A" w:rsidRDefault="00637D0A">
      <w:pPr>
        <w:jc w:val="both"/>
        <w:rPr>
          <w:rFonts w:ascii="Arial" w:hAnsi="Arial" w:cs="Arial"/>
        </w:rPr>
      </w:pPr>
    </w:p>
    <w:p w14:paraId="17BAEB61" w14:textId="77777777" w:rsidR="00637D0A" w:rsidRDefault="00441CE7">
      <w:pPr>
        <w:jc w:val="both"/>
        <w:rPr>
          <w:rFonts w:ascii="Arial" w:hAnsi="Arial" w:cs="Arial"/>
          <w:b/>
          <w:bCs/>
          <w:u w:val="single"/>
        </w:rPr>
      </w:pPr>
      <w:r>
        <w:rPr>
          <w:rFonts w:ascii="Arial" w:hAnsi="Arial" w:cs="Arial"/>
          <w:b/>
          <w:bCs/>
          <w:u w:val="single"/>
          <w:lang w:val="id-ID"/>
        </w:rPr>
        <w:t xml:space="preserve">3.2.5 </w:t>
      </w:r>
      <w:r>
        <w:rPr>
          <w:rFonts w:ascii="Arial" w:hAnsi="Arial" w:cs="Arial"/>
          <w:b/>
          <w:bCs/>
          <w:u w:val="single"/>
        </w:rPr>
        <w:t>The Effect of Liquidity on Firm Value with Dividend Policy as a Moderating Variable</w:t>
      </w:r>
    </w:p>
    <w:p w14:paraId="78E49E55" w14:textId="77777777" w:rsidR="00637D0A" w:rsidRDefault="00637D0A">
      <w:pPr>
        <w:jc w:val="both"/>
        <w:rPr>
          <w:rFonts w:ascii="Arial" w:hAnsi="Arial" w:cs="Arial"/>
          <w:b/>
          <w:bCs/>
          <w:u w:val="single"/>
        </w:rPr>
      </w:pPr>
    </w:p>
    <w:p w14:paraId="759B289F" w14:textId="77777777" w:rsidR="00637D0A" w:rsidRDefault="00441CE7">
      <w:pPr>
        <w:jc w:val="both"/>
        <w:rPr>
          <w:rFonts w:ascii="Arial" w:hAnsi="Arial" w:cs="Arial"/>
        </w:rPr>
      </w:pPr>
      <w:r>
        <w:rPr>
          <w:rFonts w:ascii="Arial" w:hAnsi="Arial" w:cs="Arial"/>
        </w:rPr>
        <w:t>The results of this study indicate that dividend policy cannot moderate the effect of liquidity on firm value. This means that a company’s policy of distributing dividends cannot increase firm value when liquidity is high. This is because high liquidity levels do not necessarily reflect that the company is in good condition.</w:t>
      </w:r>
      <w:r>
        <w:rPr>
          <w:rFonts w:ascii="Arial" w:hAnsi="Arial" w:cs="Arial"/>
          <w:lang w:val="id-ID"/>
        </w:rPr>
        <w:t xml:space="preserve"> </w:t>
      </w:r>
      <w:r>
        <w:rPr>
          <w:rFonts w:ascii="Arial" w:hAnsi="Arial" w:cs="Arial"/>
        </w:rPr>
        <w:t xml:space="preserve">These findings are supported by previous research conducted by Arifin and Fitriana (2021), which stated that dividend policy cannot moderate the effect of liquidity on firm value. This aligns with the study by </w:t>
      </w:r>
      <w:proofErr w:type="spellStart"/>
      <w:r>
        <w:rPr>
          <w:rFonts w:ascii="Arial" w:hAnsi="Arial" w:cs="Arial"/>
        </w:rPr>
        <w:t>Nugraha</w:t>
      </w:r>
      <w:proofErr w:type="spellEnd"/>
      <w:r>
        <w:rPr>
          <w:rFonts w:ascii="Arial" w:hAnsi="Arial" w:cs="Arial"/>
        </w:rPr>
        <w:t xml:space="preserve"> et al. (2020), which showed that dividend policy cannot moderate the relationship between liquidity and firm value.</w:t>
      </w:r>
    </w:p>
    <w:p w14:paraId="5C7264CE" w14:textId="77777777" w:rsidR="00637D0A" w:rsidRDefault="00637D0A">
      <w:pPr>
        <w:jc w:val="both"/>
        <w:rPr>
          <w:rFonts w:ascii="Arial" w:hAnsi="Arial" w:cs="Arial"/>
        </w:rPr>
      </w:pPr>
    </w:p>
    <w:p w14:paraId="2B921538" w14:textId="77777777" w:rsidR="00637D0A" w:rsidRDefault="00441CE7">
      <w:pPr>
        <w:jc w:val="both"/>
        <w:rPr>
          <w:rFonts w:ascii="Arial" w:hAnsi="Arial" w:cs="Arial"/>
          <w:b/>
          <w:bCs/>
          <w:u w:val="single"/>
        </w:rPr>
      </w:pPr>
      <w:r>
        <w:rPr>
          <w:rFonts w:ascii="Arial" w:hAnsi="Arial" w:cs="Arial"/>
          <w:b/>
          <w:bCs/>
          <w:u w:val="single"/>
          <w:lang w:val="id-ID"/>
        </w:rPr>
        <w:t xml:space="preserve">3.2.6 </w:t>
      </w:r>
      <w:r>
        <w:rPr>
          <w:rFonts w:ascii="Arial" w:hAnsi="Arial" w:cs="Arial"/>
          <w:b/>
          <w:bCs/>
          <w:u w:val="single"/>
        </w:rPr>
        <w:t xml:space="preserve">The Effect of </w:t>
      </w:r>
      <w:r>
        <w:rPr>
          <w:rFonts w:ascii="Arial" w:hAnsi="Arial" w:cs="Arial"/>
          <w:b/>
          <w:bCs/>
          <w:u w:val="single"/>
          <w:lang w:val="id-ID"/>
        </w:rPr>
        <w:t>Company Size</w:t>
      </w:r>
      <w:r>
        <w:rPr>
          <w:rFonts w:ascii="Arial" w:hAnsi="Arial" w:cs="Arial"/>
          <w:b/>
          <w:bCs/>
          <w:u w:val="single"/>
        </w:rPr>
        <w:t xml:space="preserve"> on Firm Value with Dividend Policy as a Moderating Variable</w:t>
      </w:r>
    </w:p>
    <w:p w14:paraId="1E44CBC7" w14:textId="77777777" w:rsidR="00637D0A" w:rsidRDefault="00637D0A">
      <w:pPr>
        <w:jc w:val="both"/>
        <w:rPr>
          <w:rFonts w:ascii="Arial" w:hAnsi="Arial" w:cs="Arial"/>
          <w:b/>
          <w:bCs/>
          <w:u w:val="single"/>
        </w:rPr>
      </w:pPr>
    </w:p>
    <w:p w14:paraId="504A613E" w14:textId="77777777" w:rsidR="00637D0A" w:rsidRDefault="00441CE7">
      <w:pPr>
        <w:jc w:val="both"/>
        <w:rPr>
          <w:rFonts w:ascii="Arial" w:hAnsi="Arial" w:cs="Arial"/>
        </w:rPr>
      </w:pPr>
      <w:r>
        <w:rPr>
          <w:rFonts w:ascii="Arial" w:hAnsi="Arial" w:cs="Arial"/>
        </w:rPr>
        <w:t>The results of this study indicate that dividend policy cannot moderate the relationship between firm size and firm value. This suggests that the size of a firm’s total assets does not necessarily increase firm value, even if the firm distributes dividends to shareholders. In this context, firms prioritize expansion to foster innovation over enhancing shareholder welfare (Rahmawati et al., 2023).</w:t>
      </w:r>
      <w:r>
        <w:rPr>
          <w:rFonts w:ascii="Arial" w:hAnsi="Arial" w:cs="Arial"/>
          <w:lang w:val="id-ID"/>
        </w:rPr>
        <w:t xml:space="preserve"> </w:t>
      </w:r>
      <w:r>
        <w:rPr>
          <w:rFonts w:ascii="Arial" w:hAnsi="Arial" w:cs="Arial"/>
        </w:rPr>
        <w:t xml:space="preserve">These findings align with the research conducted by Aldi et al. (2020), which showed that dividend policy cannot moderate the relationship between firm size and firm value. This is supported by the findings of </w:t>
      </w:r>
      <w:proofErr w:type="spellStart"/>
      <w:r>
        <w:rPr>
          <w:rFonts w:ascii="Arial" w:hAnsi="Arial" w:cs="Arial"/>
        </w:rPr>
        <w:t>Nofika</w:t>
      </w:r>
      <w:proofErr w:type="spellEnd"/>
      <w:r>
        <w:rPr>
          <w:rFonts w:ascii="Arial" w:hAnsi="Arial" w:cs="Arial"/>
        </w:rPr>
        <w:t xml:space="preserve"> &amp; Nurhayati (2022), which also indicate that dividend policy cannot moderate the relationship between firm size and firm value.</w:t>
      </w:r>
    </w:p>
    <w:p w14:paraId="50815A18" w14:textId="77777777" w:rsidR="00637D0A" w:rsidRDefault="00637D0A">
      <w:pPr>
        <w:pStyle w:val="Body"/>
        <w:spacing w:after="0"/>
        <w:rPr>
          <w:rFonts w:ascii="Arial" w:hAnsi="Arial" w:cs="Arial"/>
          <w:b/>
          <w:bCs/>
          <w:lang w:val="id-ID"/>
        </w:rPr>
      </w:pPr>
    </w:p>
    <w:p w14:paraId="0D6A2B01" w14:textId="77777777" w:rsidR="00637D0A" w:rsidRDefault="00441CE7">
      <w:pPr>
        <w:pStyle w:val="ConcHead"/>
        <w:spacing w:after="0"/>
        <w:jc w:val="both"/>
        <w:rPr>
          <w:rFonts w:ascii="Arial" w:hAnsi="Arial" w:cs="Arial"/>
        </w:rPr>
      </w:pPr>
      <w:r>
        <w:rPr>
          <w:rFonts w:ascii="Arial" w:hAnsi="Arial" w:cs="Arial"/>
        </w:rPr>
        <w:t>4. Conclusion</w:t>
      </w:r>
    </w:p>
    <w:p w14:paraId="3D008880" w14:textId="77777777" w:rsidR="00637D0A" w:rsidRDefault="00637D0A">
      <w:pPr>
        <w:pStyle w:val="ConcHead"/>
        <w:spacing w:after="0"/>
        <w:jc w:val="both"/>
        <w:rPr>
          <w:rFonts w:ascii="Arial" w:hAnsi="Arial" w:cs="Arial"/>
        </w:rPr>
      </w:pPr>
    </w:p>
    <w:p w14:paraId="588166BF" w14:textId="77777777" w:rsidR="00637D0A" w:rsidRDefault="00441CE7">
      <w:pPr>
        <w:jc w:val="both"/>
        <w:rPr>
          <w:rFonts w:ascii="Arial" w:hAnsi="Arial" w:cs="Arial"/>
          <w:sz w:val="21"/>
          <w:szCs w:val="21"/>
        </w:rPr>
      </w:pPr>
      <w:r>
        <w:rPr>
          <w:rFonts w:ascii="Arial" w:hAnsi="Arial" w:cs="Arial"/>
          <w:sz w:val="21"/>
          <w:szCs w:val="21"/>
        </w:rPr>
        <w:t>Based on the results of the study, it is concluded that profitability has a significant negative effect on firm value, liquidity has a significant positive effect on firm value, and firm size has no significant effect on firm value. Dividend policy does not moderate the relationship between profitability, liquidity, and firm size on firm value.</w:t>
      </w:r>
    </w:p>
    <w:p w14:paraId="774F9BD4" w14:textId="77777777" w:rsidR="00637D0A" w:rsidRDefault="00637D0A">
      <w:pPr>
        <w:jc w:val="both"/>
        <w:rPr>
          <w:rFonts w:ascii="Arial" w:hAnsi="Arial" w:cs="Arial"/>
          <w:sz w:val="21"/>
          <w:szCs w:val="21"/>
        </w:rPr>
      </w:pPr>
    </w:p>
    <w:p w14:paraId="441A0A2D" w14:textId="77777777" w:rsidR="00637D0A" w:rsidRDefault="00441CE7">
      <w:pPr>
        <w:pStyle w:val="ReferHead"/>
        <w:spacing w:after="0"/>
        <w:jc w:val="both"/>
        <w:rPr>
          <w:rFonts w:ascii="Arial" w:hAnsi="Arial" w:cs="Arial"/>
        </w:rPr>
      </w:pPr>
      <w:r>
        <w:rPr>
          <w:rFonts w:ascii="Arial" w:hAnsi="Arial" w:cs="Arial"/>
        </w:rPr>
        <w:t>References</w:t>
      </w:r>
    </w:p>
    <w:p w14:paraId="36054B6C" w14:textId="77777777" w:rsidR="00637D0A" w:rsidRDefault="00637D0A">
      <w:pPr>
        <w:pStyle w:val="ReferHead"/>
        <w:spacing w:after="0"/>
        <w:jc w:val="both"/>
        <w:rPr>
          <w:rFonts w:ascii="Arial" w:hAnsi="Arial" w:cs="Arial"/>
        </w:rPr>
      </w:pPr>
    </w:p>
    <w:p w14:paraId="042B375E" w14:textId="77777777" w:rsidR="00637D0A" w:rsidRDefault="00441CE7">
      <w:pPr>
        <w:jc w:val="both"/>
        <w:rPr>
          <w:rFonts w:ascii="Arial" w:hAnsi="Arial" w:cs="Arial"/>
        </w:rPr>
      </w:pPr>
      <w:r>
        <w:rPr>
          <w:rFonts w:ascii="Arial" w:hAnsi="Arial" w:cs="Arial"/>
        </w:rPr>
        <w:t xml:space="preserve">Aldi, M. F., Erlina, E., &amp; Amalia, K. (2020). The Effect of Firm Size, Leverage, Profitability, </w:t>
      </w:r>
      <w:r>
        <w:rPr>
          <w:rFonts w:ascii="Arial" w:hAnsi="Arial" w:cs="Arial"/>
          <w:lang w:val="id-ID"/>
        </w:rPr>
        <w:tab/>
      </w:r>
      <w:r>
        <w:rPr>
          <w:rFonts w:ascii="Arial" w:hAnsi="Arial" w:cs="Arial"/>
        </w:rPr>
        <w:t xml:space="preserve">and Liquidity on Firm Value with as a Moderating Variable in Consumer Goods </w:t>
      </w:r>
      <w:r>
        <w:rPr>
          <w:rFonts w:ascii="Arial" w:hAnsi="Arial" w:cs="Arial"/>
          <w:lang w:val="id-ID"/>
        </w:rPr>
        <w:lastRenderedPageBreak/>
        <w:tab/>
      </w:r>
      <w:r>
        <w:rPr>
          <w:rFonts w:ascii="Arial" w:hAnsi="Arial" w:cs="Arial"/>
        </w:rPr>
        <w:t xml:space="preserve">Companies Listed on the IDX for the Period 2007–2018. Journal of Social Sciences </w:t>
      </w:r>
      <w:r>
        <w:rPr>
          <w:rFonts w:ascii="Arial" w:hAnsi="Arial" w:cs="Arial"/>
          <w:lang w:val="id-ID"/>
        </w:rPr>
        <w:tab/>
      </w:r>
      <w:r>
        <w:rPr>
          <w:rFonts w:ascii="Arial" w:hAnsi="Arial" w:cs="Arial"/>
        </w:rPr>
        <w:t>and Humanities, 4(1), 264–276.</w:t>
      </w:r>
    </w:p>
    <w:p w14:paraId="08F7CF6B" w14:textId="77777777" w:rsidR="00637D0A" w:rsidRDefault="00441CE7">
      <w:pPr>
        <w:jc w:val="both"/>
        <w:rPr>
          <w:rFonts w:ascii="Arial" w:hAnsi="Arial" w:cs="Arial"/>
        </w:rPr>
      </w:pPr>
      <w:proofErr w:type="spellStart"/>
      <w:r>
        <w:rPr>
          <w:rFonts w:ascii="Arial" w:hAnsi="Arial" w:cs="Arial"/>
        </w:rPr>
        <w:t>Apsari</w:t>
      </w:r>
      <w:proofErr w:type="spellEnd"/>
      <w:r>
        <w:rPr>
          <w:rFonts w:ascii="Arial" w:hAnsi="Arial" w:cs="Arial"/>
        </w:rPr>
        <w:t xml:space="preserve">, N. L. P. Y. W., &amp; </w:t>
      </w:r>
      <w:proofErr w:type="spellStart"/>
      <w:r>
        <w:rPr>
          <w:rFonts w:ascii="Arial" w:hAnsi="Arial" w:cs="Arial"/>
        </w:rPr>
        <w:t>Yudiatmaja</w:t>
      </w:r>
      <w:proofErr w:type="spellEnd"/>
      <w:r>
        <w:rPr>
          <w:rFonts w:ascii="Arial" w:hAnsi="Arial" w:cs="Arial"/>
        </w:rPr>
        <w:t xml:space="preserve">, F. (2023). The Effect of Liquidity, Leverage, and </w:t>
      </w:r>
      <w:r>
        <w:rPr>
          <w:rFonts w:ascii="Arial" w:hAnsi="Arial" w:cs="Arial"/>
          <w:lang w:val="id-ID"/>
        </w:rPr>
        <w:tab/>
      </w:r>
      <w:r>
        <w:rPr>
          <w:rFonts w:ascii="Arial" w:hAnsi="Arial" w:cs="Arial"/>
        </w:rPr>
        <w:t xml:space="preserve">Profitability on Firm Value in the Textile and Garment Industry Listed </w:t>
      </w:r>
      <w:proofErr w:type="spellStart"/>
      <w:r>
        <w:rPr>
          <w:rFonts w:ascii="Arial" w:hAnsi="Arial" w:cs="Arial"/>
        </w:rPr>
        <w:t>Listed</w:t>
      </w:r>
      <w:proofErr w:type="spellEnd"/>
      <w:r>
        <w:rPr>
          <w:rFonts w:ascii="Arial" w:hAnsi="Arial" w:cs="Arial"/>
        </w:rPr>
        <w:t xml:space="preserve"> on the </w:t>
      </w:r>
      <w:r>
        <w:rPr>
          <w:rFonts w:ascii="Arial" w:hAnsi="Arial" w:cs="Arial"/>
          <w:lang w:val="id-ID"/>
        </w:rPr>
        <w:tab/>
      </w:r>
      <w:r>
        <w:rPr>
          <w:rFonts w:ascii="Arial" w:hAnsi="Arial" w:cs="Arial"/>
        </w:rPr>
        <w:t xml:space="preserve">Indonesia Stock Exchange. </w:t>
      </w:r>
      <w:proofErr w:type="spellStart"/>
      <w:r>
        <w:rPr>
          <w:rFonts w:ascii="Arial" w:hAnsi="Arial" w:cs="Arial"/>
        </w:rPr>
        <w:t>Prospek</w:t>
      </w:r>
      <w:proofErr w:type="spellEnd"/>
      <w:r>
        <w:rPr>
          <w:rFonts w:ascii="Arial" w:hAnsi="Arial" w:cs="Arial"/>
        </w:rPr>
        <w:t xml:space="preserve">: Journal of Management and Business, 5(3), </w:t>
      </w:r>
      <w:r>
        <w:rPr>
          <w:rFonts w:ascii="Arial" w:hAnsi="Arial" w:cs="Arial"/>
          <w:lang w:val="id-ID"/>
        </w:rPr>
        <w:tab/>
      </w:r>
      <w:r>
        <w:rPr>
          <w:rFonts w:ascii="Arial" w:hAnsi="Arial" w:cs="Arial"/>
        </w:rPr>
        <w:t>383–392.</w:t>
      </w:r>
    </w:p>
    <w:p w14:paraId="25DCED2D" w14:textId="77777777" w:rsidR="00637D0A" w:rsidRDefault="00441CE7">
      <w:pPr>
        <w:jc w:val="both"/>
        <w:rPr>
          <w:rFonts w:ascii="Arial" w:hAnsi="Arial" w:cs="Arial"/>
        </w:rPr>
      </w:pPr>
      <w:proofErr w:type="spellStart"/>
      <w:r>
        <w:rPr>
          <w:rFonts w:ascii="Arial" w:hAnsi="Arial" w:cs="Arial"/>
        </w:rPr>
        <w:t>Ardianto</w:t>
      </w:r>
      <w:proofErr w:type="spellEnd"/>
      <w:r>
        <w:rPr>
          <w:rFonts w:ascii="Arial" w:hAnsi="Arial" w:cs="Arial"/>
        </w:rPr>
        <w:t xml:space="preserve">, C. N. (2023). Firm Value: The Effects of Profitability and Good Corporate </w:t>
      </w:r>
      <w:r>
        <w:rPr>
          <w:rFonts w:ascii="Arial" w:hAnsi="Arial" w:cs="Arial"/>
          <w:lang w:val="id-ID"/>
        </w:rPr>
        <w:tab/>
      </w:r>
      <w:r>
        <w:rPr>
          <w:rFonts w:ascii="Arial" w:hAnsi="Arial" w:cs="Arial"/>
        </w:rPr>
        <w:t xml:space="preserve">Governance. Scientific Journal of Management, Economics, &amp; Accounting (MEA), </w:t>
      </w:r>
      <w:r>
        <w:rPr>
          <w:rFonts w:ascii="Arial" w:hAnsi="Arial" w:cs="Arial"/>
          <w:lang w:val="id-ID"/>
        </w:rPr>
        <w:tab/>
      </w:r>
      <w:r>
        <w:rPr>
          <w:rFonts w:ascii="Arial" w:hAnsi="Arial" w:cs="Arial"/>
        </w:rPr>
        <w:t xml:space="preserve">7(2), 1087–1106. </w:t>
      </w:r>
    </w:p>
    <w:p w14:paraId="27839EC2" w14:textId="77777777" w:rsidR="00637D0A" w:rsidRDefault="00441CE7">
      <w:pPr>
        <w:jc w:val="both"/>
        <w:rPr>
          <w:rFonts w:ascii="Arial" w:hAnsi="Arial" w:cs="Arial"/>
        </w:rPr>
      </w:pPr>
      <w:r>
        <w:rPr>
          <w:rFonts w:ascii="Arial" w:hAnsi="Arial" w:cs="Arial"/>
        </w:rPr>
        <w:t xml:space="preserve">Arifin, A., &amp; Fitriana, M. F. (2022). The effect of profitability, liquidity, and leverage on with </w:t>
      </w:r>
      <w:r>
        <w:rPr>
          <w:rFonts w:ascii="Arial" w:hAnsi="Arial" w:cs="Arial"/>
          <w:lang w:val="id-ID"/>
        </w:rPr>
        <w:tab/>
      </w:r>
      <w:r>
        <w:rPr>
          <w:rFonts w:ascii="Arial" w:hAnsi="Arial" w:cs="Arial"/>
        </w:rPr>
        <w:t xml:space="preserve">Dividend Policy as a Moderating Variable (An Empirical Study of manufacturing </w:t>
      </w:r>
      <w:r>
        <w:rPr>
          <w:rFonts w:ascii="Arial" w:hAnsi="Arial" w:cs="Arial"/>
          <w:lang w:val="id-ID"/>
        </w:rPr>
        <w:tab/>
      </w:r>
      <w:r>
        <w:rPr>
          <w:rFonts w:ascii="Arial" w:hAnsi="Arial" w:cs="Arial"/>
        </w:rPr>
        <w:t xml:space="preserve">companies listed on the Indonesia Stock Exchange from 2018 to 2020). In </w:t>
      </w:r>
      <w:r>
        <w:rPr>
          <w:rFonts w:ascii="Arial" w:hAnsi="Arial" w:cs="Arial"/>
          <w:lang w:val="id-ID"/>
        </w:rPr>
        <w:tab/>
      </w:r>
      <w:r>
        <w:rPr>
          <w:rFonts w:ascii="Arial" w:hAnsi="Arial" w:cs="Arial"/>
        </w:rPr>
        <w:t xml:space="preserve">Proceedings of the National Seminar on Law, Business, Science, and Technology </w:t>
      </w:r>
      <w:r>
        <w:rPr>
          <w:rFonts w:ascii="Arial" w:hAnsi="Arial" w:cs="Arial"/>
          <w:lang w:val="id-ID"/>
        </w:rPr>
        <w:tab/>
      </w:r>
      <w:r>
        <w:rPr>
          <w:rFonts w:ascii="Arial" w:hAnsi="Arial" w:cs="Arial"/>
        </w:rPr>
        <w:t>(Vol. 2, No. 1, pp. 1083–1083).</w:t>
      </w:r>
    </w:p>
    <w:p w14:paraId="7F6E2FEC" w14:textId="77777777" w:rsidR="00637D0A" w:rsidRDefault="00441CE7">
      <w:pPr>
        <w:jc w:val="both"/>
        <w:rPr>
          <w:rFonts w:ascii="Arial" w:hAnsi="Arial" w:cs="Arial"/>
        </w:rPr>
      </w:pPr>
      <w:proofErr w:type="spellStart"/>
      <w:r>
        <w:rPr>
          <w:rFonts w:ascii="Arial" w:hAnsi="Arial" w:cs="Arial"/>
        </w:rPr>
        <w:t>Budiasih</w:t>
      </w:r>
      <w:proofErr w:type="spellEnd"/>
      <w:r>
        <w:rPr>
          <w:rFonts w:ascii="Arial" w:hAnsi="Arial" w:cs="Arial"/>
        </w:rPr>
        <w:t xml:space="preserve">, Y., </w:t>
      </w:r>
      <w:proofErr w:type="spellStart"/>
      <w:r>
        <w:rPr>
          <w:rFonts w:ascii="Arial" w:hAnsi="Arial" w:cs="Arial"/>
        </w:rPr>
        <w:t>Fitri</w:t>
      </w:r>
      <w:proofErr w:type="spellEnd"/>
      <w:r>
        <w:rPr>
          <w:rFonts w:ascii="Arial" w:hAnsi="Arial" w:cs="Arial"/>
        </w:rPr>
        <w:t xml:space="preserve">, F., Renaldi, V., </w:t>
      </w:r>
      <w:proofErr w:type="spellStart"/>
      <w:r>
        <w:rPr>
          <w:rFonts w:ascii="Arial" w:hAnsi="Arial" w:cs="Arial"/>
        </w:rPr>
        <w:t>Sutarsa</w:t>
      </w:r>
      <w:proofErr w:type="spellEnd"/>
      <w:r>
        <w:rPr>
          <w:rFonts w:ascii="Arial" w:hAnsi="Arial" w:cs="Arial"/>
        </w:rPr>
        <w:t xml:space="preserve">, M., &amp; </w:t>
      </w:r>
      <w:proofErr w:type="spellStart"/>
      <w:r>
        <w:rPr>
          <w:rFonts w:ascii="Arial" w:hAnsi="Arial" w:cs="Arial"/>
        </w:rPr>
        <w:t>Sevendy</w:t>
      </w:r>
      <w:proofErr w:type="spellEnd"/>
      <w:r>
        <w:rPr>
          <w:rFonts w:ascii="Arial" w:hAnsi="Arial" w:cs="Arial"/>
        </w:rPr>
        <w:t xml:space="preserve">, T. (2024). dividend as a </w:t>
      </w:r>
      <w:r>
        <w:rPr>
          <w:rFonts w:ascii="Arial" w:hAnsi="Arial" w:cs="Arial"/>
          <w:lang w:val="id-ID"/>
        </w:rPr>
        <w:tab/>
      </w:r>
      <w:r>
        <w:rPr>
          <w:rFonts w:ascii="Arial" w:hAnsi="Arial" w:cs="Arial"/>
        </w:rPr>
        <w:t xml:space="preserve">moderator of profitability on firm value. Scientific </w:t>
      </w:r>
      <w:proofErr w:type="spellStart"/>
      <w:r>
        <w:rPr>
          <w:rFonts w:ascii="Arial" w:hAnsi="Arial" w:cs="Arial"/>
        </w:rPr>
        <w:t>Edunomika</w:t>
      </w:r>
      <w:proofErr w:type="spellEnd"/>
      <w:r>
        <w:rPr>
          <w:rFonts w:ascii="Arial" w:hAnsi="Arial" w:cs="Arial"/>
        </w:rPr>
        <w:t>, 8(1).</w:t>
      </w:r>
    </w:p>
    <w:p w14:paraId="41315A75" w14:textId="77777777" w:rsidR="00637D0A" w:rsidRDefault="00441CE7">
      <w:pPr>
        <w:jc w:val="both"/>
        <w:rPr>
          <w:rFonts w:ascii="Arial" w:hAnsi="Arial" w:cs="Arial"/>
        </w:rPr>
      </w:pPr>
      <w:r>
        <w:rPr>
          <w:rFonts w:ascii="Arial" w:hAnsi="Arial" w:cs="Arial"/>
        </w:rPr>
        <w:t>Brigham, E. F., &amp; Houston, J. F. (2019). Fundamentals of Financial Management.</w:t>
      </w:r>
    </w:p>
    <w:p w14:paraId="1D681FBC" w14:textId="77777777" w:rsidR="00637D0A" w:rsidRDefault="00441CE7">
      <w:pPr>
        <w:jc w:val="both"/>
        <w:rPr>
          <w:rFonts w:ascii="Arial" w:hAnsi="Arial" w:cs="Arial"/>
        </w:rPr>
      </w:pPr>
      <w:r>
        <w:rPr>
          <w:rFonts w:ascii="Arial" w:eastAsia="SimSun" w:hAnsi="Arial" w:cs="Arial"/>
          <w:color w:val="222222"/>
          <w:shd w:val="clear" w:color="auto" w:fill="FFFFFF"/>
        </w:rPr>
        <w:t xml:space="preserve">Deshi, N. N., &amp; Sunday, S. K. (2025). Ownership Structure and Firm Value: A Quantitative </w:t>
      </w:r>
      <w:r>
        <w:rPr>
          <w:rFonts w:ascii="Arial" w:eastAsia="SimSun" w:hAnsi="Arial" w:cs="Arial"/>
          <w:color w:val="222222"/>
          <w:shd w:val="clear" w:color="auto" w:fill="FFFFFF"/>
          <w:lang w:val="id-ID"/>
        </w:rPr>
        <w:tab/>
      </w:r>
      <w:r>
        <w:rPr>
          <w:rFonts w:ascii="Arial" w:eastAsia="SimSun" w:hAnsi="Arial" w:cs="Arial"/>
          <w:color w:val="222222"/>
          <w:shd w:val="clear" w:color="auto" w:fill="FFFFFF"/>
        </w:rPr>
        <w:t>Study of Listed Money Deposit Banks in Nigeria. </w:t>
      </w:r>
      <w:r>
        <w:rPr>
          <w:rFonts w:ascii="Arial" w:eastAsia="SimSun" w:hAnsi="Arial" w:cs="Arial"/>
          <w:i/>
          <w:iCs/>
          <w:color w:val="222222"/>
          <w:shd w:val="clear" w:color="auto" w:fill="FFFFFF"/>
        </w:rPr>
        <w:t xml:space="preserve">Indiana Journal of Economics, </w:t>
      </w:r>
      <w:r>
        <w:rPr>
          <w:rFonts w:ascii="Arial" w:eastAsia="SimSun" w:hAnsi="Arial" w:cs="Arial"/>
          <w:i/>
          <w:iCs/>
          <w:color w:val="222222"/>
          <w:shd w:val="clear" w:color="auto" w:fill="FFFFFF"/>
          <w:lang w:val="id-ID"/>
        </w:rPr>
        <w:tab/>
      </w:r>
      <w:r>
        <w:rPr>
          <w:rFonts w:ascii="Arial" w:eastAsia="SimSun" w:hAnsi="Arial" w:cs="Arial"/>
          <w:i/>
          <w:iCs/>
          <w:color w:val="222222"/>
          <w:shd w:val="clear" w:color="auto" w:fill="FFFFFF"/>
        </w:rPr>
        <w:t>Business and Management</w:t>
      </w:r>
      <w:r>
        <w:rPr>
          <w:rFonts w:ascii="Arial" w:eastAsia="SimSun" w:hAnsi="Arial" w:cs="Arial"/>
          <w:color w:val="222222"/>
          <w:shd w:val="clear" w:color="auto" w:fill="FFFFFF"/>
        </w:rPr>
        <w:t>, </w:t>
      </w:r>
      <w:r>
        <w:rPr>
          <w:rFonts w:ascii="Arial" w:eastAsia="SimSun" w:hAnsi="Arial" w:cs="Arial"/>
          <w:i/>
          <w:iCs/>
          <w:color w:val="222222"/>
          <w:shd w:val="clear" w:color="auto" w:fill="FFFFFF"/>
        </w:rPr>
        <w:t>5</w:t>
      </w:r>
      <w:r>
        <w:rPr>
          <w:rFonts w:ascii="Arial" w:eastAsia="SimSun" w:hAnsi="Arial" w:cs="Arial"/>
          <w:color w:val="222222"/>
          <w:shd w:val="clear" w:color="auto" w:fill="FFFFFF"/>
        </w:rPr>
        <w:t>(3), 82-98.</w:t>
      </w:r>
    </w:p>
    <w:p w14:paraId="3E9631FC" w14:textId="77777777" w:rsidR="00637D0A" w:rsidRDefault="00441CE7">
      <w:pPr>
        <w:jc w:val="both"/>
        <w:rPr>
          <w:rFonts w:ascii="Arial" w:hAnsi="Arial" w:cs="Arial"/>
        </w:rPr>
      </w:pPr>
      <w:r>
        <w:rPr>
          <w:rFonts w:ascii="Arial" w:hAnsi="Arial" w:cs="Arial"/>
        </w:rPr>
        <w:t xml:space="preserve">Dewantari, N. K. Y., </w:t>
      </w:r>
      <w:proofErr w:type="spellStart"/>
      <w:r>
        <w:rPr>
          <w:rFonts w:ascii="Arial" w:hAnsi="Arial" w:cs="Arial"/>
        </w:rPr>
        <w:t>Endiana</w:t>
      </w:r>
      <w:proofErr w:type="spellEnd"/>
      <w:r>
        <w:rPr>
          <w:rFonts w:ascii="Arial" w:hAnsi="Arial" w:cs="Arial"/>
        </w:rPr>
        <w:t xml:space="preserve">, I. D. M., &amp; </w:t>
      </w:r>
      <w:proofErr w:type="spellStart"/>
      <w:r>
        <w:rPr>
          <w:rFonts w:ascii="Arial" w:hAnsi="Arial" w:cs="Arial"/>
        </w:rPr>
        <w:t>Kumalasari</w:t>
      </w:r>
      <w:proofErr w:type="spellEnd"/>
      <w:r>
        <w:rPr>
          <w:rFonts w:ascii="Arial" w:hAnsi="Arial" w:cs="Arial"/>
        </w:rPr>
        <w:t>, P. D. (2023). The Effect of</w:t>
      </w:r>
      <w:r>
        <w:rPr>
          <w:rFonts w:ascii="Arial" w:hAnsi="Arial" w:cs="Arial"/>
        </w:rPr>
        <w:tab/>
        <w:t xml:space="preserve">Asset </w:t>
      </w:r>
      <w:r>
        <w:rPr>
          <w:rFonts w:ascii="Arial" w:hAnsi="Arial" w:cs="Arial"/>
          <w:lang w:val="id-ID"/>
        </w:rPr>
        <w:tab/>
      </w:r>
      <w:r>
        <w:rPr>
          <w:rFonts w:ascii="Arial" w:hAnsi="Arial" w:cs="Arial"/>
        </w:rPr>
        <w:t xml:space="preserve">Growth, Firm Size, Investment Decisions, and </w:t>
      </w:r>
      <w:proofErr w:type="spellStart"/>
      <w:r>
        <w:rPr>
          <w:rFonts w:ascii="Arial" w:hAnsi="Arial" w:cs="Arial"/>
        </w:rPr>
        <w:t>and</w:t>
      </w:r>
      <w:proofErr w:type="spellEnd"/>
      <w:r>
        <w:rPr>
          <w:rFonts w:ascii="Arial" w:hAnsi="Arial" w:cs="Arial"/>
        </w:rPr>
        <w:t xml:space="preserve"> Dividend Policy and Dividend </w:t>
      </w:r>
      <w:r>
        <w:rPr>
          <w:rFonts w:ascii="Arial" w:hAnsi="Arial" w:cs="Arial"/>
          <w:lang w:val="id-ID"/>
        </w:rPr>
        <w:tab/>
      </w:r>
      <w:r>
        <w:rPr>
          <w:rFonts w:ascii="Arial" w:hAnsi="Arial" w:cs="Arial"/>
        </w:rPr>
        <w:t xml:space="preserve">Policy on Firm Value. Collection of Student Research Results (KHARISMA), 5(1), </w:t>
      </w:r>
      <w:r>
        <w:rPr>
          <w:rFonts w:ascii="Arial" w:hAnsi="Arial" w:cs="Arial"/>
          <w:lang w:val="id-ID"/>
        </w:rPr>
        <w:tab/>
      </w:r>
      <w:r>
        <w:rPr>
          <w:rFonts w:ascii="Arial" w:hAnsi="Arial" w:cs="Arial"/>
        </w:rPr>
        <w:t>145–157.</w:t>
      </w:r>
    </w:p>
    <w:p w14:paraId="23085D5A" w14:textId="77777777" w:rsidR="00637D0A" w:rsidRDefault="00441CE7">
      <w:pPr>
        <w:jc w:val="both"/>
        <w:rPr>
          <w:rFonts w:ascii="Arial" w:hAnsi="Arial" w:cs="Arial"/>
        </w:rPr>
      </w:pPr>
      <w:proofErr w:type="spellStart"/>
      <w:r>
        <w:rPr>
          <w:rFonts w:ascii="Arial" w:hAnsi="Arial" w:cs="Arial"/>
        </w:rPr>
        <w:t>Fakhrudinsyah</w:t>
      </w:r>
      <w:proofErr w:type="spellEnd"/>
      <w:r>
        <w:rPr>
          <w:rFonts w:ascii="Arial" w:hAnsi="Arial" w:cs="Arial"/>
        </w:rPr>
        <w:t xml:space="preserve">, V., &amp; </w:t>
      </w:r>
      <w:proofErr w:type="spellStart"/>
      <w:r>
        <w:rPr>
          <w:rFonts w:ascii="Arial" w:hAnsi="Arial" w:cs="Arial"/>
        </w:rPr>
        <w:t>Takarini</w:t>
      </w:r>
      <w:proofErr w:type="spellEnd"/>
      <w:r>
        <w:rPr>
          <w:rFonts w:ascii="Arial" w:hAnsi="Arial" w:cs="Arial"/>
        </w:rPr>
        <w:t xml:space="preserve">, N. (2022). Analysis of Dividend Policy in Listed </w:t>
      </w:r>
      <w:proofErr w:type="spellStart"/>
      <w:r>
        <w:rPr>
          <w:rFonts w:ascii="Arial" w:hAnsi="Arial" w:cs="Arial"/>
        </w:rPr>
        <w:t>Listed</w:t>
      </w:r>
      <w:proofErr w:type="spellEnd"/>
      <w:r>
        <w:rPr>
          <w:rFonts w:ascii="Arial" w:hAnsi="Arial" w:cs="Arial"/>
        </w:rPr>
        <w:t xml:space="preserve"> on the </w:t>
      </w:r>
      <w:r>
        <w:rPr>
          <w:rFonts w:ascii="Arial" w:hAnsi="Arial" w:cs="Arial"/>
          <w:lang w:val="id-ID"/>
        </w:rPr>
        <w:tab/>
      </w:r>
      <w:r>
        <w:rPr>
          <w:rFonts w:ascii="Arial" w:hAnsi="Arial" w:cs="Arial"/>
        </w:rPr>
        <w:t xml:space="preserve">Indonesia Stock Exchange (IDX). </w:t>
      </w:r>
      <w:proofErr w:type="spellStart"/>
      <w:r>
        <w:rPr>
          <w:rFonts w:ascii="Arial" w:hAnsi="Arial" w:cs="Arial"/>
        </w:rPr>
        <w:t>Ecobisma</w:t>
      </w:r>
      <w:proofErr w:type="spellEnd"/>
      <w:r>
        <w:rPr>
          <w:rFonts w:ascii="Arial" w:hAnsi="Arial" w:cs="Arial"/>
        </w:rPr>
        <w:t xml:space="preserve"> (Journal of Economics, Business, and </w:t>
      </w:r>
      <w:r>
        <w:rPr>
          <w:rFonts w:ascii="Arial" w:hAnsi="Arial" w:cs="Arial"/>
          <w:lang w:val="id-ID"/>
        </w:rPr>
        <w:tab/>
      </w:r>
      <w:r>
        <w:rPr>
          <w:rFonts w:ascii="Arial" w:hAnsi="Arial" w:cs="Arial"/>
        </w:rPr>
        <w:t>Management), 9(1), 1-11.</w:t>
      </w:r>
    </w:p>
    <w:p w14:paraId="12F20024" w14:textId="77777777" w:rsidR="00637D0A" w:rsidRDefault="00441CE7">
      <w:pPr>
        <w:jc w:val="both"/>
        <w:rPr>
          <w:rFonts w:ascii="Arial" w:hAnsi="Arial" w:cs="Arial"/>
        </w:rPr>
      </w:pPr>
      <w:proofErr w:type="spellStart"/>
      <w:r>
        <w:rPr>
          <w:rFonts w:ascii="Arial" w:hAnsi="Arial" w:cs="Arial"/>
        </w:rPr>
        <w:t>Febriyanti</w:t>
      </w:r>
      <w:proofErr w:type="spellEnd"/>
      <w:r>
        <w:rPr>
          <w:rFonts w:ascii="Arial" w:hAnsi="Arial" w:cs="Arial"/>
        </w:rPr>
        <w:t xml:space="preserve">, N. R., Aryani, F., &amp; </w:t>
      </w:r>
      <w:proofErr w:type="spellStart"/>
      <w:r>
        <w:rPr>
          <w:rFonts w:ascii="Arial" w:hAnsi="Arial" w:cs="Arial"/>
        </w:rPr>
        <w:t>Hendratni</w:t>
      </w:r>
      <w:proofErr w:type="spellEnd"/>
      <w:r>
        <w:rPr>
          <w:rFonts w:ascii="Arial" w:hAnsi="Arial" w:cs="Arial"/>
        </w:rPr>
        <w:t xml:space="preserve">, T. W. (2023). THE EFFECT OF LEVERAGE AND </w:t>
      </w:r>
      <w:r>
        <w:rPr>
          <w:rFonts w:ascii="Arial" w:hAnsi="Arial" w:cs="Arial"/>
          <w:lang w:val="id-ID"/>
        </w:rPr>
        <w:tab/>
      </w:r>
      <w:r>
        <w:rPr>
          <w:rFonts w:ascii="Arial" w:hAnsi="Arial" w:cs="Arial"/>
        </w:rPr>
        <w:t xml:space="preserve">PROFITABILITY ON COMPANY VALUE (A Case Study of Telecommunications </w:t>
      </w:r>
      <w:r>
        <w:rPr>
          <w:rFonts w:ascii="Arial" w:hAnsi="Arial" w:cs="Arial"/>
          <w:lang w:val="id-ID"/>
        </w:rPr>
        <w:tab/>
      </w:r>
      <w:r>
        <w:rPr>
          <w:rFonts w:ascii="Arial" w:hAnsi="Arial" w:cs="Arial"/>
        </w:rPr>
        <w:t xml:space="preserve">Sub-Sector Companies Listed on the Indonesia Stock Exchange (IDX) 2016–2021. </w:t>
      </w:r>
      <w:r>
        <w:rPr>
          <w:rFonts w:ascii="Arial" w:hAnsi="Arial" w:cs="Arial"/>
          <w:lang w:val="id-ID"/>
        </w:rPr>
        <w:tab/>
      </w:r>
      <w:r>
        <w:rPr>
          <w:rFonts w:ascii="Arial" w:hAnsi="Arial" w:cs="Arial"/>
        </w:rPr>
        <w:t>JIMP:</w:t>
      </w:r>
      <w:r>
        <w:rPr>
          <w:rFonts w:ascii="Arial" w:hAnsi="Arial" w:cs="Arial"/>
          <w:lang w:val="id-ID"/>
        </w:rPr>
        <w:t xml:space="preserve"> </w:t>
      </w:r>
      <w:r>
        <w:rPr>
          <w:rFonts w:ascii="Arial" w:hAnsi="Arial" w:cs="Arial"/>
        </w:rPr>
        <w:t xml:space="preserve">Pancasila Management Scientific Journal, 3(2), 99–109. </w:t>
      </w:r>
    </w:p>
    <w:p w14:paraId="68FC32A0" w14:textId="77777777" w:rsidR="00637D0A" w:rsidRDefault="00441CE7">
      <w:pPr>
        <w:jc w:val="both"/>
        <w:rPr>
          <w:rFonts w:ascii="Arial" w:hAnsi="Arial" w:cs="Arial"/>
        </w:rPr>
      </w:pPr>
      <w:proofErr w:type="spellStart"/>
      <w:r>
        <w:rPr>
          <w:rFonts w:ascii="Arial" w:hAnsi="Arial" w:cs="Arial"/>
        </w:rPr>
        <w:t>Hamdana</w:t>
      </w:r>
      <w:proofErr w:type="spellEnd"/>
      <w:r>
        <w:rPr>
          <w:rFonts w:ascii="Arial" w:hAnsi="Arial" w:cs="Arial"/>
        </w:rPr>
        <w:t xml:space="preserve">, H. (2024). Dynamic Interactions: The Implementation of Green Accounting, </w:t>
      </w:r>
      <w:r>
        <w:rPr>
          <w:rFonts w:ascii="Arial" w:hAnsi="Arial" w:cs="Arial"/>
          <w:lang w:val="id-ID"/>
        </w:rPr>
        <w:tab/>
      </w:r>
      <w:r>
        <w:rPr>
          <w:rFonts w:ascii="Arial" w:hAnsi="Arial" w:cs="Arial"/>
        </w:rPr>
        <w:t>Environmental Performance</w:t>
      </w:r>
      <w:r>
        <w:rPr>
          <w:rFonts w:ascii="Arial" w:hAnsi="Arial" w:cs="Arial"/>
          <w:lang w:val="id-ID"/>
        </w:rPr>
        <w:t xml:space="preserve"> </w:t>
      </w:r>
      <w:r>
        <w:rPr>
          <w:rFonts w:ascii="Arial" w:hAnsi="Arial" w:cs="Arial"/>
        </w:rPr>
        <w:t xml:space="preserve">and Its Impact on Firm Value Through the Lens of </w:t>
      </w:r>
      <w:r>
        <w:rPr>
          <w:rFonts w:ascii="Arial" w:hAnsi="Arial" w:cs="Arial"/>
          <w:lang w:val="id-ID"/>
        </w:rPr>
        <w:tab/>
      </w:r>
      <w:r>
        <w:rPr>
          <w:rFonts w:ascii="Arial" w:hAnsi="Arial" w:cs="Arial"/>
        </w:rPr>
        <w:t xml:space="preserve">Profitability at Industrial Companies Listed on the IDX for the Period 2019–2023. </w:t>
      </w:r>
      <w:r>
        <w:rPr>
          <w:rFonts w:ascii="Arial" w:hAnsi="Arial" w:cs="Arial"/>
          <w:lang w:val="id-ID"/>
        </w:rPr>
        <w:tab/>
      </w:r>
      <w:r>
        <w:rPr>
          <w:rFonts w:ascii="Arial" w:hAnsi="Arial" w:cs="Arial"/>
        </w:rPr>
        <w:t xml:space="preserve">Journal of </w:t>
      </w:r>
      <w:proofErr w:type="spellStart"/>
      <w:r>
        <w:rPr>
          <w:rFonts w:ascii="Arial" w:hAnsi="Arial" w:cs="Arial"/>
        </w:rPr>
        <w:t>GeoEconomics</w:t>
      </w:r>
      <w:proofErr w:type="spellEnd"/>
      <w:r>
        <w:rPr>
          <w:rFonts w:ascii="Arial" w:hAnsi="Arial" w:cs="Arial"/>
        </w:rPr>
        <w:t>, 15(2), 247–250.</w:t>
      </w:r>
    </w:p>
    <w:p w14:paraId="2E2F2441" w14:textId="77777777" w:rsidR="00637D0A" w:rsidRDefault="00441CE7">
      <w:pPr>
        <w:jc w:val="both"/>
        <w:rPr>
          <w:rFonts w:ascii="Arial" w:hAnsi="Arial" w:cs="Arial"/>
        </w:rPr>
      </w:pPr>
      <w:proofErr w:type="spellStart"/>
      <w:r>
        <w:rPr>
          <w:rFonts w:ascii="Arial" w:hAnsi="Arial" w:cs="Arial"/>
        </w:rPr>
        <w:t>Laksono</w:t>
      </w:r>
      <w:proofErr w:type="spellEnd"/>
      <w:r>
        <w:rPr>
          <w:rFonts w:ascii="Arial" w:hAnsi="Arial" w:cs="Arial"/>
        </w:rPr>
        <w:t xml:space="preserve">, N. K. E., &amp; </w:t>
      </w:r>
      <w:proofErr w:type="spellStart"/>
      <w:r>
        <w:rPr>
          <w:rFonts w:ascii="Arial" w:hAnsi="Arial" w:cs="Arial"/>
        </w:rPr>
        <w:t>Wahidahwati</w:t>
      </w:r>
      <w:proofErr w:type="spellEnd"/>
      <w:r>
        <w:rPr>
          <w:rFonts w:ascii="Arial" w:hAnsi="Arial" w:cs="Arial"/>
        </w:rPr>
        <w:t xml:space="preserve">. (2024). The effects of profitability, liquidity, firm size, </w:t>
      </w:r>
      <w:r>
        <w:rPr>
          <w:rFonts w:ascii="Arial" w:hAnsi="Arial" w:cs="Arial"/>
          <w:lang w:val="id-ID"/>
        </w:rPr>
        <w:tab/>
      </w:r>
      <w:r>
        <w:rPr>
          <w:rFonts w:ascii="Arial" w:hAnsi="Arial" w:cs="Arial"/>
        </w:rPr>
        <w:t xml:space="preserve">dividend policy, and investment decisions on firm value. Journal of Accounting </w:t>
      </w:r>
      <w:r>
        <w:rPr>
          <w:rFonts w:ascii="Arial" w:hAnsi="Arial" w:cs="Arial"/>
          <w:lang w:val="id-ID"/>
        </w:rPr>
        <w:tab/>
      </w:r>
      <w:r>
        <w:rPr>
          <w:rFonts w:ascii="Arial" w:hAnsi="Arial" w:cs="Arial"/>
        </w:rPr>
        <w:t>Science and Research (JIRA), 13(6).</w:t>
      </w:r>
    </w:p>
    <w:p w14:paraId="618E9C51" w14:textId="77777777" w:rsidR="00637D0A" w:rsidRDefault="00441CE7">
      <w:pPr>
        <w:jc w:val="both"/>
        <w:rPr>
          <w:rFonts w:ascii="Arial" w:hAnsi="Arial" w:cs="Arial"/>
        </w:rPr>
      </w:pPr>
      <w:proofErr w:type="spellStart"/>
      <w:r>
        <w:rPr>
          <w:rFonts w:ascii="Arial" w:hAnsi="Arial" w:cs="Arial"/>
        </w:rPr>
        <w:t>Kalbuana</w:t>
      </w:r>
      <w:proofErr w:type="spellEnd"/>
      <w:r>
        <w:rPr>
          <w:rFonts w:ascii="Arial" w:hAnsi="Arial" w:cs="Arial"/>
        </w:rPr>
        <w:t xml:space="preserve">, N., Yohana, Y., Bp, A. I., &amp; Cahyadi, C. I. (2021). The Effect </w:t>
      </w:r>
      <w:proofErr w:type="gramStart"/>
      <w:r>
        <w:rPr>
          <w:rFonts w:ascii="Arial" w:hAnsi="Arial" w:cs="Arial"/>
        </w:rPr>
        <w:t>of ,</w:t>
      </w:r>
      <w:proofErr w:type="gramEnd"/>
      <w:r>
        <w:rPr>
          <w:rFonts w:ascii="Arial" w:hAnsi="Arial" w:cs="Arial"/>
        </w:rPr>
        <w:t xml:space="preserve"> Debt Policy, and </w:t>
      </w:r>
      <w:r>
        <w:rPr>
          <w:rFonts w:ascii="Arial" w:hAnsi="Arial" w:cs="Arial"/>
          <w:lang w:val="id-ID"/>
        </w:rPr>
        <w:tab/>
      </w:r>
      <w:r>
        <w:rPr>
          <w:rFonts w:ascii="Arial" w:hAnsi="Arial" w:cs="Arial"/>
        </w:rPr>
        <w:t xml:space="preserve">Profitability on Firm Value (A Case Study of Listed on the Indonesia Stock Exchange, </w:t>
      </w:r>
      <w:r>
        <w:rPr>
          <w:rFonts w:ascii="Arial" w:hAnsi="Arial" w:cs="Arial"/>
          <w:lang w:val="id-ID"/>
        </w:rPr>
        <w:tab/>
      </w:r>
      <w:r>
        <w:rPr>
          <w:rFonts w:ascii="Arial" w:hAnsi="Arial" w:cs="Arial"/>
        </w:rPr>
        <w:t xml:space="preserve">2016–2020). </w:t>
      </w:r>
      <w:proofErr w:type="spellStart"/>
      <w:r>
        <w:rPr>
          <w:rFonts w:ascii="Arial" w:hAnsi="Arial" w:cs="Arial"/>
        </w:rPr>
        <w:t>Politala</w:t>
      </w:r>
      <w:proofErr w:type="spellEnd"/>
      <w:r>
        <w:rPr>
          <w:rFonts w:ascii="Arial" w:hAnsi="Arial" w:cs="Arial"/>
        </w:rPr>
        <w:t xml:space="preserve"> Journal </w:t>
      </w:r>
      <w:proofErr w:type="gramStart"/>
      <w:r>
        <w:rPr>
          <w:rFonts w:ascii="Arial" w:hAnsi="Arial" w:cs="Arial"/>
        </w:rPr>
        <w:t>of ,</w:t>
      </w:r>
      <w:proofErr w:type="gramEnd"/>
      <w:r>
        <w:rPr>
          <w:rFonts w:ascii="Arial" w:hAnsi="Arial" w:cs="Arial"/>
        </w:rPr>
        <w:t xml:space="preserve"> 4(2), 58–66. </w:t>
      </w:r>
    </w:p>
    <w:p w14:paraId="370FACF0" w14:textId="77777777" w:rsidR="00637D0A" w:rsidRDefault="00441CE7">
      <w:pPr>
        <w:jc w:val="both"/>
        <w:rPr>
          <w:rFonts w:ascii="Arial" w:hAnsi="Arial" w:cs="Arial"/>
        </w:rPr>
      </w:pPr>
      <w:proofErr w:type="spellStart"/>
      <w:r>
        <w:rPr>
          <w:rFonts w:ascii="Arial" w:hAnsi="Arial" w:cs="Arial"/>
        </w:rPr>
        <w:t>Mar’aqonitatillah</w:t>
      </w:r>
      <w:proofErr w:type="spellEnd"/>
      <w:r>
        <w:rPr>
          <w:rFonts w:ascii="Arial" w:hAnsi="Arial" w:cs="Arial"/>
        </w:rPr>
        <w:t xml:space="preserve">, A., &amp; </w:t>
      </w:r>
      <w:proofErr w:type="spellStart"/>
      <w:r>
        <w:rPr>
          <w:rFonts w:ascii="Arial" w:hAnsi="Arial" w:cs="Arial"/>
        </w:rPr>
        <w:t>Setiyono</w:t>
      </w:r>
      <w:proofErr w:type="spellEnd"/>
      <w:r>
        <w:rPr>
          <w:rFonts w:ascii="Arial" w:hAnsi="Arial" w:cs="Arial"/>
        </w:rPr>
        <w:t xml:space="preserve">, W. P. (2024). Liquidity, Profitability, and Leverage Have a </w:t>
      </w:r>
      <w:r>
        <w:rPr>
          <w:rFonts w:ascii="Arial" w:hAnsi="Arial" w:cs="Arial"/>
          <w:lang w:val="id-ID"/>
        </w:rPr>
        <w:tab/>
      </w:r>
      <w:r>
        <w:rPr>
          <w:rFonts w:ascii="Arial" w:hAnsi="Arial" w:cs="Arial"/>
        </w:rPr>
        <w:t xml:space="preserve">Significant Impact on Firm Value in the Indonesian Pharmaceutical </w:t>
      </w:r>
      <w:proofErr w:type="gramStart"/>
      <w:r>
        <w:rPr>
          <w:rFonts w:ascii="Arial" w:hAnsi="Arial" w:cs="Arial"/>
        </w:rPr>
        <w:t>Sector .</w:t>
      </w:r>
      <w:proofErr w:type="gramEnd"/>
      <w:r>
        <w:rPr>
          <w:rFonts w:ascii="Arial" w:hAnsi="Arial" w:cs="Arial"/>
        </w:rPr>
        <w:t xml:space="preserve"> </w:t>
      </w:r>
      <w:r>
        <w:rPr>
          <w:rFonts w:ascii="Arial" w:hAnsi="Arial" w:cs="Arial"/>
          <w:lang w:val="id-ID"/>
        </w:rPr>
        <w:tab/>
      </w:r>
      <w:r>
        <w:rPr>
          <w:rFonts w:ascii="Arial" w:hAnsi="Arial" w:cs="Arial"/>
        </w:rPr>
        <w:t>Sciences and Clinical Pharmacy Research Journal, 1(2), 16.</w:t>
      </w:r>
    </w:p>
    <w:p w14:paraId="6F6A4109" w14:textId="77777777" w:rsidR="00637D0A" w:rsidRDefault="00441CE7">
      <w:pPr>
        <w:jc w:val="both"/>
        <w:rPr>
          <w:rFonts w:ascii="Arial" w:hAnsi="Arial" w:cs="Arial"/>
        </w:rPr>
      </w:pPr>
      <w:r>
        <w:rPr>
          <w:rFonts w:ascii="Arial" w:hAnsi="Arial" w:cs="Arial"/>
        </w:rPr>
        <w:t xml:space="preserve">Marshella, M., &amp; Wijaya, H. (2024). The Effect of Profitability, Leverage, and Institutional </w:t>
      </w:r>
      <w:r>
        <w:rPr>
          <w:rFonts w:ascii="Arial" w:hAnsi="Arial" w:cs="Arial"/>
          <w:lang w:val="id-ID"/>
        </w:rPr>
        <w:tab/>
      </w:r>
      <w:r>
        <w:rPr>
          <w:rFonts w:ascii="Arial" w:hAnsi="Arial" w:cs="Arial"/>
        </w:rPr>
        <w:t xml:space="preserve">Ownership on Firm Value in the Infrastructure Sector for the Period 2021–2023. </w:t>
      </w:r>
      <w:r>
        <w:rPr>
          <w:rFonts w:ascii="Arial" w:hAnsi="Arial" w:cs="Arial"/>
          <w:lang w:val="id-ID"/>
        </w:rPr>
        <w:tab/>
      </w:r>
      <w:proofErr w:type="spellStart"/>
      <w:r>
        <w:rPr>
          <w:rFonts w:ascii="Arial" w:hAnsi="Arial" w:cs="Arial"/>
        </w:rPr>
        <w:t>Jurnal</w:t>
      </w:r>
      <w:proofErr w:type="spellEnd"/>
      <w:r>
        <w:rPr>
          <w:rFonts w:ascii="Arial" w:hAnsi="Arial" w:cs="Arial"/>
        </w:rPr>
        <w:t xml:space="preserve"> Bina Accounting, 11(2), 114–129.</w:t>
      </w:r>
    </w:p>
    <w:p w14:paraId="5A4DEBE8" w14:textId="77777777" w:rsidR="00637D0A" w:rsidRDefault="00441CE7">
      <w:pPr>
        <w:jc w:val="both"/>
        <w:rPr>
          <w:rFonts w:ascii="Arial" w:hAnsi="Arial" w:cs="Arial"/>
        </w:rPr>
      </w:pPr>
      <w:r>
        <w:rPr>
          <w:rFonts w:ascii="Arial" w:hAnsi="Arial" w:cs="Arial"/>
        </w:rPr>
        <w:t xml:space="preserve">Nainggolan, M. N., </w:t>
      </w:r>
      <w:proofErr w:type="spellStart"/>
      <w:r>
        <w:rPr>
          <w:rFonts w:ascii="Arial" w:hAnsi="Arial" w:cs="Arial"/>
        </w:rPr>
        <w:t>Sirait</w:t>
      </w:r>
      <w:proofErr w:type="spellEnd"/>
      <w:r>
        <w:rPr>
          <w:rFonts w:ascii="Arial" w:hAnsi="Arial" w:cs="Arial"/>
        </w:rPr>
        <w:t>, A., Nasution, O. N., &amp; Astuty, F. (2022). The Effect of Firm Size,</w:t>
      </w:r>
      <w:r>
        <w:rPr>
          <w:rFonts w:ascii="Arial" w:hAnsi="Arial" w:cs="Arial"/>
          <w:lang w:val="id-ID"/>
        </w:rPr>
        <w:t xml:space="preserve"> </w:t>
      </w:r>
      <w:r>
        <w:rPr>
          <w:rFonts w:ascii="Arial" w:hAnsi="Arial" w:cs="Arial"/>
          <w:lang w:val="id-ID"/>
        </w:rPr>
        <w:tab/>
      </w:r>
      <w:r>
        <w:rPr>
          <w:rFonts w:ascii="Arial" w:hAnsi="Arial" w:cs="Arial"/>
        </w:rPr>
        <w:t xml:space="preserve">Sales Growth, and Leverage on Profitability through the ROA in the Food &amp; </w:t>
      </w:r>
      <w:r>
        <w:rPr>
          <w:rFonts w:ascii="Arial" w:hAnsi="Arial" w:cs="Arial"/>
          <w:lang w:val="id-ID"/>
        </w:rPr>
        <w:tab/>
      </w:r>
      <w:r>
        <w:rPr>
          <w:rFonts w:ascii="Arial" w:hAnsi="Arial" w:cs="Arial"/>
        </w:rPr>
        <w:t xml:space="preserve">Beverage sector on the IDX during the 2015–2019 period. Publisher: Research and </w:t>
      </w:r>
      <w:r>
        <w:rPr>
          <w:rFonts w:ascii="Arial" w:hAnsi="Arial" w:cs="Arial"/>
          <w:lang w:val="id-ID"/>
        </w:rPr>
        <w:tab/>
      </w:r>
      <w:r>
        <w:rPr>
          <w:rFonts w:ascii="Arial" w:hAnsi="Arial" w:cs="Arial"/>
        </w:rPr>
        <w:t xml:space="preserve">Accounting Journal, 6(1), 948–963. </w:t>
      </w:r>
    </w:p>
    <w:p w14:paraId="7A600403" w14:textId="77777777" w:rsidR="00637D0A" w:rsidRDefault="00441CE7">
      <w:pPr>
        <w:jc w:val="both"/>
        <w:rPr>
          <w:rFonts w:ascii="Arial" w:hAnsi="Arial" w:cs="Arial"/>
        </w:rPr>
      </w:pPr>
      <w:proofErr w:type="spellStart"/>
      <w:r>
        <w:rPr>
          <w:rFonts w:ascii="Arial" w:hAnsi="Arial" w:cs="Arial"/>
        </w:rPr>
        <w:t>Ndruru</w:t>
      </w:r>
      <w:proofErr w:type="spellEnd"/>
      <w:r>
        <w:rPr>
          <w:rFonts w:ascii="Arial" w:hAnsi="Arial" w:cs="Arial"/>
        </w:rPr>
        <w:t xml:space="preserve">, M., </w:t>
      </w:r>
      <w:proofErr w:type="spellStart"/>
      <w:r>
        <w:rPr>
          <w:rFonts w:ascii="Arial" w:hAnsi="Arial" w:cs="Arial"/>
        </w:rPr>
        <w:t>Silaban</w:t>
      </w:r>
      <w:proofErr w:type="spellEnd"/>
      <w:r>
        <w:rPr>
          <w:rFonts w:ascii="Arial" w:hAnsi="Arial" w:cs="Arial"/>
        </w:rPr>
        <w:t xml:space="preserve">, P. B., </w:t>
      </w:r>
      <w:proofErr w:type="spellStart"/>
      <w:r>
        <w:rPr>
          <w:rFonts w:ascii="Arial" w:hAnsi="Arial" w:cs="Arial"/>
        </w:rPr>
        <w:t>Sihaloho</w:t>
      </w:r>
      <w:proofErr w:type="spellEnd"/>
      <w:r>
        <w:rPr>
          <w:rFonts w:ascii="Arial" w:hAnsi="Arial" w:cs="Arial"/>
        </w:rPr>
        <w:t xml:space="preserve">, J., </w:t>
      </w:r>
      <w:proofErr w:type="spellStart"/>
      <w:r>
        <w:rPr>
          <w:rFonts w:ascii="Arial" w:hAnsi="Arial" w:cs="Arial"/>
        </w:rPr>
        <w:t>Manurung</w:t>
      </w:r>
      <w:proofErr w:type="spellEnd"/>
      <w:r>
        <w:rPr>
          <w:rFonts w:ascii="Arial" w:hAnsi="Arial" w:cs="Arial"/>
        </w:rPr>
        <w:t xml:space="preserve">, K. M., &amp; </w:t>
      </w:r>
      <w:proofErr w:type="spellStart"/>
      <w:r>
        <w:rPr>
          <w:rFonts w:ascii="Arial" w:hAnsi="Arial" w:cs="Arial"/>
        </w:rPr>
        <w:t>Sipahutar</w:t>
      </w:r>
      <w:proofErr w:type="spellEnd"/>
      <w:r>
        <w:rPr>
          <w:rFonts w:ascii="Arial" w:hAnsi="Arial" w:cs="Arial"/>
        </w:rPr>
        <w:t xml:space="preserve">, T. T. U. (2020). The </w:t>
      </w:r>
      <w:r>
        <w:rPr>
          <w:rFonts w:ascii="Arial" w:hAnsi="Arial" w:cs="Arial"/>
          <w:lang w:val="id-ID"/>
        </w:rPr>
        <w:tab/>
      </w:r>
      <w:r>
        <w:rPr>
          <w:rFonts w:ascii="Arial" w:hAnsi="Arial" w:cs="Arial"/>
        </w:rPr>
        <w:t>influence of liquidity, leverage, and profitability on firm value in manufacturing</w:t>
      </w:r>
      <w:r>
        <w:rPr>
          <w:rFonts w:ascii="Arial" w:hAnsi="Arial" w:cs="Arial"/>
          <w:lang w:val="id-ID"/>
        </w:rPr>
        <w:t xml:space="preserve"> </w:t>
      </w:r>
      <w:r>
        <w:rPr>
          <w:rFonts w:ascii="Arial" w:hAnsi="Arial" w:cs="Arial"/>
          <w:lang w:val="id-ID"/>
        </w:rPr>
        <w:lastRenderedPageBreak/>
        <w:tab/>
      </w:r>
      <w:r>
        <w:rPr>
          <w:rFonts w:ascii="Arial" w:hAnsi="Arial" w:cs="Arial"/>
        </w:rPr>
        <w:t xml:space="preserve">companies from 2015 to 2017. Journal of Management, Economics, and </w:t>
      </w:r>
      <w:r>
        <w:rPr>
          <w:rFonts w:ascii="Arial" w:hAnsi="Arial" w:cs="Arial"/>
        </w:rPr>
        <w:tab/>
        <w:t xml:space="preserve">Accounting, </w:t>
      </w:r>
      <w:r>
        <w:rPr>
          <w:rFonts w:ascii="Arial" w:hAnsi="Arial" w:cs="Arial"/>
          <w:lang w:val="id-ID"/>
        </w:rPr>
        <w:tab/>
      </w:r>
      <w:r>
        <w:rPr>
          <w:rFonts w:ascii="Arial" w:hAnsi="Arial" w:cs="Arial"/>
        </w:rPr>
        <w:t>4(3), 390–405.</w:t>
      </w:r>
    </w:p>
    <w:p w14:paraId="5086D409" w14:textId="77777777" w:rsidR="00637D0A" w:rsidRDefault="00441CE7">
      <w:pPr>
        <w:jc w:val="both"/>
        <w:rPr>
          <w:rFonts w:ascii="Arial" w:hAnsi="Arial" w:cs="Arial"/>
        </w:rPr>
      </w:pPr>
      <w:proofErr w:type="spellStart"/>
      <w:r>
        <w:rPr>
          <w:rFonts w:ascii="Arial" w:hAnsi="Arial" w:cs="Arial"/>
        </w:rPr>
        <w:t>Nugraha</w:t>
      </w:r>
      <w:proofErr w:type="spellEnd"/>
      <w:r>
        <w:rPr>
          <w:rFonts w:ascii="Arial" w:hAnsi="Arial" w:cs="Arial"/>
        </w:rPr>
        <w:t xml:space="preserve">, K. P., </w:t>
      </w:r>
      <w:proofErr w:type="spellStart"/>
      <w:r>
        <w:rPr>
          <w:rFonts w:ascii="Arial" w:hAnsi="Arial" w:cs="Arial"/>
        </w:rPr>
        <w:t>Budiwitjaksono</w:t>
      </w:r>
      <w:proofErr w:type="spellEnd"/>
      <w:r>
        <w:rPr>
          <w:rFonts w:ascii="Arial" w:hAnsi="Arial" w:cs="Arial"/>
        </w:rPr>
        <w:t xml:space="preserve">, G. S., &amp; Suhartini, D. (2020). The role of dividend policy in </w:t>
      </w:r>
      <w:r>
        <w:rPr>
          <w:rFonts w:ascii="Arial" w:hAnsi="Arial" w:cs="Arial"/>
          <w:lang w:val="id-ID"/>
        </w:rPr>
        <w:tab/>
      </w:r>
      <w:r>
        <w:rPr>
          <w:rFonts w:ascii="Arial" w:hAnsi="Arial" w:cs="Arial"/>
        </w:rPr>
        <w:t xml:space="preserve">moderating the effects of profitability and liquidity on firm value. Journal MEBIS </w:t>
      </w:r>
      <w:r>
        <w:rPr>
          <w:rFonts w:ascii="Arial" w:hAnsi="Arial" w:cs="Arial"/>
          <w:lang w:val="id-ID"/>
        </w:rPr>
        <w:tab/>
      </w:r>
      <w:r>
        <w:rPr>
          <w:rFonts w:ascii="Arial" w:hAnsi="Arial" w:cs="Arial"/>
        </w:rPr>
        <w:t>(Management and Business), 5(1), 18–23.</w:t>
      </w:r>
    </w:p>
    <w:p w14:paraId="5F813B4E" w14:textId="77777777" w:rsidR="00637D0A" w:rsidRDefault="00441CE7">
      <w:pPr>
        <w:jc w:val="both"/>
        <w:rPr>
          <w:rFonts w:ascii="Arial" w:hAnsi="Arial" w:cs="Arial"/>
        </w:rPr>
      </w:pPr>
      <w:proofErr w:type="spellStart"/>
      <w:r>
        <w:rPr>
          <w:rFonts w:ascii="Arial" w:hAnsi="Arial" w:cs="Arial"/>
        </w:rPr>
        <w:t>Nofika</w:t>
      </w:r>
      <w:proofErr w:type="spellEnd"/>
      <w:r>
        <w:rPr>
          <w:rFonts w:ascii="Arial" w:hAnsi="Arial" w:cs="Arial"/>
        </w:rPr>
        <w:t xml:space="preserve">, S., &amp; Nurhayati, I. (2022). Analysis of factors influencing with dividend policy as a </w:t>
      </w:r>
      <w:r>
        <w:rPr>
          <w:rFonts w:ascii="Arial" w:hAnsi="Arial" w:cs="Arial"/>
          <w:lang w:val="id-ID"/>
        </w:rPr>
        <w:tab/>
      </w:r>
      <w:r>
        <w:rPr>
          <w:rFonts w:ascii="Arial" w:hAnsi="Arial" w:cs="Arial"/>
        </w:rPr>
        <w:t>moderating variable. Owner: Research and Journal of Accounting, 6(1), 828–845.</w:t>
      </w:r>
    </w:p>
    <w:p w14:paraId="7BCCF799" w14:textId="77777777" w:rsidR="00637D0A" w:rsidRDefault="00441CE7">
      <w:pPr>
        <w:jc w:val="both"/>
        <w:rPr>
          <w:rFonts w:ascii="Arial" w:hAnsi="Arial" w:cs="Arial"/>
        </w:rPr>
      </w:pPr>
      <w:r>
        <w:rPr>
          <w:rFonts w:ascii="Arial" w:hAnsi="Arial" w:cs="Arial"/>
        </w:rPr>
        <w:t xml:space="preserve">Purnomo, D. W., Fatimah, &amp; Nurhalimah. (2023). The Effect of Dividend Policy, Profitability, </w:t>
      </w:r>
      <w:r>
        <w:rPr>
          <w:rFonts w:ascii="Arial" w:hAnsi="Arial" w:cs="Arial"/>
          <w:lang w:val="id-ID"/>
        </w:rPr>
        <w:tab/>
      </w:r>
      <w:r>
        <w:rPr>
          <w:rFonts w:ascii="Arial" w:hAnsi="Arial" w:cs="Arial"/>
        </w:rPr>
        <w:t xml:space="preserve">and Company Size on Firm Value in Manufacturing Companies on the Indonesia </w:t>
      </w:r>
      <w:r>
        <w:rPr>
          <w:rFonts w:ascii="Arial" w:hAnsi="Arial" w:cs="Arial"/>
          <w:lang w:val="id-ID"/>
        </w:rPr>
        <w:tab/>
      </w:r>
      <w:r>
        <w:rPr>
          <w:rFonts w:ascii="Arial" w:hAnsi="Arial" w:cs="Arial"/>
        </w:rPr>
        <w:t xml:space="preserve">Stock </w:t>
      </w:r>
      <w:proofErr w:type="gramStart"/>
      <w:r>
        <w:rPr>
          <w:rFonts w:ascii="Arial" w:hAnsi="Arial" w:cs="Arial"/>
        </w:rPr>
        <w:t>Exchange .</w:t>
      </w:r>
      <w:proofErr w:type="gramEnd"/>
      <w:r>
        <w:rPr>
          <w:rFonts w:ascii="Arial" w:hAnsi="Arial" w:cs="Arial"/>
        </w:rPr>
        <w:t xml:space="preserve"> Journal of Accounting and Business Science, 9(2), 80–92.</w:t>
      </w:r>
    </w:p>
    <w:p w14:paraId="0143A7BD" w14:textId="77777777" w:rsidR="00637D0A" w:rsidRDefault="00441CE7">
      <w:pPr>
        <w:jc w:val="both"/>
        <w:rPr>
          <w:rFonts w:ascii="Arial" w:hAnsi="Arial" w:cs="Arial"/>
        </w:rPr>
      </w:pPr>
      <w:r>
        <w:rPr>
          <w:rFonts w:ascii="Arial" w:hAnsi="Arial" w:cs="Arial"/>
        </w:rPr>
        <w:t xml:space="preserve">Ratana, C., &amp; Hermanto, H. (2023). The Effects of Firm Size, Investment Decisions, Debt </w:t>
      </w:r>
      <w:r>
        <w:rPr>
          <w:rFonts w:ascii="Arial" w:hAnsi="Arial" w:cs="Arial"/>
          <w:lang w:val="id-ID"/>
        </w:rPr>
        <w:tab/>
      </w:r>
      <w:r>
        <w:rPr>
          <w:rFonts w:ascii="Arial" w:hAnsi="Arial" w:cs="Arial"/>
        </w:rPr>
        <w:t xml:space="preserve">Policy, and Inventory Turnover on Firm Value. JIIP-Journal of Educational Sciences, </w:t>
      </w:r>
      <w:r>
        <w:rPr>
          <w:rFonts w:ascii="Arial" w:hAnsi="Arial" w:cs="Arial"/>
          <w:lang w:val="id-ID"/>
        </w:rPr>
        <w:tab/>
      </w:r>
      <w:r>
        <w:rPr>
          <w:rFonts w:ascii="Arial" w:hAnsi="Arial" w:cs="Arial"/>
        </w:rPr>
        <w:t>6(5), 2994-3001.</w:t>
      </w:r>
    </w:p>
    <w:p w14:paraId="1B86BA94" w14:textId="77777777" w:rsidR="00637D0A" w:rsidRDefault="00441CE7">
      <w:pPr>
        <w:jc w:val="both"/>
        <w:rPr>
          <w:rFonts w:ascii="Arial" w:hAnsi="Arial" w:cs="Arial"/>
        </w:rPr>
      </w:pPr>
      <w:r>
        <w:rPr>
          <w:rFonts w:ascii="Arial" w:hAnsi="Arial" w:cs="Arial"/>
        </w:rPr>
        <w:t xml:space="preserve">Ramadhani, F., Herawati, R., </w:t>
      </w:r>
      <w:proofErr w:type="spellStart"/>
      <w:r>
        <w:rPr>
          <w:rFonts w:ascii="Arial" w:hAnsi="Arial" w:cs="Arial"/>
        </w:rPr>
        <w:t>Mardjono</w:t>
      </w:r>
      <w:proofErr w:type="spellEnd"/>
      <w:r>
        <w:rPr>
          <w:rFonts w:ascii="Arial" w:hAnsi="Arial" w:cs="Arial"/>
        </w:rPr>
        <w:t xml:space="preserve">, E. S., &amp; </w:t>
      </w:r>
      <w:proofErr w:type="spellStart"/>
      <w:r>
        <w:rPr>
          <w:rFonts w:ascii="Arial" w:hAnsi="Arial" w:cs="Arial"/>
        </w:rPr>
        <w:t>Minarso</w:t>
      </w:r>
      <w:proofErr w:type="spellEnd"/>
      <w:r>
        <w:rPr>
          <w:rFonts w:ascii="Arial" w:hAnsi="Arial" w:cs="Arial"/>
        </w:rPr>
        <w:t xml:space="preserve">, B. (2025). Dynamics </w:t>
      </w:r>
      <w:proofErr w:type="gramStart"/>
      <w:r>
        <w:rPr>
          <w:rFonts w:ascii="Arial" w:hAnsi="Arial" w:cs="Arial"/>
        </w:rPr>
        <w:t>of :</w:t>
      </w:r>
      <w:proofErr w:type="gramEnd"/>
      <w:r>
        <w:rPr>
          <w:rFonts w:ascii="Arial" w:hAnsi="Arial" w:cs="Arial"/>
        </w:rPr>
        <w:t xml:space="preserve"> An </w:t>
      </w:r>
      <w:r>
        <w:rPr>
          <w:rFonts w:ascii="Arial" w:hAnsi="Arial" w:cs="Arial"/>
          <w:lang w:val="id-ID"/>
        </w:rPr>
        <w:tab/>
      </w:r>
      <w:r>
        <w:rPr>
          <w:rFonts w:ascii="Arial" w:hAnsi="Arial" w:cs="Arial"/>
        </w:rPr>
        <w:t xml:space="preserve">Empirical Study on the Effects of Investment </w:t>
      </w:r>
      <w:proofErr w:type="gramStart"/>
      <w:r>
        <w:rPr>
          <w:rFonts w:ascii="Arial" w:hAnsi="Arial" w:cs="Arial"/>
        </w:rPr>
        <w:t>Decisions ,</w:t>
      </w:r>
      <w:proofErr w:type="gramEnd"/>
      <w:r>
        <w:rPr>
          <w:rFonts w:ascii="Arial" w:hAnsi="Arial" w:cs="Arial"/>
        </w:rPr>
        <w:t xml:space="preserve"> and dividend policy. Journal </w:t>
      </w:r>
      <w:r>
        <w:rPr>
          <w:rFonts w:ascii="Arial" w:hAnsi="Arial" w:cs="Arial"/>
          <w:lang w:val="id-ID"/>
        </w:rPr>
        <w:tab/>
      </w:r>
      <w:r>
        <w:rPr>
          <w:rFonts w:ascii="Arial" w:hAnsi="Arial" w:cs="Arial"/>
        </w:rPr>
        <w:t>of Business and Accounting (JBA), 12(2), 56–68.</w:t>
      </w:r>
    </w:p>
    <w:p w14:paraId="1AB08D18" w14:textId="77777777" w:rsidR="00637D0A" w:rsidRDefault="00441CE7">
      <w:pPr>
        <w:jc w:val="both"/>
        <w:rPr>
          <w:rFonts w:ascii="Arial" w:hAnsi="Arial" w:cs="Arial"/>
        </w:rPr>
      </w:pPr>
      <w:r>
        <w:rPr>
          <w:rFonts w:ascii="Arial" w:hAnsi="Arial" w:cs="Arial"/>
        </w:rPr>
        <w:t>Rorlen, A., Astari</w:t>
      </w:r>
      <w:proofErr w:type="gramStart"/>
      <w:r>
        <w:rPr>
          <w:rFonts w:ascii="Arial" w:hAnsi="Arial" w:cs="Arial"/>
        </w:rPr>
        <w:t>, ,</w:t>
      </w:r>
      <w:proofErr w:type="gramEnd"/>
      <w:r>
        <w:rPr>
          <w:rFonts w:ascii="Arial" w:hAnsi="Arial" w:cs="Arial"/>
        </w:rPr>
        <w:t xml:space="preserve"> &amp; Huang, V. J. (2025). The influence of signaling theory on stock price </w:t>
      </w:r>
      <w:r>
        <w:rPr>
          <w:rFonts w:ascii="Arial" w:hAnsi="Arial" w:cs="Arial"/>
          <w:lang w:val="id-ID"/>
        </w:rPr>
        <w:tab/>
      </w:r>
      <w:r>
        <w:rPr>
          <w:rFonts w:ascii="Arial" w:hAnsi="Arial" w:cs="Arial"/>
        </w:rPr>
        <w:t xml:space="preserve">movements of LQ45 companies on the Indonesia Stock Exchange – Third Quarter </w:t>
      </w:r>
      <w:r>
        <w:rPr>
          <w:rFonts w:ascii="Arial" w:hAnsi="Arial" w:cs="Arial"/>
          <w:lang w:val="id-ID"/>
        </w:rPr>
        <w:tab/>
      </w:r>
      <w:r>
        <w:rPr>
          <w:rFonts w:ascii="Arial" w:hAnsi="Arial" w:cs="Arial"/>
        </w:rPr>
        <w:t>2024. Serina Journal of Economics and Business, 3(1), 96–105.</w:t>
      </w:r>
    </w:p>
    <w:p w14:paraId="0221A215" w14:textId="77777777" w:rsidR="00637D0A" w:rsidRDefault="00441CE7">
      <w:pPr>
        <w:jc w:val="both"/>
        <w:rPr>
          <w:rFonts w:ascii="Arial" w:hAnsi="Arial" w:cs="Arial"/>
        </w:rPr>
      </w:pPr>
      <w:r>
        <w:rPr>
          <w:rFonts w:ascii="Arial" w:hAnsi="Arial" w:cs="Arial"/>
        </w:rPr>
        <w:t xml:space="preserve">Sarma, F. F. A. &amp; </w:t>
      </w:r>
      <w:proofErr w:type="spellStart"/>
      <w:r>
        <w:rPr>
          <w:rFonts w:ascii="Arial" w:hAnsi="Arial" w:cs="Arial"/>
        </w:rPr>
        <w:t>Handayani</w:t>
      </w:r>
      <w:proofErr w:type="spellEnd"/>
      <w:r>
        <w:rPr>
          <w:rFonts w:ascii="Arial" w:hAnsi="Arial" w:cs="Arial"/>
        </w:rPr>
        <w:t xml:space="preserve">, N. (2025). The Effect of Profitability, Liquidity, Capital </w:t>
      </w:r>
      <w:r>
        <w:rPr>
          <w:rFonts w:ascii="Arial" w:hAnsi="Arial" w:cs="Arial"/>
          <w:lang w:val="id-ID"/>
        </w:rPr>
        <w:tab/>
      </w:r>
      <w:r>
        <w:rPr>
          <w:rFonts w:ascii="Arial" w:hAnsi="Arial" w:cs="Arial"/>
        </w:rPr>
        <w:t xml:space="preserve">Structure, and Firm Size on Firm Value. Journal of Economics and Business Journal, </w:t>
      </w:r>
      <w:r>
        <w:rPr>
          <w:rFonts w:ascii="Arial" w:hAnsi="Arial" w:cs="Arial"/>
          <w:lang w:val="id-ID"/>
        </w:rPr>
        <w:tab/>
      </w:r>
      <w:r>
        <w:rPr>
          <w:rFonts w:ascii="Arial" w:hAnsi="Arial" w:cs="Arial"/>
        </w:rPr>
        <w:t>19(1).</w:t>
      </w:r>
    </w:p>
    <w:p w14:paraId="5F53BEFB" w14:textId="77777777" w:rsidR="00637D0A" w:rsidRDefault="00441CE7">
      <w:pPr>
        <w:jc w:val="both"/>
        <w:rPr>
          <w:rFonts w:ascii="Arial" w:hAnsi="Arial" w:cs="Arial"/>
        </w:rPr>
      </w:pPr>
      <w:r>
        <w:rPr>
          <w:rFonts w:ascii="Arial" w:hAnsi="Arial" w:cs="Arial"/>
        </w:rPr>
        <w:t xml:space="preserve">Sastra, E. (2019). The Effect of Working Capital, Liquidity, and Capital Structure on </w:t>
      </w:r>
      <w:r>
        <w:rPr>
          <w:rFonts w:ascii="Arial" w:hAnsi="Arial" w:cs="Arial"/>
          <w:lang w:val="id-ID"/>
        </w:rPr>
        <w:tab/>
      </w:r>
      <w:r>
        <w:rPr>
          <w:rFonts w:ascii="Arial" w:hAnsi="Arial" w:cs="Arial"/>
        </w:rPr>
        <w:t xml:space="preserve">Profitability of Manufacturing Companies 2012–2014. Journal of Economics, 24(1), </w:t>
      </w:r>
      <w:r>
        <w:rPr>
          <w:rFonts w:ascii="Arial" w:hAnsi="Arial" w:cs="Arial"/>
          <w:lang w:val="id-ID"/>
        </w:rPr>
        <w:tab/>
      </w:r>
      <w:r>
        <w:rPr>
          <w:rFonts w:ascii="Arial" w:hAnsi="Arial" w:cs="Arial"/>
        </w:rPr>
        <w:t>80–93.</w:t>
      </w:r>
    </w:p>
    <w:p w14:paraId="2AD27FFC" w14:textId="77777777" w:rsidR="00637D0A" w:rsidRDefault="00441CE7">
      <w:pPr>
        <w:jc w:val="both"/>
        <w:rPr>
          <w:rFonts w:ascii="Arial" w:hAnsi="Arial" w:cs="Arial"/>
        </w:rPr>
      </w:pPr>
      <w:proofErr w:type="spellStart"/>
      <w:r>
        <w:rPr>
          <w:rFonts w:ascii="Arial" w:hAnsi="Arial" w:cs="Arial"/>
        </w:rPr>
        <w:t>Sudana</w:t>
      </w:r>
      <w:proofErr w:type="spellEnd"/>
      <w:r>
        <w:rPr>
          <w:rFonts w:ascii="Arial" w:hAnsi="Arial" w:cs="Arial"/>
        </w:rPr>
        <w:t>,</w:t>
      </w:r>
      <w:r>
        <w:rPr>
          <w:rFonts w:ascii="Arial" w:hAnsi="Arial" w:cs="Arial"/>
          <w:lang w:val="id-ID"/>
        </w:rPr>
        <w:t xml:space="preserve"> </w:t>
      </w:r>
      <w:r>
        <w:rPr>
          <w:rFonts w:ascii="Arial" w:hAnsi="Arial" w:cs="Arial"/>
        </w:rPr>
        <w:t xml:space="preserve">I. M. (2019). Corporate Financial Management. </w:t>
      </w:r>
      <w:proofErr w:type="spellStart"/>
      <w:r>
        <w:rPr>
          <w:rFonts w:ascii="Arial" w:hAnsi="Arial" w:cs="Arial"/>
        </w:rPr>
        <w:t>Erlangga</w:t>
      </w:r>
      <w:proofErr w:type="spellEnd"/>
      <w:r>
        <w:rPr>
          <w:rFonts w:ascii="Arial" w:hAnsi="Arial" w:cs="Arial"/>
        </w:rPr>
        <w:t>.</w:t>
      </w:r>
    </w:p>
    <w:p w14:paraId="6884C2B5" w14:textId="77777777" w:rsidR="00637D0A" w:rsidRDefault="00441CE7">
      <w:pPr>
        <w:jc w:val="both"/>
        <w:rPr>
          <w:rFonts w:ascii="Arial" w:hAnsi="Arial" w:cs="Arial"/>
        </w:rPr>
      </w:pPr>
      <w:r>
        <w:rPr>
          <w:rFonts w:ascii="Arial" w:hAnsi="Arial" w:cs="Arial"/>
        </w:rPr>
        <w:t xml:space="preserve">Takarini, N., &amp; Pratiwi, N. D. (2022). Analysis of Factors Affecting Profitability in Listed </w:t>
      </w:r>
      <w:r>
        <w:rPr>
          <w:rFonts w:ascii="Arial" w:hAnsi="Arial" w:cs="Arial"/>
          <w:lang w:val="id-ID"/>
        </w:rPr>
        <w:tab/>
      </w:r>
      <w:r>
        <w:rPr>
          <w:rFonts w:ascii="Arial" w:hAnsi="Arial" w:cs="Arial"/>
        </w:rPr>
        <w:t>Companies in the Food and Beverage Subsector Listed</w:t>
      </w:r>
      <w:r>
        <w:rPr>
          <w:rFonts w:ascii="Arial" w:hAnsi="Arial" w:cs="Arial"/>
          <w:lang w:val="id-ID"/>
        </w:rPr>
        <w:t xml:space="preserve"> </w:t>
      </w:r>
      <w:r>
        <w:rPr>
          <w:rFonts w:ascii="Arial" w:hAnsi="Arial" w:cs="Arial"/>
        </w:rPr>
        <w:t xml:space="preserve">on the IDX. Journal of </w:t>
      </w:r>
      <w:r>
        <w:rPr>
          <w:rFonts w:ascii="Arial" w:hAnsi="Arial" w:cs="Arial"/>
          <w:lang w:val="id-ID"/>
        </w:rPr>
        <w:tab/>
      </w:r>
      <w:r>
        <w:rPr>
          <w:rFonts w:ascii="Arial" w:hAnsi="Arial" w:cs="Arial"/>
        </w:rPr>
        <w:t>Economic Education (JURKAMI), 7(3), 491-501.</w:t>
      </w:r>
    </w:p>
    <w:p w14:paraId="482E83A1" w14:textId="77777777" w:rsidR="00637D0A" w:rsidRDefault="00441CE7">
      <w:pPr>
        <w:jc w:val="both"/>
        <w:rPr>
          <w:rFonts w:ascii="Arial" w:hAnsi="Arial" w:cs="Arial"/>
        </w:rPr>
      </w:pPr>
      <w:r>
        <w:rPr>
          <w:rFonts w:ascii="Arial" w:hAnsi="Arial" w:cs="Arial"/>
        </w:rPr>
        <w:t xml:space="preserve">Toni, N., MM, C., </w:t>
      </w:r>
      <w:proofErr w:type="spellStart"/>
      <w:r>
        <w:rPr>
          <w:rFonts w:ascii="Arial" w:hAnsi="Arial" w:cs="Arial"/>
        </w:rPr>
        <w:t>Anggara</w:t>
      </w:r>
      <w:proofErr w:type="spellEnd"/>
      <w:r>
        <w:rPr>
          <w:rFonts w:ascii="Arial" w:hAnsi="Arial" w:cs="Arial"/>
        </w:rPr>
        <w:t xml:space="preserve">, L., Ak, S., &amp; Ak, M. (2021). Partial Least Squares Analysis Study </w:t>
      </w:r>
      <w:r>
        <w:rPr>
          <w:rFonts w:ascii="Arial" w:hAnsi="Arial" w:cs="Arial"/>
          <w:lang w:val="id-ID"/>
        </w:rPr>
        <w:tab/>
      </w:r>
      <w:r>
        <w:rPr>
          <w:rFonts w:ascii="Arial" w:hAnsi="Arial" w:cs="Arial"/>
        </w:rPr>
        <w:t xml:space="preserve">of Property and Real Estate Companies Listed on the Indonesia Stock </w:t>
      </w:r>
      <w:proofErr w:type="gramStart"/>
      <w:r>
        <w:rPr>
          <w:rFonts w:ascii="Arial" w:hAnsi="Arial" w:cs="Arial"/>
        </w:rPr>
        <w:t>Exchange .</w:t>
      </w:r>
      <w:proofErr w:type="gramEnd"/>
      <w:r>
        <w:rPr>
          <w:rFonts w:ascii="Arial" w:hAnsi="Arial" w:cs="Arial"/>
        </w:rPr>
        <w:t xml:space="preserve"> </w:t>
      </w:r>
      <w:r>
        <w:rPr>
          <w:rFonts w:ascii="Arial" w:hAnsi="Arial" w:cs="Arial"/>
          <w:lang w:val="id-ID"/>
        </w:rPr>
        <w:tab/>
      </w:r>
      <w:r>
        <w:rPr>
          <w:rFonts w:ascii="Arial" w:hAnsi="Arial" w:cs="Arial"/>
        </w:rPr>
        <w:t xml:space="preserve">Merdeka </w:t>
      </w:r>
      <w:proofErr w:type="spellStart"/>
      <w:r>
        <w:rPr>
          <w:rFonts w:ascii="Arial" w:hAnsi="Arial" w:cs="Arial"/>
        </w:rPr>
        <w:t>Kreasi</w:t>
      </w:r>
      <w:proofErr w:type="spellEnd"/>
      <w:r>
        <w:rPr>
          <w:rFonts w:ascii="Arial" w:hAnsi="Arial" w:cs="Arial"/>
        </w:rPr>
        <w:t xml:space="preserve"> Group.</w:t>
      </w:r>
    </w:p>
    <w:p w14:paraId="3B7C8437" w14:textId="77777777" w:rsidR="00637D0A" w:rsidRDefault="00441CE7">
      <w:pPr>
        <w:jc w:val="both"/>
        <w:rPr>
          <w:rFonts w:ascii="Arial" w:hAnsi="Arial" w:cs="Arial"/>
        </w:rPr>
      </w:pPr>
      <w:r>
        <w:rPr>
          <w:rFonts w:ascii="Arial" w:hAnsi="Arial" w:cs="Arial"/>
        </w:rPr>
        <w:t xml:space="preserve">Utami, M. S., &amp; </w:t>
      </w:r>
      <w:proofErr w:type="spellStart"/>
      <w:r>
        <w:rPr>
          <w:rFonts w:ascii="Arial" w:hAnsi="Arial" w:cs="Arial"/>
        </w:rPr>
        <w:t>Kushermanto</w:t>
      </w:r>
      <w:proofErr w:type="spellEnd"/>
      <w:r>
        <w:rPr>
          <w:rFonts w:ascii="Arial" w:hAnsi="Arial" w:cs="Arial"/>
        </w:rPr>
        <w:t xml:space="preserve">, A. (2024). The Effect of Corporate Social Responsibility, </w:t>
      </w:r>
      <w:r>
        <w:rPr>
          <w:rFonts w:ascii="Arial" w:hAnsi="Arial" w:cs="Arial"/>
          <w:lang w:val="id-ID"/>
        </w:rPr>
        <w:tab/>
      </w:r>
      <w:r>
        <w:rPr>
          <w:rFonts w:ascii="Arial" w:hAnsi="Arial" w:cs="Arial"/>
        </w:rPr>
        <w:t xml:space="preserve">Profitability, Liquidity, Activity, and Firm Size on Firm Value (A Study of Companies </w:t>
      </w:r>
      <w:r>
        <w:rPr>
          <w:rFonts w:ascii="Arial" w:hAnsi="Arial" w:cs="Arial"/>
          <w:lang w:val="id-ID"/>
        </w:rPr>
        <w:tab/>
      </w:r>
      <w:r>
        <w:rPr>
          <w:rFonts w:ascii="Arial" w:hAnsi="Arial" w:cs="Arial"/>
        </w:rPr>
        <w:t xml:space="preserve">in the Industrial Subsector Listed on the IDX for the 2018–2021 Period). Journal of </w:t>
      </w:r>
      <w:r>
        <w:rPr>
          <w:rFonts w:ascii="Arial" w:hAnsi="Arial" w:cs="Arial"/>
          <w:lang w:val="id-ID"/>
        </w:rPr>
        <w:tab/>
      </w:r>
      <w:r>
        <w:rPr>
          <w:rFonts w:ascii="Arial" w:hAnsi="Arial" w:cs="Arial"/>
        </w:rPr>
        <w:t>Accounting and Management's Student, 1(2).</w:t>
      </w:r>
    </w:p>
    <w:p w14:paraId="32E90BD2" w14:textId="77777777" w:rsidR="00637D0A" w:rsidRDefault="00441CE7">
      <w:pPr>
        <w:jc w:val="both"/>
        <w:rPr>
          <w:rFonts w:ascii="Arial" w:hAnsi="Arial" w:cs="Arial"/>
        </w:rPr>
      </w:pPr>
      <w:proofErr w:type="spellStart"/>
      <w:r>
        <w:rPr>
          <w:rFonts w:ascii="Arial" w:hAnsi="Arial" w:cs="Arial"/>
        </w:rPr>
        <w:t>Yuniati</w:t>
      </w:r>
      <w:proofErr w:type="spellEnd"/>
      <w:r>
        <w:rPr>
          <w:rFonts w:ascii="Arial" w:hAnsi="Arial" w:cs="Arial"/>
        </w:rPr>
        <w:t>, T. (2019). The Effect of Profitability, Dividend Policy, and Debt Policy</w:t>
      </w:r>
      <w:r>
        <w:rPr>
          <w:rFonts w:ascii="Arial" w:hAnsi="Arial" w:cs="Arial"/>
          <w:lang w:val="id-ID"/>
        </w:rPr>
        <w:t xml:space="preserve"> </w:t>
      </w:r>
      <w:r>
        <w:rPr>
          <w:rFonts w:ascii="Arial" w:hAnsi="Arial" w:cs="Arial"/>
        </w:rPr>
        <w:t xml:space="preserve">on Firm Value. </w:t>
      </w:r>
      <w:r>
        <w:rPr>
          <w:rFonts w:ascii="Arial" w:hAnsi="Arial" w:cs="Arial"/>
          <w:lang w:val="id-ID"/>
        </w:rPr>
        <w:tab/>
      </w:r>
      <w:r>
        <w:rPr>
          <w:rFonts w:ascii="Arial" w:hAnsi="Arial" w:cs="Arial"/>
        </w:rPr>
        <w:t>Journal of Management Science and Research (JIRM), 8(1).</w:t>
      </w:r>
    </w:p>
    <w:p w14:paraId="317748F6" w14:textId="77777777" w:rsidR="00637D0A" w:rsidRDefault="00441CE7">
      <w:pPr>
        <w:jc w:val="both"/>
        <w:rPr>
          <w:rFonts w:ascii="Arial" w:hAnsi="Arial" w:cs="Arial"/>
        </w:rPr>
      </w:pPr>
      <w:proofErr w:type="spellStart"/>
      <w:r>
        <w:rPr>
          <w:rFonts w:ascii="Arial" w:hAnsi="Arial" w:cs="Arial"/>
        </w:rPr>
        <w:t>Yuniningsih</w:t>
      </w:r>
      <w:proofErr w:type="spellEnd"/>
      <w:r>
        <w:rPr>
          <w:rFonts w:ascii="Arial" w:hAnsi="Arial" w:cs="Arial"/>
        </w:rPr>
        <w:t xml:space="preserve">, Y., Pertiwi, T. K., &amp; Purwanto, E. (2019). Fundamental factors of financial </w:t>
      </w:r>
      <w:r>
        <w:rPr>
          <w:rFonts w:ascii="Arial" w:hAnsi="Arial" w:cs="Arial"/>
          <w:lang w:val="id-ID"/>
        </w:rPr>
        <w:tab/>
      </w:r>
      <w:r>
        <w:rPr>
          <w:rFonts w:ascii="Arial" w:hAnsi="Arial" w:cs="Arial"/>
        </w:rPr>
        <w:t xml:space="preserve">management in determining company values. Management Science Letters, 9(2), </w:t>
      </w:r>
      <w:r>
        <w:rPr>
          <w:rFonts w:ascii="Arial" w:hAnsi="Arial" w:cs="Arial"/>
          <w:lang w:val="id-ID"/>
        </w:rPr>
        <w:tab/>
      </w:r>
      <w:r>
        <w:rPr>
          <w:rFonts w:ascii="Arial" w:hAnsi="Arial" w:cs="Arial"/>
        </w:rPr>
        <w:t>205–216.</w:t>
      </w:r>
    </w:p>
    <w:p w14:paraId="4836DEC2" w14:textId="77777777" w:rsidR="00637D0A" w:rsidRDefault="00637D0A">
      <w:pPr>
        <w:pStyle w:val="Appendix"/>
        <w:spacing w:after="0"/>
        <w:jc w:val="both"/>
        <w:rPr>
          <w:rFonts w:ascii="Arial" w:hAnsi="Arial" w:cs="Arial"/>
          <w:b w:val="0"/>
        </w:rPr>
        <w:sectPr w:rsidR="00637D0A" w:rsidSect="005C2D7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C0C86B3" w14:textId="77777777" w:rsidR="00637D0A" w:rsidRDefault="00637D0A">
      <w:pPr>
        <w:pStyle w:val="Appendix"/>
        <w:spacing w:after="0"/>
        <w:jc w:val="both"/>
        <w:rPr>
          <w:rFonts w:ascii="Arial" w:hAnsi="Arial" w:cs="Arial"/>
          <w:b w:val="0"/>
        </w:rPr>
      </w:pPr>
    </w:p>
    <w:sectPr w:rsidR="00637D0A" w:rsidSect="005C2D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185C" w14:textId="77777777" w:rsidR="00224743" w:rsidRDefault="00224743">
      <w:r>
        <w:separator/>
      </w:r>
    </w:p>
  </w:endnote>
  <w:endnote w:type="continuationSeparator" w:id="0">
    <w:p w14:paraId="07D60F57" w14:textId="77777777" w:rsidR="00224743" w:rsidRDefault="0022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937F" w14:textId="77777777" w:rsidR="005C2D7B" w:rsidRDefault="005C2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A754" w14:textId="77777777" w:rsidR="005C2D7B" w:rsidRDefault="005C2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30B5" w14:textId="4B3E028C" w:rsidR="00637D0A" w:rsidRPr="005C2D7B" w:rsidRDefault="00637D0A" w:rsidP="005C2D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B90" w14:textId="77777777" w:rsidR="00637D0A" w:rsidRDefault="00637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281F" w14:textId="77777777" w:rsidR="00224743" w:rsidRDefault="00224743">
      <w:r>
        <w:separator/>
      </w:r>
    </w:p>
  </w:footnote>
  <w:footnote w:type="continuationSeparator" w:id="0">
    <w:p w14:paraId="2B902509" w14:textId="77777777" w:rsidR="00224743" w:rsidRDefault="0022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D76" w14:textId="310B5D33" w:rsidR="005C2D7B" w:rsidRDefault="005C2D7B">
    <w:pPr>
      <w:pStyle w:val="Header"/>
    </w:pPr>
    <w:r>
      <w:rPr>
        <w:noProof/>
      </w:rPr>
      <w:pict w14:anchorId="42863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6B20" w14:textId="68290D20" w:rsidR="005C2D7B" w:rsidRDefault="005C2D7B">
    <w:pPr>
      <w:pStyle w:val="Header"/>
    </w:pPr>
    <w:r>
      <w:rPr>
        <w:noProof/>
      </w:rPr>
      <w:pict w14:anchorId="00F8E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79CC" w14:textId="146DD8A9" w:rsidR="00637D0A" w:rsidRDefault="005C2D7B">
    <w:pPr>
      <w:ind w:left="2160"/>
      <w:jc w:val="center"/>
      <w:rPr>
        <w:rFonts w:ascii="Times New Roman" w:eastAsia="Calibri" w:hAnsi="Times New Roman"/>
        <w:i/>
        <w:sz w:val="18"/>
        <w:szCs w:val="22"/>
      </w:rPr>
    </w:pPr>
    <w:r>
      <w:rPr>
        <w:noProof/>
      </w:rPr>
      <w:pict w14:anchorId="7715A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34636B" w14:textId="77777777" w:rsidR="00637D0A" w:rsidRDefault="00441CE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D6F7AE" w14:textId="77777777" w:rsidR="00637D0A" w:rsidRDefault="00441CE7">
    <w:pPr>
      <w:jc w:val="center"/>
      <w:rPr>
        <w:rFonts w:ascii="Times New Roman" w:eastAsia="Calibri" w:hAnsi="Times New Roman"/>
        <w:i/>
        <w:sz w:val="18"/>
        <w:szCs w:val="22"/>
      </w:rPr>
    </w:pPr>
    <w:r>
      <w:rPr>
        <w:rFonts w:ascii="Times New Roman" w:eastAsia="Calibri" w:hAnsi="Times New Roman"/>
        <w:i/>
        <w:sz w:val="18"/>
        <w:szCs w:val="22"/>
      </w:rPr>
      <w:t>.</w:t>
    </w:r>
  </w:p>
  <w:p w14:paraId="54E8B90F" w14:textId="77777777" w:rsidR="00637D0A" w:rsidRDefault="00441CE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F104F09" w14:textId="77777777" w:rsidR="00637D0A" w:rsidRDefault="00441CE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FB4FD43" w14:textId="77777777" w:rsidR="00637D0A" w:rsidRDefault="00441CE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64C9E2" w14:textId="77777777" w:rsidR="00637D0A" w:rsidRDefault="00441C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53AC" w14:textId="7C9483BE" w:rsidR="005C2D7B" w:rsidRDefault="005C2D7B">
    <w:pPr>
      <w:pStyle w:val="Header"/>
    </w:pPr>
    <w:r>
      <w:rPr>
        <w:noProof/>
      </w:rPr>
      <w:pict w14:anchorId="13DC1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1FE44E9B">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93AC" w14:textId="774272E0" w:rsidR="005C2D7B" w:rsidRDefault="005C2D7B">
    <w:pPr>
      <w:pStyle w:val="Header"/>
    </w:pPr>
    <w:r>
      <w:rPr>
        <w:noProof/>
      </w:rPr>
      <w:pict w14:anchorId="034B3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9"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3001AAC8">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10ED" w14:textId="066AA77D" w:rsidR="005C2D7B" w:rsidRDefault="005C2D7B">
    <w:pPr>
      <w:ind w:left="2160"/>
      <w:jc w:val="center"/>
      <w:rPr>
        <w:rFonts w:ascii="Times New Roman" w:eastAsia="Calibri" w:hAnsi="Times New Roman"/>
        <w:i/>
        <w:sz w:val="18"/>
        <w:szCs w:val="22"/>
      </w:rPr>
    </w:pPr>
    <w:r>
      <w:rPr>
        <w:noProof/>
      </w:rPr>
      <w:pict w14:anchorId="19C3C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487"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298932C2">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62EFC68" w14:textId="77777777" w:rsidR="005C2D7B" w:rsidRDefault="005C2D7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3961758" w14:textId="77777777" w:rsidR="005C2D7B" w:rsidRDefault="005C2D7B">
    <w:pPr>
      <w:jc w:val="center"/>
      <w:rPr>
        <w:rFonts w:ascii="Times New Roman" w:eastAsia="Calibri" w:hAnsi="Times New Roman"/>
        <w:i/>
        <w:sz w:val="18"/>
        <w:szCs w:val="22"/>
      </w:rPr>
    </w:pPr>
    <w:r>
      <w:rPr>
        <w:rFonts w:ascii="Times New Roman" w:eastAsia="Calibri" w:hAnsi="Times New Roman"/>
        <w:i/>
        <w:sz w:val="18"/>
        <w:szCs w:val="22"/>
      </w:rPr>
      <w:t>.</w:t>
    </w:r>
  </w:p>
  <w:p w14:paraId="200A6496" w14:textId="77777777" w:rsidR="005C2D7B" w:rsidRDefault="005C2D7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9C18B42" w14:textId="77777777" w:rsidR="005C2D7B" w:rsidRDefault="005C2D7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10848BB" w14:textId="77777777" w:rsidR="005C2D7B" w:rsidRDefault="005C2D7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5DAFB09" w14:textId="77777777" w:rsidR="005C2D7B" w:rsidRDefault="005C2D7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upperRoman"/>
      <w:lvlText w:val="%1."/>
      <w:legacy w:legacy="1" w:legacySpace="144" w:legacyIndent="144"/>
      <w:lvlJc w:val="left"/>
      <w:rPr>
        <w:b/>
      </w:rPr>
    </w:lvl>
    <w:lvl w:ilvl="1">
      <w:start w:val="1"/>
      <w:numFmt w:val="upperLetter"/>
      <w:pStyle w:val="Heading2"/>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512" w:hanging="720"/>
      </w:pPr>
    </w:lvl>
    <w:lvl w:ilvl="4">
      <w:start w:val="1"/>
      <w:numFmt w:val="decimal"/>
      <w:lvlText w:val="(%5)"/>
      <w:legacy w:legacy="1" w:legacySpace="0" w:legacyIndent="720"/>
      <w:lvlJc w:val="left"/>
      <w:pPr>
        <w:ind w:left="2232" w:hanging="720"/>
      </w:pPr>
    </w:lvl>
    <w:lvl w:ilvl="5">
      <w:start w:val="1"/>
      <w:numFmt w:val="lowerLetter"/>
      <w:lvlText w:val="(%6)"/>
      <w:legacy w:legacy="1" w:legacySpace="0" w:legacyIndent="720"/>
      <w:lvlJc w:val="left"/>
      <w:pPr>
        <w:ind w:left="2952" w:hanging="720"/>
      </w:pPr>
    </w:lvl>
    <w:lvl w:ilvl="6">
      <w:start w:val="1"/>
      <w:numFmt w:val="lowerRoman"/>
      <w:lvlText w:val="(%7)"/>
      <w:legacy w:legacy="1" w:legacySpace="0" w:legacyIndent="720"/>
      <w:lvlJc w:val="left"/>
      <w:pPr>
        <w:ind w:left="3672" w:hanging="720"/>
      </w:pPr>
    </w:lvl>
    <w:lvl w:ilvl="7">
      <w:start w:val="1"/>
      <w:numFmt w:val="lowerLetter"/>
      <w:lvlText w:val="(%8)"/>
      <w:legacy w:legacy="1" w:legacySpace="0" w:legacyIndent="720"/>
      <w:lvlJc w:val="left"/>
      <w:pPr>
        <w:ind w:left="4392" w:hanging="720"/>
      </w:pPr>
    </w:lvl>
    <w:lvl w:ilvl="8">
      <w:start w:val="1"/>
      <w:numFmt w:val="lowerRoman"/>
      <w:lvlText w:val="(%9)"/>
      <w:legacy w:legacy="1" w:legacySpace="0" w:legacyIndent="720"/>
      <w:lvlJc w:val="left"/>
      <w:pPr>
        <w:ind w:left="5112" w:hanging="720"/>
      </w:pPr>
    </w:lvl>
  </w:abstractNum>
  <w:abstractNum w:abstractNumId="1" w15:restartNumberingAfterBreak="0">
    <w:nsid w:val="4CDEB63B"/>
    <w:multiLevelType w:val="multilevel"/>
    <w:tmpl w:val="4CDEB63B"/>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singl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73530361">
    <w:abstractNumId w:val="0"/>
  </w:num>
  <w:num w:numId="2" w16cid:durableId="79454739">
    <w:abstractNumId w:val="3"/>
  </w:num>
  <w:num w:numId="3" w16cid:durableId="102651939">
    <w:abstractNumId w:val="2"/>
  </w:num>
  <w:num w:numId="4" w16cid:durableId="211663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74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27E1"/>
    <w:rsid w:val="0041027F"/>
    <w:rsid w:val="00412475"/>
    <w:rsid w:val="00423789"/>
    <w:rsid w:val="00440F43"/>
    <w:rsid w:val="00441B6F"/>
    <w:rsid w:val="00441CE7"/>
    <w:rsid w:val="00446221"/>
    <w:rsid w:val="00450E62"/>
    <w:rsid w:val="004539DB"/>
    <w:rsid w:val="00471A80"/>
    <w:rsid w:val="004D305E"/>
    <w:rsid w:val="004D4277"/>
    <w:rsid w:val="004F4C69"/>
    <w:rsid w:val="00502516"/>
    <w:rsid w:val="00505F06"/>
    <w:rsid w:val="00506828"/>
    <w:rsid w:val="0053056E"/>
    <w:rsid w:val="00554FDA"/>
    <w:rsid w:val="005C2D7B"/>
    <w:rsid w:val="005C784C"/>
    <w:rsid w:val="005D17F6"/>
    <w:rsid w:val="005E5539"/>
    <w:rsid w:val="00602BF5"/>
    <w:rsid w:val="00617FDD"/>
    <w:rsid w:val="00633614"/>
    <w:rsid w:val="00633F68"/>
    <w:rsid w:val="00636EB2"/>
    <w:rsid w:val="006375B8"/>
    <w:rsid w:val="00637D0A"/>
    <w:rsid w:val="0066510A"/>
    <w:rsid w:val="00673F9F"/>
    <w:rsid w:val="00684975"/>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463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5962"/>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28344EF6"/>
    <w:rsid w:val="2857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5B0B0A"/>
  <w15:docId w15:val="{8C892610-A230-4DB5-AB02-41BA1CC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numPr>
        <w:ilvl w:val="1"/>
        <w:numId w:val="1"/>
      </w:numPr>
      <w:autoSpaceDE w:val="0"/>
      <w:autoSpaceDN w:val="0"/>
      <w:spacing w:before="120" w:after="60"/>
      <w:ind w:left="144"/>
      <w:outlineLvl w:val="1"/>
    </w:pPr>
    <w:rPr>
      <w:rFonts w:ascii="Times New Roman" w:eastAsia="PMingLiU"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line="228" w:lineRule="auto"/>
      <w:ind w:firstLine="288"/>
      <w:jc w:val="both"/>
    </w:pPr>
    <w:rPr>
      <w:rFonts w:ascii="Times New Roman" w:eastAsia="SimSun" w:hAnsi="Times New Roman"/>
      <w:spacing w:val="-1"/>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2"/>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IEEEHeading2">
    <w:name w:val="IEEE Heading 2"/>
    <w:basedOn w:val="Normal"/>
    <w:next w:val="IEEEParagraph"/>
    <w:pPr>
      <w:numPr>
        <w:numId w:val="3"/>
      </w:numPr>
      <w:adjustRightInd w:val="0"/>
      <w:snapToGrid w:val="0"/>
      <w:spacing w:before="150" w:after="60"/>
      <w:ind w:left="289" w:hanging="289"/>
    </w:pPr>
    <w:rPr>
      <w:rFonts w:ascii="Times New Roman" w:eastAsia="SimSun" w:hAnsi="Times New Roman"/>
      <w:i/>
      <w:szCs w:val="24"/>
      <w:lang w:val="en-AU" w:eastAsia="zh-CN"/>
    </w:rPr>
  </w:style>
  <w:style w:type="paragraph" w:customStyle="1" w:styleId="IEEEParagraph">
    <w:name w:val="IEEE Paragraph"/>
    <w:basedOn w:val="Normal"/>
    <w:qFormat/>
    <w:pPr>
      <w:adjustRightInd w:val="0"/>
      <w:snapToGrid w:val="0"/>
      <w:ind w:firstLine="216"/>
      <w:jc w:val="both"/>
    </w:pPr>
    <w:rPr>
      <w:rFonts w:ascii="Times New Roman" w:eastAsia="SimSun" w:hAnsi="Times New Roman"/>
      <w:szCs w:val="24"/>
      <w:lang w:val="en-AU" w:eastAsia="zh-CN"/>
    </w:rPr>
  </w:style>
  <w:style w:type="character" w:customStyle="1" w:styleId="Heading2Char">
    <w:name w:val="Heading 2 Char"/>
    <w:link w:val="Heading2"/>
    <w:qFormat/>
    <w:rPr>
      <w:rFonts w:ascii="Times New Roman" w:eastAsia="PMingLiU" w:hAnsi="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51E6301-8FC1-4ED5-8508-072600352E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13</Pages>
  <Words>4854</Words>
  <Characters>27670</Characters>
  <Application>Microsoft Office Word</Application>
  <DocSecurity>0</DocSecurity>
  <Lines>230</Lines>
  <Paragraphs>64</Paragraphs>
  <ScaleCrop>false</ScaleCrop>
  <Company>aaaa</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cp:revision>
  <cp:lastPrinted>1999-07-06T11:00:00Z</cp:lastPrinted>
  <dcterms:created xsi:type="dcterms:W3CDTF">2014-10-25T14:34:00Z</dcterms:created>
  <dcterms:modified xsi:type="dcterms:W3CDTF">2026-05-19T10:06:00Z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eyJoZGlkIjoiNjFlOGFhNDJhZjE3Y2UyMjViZDk2NDAzOWM0NDQ2ZWUiLCJ1c2VySWQiOiI4ODEzNzUxNTIwNjQwIn0=</vt:lpwstr>
  </property>
  <property fmtid="{D5CDD505-2E9C-101B-9397-08002B2CF9AE}" pid="3" name="KSOProductBuildVer">
    <vt:lpwstr>1057-12.1.0.26372</vt:lpwstr>
  </property>
  <property fmtid="{D5CDD505-2E9C-101B-9397-08002B2CF9AE}" pid="4" name="ICV">
    <vt:lpwstr>3F46F9CD23814F30B3445FBA9940BBCA_13</vt:lpwstr>
  </property>
</Properties>
</file>