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B9E6A" w14:textId="285EB488" w:rsidR="00841920" w:rsidRDefault="00841920" w:rsidP="00AE2209">
      <w:pPr>
        <w:spacing w:after="0" w:line="360" w:lineRule="auto"/>
        <w:jc w:val="center"/>
        <w:rPr>
          <w:rFonts w:ascii="Times New Roman" w:hAnsi="Times New Roman" w:cs="Times New Roman"/>
          <w:b/>
          <w:sz w:val="24"/>
          <w:szCs w:val="24"/>
        </w:rPr>
      </w:pPr>
      <w:r w:rsidRPr="00841920">
        <w:rPr>
          <w:rFonts w:ascii="Times New Roman" w:hAnsi="Times New Roman" w:cs="Times New Roman"/>
          <w:b/>
          <w:sz w:val="24"/>
          <w:szCs w:val="24"/>
        </w:rPr>
        <w:t>PHYSICOCHEMICAL AND BACTERIOLOGICAL QUALITY ASSESSMENT OF WELL AND SPRING WATER IN THE FOKONTANY OF AMBATOHARANANA, HAUTE MATSIATRA REGION</w:t>
      </w:r>
    </w:p>
    <w:p w14:paraId="69BF8A14" w14:textId="77777777" w:rsidR="004A6003" w:rsidRDefault="004A6003" w:rsidP="00AE2209">
      <w:pPr>
        <w:spacing w:after="0" w:line="360" w:lineRule="auto"/>
        <w:jc w:val="center"/>
        <w:rPr>
          <w:rFonts w:ascii="Times New Roman" w:hAnsi="Times New Roman" w:cs="Times New Roman"/>
          <w:b/>
          <w:sz w:val="24"/>
          <w:szCs w:val="24"/>
        </w:rPr>
      </w:pPr>
    </w:p>
    <w:p w14:paraId="31FD08CB" w14:textId="77777777" w:rsidR="00F72367" w:rsidRDefault="00F72367" w:rsidP="00AE2209">
      <w:pPr>
        <w:spacing w:after="0" w:line="360" w:lineRule="auto"/>
        <w:ind w:hanging="142"/>
        <w:jc w:val="both"/>
        <w:rPr>
          <w:rFonts w:ascii="Times New Roman" w:hAnsi="Times New Roman" w:cs="Times New Roman"/>
          <w:sz w:val="16"/>
          <w:szCs w:val="16"/>
        </w:rPr>
      </w:pPr>
      <w:bookmarkStart w:id="0" w:name="_GoBack"/>
      <w:bookmarkEnd w:id="0"/>
    </w:p>
    <w:p w14:paraId="69C146C9" w14:textId="77777777" w:rsidR="00F72367" w:rsidRPr="00841920" w:rsidRDefault="00F72367" w:rsidP="00AE2209">
      <w:pPr>
        <w:spacing w:after="0" w:line="360" w:lineRule="auto"/>
        <w:ind w:hanging="142"/>
        <w:jc w:val="both"/>
        <w:rPr>
          <w:rFonts w:ascii="Times New Roman" w:hAnsi="Times New Roman" w:cs="Times New Roman"/>
          <w:sz w:val="16"/>
          <w:szCs w:val="16"/>
        </w:rPr>
      </w:pPr>
    </w:p>
    <w:p w14:paraId="560F1810" w14:textId="77777777" w:rsidR="00841920" w:rsidRDefault="00841920" w:rsidP="00AE2209">
      <w:pPr>
        <w:spacing w:after="0" w:line="360" w:lineRule="auto"/>
        <w:jc w:val="both"/>
        <w:rPr>
          <w:rFonts w:ascii="Times New Roman" w:hAnsi="Times New Roman" w:cs="Times New Roman"/>
          <w:sz w:val="16"/>
          <w:szCs w:val="16"/>
          <w:vertAlign w:val="superscript"/>
        </w:rPr>
      </w:pPr>
    </w:p>
    <w:p w14:paraId="26B446B6" w14:textId="77777777" w:rsidR="00841920" w:rsidRDefault="00841920" w:rsidP="00AE2209">
      <w:pPr>
        <w:spacing w:after="0" w:line="276" w:lineRule="auto"/>
        <w:rPr>
          <w:rFonts w:ascii="Times New Roman" w:eastAsia="Times New Roman" w:hAnsi="Times New Roman" w:cs="Times New Roman"/>
          <w:b/>
          <w:color w:val="5B9BD5"/>
          <w:lang w:val="en-US" w:eastAsia="fr-FR"/>
        </w:rPr>
      </w:pPr>
      <w:r>
        <w:rPr>
          <w:rFonts w:ascii="Times New Roman" w:eastAsia="Times New Roman" w:hAnsi="Times New Roman" w:cs="Times New Roman"/>
          <w:b/>
          <w:color w:val="5B9BD5"/>
          <w:lang w:val="en-US" w:eastAsia="fr-FR"/>
        </w:rPr>
        <w:t>ABSTRACT</w:t>
      </w:r>
    </w:p>
    <w:p w14:paraId="5D7C4F09" w14:textId="77777777" w:rsidR="00D74453" w:rsidRDefault="00841920" w:rsidP="00AE2209">
      <w:pPr>
        <w:spacing w:after="0" w:line="276" w:lineRule="auto"/>
        <w:jc w:val="both"/>
        <w:rPr>
          <w:rFonts w:ascii="Times New Roman" w:hAnsi="Times New Roman" w:cs="Times New Roman"/>
          <w:sz w:val="24"/>
          <w:szCs w:val="24"/>
          <w:lang w:eastAsia="fr-FR"/>
        </w:rPr>
      </w:pPr>
      <w:proofErr w:type="gramStart"/>
      <w:r w:rsidRPr="00841920">
        <w:rPr>
          <w:rFonts w:ascii="Times New Roman" w:hAnsi="Times New Roman" w:cs="Times New Roman"/>
          <w:b/>
          <w:bCs/>
          <w:sz w:val="24"/>
          <w:szCs w:val="24"/>
          <w:lang w:eastAsia="fr-FR"/>
        </w:rPr>
        <w:t>Introduction:</w:t>
      </w:r>
      <w:proofErr w:type="gramEnd"/>
      <w:r w:rsidRPr="00841920">
        <w:rPr>
          <w:rFonts w:ascii="Times New Roman" w:hAnsi="Times New Roman" w:cs="Times New Roman"/>
          <w:sz w:val="24"/>
          <w:szCs w:val="24"/>
          <w:lang w:eastAsia="fr-FR"/>
        </w:rPr>
        <w:t xml:space="preserve"> Access to quality water is a critical public health issue, particularly in rural areas where populations rely heavily on groundwater, such as wells and springs, for their daily needs. Due to their accessibility and low cost, these sources are essential resources for the community. This study was conducted to assess the physicochemical and bacteriological quality of well and </w:t>
      </w:r>
      <w:proofErr w:type="gramStart"/>
      <w:r w:rsidRPr="00841920">
        <w:rPr>
          <w:rFonts w:ascii="Times New Roman" w:hAnsi="Times New Roman" w:cs="Times New Roman"/>
          <w:sz w:val="24"/>
          <w:szCs w:val="24"/>
          <w:lang w:eastAsia="fr-FR"/>
        </w:rPr>
        <w:t>spring</w:t>
      </w:r>
      <w:proofErr w:type="gramEnd"/>
      <w:r w:rsidRPr="00841920">
        <w:rPr>
          <w:rFonts w:ascii="Times New Roman" w:hAnsi="Times New Roman" w:cs="Times New Roman"/>
          <w:sz w:val="24"/>
          <w:szCs w:val="24"/>
          <w:lang w:eastAsia="fr-FR"/>
        </w:rPr>
        <w:t xml:space="preserve"> water consumed by the population of Ambatoharanana. </w:t>
      </w:r>
    </w:p>
    <w:p w14:paraId="2C9E04F8" w14:textId="77777777" w:rsidR="00D74453" w:rsidRDefault="00841920" w:rsidP="00AE2209">
      <w:pPr>
        <w:spacing w:after="0" w:line="276" w:lineRule="auto"/>
        <w:jc w:val="both"/>
        <w:rPr>
          <w:rFonts w:ascii="Times New Roman" w:hAnsi="Times New Roman" w:cs="Times New Roman"/>
          <w:sz w:val="24"/>
          <w:szCs w:val="24"/>
          <w:lang w:eastAsia="fr-FR"/>
        </w:rPr>
      </w:pPr>
      <w:proofErr w:type="gramStart"/>
      <w:r w:rsidRPr="00841920">
        <w:rPr>
          <w:rFonts w:ascii="Times New Roman" w:hAnsi="Times New Roman" w:cs="Times New Roman"/>
          <w:b/>
          <w:bCs/>
          <w:sz w:val="24"/>
          <w:szCs w:val="24"/>
          <w:lang w:eastAsia="fr-FR"/>
        </w:rPr>
        <w:t>Methods:</w:t>
      </w:r>
      <w:proofErr w:type="gramEnd"/>
      <w:r w:rsidRPr="00841920">
        <w:rPr>
          <w:rFonts w:ascii="Times New Roman" w:hAnsi="Times New Roman" w:cs="Times New Roman"/>
          <w:sz w:val="24"/>
          <w:szCs w:val="24"/>
          <w:lang w:eastAsia="fr-FR"/>
        </w:rPr>
        <w:t xml:space="preserve"> Four well water samples and four spring water samples were collected in polyethylene bottles and transported to the laboratory in a cooler at 6°C. The samples were analyzed at the DREAH Haute Matsiatra laboratory. Parameters such as pH and temperature were measured </w:t>
      </w:r>
      <w:r w:rsidRPr="00841920">
        <w:rPr>
          <w:rFonts w:ascii="Times New Roman" w:hAnsi="Times New Roman" w:cs="Times New Roman"/>
          <w:i/>
          <w:iCs/>
          <w:sz w:val="24"/>
          <w:szCs w:val="24"/>
          <w:lang w:eastAsia="fr-FR"/>
        </w:rPr>
        <w:t>in situ</w:t>
      </w:r>
      <w:r w:rsidRPr="00841920">
        <w:rPr>
          <w:rFonts w:ascii="Times New Roman" w:hAnsi="Times New Roman" w:cs="Times New Roman"/>
          <w:sz w:val="24"/>
          <w:szCs w:val="24"/>
          <w:lang w:eastAsia="fr-FR"/>
        </w:rPr>
        <w:t xml:space="preserve">, while electrical conductivity, turbidity, manganese, iron, ammonium, aluminum, nitrite, nitrate, fluoride, and fecal coliforms were assessed in the lab. </w:t>
      </w:r>
    </w:p>
    <w:p w14:paraId="4A358758" w14:textId="04F1001D" w:rsidR="00841920" w:rsidRPr="00841920" w:rsidRDefault="00841920" w:rsidP="00AE2209">
      <w:pPr>
        <w:spacing w:after="0" w:line="276" w:lineRule="auto"/>
        <w:jc w:val="both"/>
        <w:rPr>
          <w:rFonts w:ascii="Times New Roman" w:hAnsi="Times New Roman" w:cs="Times New Roman"/>
          <w:sz w:val="24"/>
          <w:szCs w:val="24"/>
          <w:lang w:eastAsia="fr-FR"/>
        </w:rPr>
      </w:pPr>
      <w:proofErr w:type="gramStart"/>
      <w:r w:rsidRPr="00841920">
        <w:rPr>
          <w:rFonts w:ascii="Times New Roman" w:hAnsi="Times New Roman" w:cs="Times New Roman"/>
          <w:b/>
          <w:bCs/>
          <w:sz w:val="24"/>
          <w:szCs w:val="24"/>
          <w:lang w:eastAsia="fr-FR"/>
        </w:rPr>
        <w:t>Results:</w:t>
      </w:r>
      <w:proofErr w:type="gramEnd"/>
      <w:r w:rsidRPr="00841920">
        <w:rPr>
          <w:rFonts w:ascii="Times New Roman" w:hAnsi="Times New Roman" w:cs="Times New Roman"/>
          <w:sz w:val="24"/>
          <w:szCs w:val="24"/>
          <w:lang w:eastAsia="fr-FR"/>
        </w:rPr>
        <w:t xml:space="preserve"> The results reveal that both well and spring waters are environmentally polluted. The water is acidic (pH ranging from 4.59 to 6.15), likely due to the decomposition of organic matter in the soil. High levels of ammonium (0.93 mg/L for well </w:t>
      </w:r>
      <w:proofErr w:type="gramStart"/>
      <w:r w:rsidRPr="00841920">
        <w:rPr>
          <w:rFonts w:ascii="Times New Roman" w:hAnsi="Times New Roman" w:cs="Times New Roman"/>
          <w:sz w:val="24"/>
          <w:szCs w:val="24"/>
          <w:lang w:eastAsia="fr-FR"/>
        </w:rPr>
        <w:t>01;</w:t>
      </w:r>
      <w:proofErr w:type="gramEnd"/>
      <w:r w:rsidRPr="00841920">
        <w:rPr>
          <w:rFonts w:ascii="Times New Roman" w:hAnsi="Times New Roman" w:cs="Times New Roman"/>
          <w:sz w:val="24"/>
          <w:szCs w:val="24"/>
          <w:lang w:eastAsia="fr-FR"/>
        </w:rPr>
        <w:t xml:space="preserve"> 0.57 mg/L for spring 01), aluminum (0.68 mg/L for well 02; 0.34 mg/L for spring 01), nitrite (0.105 mg/L for well 01), and nitrate (69.34 mg/L for well 02) indicate chemical pollution. Furthermore, the presence of fecal coliforms (ranging from 10 to 85 CFU/100 ml) confirms fecal contamination. </w:t>
      </w:r>
      <w:proofErr w:type="gramStart"/>
      <w:r w:rsidRPr="00841920">
        <w:rPr>
          <w:rFonts w:ascii="Times New Roman" w:hAnsi="Times New Roman" w:cs="Times New Roman"/>
          <w:b/>
          <w:bCs/>
          <w:sz w:val="24"/>
          <w:szCs w:val="24"/>
          <w:lang w:eastAsia="fr-FR"/>
        </w:rPr>
        <w:t>Conclusion:</w:t>
      </w:r>
      <w:proofErr w:type="gramEnd"/>
      <w:r w:rsidRPr="00841920">
        <w:rPr>
          <w:rFonts w:ascii="Times New Roman" w:hAnsi="Times New Roman" w:cs="Times New Roman"/>
          <w:sz w:val="24"/>
          <w:szCs w:val="24"/>
          <w:lang w:eastAsia="fr-FR"/>
        </w:rPr>
        <w:t xml:space="preserve"> The quality of well and spring water is degraded by human activities, such as the use of chemical fertilizers and wastewater discharge near water points. Immediate measures, including chlorination, filtration, boiling, and public awareness campaigns on hygiene and contamination risks, are necessary to improve water safety.</w:t>
      </w:r>
    </w:p>
    <w:p w14:paraId="02962346" w14:textId="77777777" w:rsidR="00841920" w:rsidRDefault="00841920" w:rsidP="00AE2209">
      <w:pPr>
        <w:spacing w:after="0" w:line="276" w:lineRule="auto"/>
        <w:jc w:val="both"/>
        <w:rPr>
          <w:rFonts w:ascii="Times New Roman" w:hAnsi="Times New Roman" w:cs="Times New Roman"/>
          <w:bCs/>
          <w:sz w:val="24"/>
          <w:szCs w:val="24"/>
          <w:lang w:eastAsia="fr-FR"/>
        </w:rPr>
      </w:pPr>
      <w:proofErr w:type="gramStart"/>
      <w:r w:rsidRPr="00841920">
        <w:rPr>
          <w:rFonts w:ascii="Times New Roman" w:hAnsi="Times New Roman" w:cs="Times New Roman"/>
          <w:b/>
          <w:bCs/>
          <w:sz w:val="24"/>
          <w:szCs w:val="24"/>
          <w:lang w:eastAsia="fr-FR"/>
        </w:rPr>
        <w:t>Keywords:</w:t>
      </w:r>
      <w:proofErr w:type="gramEnd"/>
      <w:r w:rsidRPr="00841920">
        <w:rPr>
          <w:rFonts w:ascii="Times New Roman" w:hAnsi="Times New Roman" w:cs="Times New Roman"/>
          <w:b/>
          <w:sz w:val="24"/>
          <w:szCs w:val="24"/>
          <w:lang w:eastAsia="fr-FR"/>
        </w:rPr>
        <w:t xml:space="preserve"> </w:t>
      </w:r>
      <w:r w:rsidRPr="00841920">
        <w:rPr>
          <w:rFonts w:ascii="Times New Roman" w:hAnsi="Times New Roman" w:cs="Times New Roman"/>
          <w:bCs/>
          <w:sz w:val="24"/>
          <w:szCs w:val="24"/>
          <w:lang w:eastAsia="fr-FR"/>
        </w:rPr>
        <w:t>Water, Spring, Well, Quality, Analysis.</w:t>
      </w:r>
    </w:p>
    <w:p w14:paraId="1E911B25" w14:textId="77777777" w:rsidR="00841920" w:rsidRPr="00841920" w:rsidRDefault="00841920" w:rsidP="00AE2209">
      <w:pPr>
        <w:spacing w:after="0" w:line="360" w:lineRule="auto"/>
        <w:jc w:val="both"/>
        <w:rPr>
          <w:rFonts w:ascii="Times New Roman" w:hAnsi="Times New Roman" w:cs="Times New Roman"/>
          <w:b/>
          <w:sz w:val="24"/>
          <w:szCs w:val="24"/>
          <w:lang w:eastAsia="fr-FR"/>
        </w:rPr>
      </w:pPr>
    </w:p>
    <w:p w14:paraId="4531E12D" w14:textId="77777777" w:rsidR="00841920" w:rsidRPr="00841920" w:rsidRDefault="00841920" w:rsidP="00AE2209">
      <w:pPr>
        <w:spacing w:after="0" w:line="360" w:lineRule="auto"/>
        <w:jc w:val="both"/>
        <w:rPr>
          <w:rFonts w:ascii="Times New Roman" w:hAnsi="Times New Roman" w:cs="Times New Roman"/>
          <w:b/>
          <w:bCs/>
          <w:color w:val="5B9BD5"/>
          <w:sz w:val="24"/>
          <w:szCs w:val="24"/>
        </w:rPr>
      </w:pPr>
      <w:r w:rsidRPr="00841920">
        <w:rPr>
          <w:rFonts w:ascii="Times New Roman" w:hAnsi="Times New Roman" w:cs="Times New Roman"/>
          <w:b/>
          <w:bCs/>
          <w:color w:val="5B9BD5"/>
          <w:sz w:val="24"/>
          <w:szCs w:val="24"/>
        </w:rPr>
        <w:t>1. INTRODUCTION</w:t>
      </w:r>
    </w:p>
    <w:p w14:paraId="25985470" w14:textId="77777777" w:rsidR="00841920" w:rsidRPr="00841920" w:rsidRDefault="00841920" w:rsidP="00AE2209">
      <w:p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Access to safe drinking water is a critical public health challenge, particularly in rural regions where populations rely predominantly on wells and springs for their daily supply. According to the World Health Organization (WHO), approximately 2.2 billion people globally lack access to safely managed drinking water services. Contaminated water remains a primary vector for waterborne diseases, including diarrhea, cholera, and various parasitic infections.</w:t>
      </w:r>
    </w:p>
    <w:p w14:paraId="5FEC2567" w14:textId="77777777" w:rsidR="00841920" w:rsidRPr="00841920" w:rsidRDefault="00841920" w:rsidP="00AE2209">
      <w:p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In rural communities, such as the </w:t>
      </w:r>
      <w:r w:rsidRPr="00841920">
        <w:rPr>
          <w:rFonts w:ascii="Times New Roman" w:hAnsi="Times New Roman" w:cs="Times New Roman"/>
          <w:bCs/>
          <w:i/>
          <w:iCs/>
          <w:sz w:val="24"/>
          <w:szCs w:val="24"/>
        </w:rPr>
        <w:t>Fokontany</w:t>
      </w:r>
      <w:r w:rsidRPr="00841920">
        <w:rPr>
          <w:rFonts w:ascii="Times New Roman" w:hAnsi="Times New Roman" w:cs="Times New Roman"/>
          <w:bCs/>
          <w:sz w:val="24"/>
          <w:szCs w:val="24"/>
        </w:rPr>
        <w:t xml:space="preserve"> of Ambatoharanana in the Haute Matsiatra region of Madagascar, wells and natural springs are frequently vulnerable to both anthropogenic and natural contaminants. The lack of adequate water treatment infrastructure, the proximity of </w:t>
      </w:r>
      <w:r w:rsidRPr="00841920">
        <w:rPr>
          <w:rFonts w:ascii="Times New Roman" w:hAnsi="Times New Roman" w:cs="Times New Roman"/>
          <w:bCs/>
          <w:sz w:val="24"/>
          <w:szCs w:val="24"/>
        </w:rPr>
        <w:lastRenderedPageBreak/>
        <w:t>unimproved latrines, and the leaching of agricultural pesticides and fertilizers significantly degrade water quality, posing substantial health risks to the local population.</w:t>
      </w:r>
    </w:p>
    <w:p w14:paraId="0163BCA9" w14:textId="77777777" w:rsidR="00841920" w:rsidRPr="00841920" w:rsidRDefault="00841920" w:rsidP="00AE2209">
      <w:p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Previous research has demonstrated that groundwater may harbor microbiological contaminants (such as coliform bacteria and </w:t>
      </w:r>
      <w:r w:rsidRPr="00841920">
        <w:rPr>
          <w:rFonts w:ascii="Times New Roman" w:hAnsi="Times New Roman" w:cs="Times New Roman"/>
          <w:bCs/>
          <w:i/>
          <w:iCs/>
          <w:sz w:val="24"/>
          <w:szCs w:val="24"/>
        </w:rPr>
        <w:t>Escherichia coli</w:t>
      </w:r>
      <w:r w:rsidRPr="00841920">
        <w:rPr>
          <w:rFonts w:ascii="Times New Roman" w:hAnsi="Times New Roman" w:cs="Times New Roman"/>
          <w:bCs/>
          <w:sz w:val="24"/>
          <w:szCs w:val="24"/>
        </w:rPr>
        <w:t>) and chemical pollutants (including nitrates and heavy metals) at levels exceeding international potability standards [4]. Consequently, a rigorous assessment of water quality in these rural areas is imperative to mitigate health risks and develop effective intervention strategies.</w:t>
      </w:r>
    </w:p>
    <w:p w14:paraId="6A494382" w14:textId="77777777" w:rsidR="00841920" w:rsidRPr="00841920" w:rsidRDefault="00841920" w:rsidP="00AE2209">
      <w:p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The primary objective of this study is to evaluate the physicochemical and microbiological quality of well and spring water within the </w:t>
      </w:r>
      <w:r w:rsidRPr="00841920">
        <w:rPr>
          <w:rFonts w:ascii="Times New Roman" w:hAnsi="Times New Roman" w:cs="Times New Roman"/>
          <w:bCs/>
          <w:i/>
          <w:iCs/>
          <w:sz w:val="24"/>
          <w:szCs w:val="24"/>
        </w:rPr>
        <w:t>Fokontany</w:t>
      </w:r>
      <w:r w:rsidRPr="00841920">
        <w:rPr>
          <w:rFonts w:ascii="Times New Roman" w:hAnsi="Times New Roman" w:cs="Times New Roman"/>
          <w:bCs/>
          <w:sz w:val="24"/>
          <w:szCs w:val="24"/>
        </w:rPr>
        <w:t xml:space="preserve"> of Ambatoharanana. Specifically, this research aims </w:t>
      </w:r>
      <w:proofErr w:type="gramStart"/>
      <w:r w:rsidRPr="00841920">
        <w:rPr>
          <w:rFonts w:ascii="Times New Roman" w:hAnsi="Times New Roman" w:cs="Times New Roman"/>
          <w:bCs/>
          <w:sz w:val="24"/>
          <w:szCs w:val="24"/>
        </w:rPr>
        <w:t>to:</w:t>
      </w:r>
      <w:proofErr w:type="gramEnd"/>
    </w:p>
    <w:p w14:paraId="17AFC133" w14:textId="77777777" w:rsidR="00841920" w:rsidRPr="00841920" w:rsidRDefault="00841920" w:rsidP="00AE2209">
      <w:pPr>
        <w:numPr>
          <w:ilvl w:val="0"/>
          <w:numId w:val="10"/>
        </w:num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Analyze key physicochemical parameters (including pH, turbidity, nitrates, and conductivity</w:t>
      </w:r>
      <w:proofErr w:type="gramStart"/>
      <w:r w:rsidRPr="00841920">
        <w:rPr>
          <w:rFonts w:ascii="Times New Roman" w:hAnsi="Times New Roman" w:cs="Times New Roman"/>
          <w:bCs/>
          <w:sz w:val="24"/>
          <w:szCs w:val="24"/>
        </w:rPr>
        <w:t>);</w:t>
      </w:r>
      <w:proofErr w:type="gramEnd"/>
    </w:p>
    <w:p w14:paraId="4C9380D7" w14:textId="77777777" w:rsidR="00841920" w:rsidRPr="00841920" w:rsidRDefault="00841920" w:rsidP="00AE2209">
      <w:pPr>
        <w:numPr>
          <w:ilvl w:val="0"/>
          <w:numId w:val="10"/>
        </w:num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Assess microbiological contamination levels, specifically the presence of fecal </w:t>
      </w:r>
      <w:proofErr w:type="gramStart"/>
      <w:r w:rsidRPr="00841920">
        <w:rPr>
          <w:rFonts w:ascii="Times New Roman" w:hAnsi="Times New Roman" w:cs="Times New Roman"/>
          <w:bCs/>
          <w:sz w:val="24"/>
          <w:szCs w:val="24"/>
        </w:rPr>
        <w:t>coliforms;</w:t>
      </w:r>
      <w:proofErr w:type="gramEnd"/>
    </w:p>
    <w:p w14:paraId="51C2A49A" w14:textId="77777777" w:rsidR="00841920" w:rsidRPr="00841920" w:rsidRDefault="00841920" w:rsidP="00AE2209">
      <w:pPr>
        <w:numPr>
          <w:ilvl w:val="0"/>
          <w:numId w:val="10"/>
        </w:num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Benchmark the findings against WHO and Malagasy national water quality </w:t>
      </w:r>
      <w:proofErr w:type="gramStart"/>
      <w:r w:rsidRPr="00841920">
        <w:rPr>
          <w:rFonts w:ascii="Times New Roman" w:hAnsi="Times New Roman" w:cs="Times New Roman"/>
          <w:bCs/>
          <w:sz w:val="24"/>
          <w:szCs w:val="24"/>
        </w:rPr>
        <w:t>standards;</w:t>
      </w:r>
      <w:proofErr w:type="gramEnd"/>
    </w:p>
    <w:p w14:paraId="33318263" w14:textId="77777777" w:rsidR="00841920" w:rsidRPr="00841920" w:rsidRDefault="00841920" w:rsidP="00AE2209">
      <w:pPr>
        <w:numPr>
          <w:ilvl w:val="0"/>
          <w:numId w:val="10"/>
        </w:num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 xml:space="preserve">Identify potential sources of contamination and associated public health </w:t>
      </w:r>
      <w:proofErr w:type="gramStart"/>
      <w:r w:rsidRPr="00841920">
        <w:rPr>
          <w:rFonts w:ascii="Times New Roman" w:hAnsi="Times New Roman" w:cs="Times New Roman"/>
          <w:bCs/>
          <w:sz w:val="24"/>
          <w:szCs w:val="24"/>
        </w:rPr>
        <w:t>risks;</w:t>
      </w:r>
      <w:proofErr w:type="gramEnd"/>
    </w:p>
    <w:p w14:paraId="0D63CCA9" w14:textId="77777777" w:rsidR="00841920" w:rsidRPr="00841920" w:rsidRDefault="00841920" w:rsidP="00AE2209">
      <w:pPr>
        <w:numPr>
          <w:ilvl w:val="0"/>
          <w:numId w:val="10"/>
        </w:numPr>
        <w:spacing w:after="0" w:line="360" w:lineRule="auto"/>
        <w:jc w:val="both"/>
        <w:rPr>
          <w:rFonts w:ascii="Times New Roman" w:hAnsi="Times New Roman" w:cs="Times New Roman"/>
          <w:bCs/>
          <w:sz w:val="24"/>
          <w:szCs w:val="24"/>
        </w:rPr>
      </w:pPr>
      <w:r w:rsidRPr="00841920">
        <w:rPr>
          <w:rFonts w:ascii="Times New Roman" w:hAnsi="Times New Roman" w:cs="Times New Roman"/>
          <w:bCs/>
          <w:sz w:val="24"/>
          <w:szCs w:val="24"/>
        </w:rPr>
        <w:t>Provide evidence-based recommendations to improve water safety and quality in the study area.</w:t>
      </w:r>
    </w:p>
    <w:p w14:paraId="66A6DF3C" w14:textId="77777777" w:rsidR="00841920" w:rsidRPr="00841920" w:rsidRDefault="00841920" w:rsidP="00AE2209">
      <w:pPr>
        <w:spacing w:after="0" w:line="360" w:lineRule="auto"/>
        <w:jc w:val="both"/>
        <w:rPr>
          <w:rFonts w:ascii="Times New Roman" w:hAnsi="Times New Roman" w:cs="Times New Roman"/>
          <w:b/>
          <w:bCs/>
          <w:color w:val="5B9BD5"/>
        </w:rPr>
      </w:pPr>
      <w:r w:rsidRPr="00841920">
        <w:rPr>
          <w:rFonts w:ascii="Times New Roman" w:hAnsi="Times New Roman" w:cs="Times New Roman"/>
          <w:b/>
          <w:bCs/>
          <w:color w:val="5B9BD5"/>
        </w:rPr>
        <w:t>2. MATERIALS AND METHODS</w:t>
      </w:r>
    </w:p>
    <w:p w14:paraId="2ACF0160" w14:textId="77777777" w:rsidR="00841920" w:rsidRPr="00841920" w:rsidRDefault="00841920" w:rsidP="00AE2209">
      <w:pPr>
        <w:spacing w:after="0" w:line="360" w:lineRule="auto"/>
        <w:jc w:val="both"/>
        <w:rPr>
          <w:rFonts w:ascii="Times New Roman" w:hAnsi="Times New Roman" w:cs="Times New Roman"/>
          <w:b/>
          <w:bCs/>
          <w:color w:val="5B9BD5"/>
        </w:rPr>
      </w:pPr>
      <w:r w:rsidRPr="00841920">
        <w:rPr>
          <w:rFonts w:ascii="Times New Roman" w:hAnsi="Times New Roman" w:cs="Times New Roman"/>
          <w:b/>
          <w:bCs/>
          <w:color w:val="5B9BD5"/>
        </w:rPr>
        <w:t>2.1. Description of Sampling Sites</w:t>
      </w:r>
    </w:p>
    <w:p w14:paraId="62748E06" w14:textId="4A805245" w:rsidR="00841920" w:rsidRPr="00841920" w:rsidRDefault="00841920" w:rsidP="00AE2209">
      <w:pPr>
        <w:spacing w:after="0" w:line="360" w:lineRule="auto"/>
        <w:jc w:val="both"/>
        <w:rPr>
          <w:rFonts w:ascii="Times New Roman" w:hAnsi="Times New Roman" w:cs="Times New Roman"/>
          <w:bCs/>
        </w:rPr>
      </w:pPr>
      <w:r w:rsidRPr="00841920">
        <w:rPr>
          <w:rFonts w:ascii="Times New Roman" w:hAnsi="Times New Roman" w:cs="Times New Roman"/>
          <w:bCs/>
          <w:i/>
          <w:iCs/>
        </w:rPr>
        <w:t>Fokontany</w:t>
      </w:r>
      <w:r w:rsidRPr="00841920">
        <w:rPr>
          <w:rFonts w:ascii="Times New Roman" w:hAnsi="Times New Roman" w:cs="Times New Roman"/>
          <w:bCs/>
        </w:rPr>
        <w:t xml:space="preserve"> Ambatoharanana is located within the urban commune of Fianarantsoa, in the District of Fianarantsoa I, Haute Matsiatra Region. It is situated approximately 3 km southeast of the city center. Its geographic coordinates are 47°6’11’’ East longitude and 21°27’30’’ South latitude, as shown in Figure 1.</w:t>
      </w:r>
    </w:p>
    <w:p w14:paraId="2C796754" w14:textId="77777777" w:rsidR="00841920" w:rsidRPr="00841920" w:rsidRDefault="00841920" w:rsidP="00AE2209">
      <w:pPr>
        <w:spacing w:after="0" w:line="360" w:lineRule="auto"/>
        <w:jc w:val="both"/>
        <w:rPr>
          <w:rFonts w:ascii="Times New Roman" w:hAnsi="Times New Roman" w:cs="Times New Roman"/>
          <w:bCs/>
        </w:rPr>
      </w:pPr>
      <w:r w:rsidRPr="00841920">
        <w:rPr>
          <w:rFonts w:ascii="Times New Roman" w:hAnsi="Times New Roman" w:cs="Times New Roman"/>
          <w:bCs/>
        </w:rPr>
        <w:t xml:space="preserve">For this study, four sampling sites within this </w:t>
      </w:r>
      <w:r w:rsidRPr="00841920">
        <w:rPr>
          <w:rFonts w:ascii="Times New Roman" w:hAnsi="Times New Roman" w:cs="Times New Roman"/>
          <w:bCs/>
          <w:i/>
          <w:iCs/>
        </w:rPr>
        <w:t>Fokontany</w:t>
      </w:r>
      <w:r w:rsidRPr="00841920">
        <w:rPr>
          <w:rFonts w:ascii="Times New Roman" w:hAnsi="Times New Roman" w:cs="Times New Roman"/>
          <w:bCs/>
        </w:rPr>
        <w:t xml:space="preserve"> were selected. These sites are designated as </w:t>
      </w:r>
      <w:proofErr w:type="gramStart"/>
      <w:r w:rsidRPr="00841920">
        <w:rPr>
          <w:rFonts w:ascii="Times New Roman" w:hAnsi="Times New Roman" w:cs="Times New Roman"/>
          <w:bCs/>
        </w:rPr>
        <w:t>follows:</w:t>
      </w:r>
      <w:proofErr w:type="gramEnd"/>
    </w:p>
    <w:p w14:paraId="487DD19D" w14:textId="77777777" w:rsidR="00841920" w:rsidRPr="00841920" w:rsidRDefault="00841920" w:rsidP="00AE2209">
      <w:pPr>
        <w:numPr>
          <w:ilvl w:val="0"/>
          <w:numId w:val="11"/>
        </w:numPr>
        <w:spacing w:after="0" w:line="360" w:lineRule="auto"/>
        <w:jc w:val="both"/>
        <w:rPr>
          <w:rFonts w:ascii="Times New Roman" w:hAnsi="Times New Roman" w:cs="Times New Roman"/>
          <w:bCs/>
        </w:rPr>
      </w:pPr>
      <w:r w:rsidRPr="00841920">
        <w:rPr>
          <w:rFonts w:ascii="Times New Roman" w:hAnsi="Times New Roman" w:cs="Times New Roman"/>
          <w:bCs/>
        </w:rPr>
        <w:t xml:space="preserve">Pts </w:t>
      </w:r>
      <w:proofErr w:type="gramStart"/>
      <w:r w:rsidRPr="00841920">
        <w:rPr>
          <w:rFonts w:ascii="Times New Roman" w:hAnsi="Times New Roman" w:cs="Times New Roman"/>
          <w:bCs/>
        </w:rPr>
        <w:t>01:</w:t>
      </w:r>
      <w:proofErr w:type="gramEnd"/>
      <w:r w:rsidRPr="00841920">
        <w:rPr>
          <w:rFonts w:ascii="Times New Roman" w:hAnsi="Times New Roman" w:cs="Times New Roman"/>
          <w:bCs/>
        </w:rPr>
        <w:t xml:space="preserve"> E47.106169° and S21.460292°</w:t>
      </w:r>
    </w:p>
    <w:p w14:paraId="1DDF548C" w14:textId="77777777" w:rsidR="00841920" w:rsidRPr="00841920" w:rsidRDefault="00841920" w:rsidP="00AE2209">
      <w:pPr>
        <w:numPr>
          <w:ilvl w:val="0"/>
          <w:numId w:val="11"/>
        </w:numPr>
        <w:spacing w:after="0" w:line="360" w:lineRule="auto"/>
        <w:jc w:val="both"/>
        <w:rPr>
          <w:rFonts w:ascii="Times New Roman" w:hAnsi="Times New Roman" w:cs="Times New Roman"/>
          <w:bCs/>
        </w:rPr>
      </w:pPr>
      <w:r w:rsidRPr="00841920">
        <w:rPr>
          <w:rFonts w:ascii="Times New Roman" w:hAnsi="Times New Roman" w:cs="Times New Roman"/>
          <w:bCs/>
        </w:rPr>
        <w:t xml:space="preserve">Pts </w:t>
      </w:r>
      <w:proofErr w:type="gramStart"/>
      <w:r w:rsidRPr="00841920">
        <w:rPr>
          <w:rFonts w:ascii="Times New Roman" w:hAnsi="Times New Roman" w:cs="Times New Roman"/>
          <w:bCs/>
        </w:rPr>
        <w:t>02:</w:t>
      </w:r>
      <w:proofErr w:type="gramEnd"/>
      <w:r w:rsidRPr="00841920">
        <w:rPr>
          <w:rFonts w:ascii="Times New Roman" w:hAnsi="Times New Roman" w:cs="Times New Roman"/>
          <w:bCs/>
        </w:rPr>
        <w:t xml:space="preserve"> E47.102819° and S21.459306°</w:t>
      </w:r>
    </w:p>
    <w:p w14:paraId="1BBB308A" w14:textId="77777777" w:rsidR="00841920" w:rsidRPr="00841920" w:rsidRDefault="00841920" w:rsidP="00AE2209">
      <w:pPr>
        <w:numPr>
          <w:ilvl w:val="0"/>
          <w:numId w:val="11"/>
        </w:numPr>
        <w:spacing w:after="0" w:line="360" w:lineRule="auto"/>
        <w:jc w:val="both"/>
        <w:rPr>
          <w:rFonts w:ascii="Times New Roman" w:hAnsi="Times New Roman" w:cs="Times New Roman"/>
          <w:bCs/>
        </w:rPr>
      </w:pPr>
      <w:r w:rsidRPr="00841920">
        <w:rPr>
          <w:rFonts w:ascii="Times New Roman" w:hAnsi="Times New Roman" w:cs="Times New Roman"/>
          <w:bCs/>
        </w:rPr>
        <w:t xml:space="preserve">Src </w:t>
      </w:r>
      <w:proofErr w:type="gramStart"/>
      <w:r w:rsidRPr="00841920">
        <w:rPr>
          <w:rFonts w:ascii="Times New Roman" w:hAnsi="Times New Roman" w:cs="Times New Roman"/>
          <w:bCs/>
        </w:rPr>
        <w:t>01:</w:t>
      </w:r>
      <w:proofErr w:type="gramEnd"/>
      <w:r w:rsidRPr="00841920">
        <w:rPr>
          <w:rFonts w:ascii="Times New Roman" w:hAnsi="Times New Roman" w:cs="Times New Roman"/>
          <w:bCs/>
        </w:rPr>
        <w:t xml:space="preserve"> E47.102464° and S21.460775°</w:t>
      </w:r>
    </w:p>
    <w:p w14:paraId="7741E204" w14:textId="77777777" w:rsidR="00841920" w:rsidRPr="00841920" w:rsidRDefault="00841920" w:rsidP="00AE2209">
      <w:pPr>
        <w:numPr>
          <w:ilvl w:val="0"/>
          <w:numId w:val="11"/>
        </w:numPr>
        <w:spacing w:after="0" w:line="360" w:lineRule="auto"/>
        <w:jc w:val="both"/>
        <w:rPr>
          <w:rFonts w:ascii="Times New Roman" w:hAnsi="Times New Roman" w:cs="Times New Roman"/>
          <w:bCs/>
        </w:rPr>
      </w:pPr>
      <w:r w:rsidRPr="00841920">
        <w:rPr>
          <w:rFonts w:ascii="Times New Roman" w:hAnsi="Times New Roman" w:cs="Times New Roman"/>
          <w:bCs/>
        </w:rPr>
        <w:t xml:space="preserve">Src </w:t>
      </w:r>
      <w:proofErr w:type="gramStart"/>
      <w:r w:rsidRPr="00841920">
        <w:rPr>
          <w:rFonts w:ascii="Times New Roman" w:hAnsi="Times New Roman" w:cs="Times New Roman"/>
          <w:bCs/>
        </w:rPr>
        <w:t>02:</w:t>
      </w:r>
      <w:proofErr w:type="gramEnd"/>
      <w:r w:rsidRPr="00841920">
        <w:rPr>
          <w:rFonts w:ascii="Times New Roman" w:hAnsi="Times New Roman" w:cs="Times New Roman"/>
          <w:bCs/>
        </w:rPr>
        <w:t xml:space="preserve"> E47.102683° and S21.465608° (as illustrated in Figure 1).</w:t>
      </w:r>
    </w:p>
    <w:p w14:paraId="3588A306" w14:textId="77777777" w:rsidR="00841920" w:rsidRDefault="00841920" w:rsidP="00AE2209">
      <w:pPr>
        <w:spacing w:after="0" w:line="360" w:lineRule="auto"/>
        <w:jc w:val="both"/>
        <w:rPr>
          <w:rFonts w:ascii="Times New Roman" w:hAnsi="Times New Roman" w:cs="Times New Roman"/>
          <w:bCs/>
        </w:rPr>
      </w:pPr>
      <w:r w:rsidRPr="00841920">
        <w:rPr>
          <w:rFonts w:ascii="Times New Roman" w:hAnsi="Times New Roman" w:cs="Times New Roman"/>
          <w:bCs/>
        </w:rPr>
        <w:t>These locations are situated in close proximity to various agricultural areas, including rice paddies, vegetable plots, and banana plantations (see Figure 2). These water points are regularly utilized by the local population for both domestic consumption and agricultural irrigation.</w:t>
      </w:r>
    </w:p>
    <w:p w14:paraId="18D32309" w14:textId="77777777" w:rsidR="006277B4" w:rsidRPr="00841920" w:rsidRDefault="006277B4" w:rsidP="00AE2209">
      <w:pPr>
        <w:spacing w:after="0" w:line="360" w:lineRule="auto"/>
        <w:jc w:val="both"/>
        <w:rPr>
          <w:rFonts w:ascii="Times New Roman" w:hAnsi="Times New Roman" w:cs="Times New Roman"/>
          <w:bCs/>
        </w:rPr>
      </w:pPr>
    </w:p>
    <w:p w14:paraId="2BEC1EA4" w14:textId="278DDA02" w:rsidR="00F40010" w:rsidRDefault="00AE2209" w:rsidP="00AE2209">
      <w:pPr>
        <w:spacing w:after="0" w:line="360" w:lineRule="auto"/>
        <w:jc w:val="center"/>
        <w:rPr>
          <w:rFonts w:ascii="Times New Roman" w:hAnsi="Times New Roman" w:cs="Times New Roman"/>
        </w:rPr>
      </w:pPr>
      <w:r>
        <w:rPr>
          <w:rFonts w:ascii="Times New Roman" w:hAnsi="Times New Roman" w:cs="Times New Roman"/>
          <w:noProof/>
          <w:lang w:eastAsia="fr-FR"/>
        </w:rPr>
        <w:lastRenderedPageBreak/>
        <mc:AlternateContent>
          <mc:Choice Requires="wps">
            <w:drawing>
              <wp:anchor distT="0" distB="0" distL="114300" distR="114300" simplePos="0" relativeHeight="251660288" behindDoc="0" locked="0" layoutInCell="1" allowOverlap="1" wp14:anchorId="4B70CC39" wp14:editId="3B67A2D7">
                <wp:simplePos x="0" y="0"/>
                <wp:positionH relativeFrom="column">
                  <wp:posOffset>4492625</wp:posOffset>
                </wp:positionH>
                <wp:positionV relativeFrom="paragraph">
                  <wp:posOffset>1909445</wp:posOffset>
                </wp:positionV>
                <wp:extent cx="2019868" cy="641445"/>
                <wp:effectExtent l="0" t="0" r="0" b="6350"/>
                <wp:wrapNone/>
                <wp:docPr id="445282335" name="Zone de texte 6"/>
                <wp:cNvGraphicFramePr/>
                <a:graphic xmlns:a="http://schemas.openxmlformats.org/drawingml/2006/main">
                  <a:graphicData uri="http://schemas.microsoft.com/office/word/2010/wordprocessingShape">
                    <wps:wsp>
                      <wps:cNvSpPr txBox="1"/>
                      <wps:spPr>
                        <a:xfrm>
                          <a:off x="0" y="0"/>
                          <a:ext cx="2019868" cy="641445"/>
                        </a:xfrm>
                        <a:prstGeom prst="rect">
                          <a:avLst/>
                        </a:prstGeom>
                        <a:solidFill>
                          <a:schemeClr val="lt1"/>
                        </a:solidFill>
                        <a:ln w="6350">
                          <a:noFill/>
                        </a:ln>
                      </wps:spPr>
                      <wps:txbx>
                        <w:txbxContent>
                          <w:p w14:paraId="2AA750B5" w14:textId="77777777" w:rsidR="00071666" w:rsidRDefault="00071666" w:rsidP="00071666">
                            <w:pPr>
                              <w:spacing w:after="0" w:line="276" w:lineRule="auto"/>
                              <w:rPr>
                                <w:sz w:val="12"/>
                                <w:szCs w:val="12"/>
                              </w:rPr>
                            </w:pPr>
                            <w:r w:rsidRPr="00071666">
                              <w:rPr>
                                <w:sz w:val="12"/>
                                <w:szCs w:val="12"/>
                              </w:rPr>
                              <w:t>Village of Ambatoharanana</w:t>
                            </w:r>
                          </w:p>
                          <w:p w14:paraId="165B53F4" w14:textId="3D5D727E" w:rsidR="00071666" w:rsidRDefault="00071666" w:rsidP="00071666">
                            <w:pPr>
                              <w:spacing w:after="0" w:line="276" w:lineRule="auto"/>
                              <w:rPr>
                                <w:sz w:val="12"/>
                                <w:szCs w:val="12"/>
                              </w:rPr>
                            </w:pPr>
                            <w:r w:rsidRPr="00071666">
                              <w:rPr>
                                <w:sz w:val="12"/>
                                <w:szCs w:val="12"/>
                              </w:rPr>
                              <w:t>Commune in the District of Fianarantsoa I</w:t>
                            </w:r>
                          </w:p>
                          <w:p w14:paraId="2826DE2B" w14:textId="08554553" w:rsidR="00071666" w:rsidRDefault="00071666" w:rsidP="00071666">
                            <w:pPr>
                              <w:spacing w:after="0" w:line="276" w:lineRule="auto"/>
                              <w:rPr>
                                <w:sz w:val="12"/>
                                <w:szCs w:val="12"/>
                              </w:rPr>
                            </w:pPr>
                            <w:r w:rsidRPr="00071666">
                              <w:rPr>
                                <w:sz w:val="12"/>
                                <w:szCs w:val="12"/>
                              </w:rPr>
                              <w:t>Haute Matsiatra Region</w:t>
                            </w:r>
                          </w:p>
                          <w:p w14:paraId="6C129BF5" w14:textId="022EFDB1" w:rsidR="00071666" w:rsidRDefault="00071666" w:rsidP="00071666">
                            <w:pPr>
                              <w:spacing w:after="0" w:line="276" w:lineRule="auto"/>
                              <w:rPr>
                                <w:sz w:val="12"/>
                                <w:szCs w:val="12"/>
                              </w:rPr>
                            </w:pPr>
                            <w:r w:rsidRPr="00071666">
                              <w:rPr>
                                <w:sz w:val="12"/>
                                <w:szCs w:val="12"/>
                              </w:rPr>
                              <w:t>Madagascar Regional Boundary</w:t>
                            </w:r>
                          </w:p>
                          <w:p w14:paraId="5D6B583D" w14:textId="77777777" w:rsidR="00071666" w:rsidRPr="00071666" w:rsidRDefault="00071666" w:rsidP="00071666">
                            <w:pPr>
                              <w:spacing w:after="0" w:line="360" w:lineRule="auto"/>
                              <w:rPr>
                                <w:sz w:val="12"/>
                                <w:szCs w:val="12"/>
                              </w:rPr>
                            </w:pPr>
                          </w:p>
                          <w:p w14:paraId="176DF072" w14:textId="77777777" w:rsidR="00071666" w:rsidRDefault="00071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70CC39" id="_x0000_t202" coordsize="21600,21600" o:spt="202" path="m,l,21600r21600,l21600,xe">
                <v:stroke joinstyle="miter"/>
                <v:path gradientshapeok="t" o:connecttype="rect"/>
              </v:shapetype>
              <v:shape id="Zone de texte 6" o:spid="_x0000_s1026" type="#_x0000_t202" style="position:absolute;left:0;text-align:left;margin-left:353.75pt;margin-top:150.35pt;width:159.05pt;height: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" fillcolor="white [3201]" stroked="f" strokeweight=".5pt">
                <v:textbox>
                  <w:txbxContent>
                    <w:p w14:paraId="2AA750B5" w14:textId="77777777" w:rsidR="00071666" w:rsidRDefault="00071666" w:rsidP="00071666">
                      <w:pPr>
                        <w:spacing w:after="0" w:line="276" w:lineRule="auto"/>
                        <w:rPr>
                          <w:sz w:val="12"/>
                          <w:szCs w:val="12"/>
                        </w:rPr>
                      </w:pPr>
                      <w:r w:rsidRPr="00071666">
                        <w:rPr>
                          <w:sz w:val="12"/>
                          <w:szCs w:val="12"/>
                        </w:rPr>
                        <w:t>Village of Ambatoharanana</w:t>
                      </w:r>
                    </w:p>
                    <w:p w14:paraId="165B53F4" w14:textId="3D5D727E" w:rsidR="00071666" w:rsidRDefault="00071666" w:rsidP="00071666">
                      <w:pPr>
                        <w:spacing w:after="0" w:line="276" w:lineRule="auto"/>
                        <w:rPr>
                          <w:sz w:val="12"/>
                          <w:szCs w:val="12"/>
                        </w:rPr>
                      </w:pPr>
                      <w:r w:rsidRPr="00071666">
                        <w:rPr>
                          <w:sz w:val="12"/>
                          <w:szCs w:val="12"/>
                        </w:rPr>
                        <w:t>Commune in the District of Fianarantsoa I</w:t>
                      </w:r>
                    </w:p>
                    <w:p w14:paraId="2826DE2B" w14:textId="08554553" w:rsidR="00071666" w:rsidRDefault="00071666" w:rsidP="00071666">
                      <w:pPr>
                        <w:spacing w:after="0" w:line="276" w:lineRule="auto"/>
                        <w:rPr>
                          <w:sz w:val="12"/>
                          <w:szCs w:val="12"/>
                        </w:rPr>
                      </w:pPr>
                      <w:r w:rsidRPr="00071666">
                        <w:rPr>
                          <w:sz w:val="12"/>
                          <w:szCs w:val="12"/>
                        </w:rPr>
                        <w:t>Haute Matsiatra Region</w:t>
                      </w:r>
                    </w:p>
                    <w:p w14:paraId="6C129BF5" w14:textId="022EFDB1" w:rsidR="00071666" w:rsidRDefault="00071666" w:rsidP="00071666">
                      <w:pPr>
                        <w:spacing w:after="0" w:line="276" w:lineRule="auto"/>
                        <w:rPr>
                          <w:sz w:val="12"/>
                          <w:szCs w:val="12"/>
                        </w:rPr>
                      </w:pPr>
                      <w:r w:rsidRPr="00071666">
                        <w:rPr>
                          <w:sz w:val="12"/>
                          <w:szCs w:val="12"/>
                        </w:rPr>
                        <w:t>Madagascar Regional Boundary</w:t>
                      </w:r>
                    </w:p>
                    <w:p w14:paraId="5D6B583D" w14:textId="77777777" w:rsidR="00071666" w:rsidRPr="00071666" w:rsidRDefault="00071666" w:rsidP="00071666">
                      <w:pPr>
                        <w:spacing w:after="0" w:line="360" w:lineRule="auto"/>
                        <w:rPr>
                          <w:sz w:val="12"/>
                          <w:szCs w:val="12"/>
                        </w:rPr>
                      </w:pPr>
                    </w:p>
                    <w:p w14:paraId="176DF072" w14:textId="77777777" w:rsidR="00071666" w:rsidRDefault="00071666"/>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76D3156B" wp14:editId="07283511">
                <wp:simplePos x="0" y="0"/>
                <wp:positionH relativeFrom="column">
                  <wp:posOffset>138430</wp:posOffset>
                </wp:positionH>
                <wp:positionV relativeFrom="paragraph">
                  <wp:posOffset>2407920</wp:posOffset>
                </wp:positionV>
                <wp:extent cx="1624084" cy="483984"/>
                <wp:effectExtent l="0" t="0" r="0" b="0"/>
                <wp:wrapNone/>
                <wp:docPr id="601504240" name="Zone de texte 5"/>
                <wp:cNvGraphicFramePr/>
                <a:graphic xmlns:a="http://schemas.openxmlformats.org/drawingml/2006/main">
                  <a:graphicData uri="http://schemas.microsoft.com/office/word/2010/wordprocessingShape">
                    <wps:wsp>
                      <wps:cNvSpPr txBox="1"/>
                      <wps:spPr>
                        <a:xfrm>
                          <a:off x="0" y="0"/>
                          <a:ext cx="1624084" cy="483984"/>
                        </a:xfrm>
                        <a:prstGeom prst="rect">
                          <a:avLst/>
                        </a:prstGeom>
                        <a:solidFill>
                          <a:schemeClr val="bg1"/>
                        </a:solidFill>
                        <a:ln w="6350">
                          <a:noFill/>
                        </a:ln>
                      </wps:spPr>
                      <wps:txbx>
                        <w:txbxContent>
                          <w:p w14:paraId="51A31887" w14:textId="77777777" w:rsidR="00071666" w:rsidRDefault="00071666" w:rsidP="00071666">
                            <w:pPr>
                              <w:spacing w:after="0" w:line="360" w:lineRule="auto"/>
                              <w:rPr>
                                <w:sz w:val="12"/>
                                <w:szCs w:val="12"/>
                              </w:rPr>
                            </w:pPr>
                            <w:r>
                              <w:rPr>
                                <w:sz w:val="12"/>
                                <w:szCs w:val="12"/>
                              </w:rPr>
                              <w:t>Source</w:t>
                            </w:r>
                          </w:p>
                          <w:p w14:paraId="4DB93B0A" w14:textId="5C660A39" w:rsidR="00071666" w:rsidRDefault="00071666" w:rsidP="00071666">
                            <w:pPr>
                              <w:spacing w:after="0" w:line="360" w:lineRule="auto"/>
                              <w:rPr>
                                <w:sz w:val="12"/>
                                <w:szCs w:val="12"/>
                              </w:rPr>
                            </w:pPr>
                            <w:r w:rsidRPr="00071666">
                              <w:rPr>
                                <w:sz w:val="12"/>
                                <w:szCs w:val="12"/>
                              </w:rPr>
                              <w:t>Well</w:t>
                            </w:r>
                          </w:p>
                          <w:p w14:paraId="4521C3EA" w14:textId="479270D2" w:rsidR="00071666" w:rsidRPr="00071666" w:rsidRDefault="00071666" w:rsidP="00071666">
                            <w:pPr>
                              <w:spacing w:after="0" w:line="360" w:lineRule="auto"/>
                              <w:rPr>
                                <w:sz w:val="12"/>
                                <w:szCs w:val="12"/>
                              </w:rPr>
                            </w:pPr>
                            <w:r w:rsidRPr="00071666">
                              <w:rPr>
                                <w:sz w:val="12"/>
                                <w:szCs w:val="12"/>
                              </w:rPr>
                              <w:t>Village of Ambatoharanana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156B" id="Zone de texte 5" o:spid="_x0000_s1027" type="#_x0000_t202" style="position:absolute;left:0;text-align:left;margin-left:10.9pt;margin-top:189.6pt;width:127.9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" fillcolor="white [3212]" stroked="f" strokeweight=".5pt">
                <v:textbox>
                  <w:txbxContent>
                    <w:p w14:paraId="51A31887" w14:textId="77777777" w:rsidR="00071666" w:rsidRDefault="00071666" w:rsidP="00071666">
                      <w:pPr>
                        <w:spacing w:after="0" w:line="360" w:lineRule="auto"/>
                        <w:rPr>
                          <w:sz w:val="12"/>
                          <w:szCs w:val="12"/>
                        </w:rPr>
                      </w:pPr>
                      <w:r>
                        <w:rPr>
                          <w:sz w:val="12"/>
                          <w:szCs w:val="12"/>
                        </w:rPr>
                        <w:t>Source</w:t>
                      </w:r>
                    </w:p>
                    <w:p w14:paraId="4DB93B0A" w14:textId="5C660A39" w:rsidR="00071666" w:rsidRDefault="00071666" w:rsidP="00071666">
                      <w:pPr>
                        <w:spacing w:after="0" w:line="360" w:lineRule="auto"/>
                        <w:rPr>
                          <w:sz w:val="12"/>
                          <w:szCs w:val="12"/>
                        </w:rPr>
                      </w:pPr>
                      <w:r w:rsidRPr="00071666">
                        <w:rPr>
                          <w:sz w:val="12"/>
                          <w:szCs w:val="12"/>
                        </w:rPr>
                        <w:t>Well</w:t>
                      </w:r>
                    </w:p>
                    <w:p w14:paraId="4521C3EA" w14:textId="479270D2" w:rsidR="00071666" w:rsidRPr="00071666" w:rsidRDefault="00071666" w:rsidP="00071666">
                      <w:pPr>
                        <w:spacing w:after="0" w:line="360" w:lineRule="auto"/>
                        <w:rPr>
                          <w:sz w:val="12"/>
                          <w:szCs w:val="12"/>
                        </w:rPr>
                      </w:pPr>
                      <w:r w:rsidRPr="00071666">
                        <w:rPr>
                          <w:sz w:val="12"/>
                          <w:szCs w:val="12"/>
                        </w:rPr>
                        <w:t>Village of Ambatoharanana</w:t>
                      </w:r>
                    </w:p>
                  </w:txbxContent>
                </v:textbox>
              </v:shape>
            </w:pict>
          </mc:Fallback>
        </mc:AlternateContent>
      </w:r>
      <w:r w:rsidR="002F5E96">
        <w:rPr>
          <w:rFonts w:ascii="Times New Roman" w:hAnsi="Times New Roman" w:cs="Times New Roman"/>
          <w:noProof/>
          <w:lang w:eastAsia="fr-FR"/>
        </w:rPr>
        <mc:AlternateContent>
          <mc:Choice Requires="wps">
            <w:drawing>
              <wp:anchor distT="0" distB="0" distL="0" distR="0" simplePos="0" relativeHeight="2" behindDoc="0" locked="0" layoutInCell="1" allowOverlap="1" wp14:anchorId="7A7A3AE1" wp14:editId="30806730">
                <wp:simplePos x="0" y="0"/>
                <wp:positionH relativeFrom="column">
                  <wp:posOffset>3097658</wp:posOffset>
                </wp:positionH>
                <wp:positionV relativeFrom="paragraph">
                  <wp:posOffset>2039420</wp:posOffset>
                </wp:positionV>
                <wp:extent cx="657546" cy="575353"/>
                <wp:effectExtent l="38100" t="38100" r="28575" b="34290"/>
                <wp:wrapNone/>
                <wp:docPr id="1026"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7546" cy="575353"/>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60B3CD" id="_x0000_t32" coordsize="21600,21600" o:spt="32" o:oned="t" path="m,l21600,21600e" filled="f">
                <v:path arrowok="t" fillok="f" o:connecttype="none"/>
                <o:lock v:ext="edit" shapetype="t"/>
              </v:shapetype>
              <v:shape id="Connecteur droit avec flèche 3" o:spid="_x0000_s1026" type="#_x0000_t32" style="position:absolute;margin-left:243.9pt;margin-top:160.6pt;width:51.8pt;height:45.3pt;flip:x y;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" strokeweight=".5pt">
                <v:stroke endarrow="block" joinstyle="miter"/>
                <o:lock v:ext="edit" shapetype="f"/>
              </v:shape>
            </w:pict>
          </mc:Fallback>
        </mc:AlternateContent>
      </w:r>
      <w:r w:rsidR="002F5E96">
        <w:rPr>
          <w:noProof/>
          <w:lang w:eastAsia="fr-FR"/>
        </w:rPr>
        <w:drawing>
          <wp:inline distT="0" distB="0" distL="0" distR="0" wp14:anchorId="1773306C" wp14:editId="391550B0">
            <wp:extent cx="2948684" cy="2865120"/>
            <wp:effectExtent l="0" t="0" r="4445" b="0"/>
            <wp:docPr id="1027" name="Image 2" descr="C:\Users\Fidson\Pictures\carte fidso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cstate="print"/>
                    <a:srcRect/>
                    <a:stretch/>
                  </pic:blipFill>
                  <pic:spPr>
                    <a:xfrm>
                      <a:off x="0" y="0"/>
                      <a:ext cx="2948684" cy="2865120"/>
                    </a:xfrm>
                    <a:prstGeom prst="rect">
                      <a:avLst/>
                    </a:prstGeom>
                    <a:ln>
                      <a:noFill/>
                    </a:ln>
                  </pic:spPr>
                </pic:pic>
              </a:graphicData>
            </a:graphic>
          </wp:inline>
        </w:drawing>
      </w:r>
    </w:p>
    <w:p w14:paraId="4F6F94E7" w14:textId="77777777" w:rsidR="00405EDD" w:rsidRDefault="00405EDD" w:rsidP="00AE2209">
      <w:pPr>
        <w:spacing w:after="0" w:line="360" w:lineRule="auto"/>
        <w:jc w:val="center"/>
        <w:rPr>
          <w:rFonts w:ascii="Times New Roman" w:hAnsi="Times New Roman" w:cs="Times New Roman"/>
        </w:rPr>
      </w:pPr>
    </w:p>
    <w:p w14:paraId="71A16EB2" w14:textId="6AF40B9F" w:rsidR="00405EDD" w:rsidRDefault="00405EDD" w:rsidP="00AE2209">
      <w:pPr>
        <w:spacing w:after="0" w:line="360" w:lineRule="auto"/>
        <w:jc w:val="center"/>
        <w:rPr>
          <w:rFonts w:ascii="Times New Roman" w:hAnsi="Times New Roman" w:cs="Times New Roman"/>
        </w:rPr>
      </w:pPr>
      <w:r>
        <w:rPr>
          <w:noProof/>
          <w:lang w:eastAsia="fr-FR"/>
        </w:rPr>
        <w:drawing>
          <wp:inline distT="0" distB="0" distL="0" distR="0" wp14:anchorId="2F6ED00B" wp14:editId="49300472">
            <wp:extent cx="2660073" cy="2681102"/>
            <wp:effectExtent l="0" t="0" r="6985" b="5080"/>
            <wp:docPr id="1028" name="Image 1" descr="C:\Users\Fidson\Pictures\CARTE F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rcRect/>
                    <a:stretch/>
                  </pic:blipFill>
                  <pic:spPr>
                    <a:xfrm>
                      <a:off x="0" y="0"/>
                      <a:ext cx="2663445" cy="2684500"/>
                    </a:xfrm>
                    <a:prstGeom prst="rect">
                      <a:avLst/>
                    </a:prstGeom>
                    <a:ln>
                      <a:noFill/>
                    </a:ln>
                  </pic:spPr>
                </pic:pic>
              </a:graphicData>
            </a:graphic>
          </wp:inline>
        </w:drawing>
      </w:r>
    </w:p>
    <w:p w14:paraId="53B614BD" w14:textId="77777777" w:rsidR="00405EDD" w:rsidRDefault="00405EDD" w:rsidP="00AE2209">
      <w:pPr>
        <w:spacing w:after="0" w:line="360" w:lineRule="auto"/>
        <w:jc w:val="center"/>
        <w:rPr>
          <w:rFonts w:ascii="Times New Roman" w:hAnsi="Times New Roman" w:cs="Times New Roman"/>
        </w:rPr>
      </w:pPr>
    </w:p>
    <w:p w14:paraId="5BE63615" w14:textId="1646E0A7" w:rsidR="00071666" w:rsidRPr="00071666" w:rsidRDefault="00071666" w:rsidP="00405EDD">
      <w:pPr>
        <w:spacing w:after="0" w:line="360" w:lineRule="auto"/>
        <w:rPr>
          <w:rFonts w:ascii="Times New Roman" w:hAnsi="Times New Roman" w:cs="Times New Roman"/>
        </w:rPr>
      </w:pPr>
      <w:r w:rsidRPr="00071666">
        <w:rPr>
          <w:rFonts w:ascii="Times New Roman" w:hAnsi="Times New Roman" w:cs="Times New Roman"/>
          <w:b/>
          <w:bCs/>
        </w:rPr>
        <w:t xml:space="preserve">Figure </w:t>
      </w:r>
      <w:proofErr w:type="gramStart"/>
      <w:r w:rsidRPr="00071666">
        <w:rPr>
          <w:rFonts w:ascii="Times New Roman" w:hAnsi="Times New Roman" w:cs="Times New Roman"/>
          <w:b/>
          <w:bCs/>
        </w:rPr>
        <w:t>1:</w:t>
      </w:r>
      <w:proofErr w:type="gramEnd"/>
      <w:r w:rsidRPr="00071666">
        <w:rPr>
          <w:rFonts w:ascii="Times New Roman" w:hAnsi="Times New Roman" w:cs="Times New Roman"/>
          <w:b/>
          <w:bCs/>
        </w:rPr>
        <w:t xml:space="preserve"> </w:t>
      </w:r>
      <w:r w:rsidRPr="00071666">
        <w:rPr>
          <w:rFonts w:ascii="Times New Roman" w:hAnsi="Times New Roman" w:cs="Times New Roman"/>
        </w:rPr>
        <w:t>Location of the study area and sampling sites</w:t>
      </w:r>
    </w:p>
    <w:p w14:paraId="334DE57F" w14:textId="77777777" w:rsidR="00F40010" w:rsidRDefault="002F5E96" w:rsidP="00AE2209">
      <w:pPr>
        <w:spacing w:after="0" w:line="360" w:lineRule="auto"/>
        <w:rPr>
          <w:rFonts w:ascii="Times New Roman" w:hAnsi="Times New Roman" w:cs="Times New Roman"/>
        </w:rPr>
      </w:pPr>
      <w:r>
        <w:rPr>
          <w:rFonts w:ascii="Times New Roman" w:hAnsi="Times New Roman" w:cs="Times New Roman"/>
          <w:b/>
          <w:noProof/>
          <w:sz w:val="24"/>
          <w:szCs w:val="24"/>
          <w:lang w:eastAsia="fr-FR"/>
        </w:rPr>
        <w:drawing>
          <wp:anchor distT="0" distB="0" distL="0" distR="0" simplePos="0" relativeHeight="3" behindDoc="0" locked="0" layoutInCell="1" allowOverlap="1" wp14:anchorId="772B93AE" wp14:editId="5DCD6F50">
            <wp:simplePos x="0" y="0"/>
            <wp:positionH relativeFrom="margin">
              <wp:posOffset>159249</wp:posOffset>
            </wp:positionH>
            <wp:positionV relativeFrom="paragraph">
              <wp:posOffset>36052</wp:posOffset>
            </wp:positionV>
            <wp:extent cx="1494790" cy="1717447"/>
            <wp:effectExtent l="0" t="0" r="0" b="0"/>
            <wp:wrapNone/>
            <wp:docPr id="1029" name="Image 4" descr="C:\Users\Public\Pictures\IMG_20230725_095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4"/>
                    <pic:cNvPicPr/>
                  </pic:nvPicPr>
                  <pic:blipFill>
                    <a:blip r:embed="rId10" cstate="print"/>
                    <a:srcRect/>
                    <a:stretch/>
                  </pic:blipFill>
                  <pic:spPr>
                    <a:xfrm>
                      <a:off x="0" y="0"/>
                      <a:ext cx="1494790" cy="1717447"/>
                    </a:xfrm>
                    <a:prstGeom prst="rect">
                      <a:avLst/>
                    </a:prstGeom>
                    <a:ln>
                      <a:noFill/>
                    </a:ln>
                  </pic:spPr>
                </pic:pic>
              </a:graphicData>
            </a:graphic>
            <wp14:sizeRelV relativeFrom="margin">
              <wp14:pctHeight>0</wp14:pctHeight>
            </wp14:sizeRelV>
          </wp:anchor>
        </w:drawing>
      </w:r>
      <w:r>
        <w:rPr>
          <w:rFonts w:ascii="Times New Roman" w:hAnsi="Times New Roman" w:cs="Times New Roman"/>
          <w:b/>
          <w:noProof/>
          <w:sz w:val="24"/>
          <w:szCs w:val="24"/>
          <w:lang w:eastAsia="fr-FR"/>
        </w:rPr>
        <w:drawing>
          <wp:anchor distT="0" distB="0" distL="0" distR="0" simplePos="0" relativeHeight="4" behindDoc="0" locked="0" layoutInCell="1" allowOverlap="1" wp14:anchorId="2D343D62" wp14:editId="4823B2F7">
            <wp:simplePos x="0" y="0"/>
            <wp:positionH relativeFrom="column">
              <wp:posOffset>1699894</wp:posOffset>
            </wp:positionH>
            <wp:positionV relativeFrom="paragraph">
              <wp:posOffset>35560</wp:posOffset>
            </wp:positionV>
            <wp:extent cx="1514475" cy="1712595"/>
            <wp:effectExtent l="0" t="0" r="9525" b="1905"/>
            <wp:wrapNone/>
            <wp:docPr id="1030" name="Image 5" descr="C:\Users\Public\Pictures\IMG_20230725_092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5"/>
                    <pic:cNvPicPr/>
                  </pic:nvPicPr>
                  <pic:blipFill>
                    <a:blip r:embed="rId11" cstate="print"/>
                    <a:srcRect/>
                    <a:stretch/>
                  </pic:blipFill>
                  <pic:spPr>
                    <a:xfrm>
                      <a:off x="0" y="0"/>
                      <a:ext cx="1514475" cy="1712595"/>
                    </a:xfrm>
                    <a:prstGeom prst="rect">
                      <a:avLst/>
                    </a:prstGeom>
                    <a:ln>
                      <a:noFill/>
                    </a:ln>
                  </pic:spPr>
                </pic:pic>
              </a:graphicData>
            </a:graphic>
            <wp14:sizeRelV relativeFrom="margin">
              <wp14:pctHeight>0</wp14:pctHeight>
            </wp14:sizeRelV>
          </wp:anchor>
        </w:drawing>
      </w:r>
      <w:r>
        <w:rPr>
          <w:rFonts w:ascii="Times New Roman" w:hAnsi="Times New Roman" w:cs="Times New Roman"/>
          <w:b/>
          <w:noProof/>
          <w:sz w:val="24"/>
          <w:szCs w:val="24"/>
          <w:lang w:eastAsia="fr-FR"/>
        </w:rPr>
        <w:drawing>
          <wp:anchor distT="0" distB="0" distL="0" distR="0" simplePos="0" relativeHeight="6" behindDoc="0" locked="0" layoutInCell="1" allowOverlap="1" wp14:anchorId="1C9589D2" wp14:editId="2FD4F9D5">
            <wp:simplePos x="0" y="0"/>
            <wp:positionH relativeFrom="column">
              <wp:posOffset>4833620</wp:posOffset>
            </wp:positionH>
            <wp:positionV relativeFrom="paragraph">
              <wp:posOffset>35560</wp:posOffset>
            </wp:positionV>
            <wp:extent cx="1510029" cy="1704340"/>
            <wp:effectExtent l="0" t="0" r="0" b="0"/>
            <wp:wrapNone/>
            <wp:docPr id="1031" name="Image 7" descr="C:\Users\Public\Pictures\IMG_20230725_094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12" cstate="print"/>
                    <a:srcRect/>
                    <a:stretch/>
                  </pic:blipFill>
                  <pic:spPr>
                    <a:xfrm>
                      <a:off x="0" y="0"/>
                      <a:ext cx="1510029" cy="170434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w:drawing>
          <wp:anchor distT="0" distB="0" distL="0" distR="0" simplePos="0" relativeHeight="5" behindDoc="0" locked="0" layoutInCell="1" allowOverlap="1" wp14:anchorId="1881313B" wp14:editId="2F4A5789">
            <wp:simplePos x="0" y="0"/>
            <wp:positionH relativeFrom="column">
              <wp:posOffset>3272155</wp:posOffset>
            </wp:positionH>
            <wp:positionV relativeFrom="paragraph">
              <wp:posOffset>35560</wp:posOffset>
            </wp:positionV>
            <wp:extent cx="1504950" cy="1706879"/>
            <wp:effectExtent l="0" t="0" r="0" b="7620"/>
            <wp:wrapNone/>
            <wp:docPr id="1032" name="Image 6" descr="C:\Users\Public\Pictures\IMG_20230725_0924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13" cstate="print"/>
                    <a:srcRect/>
                    <a:stretch/>
                  </pic:blipFill>
                  <pic:spPr>
                    <a:xfrm>
                      <a:off x="0" y="0"/>
                      <a:ext cx="1504950" cy="1706879"/>
                    </a:xfrm>
                    <a:prstGeom prst="rect">
                      <a:avLst/>
                    </a:prstGeom>
                    <a:ln>
                      <a:noFill/>
                    </a:ln>
                  </pic:spPr>
                </pic:pic>
              </a:graphicData>
            </a:graphic>
            <wp14:sizeRelV relativeFrom="margin">
              <wp14:pctHeight>0</wp14:pctHeight>
            </wp14:sizeRelV>
          </wp:anchor>
        </w:drawing>
      </w:r>
    </w:p>
    <w:p w14:paraId="4E6A0D48" w14:textId="7369D614" w:rsidR="00F40010" w:rsidRDefault="00F40010" w:rsidP="00AE2209">
      <w:pPr>
        <w:spacing w:after="0" w:line="360" w:lineRule="auto"/>
        <w:jc w:val="both"/>
        <w:rPr>
          <w:rFonts w:ascii="Times New Roman" w:hAnsi="Times New Roman" w:cs="Times New Roman"/>
          <w:sz w:val="24"/>
          <w:szCs w:val="24"/>
        </w:rPr>
      </w:pPr>
    </w:p>
    <w:p w14:paraId="558C5C52" w14:textId="77777777" w:rsidR="00F40010" w:rsidRDefault="00F40010" w:rsidP="00AE2209">
      <w:pPr>
        <w:spacing w:after="0" w:line="360" w:lineRule="auto"/>
        <w:jc w:val="both"/>
        <w:rPr>
          <w:rFonts w:ascii="Times New Roman" w:hAnsi="Times New Roman" w:cs="Times New Roman"/>
          <w:b/>
          <w:sz w:val="24"/>
          <w:szCs w:val="24"/>
        </w:rPr>
      </w:pPr>
    </w:p>
    <w:p w14:paraId="04BE957A" w14:textId="37FEB04F" w:rsidR="00F40010" w:rsidRDefault="00F40010" w:rsidP="00AE2209">
      <w:pPr>
        <w:spacing w:after="0" w:line="360" w:lineRule="auto"/>
        <w:rPr>
          <w:rFonts w:ascii="Times New Roman" w:hAnsi="Times New Roman" w:cs="Times New Roman"/>
          <w:sz w:val="24"/>
          <w:szCs w:val="24"/>
        </w:rPr>
      </w:pPr>
    </w:p>
    <w:p w14:paraId="1E791B13" w14:textId="77777777" w:rsidR="00F40010" w:rsidRDefault="002F5E96" w:rsidP="00AE220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271072C2" w14:textId="65238BD5" w:rsidR="00F40010" w:rsidRDefault="002F5E96" w:rsidP="00AE2209">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p>
    <w:p w14:paraId="3D0F4190" w14:textId="28E6C7BD" w:rsidR="00F40010" w:rsidRDefault="002F5E96" w:rsidP="00AE2209">
      <w:pPr>
        <w:spacing w:after="0" w:line="360" w:lineRule="auto"/>
        <w:jc w:val="center"/>
        <w:rPr>
          <w:rFonts w:ascii="Times New Roman" w:hAnsi="Times New Roman" w:cs="Times New Roman"/>
        </w:rPr>
      </w:pPr>
      <w:r>
        <w:rPr>
          <w:rFonts w:ascii="Times New Roman" w:hAnsi="Times New Roman" w:cs="Times New Roman"/>
          <w:b/>
        </w:rPr>
        <w:t>Figure 2 :</w:t>
      </w:r>
      <w:r w:rsidR="00071666" w:rsidRPr="00071666">
        <w:rPr>
          <w:rFonts w:ascii="Times New Roman" w:hAnsi="Times New Roman" w:cs="Times New Roman"/>
        </w:rPr>
        <w:t xml:space="preserve"> Presentation of the sampling sites</w:t>
      </w:r>
    </w:p>
    <w:p w14:paraId="4E0988B4" w14:textId="57FD21C7" w:rsidR="00F53AA9" w:rsidRPr="00F53AA9" w:rsidRDefault="00F53AA9" w:rsidP="00AE2209">
      <w:pPr>
        <w:spacing w:after="0" w:line="360" w:lineRule="auto"/>
        <w:jc w:val="both"/>
        <w:rPr>
          <w:rFonts w:ascii="Times New Roman" w:hAnsi="Times New Roman" w:cs="Times New Roman"/>
          <w:b/>
          <w:bCs/>
          <w:color w:val="4F81BD" w:themeColor="accent1"/>
        </w:rPr>
      </w:pPr>
      <w:r w:rsidRPr="00F53AA9">
        <w:rPr>
          <w:rFonts w:ascii="Times New Roman" w:hAnsi="Times New Roman" w:cs="Times New Roman"/>
          <w:b/>
          <w:bCs/>
          <w:color w:val="4F81BD" w:themeColor="accent1"/>
        </w:rPr>
        <w:t>2.2. Sampling</w:t>
      </w:r>
    </w:p>
    <w:p w14:paraId="5ECE4784"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 xml:space="preserve">On August 1, 2024, at the end of the dry season, four well water samples and four spring water samples were collected in Ambatoharanana using precise geographical coordinates. During this sampling </w:t>
      </w:r>
      <w:r w:rsidRPr="00F53AA9">
        <w:rPr>
          <w:rFonts w:ascii="Times New Roman" w:hAnsi="Times New Roman" w:cs="Times New Roman"/>
        </w:rPr>
        <w:lastRenderedPageBreak/>
        <w:t>campaign, water samples were collected from four sites (Well 01, Well 02, Spring 01, and Spring 02) and transferred into 1 L polyethylene plastic bottles. Prior to sampling, the bottles were thoroughly cleaned with nitric acid, followed by rinsing with tap water, and then rinsed three to four times before use.</w:t>
      </w:r>
    </w:p>
    <w:p w14:paraId="2A9A82E6"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The samples were collected by immersing the bottles below the water surface and carefully filling them to the brim. Subsequently, the samples were labeled and transported to the laboratory in a cooler maintained at 6°C. Before analysis, the samples were stored in a refrigerator at 4°C.</w:t>
      </w:r>
    </w:p>
    <w:p w14:paraId="42D78BC2" w14:textId="21BE1D60" w:rsidR="00F40010" w:rsidRDefault="002F5E96" w:rsidP="00AE2209">
      <w:pPr>
        <w:spacing w:after="0" w:line="360" w:lineRule="auto"/>
        <w:jc w:val="both"/>
        <w:rPr>
          <w:rFonts w:ascii="Times New Roman" w:hAnsi="Times New Roman" w:cs="Times New Roman"/>
        </w:rPr>
      </w:pPr>
      <w:r>
        <w:rPr>
          <w:rFonts w:ascii="Times New Roman" w:hAnsi="Times New Roman" w:cs="Times New Roman"/>
        </w:rPr>
        <w:t xml:space="preserve"> </w:t>
      </w:r>
    </w:p>
    <w:p w14:paraId="31E8BF40" w14:textId="77777777" w:rsidR="00AE2209" w:rsidRDefault="00AE2209" w:rsidP="00AE2209">
      <w:pPr>
        <w:spacing w:after="0" w:line="360" w:lineRule="auto"/>
        <w:jc w:val="both"/>
        <w:rPr>
          <w:rFonts w:ascii="Times New Roman" w:hAnsi="Times New Roman" w:cs="Times New Roman"/>
          <w:b/>
          <w:bCs/>
          <w:color w:val="4F81BD" w:themeColor="accent1"/>
        </w:rPr>
      </w:pPr>
    </w:p>
    <w:p w14:paraId="488298C8" w14:textId="77777777" w:rsidR="00AE2209" w:rsidRDefault="00AE2209" w:rsidP="00AE2209">
      <w:pPr>
        <w:spacing w:after="0" w:line="360" w:lineRule="auto"/>
        <w:jc w:val="both"/>
        <w:rPr>
          <w:rFonts w:ascii="Times New Roman" w:hAnsi="Times New Roman" w:cs="Times New Roman"/>
          <w:b/>
          <w:bCs/>
          <w:color w:val="4F81BD" w:themeColor="accent1"/>
        </w:rPr>
      </w:pPr>
    </w:p>
    <w:p w14:paraId="7C6E8BD1" w14:textId="48FDB7D7" w:rsidR="00F53AA9" w:rsidRPr="00F53AA9" w:rsidRDefault="00F53AA9" w:rsidP="00AE2209">
      <w:pPr>
        <w:spacing w:after="0" w:line="360" w:lineRule="auto"/>
        <w:jc w:val="both"/>
        <w:rPr>
          <w:rFonts w:ascii="Times New Roman" w:hAnsi="Times New Roman" w:cs="Times New Roman"/>
          <w:b/>
          <w:bCs/>
          <w:color w:val="4F81BD" w:themeColor="accent1"/>
        </w:rPr>
      </w:pPr>
      <w:r w:rsidRPr="00F53AA9">
        <w:rPr>
          <w:rFonts w:ascii="Times New Roman" w:hAnsi="Times New Roman" w:cs="Times New Roman"/>
          <w:b/>
          <w:bCs/>
          <w:color w:val="4F81BD" w:themeColor="accent1"/>
        </w:rPr>
        <w:t>2.3. Physicochemical Analyses</w:t>
      </w:r>
    </w:p>
    <w:p w14:paraId="37F6DA45"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During sampling, the physical parameters of the water, including pH and temperature, were measured in situ. Field instruments used included a Palintest® pH meter and thermometer. Physicochemical parameters, namely electrical conductivity, turbidity, manganese, iron, ammonium, aluminum, nitrite, nitrate, and fluoride, were analyzed at the DREAH Haute Matsiatra laboratory. Electrical conductivity was measured using a Palintest® conductivity meter, while turbidity was determined using a Palintest® turbidimeter.</w:t>
      </w:r>
    </w:p>
    <w:p w14:paraId="142060F6"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Chemical analyses of manganese, iron, ammonium, aluminum, nitrite, nitrate, and fluoride were carried out using Wagtech kits [Wagtech WTD 7100 photometer (Wag-WE-10441), Palintest® type].</w:t>
      </w:r>
    </w:p>
    <w:p w14:paraId="39347351" w14:textId="77777777" w:rsidR="00F53AA9" w:rsidRPr="00F53AA9" w:rsidRDefault="00F53AA9" w:rsidP="00AE2209">
      <w:pPr>
        <w:spacing w:after="0" w:line="360" w:lineRule="auto"/>
        <w:jc w:val="both"/>
        <w:rPr>
          <w:rFonts w:ascii="Times New Roman" w:hAnsi="Times New Roman" w:cs="Times New Roman"/>
          <w:b/>
          <w:bCs/>
          <w:color w:val="4F81BD" w:themeColor="accent1"/>
        </w:rPr>
      </w:pPr>
      <w:r w:rsidRPr="00F53AA9">
        <w:rPr>
          <w:rFonts w:ascii="Times New Roman" w:hAnsi="Times New Roman" w:cs="Times New Roman"/>
          <w:b/>
          <w:bCs/>
          <w:color w:val="4F81BD" w:themeColor="accent1"/>
        </w:rPr>
        <w:t>2.4. Bacteriological Analyses</w:t>
      </w:r>
    </w:p>
    <w:p w14:paraId="2C38BBE0"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Bacteriological analysis was performed for the identification and enumeration of fecal coliforms present in well and spring water samples. Detection of these bacteria was carried out by filtering 100 mL of water through a 0.45 μm membrane filter, followed by placement onto sterile Petri dishes containing a specific culture medium. The Petri dishes were incubated for 24 hours at 44°C.</w:t>
      </w:r>
    </w:p>
    <w:p w14:paraId="178C44DD"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The culture medium used consisted of a selective medium (m-FC agar). The selection of this medium complies with standardized recommendations to ensure accurate identification and adequate growth of the target bacteria during the analytical process.</w:t>
      </w:r>
    </w:p>
    <w:p w14:paraId="0F87FD51" w14:textId="77777777" w:rsidR="00F53AA9" w:rsidRPr="00F53AA9" w:rsidRDefault="00F53AA9" w:rsidP="00AE2209">
      <w:pPr>
        <w:spacing w:after="0" w:line="360" w:lineRule="auto"/>
        <w:jc w:val="both"/>
        <w:rPr>
          <w:rFonts w:ascii="Times New Roman" w:hAnsi="Times New Roman" w:cs="Times New Roman"/>
          <w:b/>
          <w:bCs/>
          <w:color w:val="4F81BD" w:themeColor="accent1"/>
        </w:rPr>
      </w:pPr>
      <w:r w:rsidRPr="00F53AA9">
        <w:rPr>
          <w:rFonts w:ascii="Times New Roman" w:hAnsi="Times New Roman" w:cs="Times New Roman"/>
          <w:b/>
          <w:bCs/>
          <w:color w:val="4F81BD" w:themeColor="accent1"/>
        </w:rPr>
        <w:t>3. RESULTS</w:t>
      </w:r>
    </w:p>
    <w:p w14:paraId="6F0DD494" w14:textId="77777777" w:rsidR="00F53AA9" w:rsidRPr="00F53AA9" w:rsidRDefault="00F53AA9" w:rsidP="00AE2209">
      <w:pPr>
        <w:spacing w:after="0" w:line="360" w:lineRule="auto"/>
        <w:jc w:val="both"/>
        <w:rPr>
          <w:rFonts w:ascii="Times New Roman" w:hAnsi="Times New Roman" w:cs="Times New Roman"/>
          <w:b/>
          <w:bCs/>
          <w:color w:val="4F81BD" w:themeColor="accent1"/>
        </w:rPr>
      </w:pPr>
      <w:r w:rsidRPr="00F53AA9">
        <w:rPr>
          <w:rFonts w:ascii="Times New Roman" w:hAnsi="Times New Roman" w:cs="Times New Roman"/>
          <w:b/>
          <w:bCs/>
          <w:color w:val="4F81BD" w:themeColor="accent1"/>
        </w:rPr>
        <w:t>3.1. Physicochemical Quality</w:t>
      </w:r>
    </w:p>
    <w:p w14:paraId="00A12EE6"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The results of the physicochemical analyses, presented in Table 1, reveal that the pH of the water ranged from 4.59 to 6.15. However, these values do not comply with the standards established by the WHO and the Malagasy State, indicating an acidic nature of both well and spring water.</w:t>
      </w:r>
    </w:p>
    <w:p w14:paraId="4290EE38"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Electrical conductivity values ranged from 211 μS/cm to 275 μS/cm, indicating low mineralization and remaining within the limits recommended by the WHO and the Malagasy State.</w:t>
      </w:r>
    </w:p>
    <w:p w14:paraId="4D0FAAD1"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Water temperature varied from 17.6°C to 18.3°C. These values comply with WHO and Malagasy standards, which recommend temperatures below 25°C.</w:t>
      </w:r>
    </w:p>
    <w:p w14:paraId="6D18FC60"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lastRenderedPageBreak/>
        <w:t>Well and spring water showed slight turbidity, ranging from 1.33 NTU to 4.59 NTU. These values remained below the maximum limits recommended by the WHO and the Malagasy State.</w:t>
      </w:r>
    </w:p>
    <w:p w14:paraId="7296D0A7"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Manganese concentration in the water was undetectable, indicating the complete absence of this element in the samples. These values are far below the standards established by the WHO and the Malagasy State.</w:t>
      </w:r>
    </w:p>
    <w:p w14:paraId="1ECF9885"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 xml:space="preserve">Iron concentrations in well and spring water ranged from 0 mg/L to 0.15 mg/L, complying with WHO and </w:t>
      </w:r>
      <w:proofErr w:type="gramStart"/>
      <w:r w:rsidRPr="00F53AA9">
        <w:rPr>
          <w:rFonts w:ascii="Times New Roman" w:hAnsi="Times New Roman" w:cs="Times New Roman"/>
        </w:rPr>
        <w:t>Malagasy standards</w:t>
      </w:r>
      <w:proofErr w:type="gramEnd"/>
      <w:r w:rsidRPr="00F53AA9">
        <w:rPr>
          <w:rFonts w:ascii="Times New Roman" w:hAnsi="Times New Roman" w:cs="Times New Roman"/>
        </w:rPr>
        <w:t>.</w:t>
      </w:r>
    </w:p>
    <w:p w14:paraId="1D1AF7EA"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Ammonium and aluminum concentrations varied respectively from 0.05 mg/L to 0.93 mg/L and from 0.05 mg/L to 0.68 mg/L. However, values recorded in some water sources exceeded the maximum permissible limits recommended by the WHO and the Malagasy State.</w:t>
      </w:r>
    </w:p>
    <w:p w14:paraId="2EA59E6E"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Nitrite and nitrate concentrations ranged respectively from 0 mg/L to 0.105 mg/L and from 0.141 mg/L to 69.34 mg/L. Nevertheless, the highest values exceeded the standards established by the WHO and the Malagasy State.</w:t>
      </w:r>
    </w:p>
    <w:p w14:paraId="22BBB44F" w14:textId="77777777" w:rsidR="00F53AA9" w:rsidRPr="00F53AA9" w:rsidRDefault="00F53AA9" w:rsidP="00AE2209">
      <w:pPr>
        <w:spacing w:after="0" w:line="360" w:lineRule="auto"/>
        <w:jc w:val="both"/>
        <w:rPr>
          <w:rFonts w:ascii="Times New Roman" w:hAnsi="Times New Roman" w:cs="Times New Roman"/>
        </w:rPr>
      </w:pPr>
      <w:r w:rsidRPr="00F53AA9">
        <w:rPr>
          <w:rFonts w:ascii="Times New Roman" w:hAnsi="Times New Roman" w:cs="Times New Roman"/>
        </w:rPr>
        <w:t>Fluoride concentrations ranged from 0.26 mg/L to 0.78 mg/L, all remaining below the maximum permissible limits recommended by the WHO and the Malagasy State.</w:t>
      </w:r>
    </w:p>
    <w:p w14:paraId="3F28BEF0" w14:textId="5F1E0D88" w:rsidR="00F40010" w:rsidRPr="00AE2209" w:rsidRDefault="00F53AA9" w:rsidP="00AE2209">
      <w:pPr>
        <w:spacing w:after="0" w:line="360" w:lineRule="auto"/>
        <w:jc w:val="center"/>
        <w:rPr>
          <w:rFonts w:ascii="Times New Roman" w:hAnsi="Times New Roman" w:cs="Times New Roman"/>
          <w:b/>
          <w:bCs/>
        </w:rPr>
      </w:pPr>
      <w:r w:rsidRPr="00AE2209">
        <w:rPr>
          <w:rFonts w:ascii="Times New Roman" w:hAnsi="Times New Roman" w:cs="Times New Roman"/>
          <w:b/>
          <w:bCs/>
        </w:rPr>
        <w:t xml:space="preserve">Table </w:t>
      </w:r>
      <w:proofErr w:type="gramStart"/>
      <w:r w:rsidRPr="00AE2209">
        <w:rPr>
          <w:rFonts w:ascii="Times New Roman" w:hAnsi="Times New Roman" w:cs="Times New Roman"/>
          <w:b/>
          <w:bCs/>
        </w:rPr>
        <w:t>1:</w:t>
      </w:r>
      <w:proofErr w:type="gramEnd"/>
      <w:r w:rsidRPr="00AE2209">
        <w:rPr>
          <w:rFonts w:ascii="Times New Roman" w:hAnsi="Times New Roman" w:cs="Times New Roman"/>
          <w:b/>
          <w:bCs/>
        </w:rPr>
        <w:t xml:space="preserve"> Physicochemical characteristics of well and spring water</w:t>
      </w:r>
    </w:p>
    <w:tbl>
      <w:tblPr>
        <w:tblStyle w:val="TableGrid"/>
        <w:tblW w:w="0" w:type="auto"/>
        <w:jc w:val="center"/>
        <w:tblLook w:val="04A0" w:firstRow="1" w:lastRow="0" w:firstColumn="1" w:lastColumn="0" w:noHBand="0" w:noVBand="1"/>
      </w:tblPr>
      <w:tblGrid>
        <w:gridCol w:w="1464"/>
        <w:gridCol w:w="1048"/>
        <w:gridCol w:w="1034"/>
        <w:gridCol w:w="1034"/>
        <w:gridCol w:w="1092"/>
        <w:gridCol w:w="1092"/>
        <w:gridCol w:w="1193"/>
        <w:gridCol w:w="1105"/>
      </w:tblGrid>
      <w:tr w:rsidR="00F53AA9" w14:paraId="5E85E956" w14:textId="77777777" w:rsidTr="00523A10">
        <w:trPr>
          <w:trHeight w:val="618"/>
          <w:jc w:val="center"/>
        </w:trPr>
        <w:tc>
          <w:tcPr>
            <w:tcW w:w="1349" w:type="dxa"/>
            <w:vAlign w:val="center"/>
          </w:tcPr>
          <w:p w14:paraId="25598815" w14:textId="2796D816"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Parameters</w:t>
            </w:r>
          </w:p>
        </w:tc>
        <w:tc>
          <w:tcPr>
            <w:tcW w:w="1069" w:type="dxa"/>
            <w:vAlign w:val="center"/>
          </w:tcPr>
          <w:p w14:paraId="76C6642B" w14:textId="60EC973C"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Unit</w:t>
            </w:r>
          </w:p>
        </w:tc>
        <w:tc>
          <w:tcPr>
            <w:tcW w:w="1056" w:type="dxa"/>
            <w:vAlign w:val="center"/>
          </w:tcPr>
          <w:p w14:paraId="33FDBDF5" w14:textId="6F72D16E"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Well 01</w:t>
            </w:r>
          </w:p>
        </w:tc>
        <w:tc>
          <w:tcPr>
            <w:tcW w:w="1056" w:type="dxa"/>
            <w:vAlign w:val="center"/>
          </w:tcPr>
          <w:p w14:paraId="286D2F0E" w14:textId="22D953BC"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Well 02</w:t>
            </w:r>
          </w:p>
        </w:tc>
        <w:tc>
          <w:tcPr>
            <w:tcW w:w="1110" w:type="dxa"/>
            <w:vAlign w:val="center"/>
          </w:tcPr>
          <w:p w14:paraId="7FB2F7C3" w14:textId="066E26FF"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Spring 01</w:t>
            </w:r>
          </w:p>
        </w:tc>
        <w:tc>
          <w:tcPr>
            <w:tcW w:w="1110" w:type="dxa"/>
            <w:vAlign w:val="center"/>
          </w:tcPr>
          <w:p w14:paraId="0FD7DF37" w14:textId="4ADAB3FE"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Spring 02</w:t>
            </w:r>
          </w:p>
        </w:tc>
        <w:tc>
          <w:tcPr>
            <w:tcW w:w="1202" w:type="dxa"/>
            <w:vAlign w:val="center"/>
          </w:tcPr>
          <w:p w14:paraId="679AFFB2" w14:textId="4337E952" w:rsidR="00F53AA9" w:rsidRDefault="00F53AA9" w:rsidP="00AE2209">
            <w:pPr>
              <w:spacing w:line="360" w:lineRule="auto"/>
              <w:jc w:val="center"/>
              <w:rPr>
                <w:rFonts w:ascii="Times New Roman" w:hAnsi="Times New Roman" w:cs="Times New Roman"/>
                <w:b/>
                <w:sz w:val="20"/>
              </w:rPr>
            </w:pPr>
            <w:r w:rsidRPr="00F53AA9">
              <w:rPr>
                <w:rFonts w:ascii="Times New Roman" w:hAnsi="Times New Roman" w:cs="Times New Roman"/>
                <w:b/>
                <w:bCs/>
                <w:sz w:val="20"/>
              </w:rPr>
              <w:t>Malagasy Standard</w:t>
            </w:r>
          </w:p>
        </w:tc>
        <w:tc>
          <w:tcPr>
            <w:tcW w:w="1110" w:type="dxa"/>
            <w:vAlign w:val="center"/>
          </w:tcPr>
          <w:p w14:paraId="40502AC7" w14:textId="02624A96" w:rsidR="00F53AA9" w:rsidRDefault="00F53AA9" w:rsidP="00AE2209">
            <w:pPr>
              <w:spacing w:line="360" w:lineRule="auto"/>
              <w:jc w:val="center"/>
              <w:rPr>
                <w:rFonts w:ascii="Times New Roman" w:hAnsi="Times New Roman" w:cs="Times New Roman"/>
                <w:b/>
                <w:sz w:val="20"/>
              </w:rPr>
            </w:pPr>
            <w:r>
              <w:rPr>
                <w:rFonts w:ascii="Times New Roman" w:hAnsi="Times New Roman" w:cs="Times New Roman"/>
                <w:b/>
                <w:bCs/>
                <w:sz w:val="20"/>
              </w:rPr>
              <w:t>OMS</w:t>
            </w:r>
            <w:r w:rsidRPr="00F53AA9">
              <w:rPr>
                <w:rFonts w:ascii="Times New Roman" w:hAnsi="Times New Roman" w:cs="Times New Roman"/>
                <w:b/>
                <w:bCs/>
                <w:sz w:val="20"/>
              </w:rPr>
              <w:t xml:space="preserve"> Standard</w:t>
            </w:r>
          </w:p>
        </w:tc>
      </w:tr>
      <w:tr w:rsidR="00F53AA9" w14:paraId="735A7F4B" w14:textId="77777777" w:rsidTr="00C43E32">
        <w:trPr>
          <w:trHeight w:val="360"/>
          <w:jc w:val="center"/>
        </w:trPr>
        <w:tc>
          <w:tcPr>
            <w:tcW w:w="1349" w:type="dxa"/>
            <w:vAlign w:val="center"/>
          </w:tcPr>
          <w:p w14:paraId="3E782351" w14:textId="6CA7E203" w:rsidR="00F53AA9" w:rsidRPr="00F53AA9" w:rsidRDefault="00F53AA9" w:rsidP="00AE2209">
            <w:pPr>
              <w:spacing w:line="360" w:lineRule="auto"/>
              <w:jc w:val="center"/>
              <w:rPr>
                <w:rFonts w:ascii="Times New Roman" w:hAnsi="Times New Roman" w:cs="Times New Roman"/>
                <w:b/>
                <w:bCs/>
                <w:sz w:val="20"/>
              </w:rPr>
            </w:pPr>
            <w:proofErr w:type="gramStart"/>
            <w:r w:rsidRPr="00F53AA9">
              <w:rPr>
                <w:rFonts w:ascii="Times New Roman" w:hAnsi="Times New Roman" w:cs="Times New Roman"/>
                <w:b/>
                <w:bCs/>
              </w:rPr>
              <w:t>pH</w:t>
            </w:r>
            <w:proofErr w:type="gramEnd"/>
          </w:p>
        </w:tc>
        <w:tc>
          <w:tcPr>
            <w:tcW w:w="1069" w:type="dxa"/>
          </w:tcPr>
          <w:p w14:paraId="21EFBBC3"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w:t>
            </w:r>
          </w:p>
        </w:tc>
        <w:tc>
          <w:tcPr>
            <w:tcW w:w="1056" w:type="dxa"/>
          </w:tcPr>
          <w:p w14:paraId="0502D972"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5,74</w:t>
            </w:r>
          </w:p>
        </w:tc>
        <w:tc>
          <w:tcPr>
            <w:tcW w:w="1056" w:type="dxa"/>
          </w:tcPr>
          <w:p w14:paraId="595CA75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4,59</w:t>
            </w:r>
          </w:p>
        </w:tc>
        <w:tc>
          <w:tcPr>
            <w:tcW w:w="1110" w:type="dxa"/>
          </w:tcPr>
          <w:p w14:paraId="528C353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5,06</w:t>
            </w:r>
          </w:p>
        </w:tc>
        <w:tc>
          <w:tcPr>
            <w:tcW w:w="1110" w:type="dxa"/>
          </w:tcPr>
          <w:p w14:paraId="67E1F71C"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6,15</w:t>
            </w:r>
          </w:p>
        </w:tc>
        <w:tc>
          <w:tcPr>
            <w:tcW w:w="1202" w:type="dxa"/>
          </w:tcPr>
          <w:p w14:paraId="62D1EA9A"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6,5 - 9</w:t>
            </w:r>
          </w:p>
        </w:tc>
        <w:tc>
          <w:tcPr>
            <w:tcW w:w="1110" w:type="dxa"/>
          </w:tcPr>
          <w:p w14:paraId="2A21F25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6,5 – 8,5</w:t>
            </w:r>
          </w:p>
        </w:tc>
      </w:tr>
      <w:tr w:rsidR="00F53AA9" w14:paraId="6478AE90" w14:textId="77777777" w:rsidTr="00C43E32">
        <w:trPr>
          <w:trHeight w:val="350"/>
          <w:jc w:val="center"/>
        </w:trPr>
        <w:tc>
          <w:tcPr>
            <w:tcW w:w="1349" w:type="dxa"/>
            <w:vAlign w:val="center"/>
          </w:tcPr>
          <w:p w14:paraId="71D246F8" w14:textId="4C361952"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Electrical conductivity</w:t>
            </w:r>
          </w:p>
        </w:tc>
        <w:tc>
          <w:tcPr>
            <w:tcW w:w="1069" w:type="dxa"/>
          </w:tcPr>
          <w:p w14:paraId="2AF9997F"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μ</w:t>
            </w:r>
            <w:proofErr w:type="gramEnd"/>
            <w:r>
              <w:rPr>
                <w:rFonts w:ascii="Times New Roman" w:hAnsi="Times New Roman" w:cs="Times New Roman"/>
                <w:sz w:val="20"/>
              </w:rPr>
              <w:t>s/cm</w:t>
            </w:r>
          </w:p>
        </w:tc>
        <w:tc>
          <w:tcPr>
            <w:tcW w:w="1056" w:type="dxa"/>
          </w:tcPr>
          <w:p w14:paraId="44826B49"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241</w:t>
            </w:r>
          </w:p>
        </w:tc>
        <w:tc>
          <w:tcPr>
            <w:tcW w:w="1056" w:type="dxa"/>
          </w:tcPr>
          <w:p w14:paraId="5A5ABAAA"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275</w:t>
            </w:r>
          </w:p>
        </w:tc>
        <w:tc>
          <w:tcPr>
            <w:tcW w:w="1110" w:type="dxa"/>
          </w:tcPr>
          <w:p w14:paraId="65B8023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214</w:t>
            </w:r>
          </w:p>
        </w:tc>
        <w:tc>
          <w:tcPr>
            <w:tcW w:w="1110" w:type="dxa"/>
          </w:tcPr>
          <w:p w14:paraId="5F39FEDA"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211</w:t>
            </w:r>
          </w:p>
        </w:tc>
        <w:tc>
          <w:tcPr>
            <w:tcW w:w="1202" w:type="dxa"/>
          </w:tcPr>
          <w:p w14:paraId="4EF2C93C"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3000</w:t>
            </w:r>
          </w:p>
        </w:tc>
        <w:tc>
          <w:tcPr>
            <w:tcW w:w="1110" w:type="dxa"/>
          </w:tcPr>
          <w:p w14:paraId="531EED0B"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3000</w:t>
            </w:r>
          </w:p>
        </w:tc>
      </w:tr>
      <w:tr w:rsidR="00F53AA9" w14:paraId="4E6FA709" w14:textId="77777777" w:rsidTr="00C43E32">
        <w:trPr>
          <w:jc w:val="center"/>
        </w:trPr>
        <w:tc>
          <w:tcPr>
            <w:tcW w:w="1349" w:type="dxa"/>
            <w:vAlign w:val="center"/>
          </w:tcPr>
          <w:p w14:paraId="04CDB5EA" w14:textId="1FA8E4A8"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Temperature</w:t>
            </w:r>
          </w:p>
        </w:tc>
        <w:tc>
          <w:tcPr>
            <w:tcW w:w="1069" w:type="dxa"/>
          </w:tcPr>
          <w:p w14:paraId="62C87F30"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°C</w:t>
            </w:r>
          </w:p>
        </w:tc>
        <w:tc>
          <w:tcPr>
            <w:tcW w:w="1056" w:type="dxa"/>
          </w:tcPr>
          <w:p w14:paraId="40C4429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17,5</w:t>
            </w:r>
          </w:p>
        </w:tc>
        <w:tc>
          <w:tcPr>
            <w:tcW w:w="1056" w:type="dxa"/>
          </w:tcPr>
          <w:p w14:paraId="443B286B"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17,9</w:t>
            </w:r>
          </w:p>
        </w:tc>
        <w:tc>
          <w:tcPr>
            <w:tcW w:w="1110" w:type="dxa"/>
          </w:tcPr>
          <w:p w14:paraId="2C8A65FE"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18,3</w:t>
            </w:r>
          </w:p>
        </w:tc>
        <w:tc>
          <w:tcPr>
            <w:tcW w:w="1110" w:type="dxa"/>
          </w:tcPr>
          <w:p w14:paraId="547781F0"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17,6</w:t>
            </w:r>
          </w:p>
        </w:tc>
        <w:tc>
          <w:tcPr>
            <w:tcW w:w="1202" w:type="dxa"/>
          </w:tcPr>
          <w:p w14:paraId="07C0A4AA"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25</w:t>
            </w:r>
          </w:p>
        </w:tc>
        <w:tc>
          <w:tcPr>
            <w:tcW w:w="1110" w:type="dxa"/>
          </w:tcPr>
          <w:p w14:paraId="0479C462"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25</w:t>
            </w:r>
          </w:p>
        </w:tc>
      </w:tr>
      <w:tr w:rsidR="00F53AA9" w14:paraId="2F98EE7D" w14:textId="77777777" w:rsidTr="00C43E32">
        <w:trPr>
          <w:jc w:val="center"/>
        </w:trPr>
        <w:tc>
          <w:tcPr>
            <w:tcW w:w="1349" w:type="dxa"/>
            <w:vAlign w:val="center"/>
          </w:tcPr>
          <w:p w14:paraId="2C67F064" w14:textId="43DFF98C"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Turbidity</w:t>
            </w:r>
          </w:p>
        </w:tc>
        <w:tc>
          <w:tcPr>
            <w:tcW w:w="1069" w:type="dxa"/>
          </w:tcPr>
          <w:p w14:paraId="2A7E0A4A"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NTU</w:t>
            </w:r>
          </w:p>
        </w:tc>
        <w:tc>
          <w:tcPr>
            <w:tcW w:w="1056" w:type="dxa"/>
          </w:tcPr>
          <w:p w14:paraId="405D8A2E"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3,52</w:t>
            </w:r>
          </w:p>
        </w:tc>
        <w:tc>
          <w:tcPr>
            <w:tcW w:w="1056" w:type="dxa"/>
          </w:tcPr>
          <w:p w14:paraId="5F8AE39F"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1,33</w:t>
            </w:r>
          </w:p>
        </w:tc>
        <w:tc>
          <w:tcPr>
            <w:tcW w:w="1110" w:type="dxa"/>
          </w:tcPr>
          <w:p w14:paraId="6E4B2D97"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4,38</w:t>
            </w:r>
          </w:p>
        </w:tc>
        <w:tc>
          <w:tcPr>
            <w:tcW w:w="1110" w:type="dxa"/>
          </w:tcPr>
          <w:p w14:paraId="5520EA19"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4,59</w:t>
            </w:r>
          </w:p>
        </w:tc>
        <w:tc>
          <w:tcPr>
            <w:tcW w:w="1202" w:type="dxa"/>
          </w:tcPr>
          <w:p w14:paraId="6AC19ED1"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5</w:t>
            </w:r>
          </w:p>
        </w:tc>
        <w:tc>
          <w:tcPr>
            <w:tcW w:w="1110" w:type="dxa"/>
          </w:tcPr>
          <w:p w14:paraId="20F69AAF"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 5</w:t>
            </w:r>
          </w:p>
        </w:tc>
      </w:tr>
      <w:tr w:rsidR="00F53AA9" w14:paraId="66C5A640" w14:textId="77777777" w:rsidTr="00C43E32">
        <w:trPr>
          <w:jc w:val="center"/>
        </w:trPr>
        <w:tc>
          <w:tcPr>
            <w:tcW w:w="1349" w:type="dxa"/>
            <w:vAlign w:val="center"/>
          </w:tcPr>
          <w:p w14:paraId="1901ECC2" w14:textId="68AA68EC"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Manganese</w:t>
            </w:r>
          </w:p>
        </w:tc>
        <w:tc>
          <w:tcPr>
            <w:tcW w:w="1069" w:type="dxa"/>
          </w:tcPr>
          <w:p w14:paraId="79E47C8E"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4D8B48A0"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056" w:type="dxa"/>
          </w:tcPr>
          <w:p w14:paraId="736DF179"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110" w:type="dxa"/>
          </w:tcPr>
          <w:p w14:paraId="5BD59682"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110" w:type="dxa"/>
          </w:tcPr>
          <w:p w14:paraId="2BFBD44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202" w:type="dxa"/>
          </w:tcPr>
          <w:p w14:paraId="770B02C6"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0,05</w:t>
            </w:r>
          </w:p>
        </w:tc>
        <w:tc>
          <w:tcPr>
            <w:tcW w:w="1110" w:type="dxa"/>
          </w:tcPr>
          <w:p w14:paraId="7C76707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0,05</w:t>
            </w:r>
          </w:p>
        </w:tc>
      </w:tr>
      <w:tr w:rsidR="00F53AA9" w14:paraId="1C3C21E8" w14:textId="77777777" w:rsidTr="00C43E32">
        <w:trPr>
          <w:jc w:val="center"/>
        </w:trPr>
        <w:tc>
          <w:tcPr>
            <w:tcW w:w="1349" w:type="dxa"/>
            <w:vAlign w:val="center"/>
          </w:tcPr>
          <w:p w14:paraId="4787CC6D" w14:textId="3A5E7C51"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Iron</w:t>
            </w:r>
          </w:p>
        </w:tc>
        <w:tc>
          <w:tcPr>
            <w:tcW w:w="1069" w:type="dxa"/>
          </w:tcPr>
          <w:p w14:paraId="3FBA5002"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699C317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0,15</w:t>
            </w:r>
          </w:p>
        </w:tc>
        <w:tc>
          <w:tcPr>
            <w:tcW w:w="1056" w:type="dxa"/>
          </w:tcPr>
          <w:p w14:paraId="2822B32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0,15</w:t>
            </w:r>
          </w:p>
        </w:tc>
        <w:tc>
          <w:tcPr>
            <w:tcW w:w="1110" w:type="dxa"/>
          </w:tcPr>
          <w:p w14:paraId="563F512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110" w:type="dxa"/>
          </w:tcPr>
          <w:p w14:paraId="561946A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0,05</w:t>
            </w:r>
          </w:p>
        </w:tc>
        <w:tc>
          <w:tcPr>
            <w:tcW w:w="1202" w:type="dxa"/>
          </w:tcPr>
          <w:p w14:paraId="22B7FCFD"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0,5</w:t>
            </w:r>
          </w:p>
        </w:tc>
        <w:tc>
          <w:tcPr>
            <w:tcW w:w="1110" w:type="dxa"/>
          </w:tcPr>
          <w:p w14:paraId="07712F9C"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0,3</w:t>
            </w:r>
          </w:p>
        </w:tc>
      </w:tr>
      <w:tr w:rsidR="00F53AA9" w14:paraId="61C418F3" w14:textId="77777777" w:rsidTr="00C43E32">
        <w:trPr>
          <w:jc w:val="center"/>
        </w:trPr>
        <w:tc>
          <w:tcPr>
            <w:tcW w:w="1349" w:type="dxa"/>
            <w:vAlign w:val="center"/>
          </w:tcPr>
          <w:p w14:paraId="49ED7787" w14:textId="41941176"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Ammonium</w:t>
            </w:r>
          </w:p>
        </w:tc>
        <w:tc>
          <w:tcPr>
            <w:tcW w:w="1069" w:type="dxa"/>
          </w:tcPr>
          <w:p w14:paraId="360F635D"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0763C127"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0,93</w:t>
            </w:r>
          </w:p>
        </w:tc>
        <w:tc>
          <w:tcPr>
            <w:tcW w:w="1056" w:type="dxa"/>
          </w:tcPr>
          <w:p w14:paraId="18F5AAE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0,14</w:t>
            </w:r>
          </w:p>
        </w:tc>
        <w:tc>
          <w:tcPr>
            <w:tcW w:w="1110" w:type="dxa"/>
          </w:tcPr>
          <w:p w14:paraId="23A9CFBC"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0,57</w:t>
            </w:r>
          </w:p>
        </w:tc>
        <w:tc>
          <w:tcPr>
            <w:tcW w:w="1110" w:type="dxa"/>
          </w:tcPr>
          <w:p w14:paraId="4493302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0,05</w:t>
            </w:r>
          </w:p>
        </w:tc>
        <w:tc>
          <w:tcPr>
            <w:tcW w:w="1202" w:type="dxa"/>
          </w:tcPr>
          <w:p w14:paraId="5DAAD4E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0,5</w:t>
            </w:r>
          </w:p>
        </w:tc>
        <w:tc>
          <w:tcPr>
            <w:tcW w:w="1110" w:type="dxa"/>
          </w:tcPr>
          <w:p w14:paraId="7DB69D79"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0,5</w:t>
            </w:r>
          </w:p>
        </w:tc>
      </w:tr>
      <w:tr w:rsidR="00F53AA9" w14:paraId="11F47BF4" w14:textId="77777777" w:rsidTr="00C43E32">
        <w:trPr>
          <w:jc w:val="center"/>
        </w:trPr>
        <w:tc>
          <w:tcPr>
            <w:tcW w:w="1349" w:type="dxa"/>
            <w:vAlign w:val="center"/>
          </w:tcPr>
          <w:p w14:paraId="3AFE14FE" w14:textId="7C5A1A1C"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Aluminum</w:t>
            </w:r>
          </w:p>
        </w:tc>
        <w:tc>
          <w:tcPr>
            <w:tcW w:w="1069" w:type="dxa"/>
          </w:tcPr>
          <w:p w14:paraId="407831A2"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5E14FA21"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0,05</w:t>
            </w:r>
          </w:p>
        </w:tc>
        <w:tc>
          <w:tcPr>
            <w:tcW w:w="1056" w:type="dxa"/>
          </w:tcPr>
          <w:p w14:paraId="65CC9B81"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0,68</w:t>
            </w:r>
          </w:p>
        </w:tc>
        <w:tc>
          <w:tcPr>
            <w:tcW w:w="1110" w:type="dxa"/>
          </w:tcPr>
          <w:p w14:paraId="757683B2"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0,34</w:t>
            </w:r>
          </w:p>
        </w:tc>
        <w:tc>
          <w:tcPr>
            <w:tcW w:w="1110" w:type="dxa"/>
          </w:tcPr>
          <w:p w14:paraId="5EA729B7"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0,15</w:t>
            </w:r>
          </w:p>
        </w:tc>
        <w:tc>
          <w:tcPr>
            <w:tcW w:w="1202" w:type="dxa"/>
          </w:tcPr>
          <w:p w14:paraId="4DF83A9B"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0,2</w:t>
            </w:r>
          </w:p>
        </w:tc>
        <w:tc>
          <w:tcPr>
            <w:tcW w:w="1110" w:type="dxa"/>
          </w:tcPr>
          <w:p w14:paraId="46ED201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0,2</w:t>
            </w:r>
          </w:p>
        </w:tc>
      </w:tr>
      <w:tr w:rsidR="00F53AA9" w14:paraId="73839914" w14:textId="77777777" w:rsidTr="00C43E32">
        <w:trPr>
          <w:jc w:val="center"/>
        </w:trPr>
        <w:tc>
          <w:tcPr>
            <w:tcW w:w="1349" w:type="dxa"/>
            <w:vAlign w:val="center"/>
          </w:tcPr>
          <w:p w14:paraId="6B440D90" w14:textId="0A861655"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Nitrite</w:t>
            </w:r>
          </w:p>
        </w:tc>
        <w:tc>
          <w:tcPr>
            <w:tcW w:w="1069" w:type="dxa"/>
          </w:tcPr>
          <w:p w14:paraId="2CC949EB"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412598E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0,105</w:t>
            </w:r>
          </w:p>
        </w:tc>
        <w:tc>
          <w:tcPr>
            <w:tcW w:w="1056" w:type="dxa"/>
          </w:tcPr>
          <w:p w14:paraId="5A67E2A2"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0,012</w:t>
            </w:r>
          </w:p>
        </w:tc>
        <w:tc>
          <w:tcPr>
            <w:tcW w:w="1110" w:type="dxa"/>
          </w:tcPr>
          <w:p w14:paraId="5E6E3F56"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110" w:type="dxa"/>
          </w:tcPr>
          <w:p w14:paraId="4680A1F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0,035</w:t>
            </w:r>
          </w:p>
        </w:tc>
        <w:tc>
          <w:tcPr>
            <w:tcW w:w="1202" w:type="dxa"/>
          </w:tcPr>
          <w:p w14:paraId="4FD1F411"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w:t>
            </w:r>
          </w:p>
        </w:tc>
        <w:tc>
          <w:tcPr>
            <w:tcW w:w="1110" w:type="dxa"/>
          </w:tcPr>
          <w:p w14:paraId="448D15A1"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w:t>
            </w:r>
          </w:p>
        </w:tc>
      </w:tr>
      <w:tr w:rsidR="00F53AA9" w14:paraId="6C15EDCC" w14:textId="77777777" w:rsidTr="00C43E32">
        <w:trPr>
          <w:jc w:val="center"/>
        </w:trPr>
        <w:tc>
          <w:tcPr>
            <w:tcW w:w="1349" w:type="dxa"/>
            <w:vAlign w:val="center"/>
          </w:tcPr>
          <w:p w14:paraId="1A947B12" w14:textId="68B0A5DF"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Nitrate</w:t>
            </w:r>
          </w:p>
        </w:tc>
        <w:tc>
          <w:tcPr>
            <w:tcW w:w="1069" w:type="dxa"/>
          </w:tcPr>
          <w:p w14:paraId="4D421D1B"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7C637E2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0,336</w:t>
            </w:r>
          </w:p>
        </w:tc>
        <w:tc>
          <w:tcPr>
            <w:tcW w:w="1056" w:type="dxa"/>
          </w:tcPr>
          <w:p w14:paraId="0FEBAD36"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69,34</w:t>
            </w:r>
          </w:p>
        </w:tc>
        <w:tc>
          <w:tcPr>
            <w:tcW w:w="1110" w:type="dxa"/>
          </w:tcPr>
          <w:p w14:paraId="5F609AA6"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0,270</w:t>
            </w:r>
          </w:p>
        </w:tc>
        <w:tc>
          <w:tcPr>
            <w:tcW w:w="1110" w:type="dxa"/>
          </w:tcPr>
          <w:p w14:paraId="1819CEB0"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0,141</w:t>
            </w:r>
          </w:p>
        </w:tc>
        <w:tc>
          <w:tcPr>
            <w:tcW w:w="1202" w:type="dxa"/>
          </w:tcPr>
          <w:p w14:paraId="311AFD7F"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50</w:t>
            </w:r>
          </w:p>
        </w:tc>
        <w:tc>
          <w:tcPr>
            <w:tcW w:w="1110" w:type="dxa"/>
          </w:tcPr>
          <w:p w14:paraId="737BB684"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50</w:t>
            </w:r>
          </w:p>
        </w:tc>
      </w:tr>
      <w:tr w:rsidR="00F53AA9" w14:paraId="7A75EB4F" w14:textId="77777777" w:rsidTr="00C43E32">
        <w:trPr>
          <w:trHeight w:val="306"/>
          <w:jc w:val="center"/>
        </w:trPr>
        <w:tc>
          <w:tcPr>
            <w:tcW w:w="1349" w:type="dxa"/>
            <w:vAlign w:val="center"/>
          </w:tcPr>
          <w:p w14:paraId="20509117" w14:textId="12BBC52B" w:rsidR="00F53AA9" w:rsidRPr="00F53AA9" w:rsidRDefault="00F53AA9" w:rsidP="00AE2209">
            <w:pPr>
              <w:spacing w:line="360" w:lineRule="auto"/>
              <w:jc w:val="center"/>
              <w:rPr>
                <w:rFonts w:ascii="Times New Roman" w:hAnsi="Times New Roman" w:cs="Times New Roman"/>
                <w:b/>
                <w:bCs/>
                <w:sz w:val="20"/>
              </w:rPr>
            </w:pPr>
            <w:r w:rsidRPr="00F53AA9">
              <w:rPr>
                <w:rFonts w:ascii="Times New Roman" w:hAnsi="Times New Roman" w:cs="Times New Roman"/>
                <w:b/>
                <w:bCs/>
              </w:rPr>
              <w:t>Fluoride</w:t>
            </w:r>
          </w:p>
        </w:tc>
        <w:tc>
          <w:tcPr>
            <w:tcW w:w="1069" w:type="dxa"/>
          </w:tcPr>
          <w:p w14:paraId="4DDADB13" w14:textId="77777777" w:rsidR="00F53AA9" w:rsidRDefault="00F53AA9"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mg</w:t>
            </w:r>
            <w:proofErr w:type="gramEnd"/>
            <w:r>
              <w:rPr>
                <w:rFonts w:ascii="Times New Roman" w:hAnsi="Times New Roman" w:cs="Times New Roman"/>
                <w:sz w:val="20"/>
              </w:rPr>
              <w:t>/L</w:t>
            </w:r>
          </w:p>
        </w:tc>
        <w:tc>
          <w:tcPr>
            <w:tcW w:w="1056" w:type="dxa"/>
          </w:tcPr>
          <w:p w14:paraId="601338D3"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0,47</w:t>
            </w:r>
          </w:p>
        </w:tc>
        <w:tc>
          <w:tcPr>
            <w:tcW w:w="1056" w:type="dxa"/>
          </w:tcPr>
          <w:p w14:paraId="5C77D715"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0,26</w:t>
            </w:r>
          </w:p>
        </w:tc>
        <w:tc>
          <w:tcPr>
            <w:tcW w:w="1110" w:type="dxa"/>
          </w:tcPr>
          <w:p w14:paraId="7C833810"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0,78</w:t>
            </w:r>
          </w:p>
        </w:tc>
        <w:tc>
          <w:tcPr>
            <w:tcW w:w="1110" w:type="dxa"/>
          </w:tcPr>
          <w:p w14:paraId="510AAC2E"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0,64</w:t>
            </w:r>
          </w:p>
        </w:tc>
        <w:tc>
          <w:tcPr>
            <w:tcW w:w="1202" w:type="dxa"/>
          </w:tcPr>
          <w:p w14:paraId="217C4FFB"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1,5</w:t>
            </w:r>
          </w:p>
        </w:tc>
        <w:tc>
          <w:tcPr>
            <w:tcW w:w="1110" w:type="dxa"/>
          </w:tcPr>
          <w:p w14:paraId="39151FE8" w14:textId="77777777" w:rsidR="00F53AA9" w:rsidRDefault="00F53AA9" w:rsidP="00AE2209">
            <w:pPr>
              <w:spacing w:line="360" w:lineRule="auto"/>
              <w:jc w:val="center"/>
              <w:rPr>
                <w:rFonts w:ascii="Times New Roman" w:hAnsi="Times New Roman" w:cs="Times New Roman"/>
                <w:sz w:val="20"/>
              </w:rPr>
            </w:pPr>
            <w:r>
              <w:rPr>
                <w:rFonts w:ascii="Times New Roman" w:hAnsi="Times New Roman" w:cs="Times New Roman"/>
                <w:sz w:val="20"/>
              </w:rPr>
              <w:t>1,5</w:t>
            </w:r>
          </w:p>
        </w:tc>
      </w:tr>
    </w:tbl>
    <w:p w14:paraId="68D99A45" w14:textId="77777777" w:rsidR="009854A2" w:rsidRDefault="009854A2" w:rsidP="00AE2209">
      <w:pPr>
        <w:spacing w:after="0" w:line="360" w:lineRule="auto"/>
        <w:jc w:val="both"/>
        <w:rPr>
          <w:rFonts w:ascii="Times New Roman" w:hAnsi="Times New Roman" w:cs="Times New Roman"/>
          <w:b/>
          <w:bCs/>
        </w:rPr>
      </w:pPr>
    </w:p>
    <w:p w14:paraId="3FB88E2D" w14:textId="3B3E874E" w:rsidR="009854A2" w:rsidRPr="009854A2" w:rsidRDefault="009854A2" w:rsidP="00AE2209">
      <w:pPr>
        <w:spacing w:after="0" w:line="360" w:lineRule="auto"/>
        <w:jc w:val="both"/>
        <w:rPr>
          <w:rFonts w:ascii="Times New Roman" w:hAnsi="Times New Roman" w:cs="Times New Roman"/>
          <w:b/>
          <w:bCs/>
        </w:rPr>
      </w:pPr>
      <w:r w:rsidRPr="009854A2">
        <w:rPr>
          <w:rFonts w:ascii="Times New Roman" w:hAnsi="Times New Roman" w:cs="Times New Roman"/>
          <w:b/>
          <w:bCs/>
        </w:rPr>
        <w:t>3.2. Bacteriological Quality</w:t>
      </w:r>
    </w:p>
    <w:p w14:paraId="26333D8D" w14:textId="77777777" w:rsidR="009854A2" w:rsidRPr="009854A2" w:rsidRDefault="009854A2" w:rsidP="00AE2209">
      <w:pPr>
        <w:spacing w:after="0" w:line="360" w:lineRule="auto"/>
        <w:jc w:val="both"/>
        <w:rPr>
          <w:rFonts w:ascii="Times New Roman" w:hAnsi="Times New Roman" w:cs="Times New Roman"/>
        </w:rPr>
      </w:pPr>
      <w:r w:rsidRPr="009854A2">
        <w:rPr>
          <w:rFonts w:ascii="Times New Roman" w:hAnsi="Times New Roman" w:cs="Times New Roman"/>
        </w:rPr>
        <w:t>The results of the bacteriological analyses, presented in Table 2, revealed that fecal coliform levels did not comply with the standards established by the WHO and the Malagasy State, with values ranging from 10 CFU/100 mL to 85 CFU/100 mL.</w:t>
      </w:r>
    </w:p>
    <w:p w14:paraId="0583CFFA" w14:textId="0B86C6DD" w:rsidR="00F40010" w:rsidRPr="00AE2209" w:rsidRDefault="009854A2" w:rsidP="00AE2209">
      <w:pPr>
        <w:spacing w:after="0" w:line="360" w:lineRule="auto"/>
        <w:jc w:val="center"/>
        <w:rPr>
          <w:rFonts w:ascii="Times New Roman" w:hAnsi="Times New Roman" w:cs="Times New Roman"/>
          <w:b/>
          <w:bCs/>
        </w:rPr>
      </w:pPr>
      <w:r w:rsidRPr="00AE2209">
        <w:rPr>
          <w:rFonts w:ascii="Times New Roman" w:hAnsi="Times New Roman" w:cs="Times New Roman"/>
          <w:b/>
          <w:bCs/>
        </w:rPr>
        <w:t xml:space="preserve">Table </w:t>
      </w:r>
      <w:proofErr w:type="gramStart"/>
      <w:r w:rsidRPr="00AE2209">
        <w:rPr>
          <w:rFonts w:ascii="Times New Roman" w:hAnsi="Times New Roman" w:cs="Times New Roman"/>
          <w:b/>
          <w:bCs/>
        </w:rPr>
        <w:t>2:</w:t>
      </w:r>
      <w:proofErr w:type="gramEnd"/>
      <w:r w:rsidRPr="00AE2209">
        <w:rPr>
          <w:rFonts w:ascii="Times New Roman" w:hAnsi="Times New Roman" w:cs="Times New Roman"/>
          <w:b/>
          <w:bCs/>
        </w:rPr>
        <w:t xml:space="preserve"> Bacteriological characteristics of well and spring water</w:t>
      </w:r>
    </w:p>
    <w:tbl>
      <w:tblPr>
        <w:tblStyle w:val="TableGrid"/>
        <w:tblW w:w="0" w:type="auto"/>
        <w:jc w:val="center"/>
        <w:tblLook w:val="04A0" w:firstRow="1" w:lastRow="0" w:firstColumn="1" w:lastColumn="0" w:noHBand="0" w:noVBand="1"/>
      </w:tblPr>
      <w:tblGrid>
        <w:gridCol w:w="1304"/>
        <w:gridCol w:w="1134"/>
        <w:gridCol w:w="1072"/>
        <w:gridCol w:w="1072"/>
        <w:gridCol w:w="1131"/>
        <w:gridCol w:w="1131"/>
        <w:gridCol w:w="1121"/>
        <w:gridCol w:w="1097"/>
      </w:tblGrid>
      <w:tr w:rsidR="009854A2" w14:paraId="63E1A70F" w14:textId="77777777" w:rsidTr="009854A2">
        <w:trPr>
          <w:jc w:val="center"/>
        </w:trPr>
        <w:tc>
          <w:tcPr>
            <w:tcW w:w="1275" w:type="dxa"/>
            <w:vAlign w:val="center"/>
          </w:tcPr>
          <w:p w14:paraId="2CCE4E63" w14:textId="3FB81B14"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lastRenderedPageBreak/>
              <w:t>Parameters</w:t>
            </w:r>
          </w:p>
        </w:tc>
        <w:tc>
          <w:tcPr>
            <w:tcW w:w="1161" w:type="dxa"/>
            <w:vAlign w:val="center"/>
          </w:tcPr>
          <w:p w14:paraId="01A1F805" w14:textId="638D5995"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Unit</w:t>
            </w:r>
          </w:p>
        </w:tc>
        <w:tc>
          <w:tcPr>
            <w:tcW w:w="1107" w:type="dxa"/>
            <w:vAlign w:val="center"/>
          </w:tcPr>
          <w:p w14:paraId="3DB4994E" w14:textId="1BF26EC9"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Well 01</w:t>
            </w:r>
          </w:p>
        </w:tc>
        <w:tc>
          <w:tcPr>
            <w:tcW w:w="1107" w:type="dxa"/>
            <w:vAlign w:val="center"/>
          </w:tcPr>
          <w:p w14:paraId="546A15BC" w14:textId="547C7564"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Well 02</w:t>
            </w:r>
          </w:p>
        </w:tc>
        <w:tc>
          <w:tcPr>
            <w:tcW w:w="1154" w:type="dxa"/>
            <w:vAlign w:val="center"/>
          </w:tcPr>
          <w:p w14:paraId="04D0AEC8" w14:textId="1CEF718C"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Spring 01</w:t>
            </w:r>
          </w:p>
        </w:tc>
        <w:tc>
          <w:tcPr>
            <w:tcW w:w="1154" w:type="dxa"/>
            <w:vAlign w:val="center"/>
          </w:tcPr>
          <w:p w14:paraId="54CDEE32" w14:textId="484DED99"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Spring 02</w:t>
            </w:r>
          </w:p>
        </w:tc>
        <w:tc>
          <w:tcPr>
            <w:tcW w:w="1096" w:type="dxa"/>
            <w:vAlign w:val="center"/>
          </w:tcPr>
          <w:p w14:paraId="7B37CF33" w14:textId="6610A971"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Malagasy Standard</w:t>
            </w:r>
          </w:p>
        </w:tc>
        <w:tc>
          <w:tcPr>
            <w:tcW w:w="1008" w:type="dxa"/>
            <w:vAlign w:val="center"/>
          </w:tcPr>
          <w:p w14:paraId="2714CBF8" w14:textId="64595557" w:rsidR="009854A2" w:rsidRPr="009854A2" w:rsidRDefault="009854A2" w:rsidP="00AE2209">
            <w:pPr>
              <w:spacing w:line="360" w:lineRule="auto"/>
              <w:jc w:val="center"/>
              <w:rPr>
                <w:rFonts w:ascii="Times New Roman" w:hAnsi="Times New Roman" w:cs="Times New Roman"/>
                <w:b/>
                <w:sz w:val="20"/>
              </w:rPr>
            </w:pPr>
            <w:r w:rsidRPr="009854A2">
              <w:rPr>
                <w:rFonts w:ascii="Times New Roman" w:hAnsi="Times New Roman" w:cs="Times New Roman"/>
                <w:b/>
                <w:bCs/>
              </w:rPr>
              <w:t>OMS Standard</w:t>
            </w:r>
          </w:p>
        </w:tc>
      </w:tr>
      <w:tr w:rsidR="00F40010" w14:paraId="2E384A86" w14:textId="77777777" w:rsidTr="009854A2">
        <w:trPr>
          <w:trHeight w:val="488"/>
          <w:jc w:val="center"/>
        </w:trPr>
        <w:tc>
          <w:tcPr>
            <w:tcW w:w="1275" w:type="dxa"/>
          </w:tcPr>
          <w:p w14:paraId="62D2CC9A" w14:textId="459F4470" w:rsidR="00F40010" w:rsidRDefault="009854A2" w:rsidP="00AE2209">
            <w:pPr>
              <w:spacing w:line="360" w:lineRule="auto"/>
              <w:rPr>
                <w:rFonts w:ascii="Times New Roman" w:hAnsi="Times New Roman" w:cs="Times New Roman"/>
                <w:b/>
                <w:sz w:val="20"/>
              </w:rPr>
            </w:pPr>
            <w:r w:rsidRPr="009854A2">
              <w:rPr>
                <w:rFonts w:ascii="Times New Roman" w:hAnsi="Times New Roman" w:cs="Times New Roman"/>
                <w:b/>
                <w:sz w:val="20"/>
              </w:rPr>
              <w:t>Fecal coliforms</w:t>
            </w:r>
          </w:p>
        </w:tc>
        <w:tc>
          <w:tcPr>
            <w:tcW w:w="1161" w:type="dxa"/>
          </w:tcPr>
          <w:p w14:paraId="4C002E33" w14:textId="77777777" w:rsidR="00F40010" w:rsidRDefault="002F5E96" w:rsidP="00AE2209">
            <w:pPr>
              <w:spacing w:line="360" w:lineRule="auto"/>
              <w:jc w:val="center"/>
              <w:rPr>
                <w:rFonts w:ascii="Times New Roman" w:hAnsi="Times New Roman" w:cs="Times New Roman"/>
                <w:sz w:val="20"/>
              </w:rPr>
            </w:pPr>
            <w:proofErr w:type="gramStart"/>
            <w:r>
              <w:rPr>
                <w:rFonts w:ascii="Times New Roman" w:hAnsi="Times New Roman" w:cs="Times New Roman"/>
                <w:sz w:val="20"/>
              </w:rPr>
              <w:t>ufc</w:t>
            </w:r>
            <w:proofErr w:type="gramEnd"/>
            <w:r>
              <w:rPr>
                <w:rFonts w:ascii="Times New Roman" w:hAnsi="Times New Roman" w:cs="Times New Roman"/>
                <w:sz w:val="20"/>
              </w:rPr>
              <w:t>/100 mL</w:t>
            </w:r>
          </w:p>
        </w:tc>
        <w:tc>
          <w:tcPr>
            <w:tcW w:w="1107" w:type="dxa"/>
          </w:tcPr>
          <w:p w14:paraId="3DF936D7"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53</w:t>
            </w:r>
          </w:p>
        </w:tc>
        <w:tc>
          <w:tcPr>
            <w:tcW w:w="1107" w:type="dxa"/>
          </w:tcPr>
          <w:p w14:paraId="1CB9A78E"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85</w:t>
            </w:r>
          </w:p>
        </w:tc>
        <w:tc>
          <w:tcPr>
            <w:tcW w:w="1154" w:type="dxa"/>
          </w:tcPr>
          <w:p w14:paraId="195DB713"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10</w:t>
            </w:r>
          </w:p>
        </w:tc>
        <w:tc>
          <w:tcPr>
            <w:tcW w:w="1154" w:type="dxa"/>
          </w:tcPr>
          <w:p w14:paraId="3B450821"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67</w:t>
            </w:r>
          </w:p>
        </w:tc>
        <w:tc>
          <w:tcPr>
            <w:tcW w:w="1096" w:type="dxa"/>
          </w:tcPr>
          <w:p w14:paraId="6255A49D"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0</w:t>
            </w:r>
          </w:p>
        </w:tc>
        <w:tc>
          <w:tcPr>
            <w:tcW w:w="1008" w:type="dxa"/>
          </w:tcPr>
          <w:p w14:paraId="0A9917F2" w14:textId="77777777" w:rsidR="00F40010" w:rsidRDefault="002F5E96" w:rsidP="00AE2209">
            <w:pPr>
              <w:spacing w:line="360" w:lineRule="auto"/>
              <w:jc w:val="center"/>
              <w:rPr>
                <w:rFonts w:ascii="Times New Roman" w:hAnsi="Times New Roman" w:cs="Times New Roman"/>
                <w:sz w:val="20"/>
              </w:rPr>
            </w:pPr>
            <w:r>
              <w:rPr>
                <w:rFonts w:ascii="Times New Roman" w:hAnsi="Times New Roman" w:cs="Times New Roman"/>
                <w:sz w:val="20"/>
              </w:rPr>
              <w:t>0</w:t>
            </w:r>
          </w:p>
        </w:tc>
      </w:tr>
    </w:tbl>
    <w:p w14:paraId="408FC594" w14:textId="77777777" w:rsidR="00F40010" w:rsidRDefault="00F40010" w:rsidP="00AE2209">
      <w:pPr>
        <w:spacing w:after="0" w:line="360" w:lineRule="auto"/>
        <w:jc w:val="both"/>
        <w:rPr>
          <w:rFonts w:ascii="Times New Roman" w:hAnsi="Times New Roman" w:cs="Times New Roman"/>
          <w:b/>
        </w:rPr>
      </w:pPr>
    </w:p>
    <w:p w14:paraId="669BA2DE" w14:textId="77777777" w:rsidR="00F40010" w:rsidRDefault="002F5E96" w:rsidP="00AE2209">
      <w:pPr>
        <w:spacing w:after="0" w:line="360" w:lineRule="auto"/>
        <w:jc w:val="both"/>
        <w:rPr>
          <w:rFonts w:ascii="Times New Roman" w:hAnsi="Times New Roman" w:cs="Times New Roman"/>
          <w:b/>
          <w:color w:val="5B9BD5"/>
        </w:rPr>
      </w:pPr>
      <w:r>
        <w:rPr>
          <w:rFonts w:ascii="Times New Roman" w:hAnsi="Times New Roman" w:cs="Times New Roman"/>
          <w:b/>
          <w:color w:val="5B9BD5"/>
        </w:rPr>
        <w:t>4. DISCUSSION</w:t>
      </w:r>
    </w:p>
    <w:p w14:paraId="11BC6D7D" w14:textId="77777777" w:rsidR="009854A2" w:rsidRPr="009854A2" w:rsidRDefault="009854A2" w:rsidP="00AE2209">
      <w:pPr>
        <w:spacing w:after="0" w:line="360" w:lineRule="auto"/>
        <w:jc w:val="both"/>
        <w:rPr>
          <w:rFonts w:ascii="Times New Roman" w:hAnsi="Times New Roman" w:cs="Times New Roman"/>
          <w:bCs/>
          <w:lang w:eastAsia="fr-FR"/>
        </w:rPr>
      </w:pPr>
      <w:r w:rsidRPr="009854A2">
        <w:rPr>
          <w:rFonts w:ascii="Times New Roman" w:hAnsi="Times New Roman" w:cs="Times New Roman"/>
          <w:bCs/>
          <w:lang w:eastAsia="fr-FR"/>
        </w:rPr>
        <w:t>The primary objective of this study was to evaluate the quality of well and spring water in Ambatoharanana. This assessment is based on the physicochemical and bacteriological characteristics of these water sources.</w:t>
      </w:r>
    </w:p>
    <w:p w14:paraId="04C0FFCC" w14:textId="77777777" w:rsidR="009854A2" w:rsidRPr="009854A2" w:rsidRDefault="009854A2" w:rsidP="00AE2209">
      <w:pPr>
        <w:spacing w:after="0" w:line="360" w:lineRule="auto"/>
        <w:jc w:val="both"/>
        <w:rPr>
          <w:rFonts w:ascii="Times New Roman" w:hAnsi="Times New Roman" w:cs="Times New Roman"/>
          <w:bCs/>
          <w:lang w:eastAsia="fr-FR"/>
        </w:rPr>
      </w:pPr>
      <w:r w:rsidRPr="009854A2">
        <w:rPr>
          <w:rFonts w:ascii="Times New Roman" w:hAnsi="Times New Roman" w:cs="Times New Roman"/>
          <w:bCs/>
          <w:lang w:eastAsia="fr-FR"/>
        </w:rPr>
        <w:t>The physicochemical quality of well and spring water is defined by several parameters, including pH, electrical conductivity, temperature, turbidity, and the concentrations of manganese, iron, ammonium, aluminum, nitrite, nitrate, and fluoride. The pH level measures the acidity or alkalinity of the water, determined by the concentration of acidic or basic chemical elements. According to the WHO, the pH of drinking water should range between 6.5 and 8.5, while the Malagasy State standards specify a range between 6.5 and 9. However, the analyses reveal that the well and spring waters are acidic, with pH values ranging from 4.59 to 6.15, thus failing to meet the recommended standards. These values are lower than those reported in other studies, such as the research by El Kory et al. (2011) on water in the city of Tijkja (pH = 6.19). Conversely, the values reported by Ndong et al. (2022) for groundwater during the dry season in Cameroon corroborate these findings, with pH levels ranging from 4.3 to 5.8.</w:t>
      </w:r>
    </w:p>
    <w:p w14:paraId="7B21EF1A" w14:textId="77777777" w:rsidR="009854A2" w:rsidRPr="009854A2" w:rsidRDefault="009854A2" w:rsidP="00AE2209">
      <w:pPr>
        <w:spacing w:after="0" w:line="360" w:lineRule="auto"/>
        <w:jc w:val="both"/>
        <w:rPr>
          <w:rFonts w:ascii="Times New Roman" w:hAnsi="Times New Roman" w:cs="Times New Roman"/>
          <w:bCs/>
          <w:lang w:eastAsia="fr-FR"/>
        </w:rPr>
      </w:pPr>
      <w:r w:rsidRPr="009854A2">
        <w:rPr>
          <w:rFonts w:ascii="Times New Roman" w:hAnsi="Times New Roman" w:cs="Times New Roman"/>
          <w:bCs/>
          <w:lang w:eastAsia="fr-FR"/>
        </w:rPr>
        <w:t>Consequently, the well and spring water in Ambatoharanana is unsuitable for consumption. Furthermore, the prolonged consumption of acidic water may lead to an increased incidence of gastric conditions, such as gastrointestinal irritation and digestive disorders, as well as the potential ingestion of dissolved toxic metals.</w:t>
      </w:r>
    </w:p>
    <w:p w14:paraId="5465A65C" w14:textId="77777777" w:rsidR="009854A2" w:rsidRPr="009854A2" w:rsidRDefault="009854A2" w:rsidP="00AE2209">
      <w:pPr>
        <w:spacing w:after="0" w:line="360" w:lineRule="auto"/>
        <w:jc w:val="both"/>
        <w:rPr>
          <w:rFonts w:ascii="Times New Roman" w:hAnsi="Times New Roman" w:cs="Times New Roman"/>
          <w:lang w:eastAsia="fr-FR"/>
        </w:rPr>
      </w:pPr>
      <w:r w:rsidRPr="009854A2">
        <w:rPr>
          <w:rFonts w:ascii="Times New Roman" w:hAnsi="Times New Roman" w:cs="Times New Roman"/>
          <w:lang w:eastAsia="fr-FR"/>
        </w:rPr>
        <w:t>Electrical conductivity is used to assess the mineralization of water. The analyses reveal that the well and spring waters contain few mineral elements, with values ranging from 211 µS/cm to 275 µS/cm, thus complying with both WHO and Malagasy State standards (˂ 3000 µS/cm). These values fall within the same ranges as those reported by Diallo (2021), who found an average conductivity of 250 µS/cm in the groundwater of Mali [9], and those observed by Ouédraogo (2020) in the groundwater of Burkina Faso (conductivity ranging from 200 µS/cm to 400 µS/cm) [10]. Although these conductivity levels are acceptable for human consumption, they may suggest a low concentration of essential minerals such as calcium and magnesium, which are necessary for human health. The low conductivity observed can be an indicator of the absence of significant contamination by anthropogenic pollutants, such as industrial effluents. However, it could also reflect a low nutrient supply for local aquatic ecosystems, thereby limiting biodiversity in these waters. When the conductivity value is between 100 µS/cm and 250 µS/cm, the water is considered weakly mineralized. It is estimated that the levels of mineralization (potassium, sodium, calcium, bicarbonate) in the well and spring water are less abundant. This may be due to soil characteristics. Consequently, the water in these wells and springs has low electrical conductivity.</w:t>
      </w:r>
    </w:p>
    <w:p w14:paraId="5694072D" w14:textId="77777777" w:rsidR="001A5B7C" w:rsidRPr="001A5B7C" w:rsidRDefault="001A5B7C" w:rsidP="00AE2209">
      <w:pPr>
        <w:spacing w:after="0" w:line="360" w:lineRule="auto"/>
        <w:jc w:val="both"/>
        <w:rPr>
          <w:rFonts w:ascii="Times New Roman" w:hAnsi="Times New Roman" w:cs="Times New Roman"/>
          <w:bCs/>
          <w:lang w:eastAsia="fr-FR"/>
        </w:rPr>
      </w:pPr>
      <w:r w:rsidRPr="001A5B7C">
        <w:rPr>
          <w:rFonts w:ascii="Times New Roman" w:hAnsi="Times New Roman" w:cs="Times New Roman"/>
          <w:bCs/>
          <w:lang w:eastAsia="fr-FR"/>
        </w:rPr>
        <w:lastRenderedPageBreak/>
        <w:t xml:space="preserve">Temperature plays a crucial role in the solubility of gases and mineral salts in water [11]. It also influences the multiplication and metabolism of microorganisms [12]. The analyses revealed that the temperature varies between 17.6°C and 18.3°C, remaining below the limit tolerated by the WHO and the Malagasy State (&lt;25°C). These values are similar to those found by Abdoulaye (2019) in well and spring water in Northern Cameroon (temperatures between 17.5°C and 18.5°C) [13] and to those observed by Nwachukwu et al. (2018) in the groundwater of Nigeria (temperature varying between 17°C and 19°C) during the dry season [14]. Other authors, such as Tan et al. (2022) studying groundwater in Southeast Asia, reported an average temperature of approximately 18°C during the dry season [15], which is also similar to these results. These findings confirm the concept of stable groundwater temperature, although certain areas closer to urban zones show higher temperatures, likely due to pollution or the influence of human activities. The observed temperatures are compatible with an environment where the risk of pathogenic bacterial proliferation is limited. In general, temperatures below 20°C are less favorable for the growth of pathogenic microorganisms such as </w:t>
      </w:r>
      <w:r w:rsidRPr="001A5B7C">
        <w:rPr>
          <w:rFonts w:ascii="Times New Roman" w:hAnsi="Times New Roman" w:cs="Times New Roman"/>
          <w:bCs/>
          <w:i/>
          <w:iCs/>
          <w:lang w:eastAsia="fr-FR"/>
        </w:rPr>
        <w:t>Escherichia coli</w:t>
      </w:r>
      <w:r w:rsidRPr="001A5B7C">
        <w:rPr>
          <w:rFonts w:ascii="Times New Roman" w:hAnsi="Times New Roman" w:cs="Times New Roman"/>
          <w:bCs/>
          <w:lang w:eastAsia="fr-FR"/>
        </w:rPr>
        <w:t xml:space="preserve"> or fecal coliforms, which are often present under inadequate sanitary conditions [16]. These results reflect a low thermal variability of groundwater during the dry season, indicating a probable supply from aquifers that are well-protected from the direct influence of external temperatures. However, any anthropogenic increase (e.g., intensive agriculture) could alter this fragile balance [17].</w:t>
      </w:r>
    </w:p>
    <w:p w14:paraId="07E43EFD" w14:textId="77777777" w:rsidR="001A5B7C" w:rsidRPr="001A5B7C" w:rsidRDefault="001A5B7C" w:rsidP="00AE2209">
      <w:pPr>
        <w:spacing w:after="0" w:line="360" w:lineRule="auto"/>
        <w:jc w:val="both"/>
        <w:rPr>
          <w:rFonts w:ascii="Times New Roman" w:hAnsi="Times New Roman" w:cs="Times New Roman"/>
          <w:bCs/>
          <w:lang w:eastAsia="fr-FR"/>
        </w:rPr>
      </w:pPr>
      <w:r w:rsidRPr="001A5B7C">
        <w:rPr>
          <w:rFonts w:ascii="Times New Roman" w:hAnsi="Times New Roman" w:cs="Times New Roman"/>
          <w:bCs/>
          <w:lang w:eastAsia="fr-FR"/>
        </w:rPr>
        <w:t>Turbidity provides visual information about the water (whether it is turbid or clear). It also helps determine the water's capacity to conduct electricity [18]. Water is turbid when the turbidity value is high. In this case, the turbidity of the analyzed well and spring water conforms to the WHO and Malagasy State standards (&lt; 5 NTU), ranging from 1.33 NTU to 4.59 NTU. These levels are relatively low and correspond to the expected characteristics of groundwater during the dry season, when reduced precipitation leads to less runoff and, consequently, fewer suspended solids in the water [19]. However, the springs exhibit higher turbidity than the wells, likely due to more direct exposure to environmental contaminants. The values found by Ouedraogo et al. (2019) in well water (3.8 NTU) and spring water (4.9 NTU) in Burkina Faso during the dry season [20] confirm that springs are more vulnerable to contaminants than wells. A study on groundwater in India conducted by Patel (2017) showed an average turbidity of 3.5 NTU [21], which is similar to these results. Turbidity exceeding 1 NTU may indicate the presence of microbial pathogens that attach to suspended particles. High turbidity can also reduce the efficiency of disinfection (chlorination) by shielding microorganisms from disinfecting agents. This could increase the risk of waterborne diseases such as diarrhea and cholera. The turbidity of sources 01 and 02 (&gt; 4 NTU) could reflect soil leaching or ecological degradation due to agricultural activities near these sources. Persistent turbidity can affect the aquatic ecosystem by reducing light penetration, disrupting photosynthesis, and decreasing dissolved oxygen, which impacts aquatic fauna [22].</w:t>
      </w:r>
    </w:p>
    <w:p w14:paraId="1026DE5E"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 xml:space="preserve">Manganese levels in the studied waters are 0 mg/L. These values indicate a total absence or a negligible concentration of manganese in the water, which complies with the maximum standards limited by the WHO and the Malagasy State (0.05 mg/L). These concentrations are lower than those found by Nkansah </w:t>
      </w:r>
      <w:r w:rsidRPr="00E55FFA">
        <w:rPr>
          <w:rFonts w:ascii="Times New Roman" w:hAnsi="Times New Roman" w:cs="Times New Roman"/>
          <w:lang w:eastAsia="fr-FR"/>
        </w:rPr>
        <w:lastRenderedPageBreak/>
        <w:t>et al. (2010) in well water in Sub-Saharan Africa, with a concentration of 0.4 mg/L [23], and those observed by Smedley et al. (2002) in West African groundwater, with manganese concentrations ranging from 0.01 mg/L to 0.3 mg/L [24]. The absence of manganese in these water sources reduces the risks associated with excessive consumption. Indeed, elevated levels of this element can cause neurological disorders, particularly in children, as well as symptoms such as fatigue and memory impairment. However, a total absence of manganese may be problematic in certain local nutritional contexts where dietary manganese intake is insufficient, as this trace element plays an essential role in human metabolism, notably in bone formation and enzymatic functions [25]. The zero concentration of manganese in the studied wells and springs could indicate a low natural presence of manganese in local soils or an absence of leaching in these regions. However, this low concentration could also limit the manganese supply required for certain biological processes within the aquatic ecosystem.</w:t>
      </w:r>
    </w:p>
    <w:p w14:paraId="3E2D7E89"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Iron concentrations in the studied well and spring waters range between 0 mg/L and 0.15 mg/L. These results remain below the guideline values of the WHO (0.3 mg/L) and the Malagasy State (0.5 mg/L). They show a higher concentration of iron in wells compared to springs. These values remain lower than those found by Kumar et al. (2020) in Indian groundwater (iron content ranging from 0.3 mg/L to 1.2 mg/L) [26]. Other researchers, such as Mbang (2020) [27] and Ndjama et al. (2021) [28], found lower iron concentrations in spring water than in well water, which corroborates these findings. Based on these results, there is no direct toxic risk for human consumption. However, a concentration exceeding 0.1 mg/L, as observed in wells 01 and 02, can impart a metallic taste to the water and cause brownish staining of containers. Prolonged consumption of water containing high iron levels can cause gastrointestinal dysfunction and interfere with the absorption of other essential trace elements, such as zinc and copper. An excess of iron in surface water can be toxic to certain aquatic organisms, particularly fish, by altering their respiration and metabolism.</w:t>
      </w:r>
    </w:p>
    <w:p w14:paraId="725C250F"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Ammonium is often an indicator of organic pollution, generally originating from the decomposition of organic matter, domestic effluents, or the infiltration of agricultural fertilizers. Ammonium levels in the studied water vary between 0.05 mg/L and 0.93 mg/L. The values observed in well 01 (0.93 mg/L) and spring 01 (0.57 mg/L) exceed the potability standards of the WHO and the Malagasy State (0.5 mg/L), but they are lower than those found by Kouamé et al. (2020) (2 mg/L) [29] and Nguyen et al. (2021) (1.2 mg/L) [30]. The higher levels of this element in these water sources suggest significant contamination, likely due to the proximity of agricultural activities, non-watertight latrines, and untreated domestic discharges. The excessive presence of ammonium at these water points can promote the formation of nitrites and nitrates, which pose health risks, notably methemoglobinemia (blue baby syndrome) in infants [31].</w:t>
      </w:r>
    </w:p>
    <w:p w14:paraId="03090CC8"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 xml:space="preserve">Aluminum is a metal naturally present in the environment and can be found in drinking water due to rock erosion, runoff, or anthropogenic activities such as water treatment using aluminum salts. The measured aluminum concentrations in the water sources range from 0.05 mg/L to 0.68 mg/L, with the maximum value observed in well 02. According to the WHO and the Malagasy State, the recommended </w:t>
      </w:r>
      <w:r w:rsidRPr="00E55FFA">
        <w:rPr>
          <w:rFonts w:ascii="Times New Roman" w:hAnsi="Times New Roman" w:cs="Times New Roman"/>
          <w:lang w:eastAsia="fr-FR"/>
        </w:rPr>
        <w:lastRenderedPageBreak/>
        <w:t>maximum level for aluminum in drinking water is 0.2 mg/L. The values found in well 01 and spring 02 comply with this recommendation, while those in well 02 and spring 01 exceed this limit. These results are lower than those found by Ngatcha (2017) in certain water sources in Cameroon during the dry season (exceeding 1 mg/L) [32]. Other authors, such as Nogueira et al. (2019) [33] and Ouedraogo (2019) [34], reported aluminum concentrations of 0.45 mg/L and 0.4 mg/L, respectively, which are similar to these results. The presence of elevated levels of this element in these water sources is attributed to soil characteristics. The consumption of water from well 02 and spring 01 may pose risks to human health. According to Exley (2016), excessive accumulation of aluminum in the body can be associated with neurological disorders, notably Alzheimer's disease [35]. Furthermore, prolonged ingestion of high aluminum concentrations could cause renal disorders, particularly in individuals suffering from kidney failure [36]. An excess of aluminum in surface waters can also affect aquatic fauna, particularly fish, as it precipitates in the gills and disrupts their respiration [37].</w:t>
      </w:r>
    </w:p>
    <w:p w14:paraId="0D3BFCE5"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Nitrite concentrations in the studied waters vary between 0 mg/L and 0.105 mg/L. These levels indicate a certain heterogeneity in the quality of the water sources. The levels in well 02, spring 01, and spring 02 remain below or close to the maximum limit tolerated by the WHO and the Malagasy State (0.1 mg/L). Only well 01 exceeds this limit, which may pose a risk to the population using this water source, particularly for infants and pregnant women, as nitrites can cause issues such as methemoglobinemia (blue baby syndrome) [38]. The observed nitrite contamination, particularly in well 01, may be linked to poor infrastructure design, wastewater infiltration, or nearby agricultural activities. These observed values are lower than those found by Ndiaye (2022) in the Sahelian zone (0.2 mg/L) [39]. Other authors, such as Kouadio et al. (2020), recorded similar nitrite levels during the dry season, ranging from 0.01 to 0.12 mg/L in shallow wells in Côte d'Ivoire [40], and Diallo et al. (2020) reported average nitrite concentrations ranging between 0.05 mg/L and 0.15 mg/L in Sahelian wells [41], which correspond to the levels observed in wells 01 and 02.</w:t>
      </w:r>
    </w:p>
    <w:p w14:paraId="6ED37416"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 xml:space="preserve">Nitrate levels fluctuate between 0.141 mg/L and 69.34 mg/L. These values show significant </w:t>
      </w:r>
      <w:proofErr w:type="gramStart"/>
      <w:r w:rsidRPr="00E55FFA">
        <w:rPr>
          <w:rFonts w:ascii="Times New Roman" w:hAnsi="Times New Roman" w:cs="Times New Roman"/>
          <w:lang w:eastAsia="fr-FR"/>
        </w:rPr>
        <w:t>variation;</w:t>
      </w:r>
      <w:proofErr w:type="gramEnd"/>
      <w:r w:rsidRPr="00E55FFA">
        <w:rPr>
          <w:rFonts w:ascii="Times New Roman" w:hAnsi="Times New Roman" w:cs="Times New Roman"/>
          <w:lang w:eastAsia="fr-FR"/>
        </w:rPr>
        <w:t xml:space="preserve"> notably, well 02 exhibits a much higher value (69.34 mg/L) compared to the other water sources. This value significantly exceeds the limit recommended by the WHO and the Malagasy State, which is 50 mg/L for nitrates in drinking water, due to their potential harmful effects on human health. The high concentration in well 02 poses public health risks for the local population, particularly infants. Exposure to high nitrate concentrations can lead to serious health issues, such as metabolic acidosis and circulatory disorders, caused by the formation of nitrites that impede oxygen transport in the blood (blue baby syndrome) [42]. The high concentration of this element in well 02 can also lead to eutrophication in this water source, affecting water quality and aquatic biodiversity. The increase in nutrients, such as nitrates, promotes algal proliferation, which can destabilize aquatic ecosystems and render the water unfit for consumption and other uses. Leclerc, H. et al. (2020) reported an average nitrate concentration in wells of 25 mg/L [43], which is much lower than that observed in well 02 (69.34 mg/L).</w:t>
      </w:r>
    </w:p>
    <w:p w14:paraId="41195C57"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lastRenderedPageBreak/>
        <w:t>The fluoride concentrations recorded at the various water points vary between 0.26 mg/L and 0.78 mg/L. These values are below the limit recommended by the WHO and the Malagasy State (1.5 mg/L) for drinking water, indicating an absence of immediate risk of dental or skeletal fluorosis for consumers. However, a concentration below 0.5 mg/L, as observed in wells 01 and 02, may be insufficient for optimal protection against dental caries, which could justify public health interventions such as fluoride supplementation. The observed results are similar to those found by Tchinda, P. (2017) in water sources in Northern Cameroon during the dry season (concentrations ranging from 0.2 to 1.1 mg/L) [44] and those reported by Guissou et al. (2017) in water sources in Burkina Faso during the dry season (concentrations ranging from 0.2 mg/L to 2 mg/L) [45].</w:t>
      </w:r>
    </w:p>
    <w:p w14:paraId="5200FE54"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Microbiological analysis is crucial for assessing the microbiological quality of water. Fecal coliforms serve as indicators of contamination by fecal matter. The observed results show fecal coliform levels ranging from 10 CFU/100 ml to 85 CFU/100 ml. These values exceed the potability standards of the WHO and the Malagasy State, indicating contamination by pathogens and an increased risk of diarrheal infections, cholera, typhoid, and other waterborne diseases. The values observed in the wells and spring 02 are similar to those found by Kouadio et al. (2014) in springs and wells in West Africa (ranging from 50 CFU/100 ml to 100 CFU/100 ml) [46]. Other authors, such as Levy et al. (2018), have also documented more frequent and intense contamination during the dry season [47], which may correspond to the increases observed in the results for well 02 and spring 02.</w:t>
      </w:r>
    </w:p>
    <w:p w14:paraId="0B29BFE0"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In this study, the results from the wells and springs suggest that the water at these points could pose a significant health risk to the population of Ambatoharanana, especially in the absence of appropriate purification treatments. Well and spring water can harbor pathogens responsible for diarrheal diseases, a common problem in rural and urban areas with poor sanitation infrastructure. During the dry season, low groundwater recharge and the concentration of contaminants can exacerbate health risks, as the water becomes more concentrated and water resources diminish [47]. Fecal contamination can also have repercussions on local ecosystems. The introduction of organic matter and pathogens into surface waters can disrupt aquatic ecosystems, trigger algal blooms, and reduce aquatic biodiversity [48].</w:t>
      </w:r>
    </w:p>
    <w:p w14:paraId="5BB2A24E"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 xml:space="preserve">This study was limited by several challenges, such as financial and logistical constraints that restricted the number of sampling points. Additionally, certain aspects were not covered, such as the absence of comprehensive seasonal </w:t>
      </w:r>
      <w:proofErr w:type="gramStart"/>
      <w:r w:rsidRPr="00E55FFA">
        <w:rPr>
          <w:rFonts w:ascii="Times New Roman" w:hAnsi="Times New Roman" w:cs="Times New Roman"/>
          <w:lang w:eastAsia="fr-FR"/>
        </w:rPr>
        <w:t>data;</w:t>
      </w:r>
      <w:proofErr w:type="gramEnd"/>
      <w:r w:rsidRPr="00E55FFA">
        <w:rPr>
          <w:rFonts w:ascii="Times New Roman" w:hAnsi="Times New Roman" w:cs="Times New Roman"/>
          <w:lang w:eastAsia="fr-FR"/>
        </w:rPr>
        <w:t xml:space="preserve"> the analysis was limited to the dry season, whereas the rainy season could show significant variations due to aquifer recharge.</w:t>
      </w:r>
    </w:p>
    <w:p w14:paraId="61DE60CA" w14:textId="77777777" w:rsidR="00F40010" w:rsidRDefault="002F5E96" w:rsidP="00AE2209">
      <w:pPr>
        <w:spacing w:after="0" w:line="360" w:lineRule="auto"/>
        <w:jc w:val="both"/>
        <w:rPr>
          <w:rFonts w:ascii="Times New Roman" w:hAnsi="Times New Roman" w:cs="Times New Roman"/>
          <w:b/>
          <w:color w:val="5B9BD5"/>
          <w:lang w:eastAsia="fr-FR"/>
        </w:rPr>
      </w:pPr>
      <w:r>
        <w:rPr>
          <w:rFonts w:ascii="Times New Roman" w:hAnsi="Times New Roman" w:cs="Times New Roman"/>
          <w:b/>
          <w:color w:val="5B9BD5"/>
          <w:lang w:eastAsia="fr-FR"/>
        </w:rPr>
        <w:t xml:space="preserve">5. CONCLUSION </w:t>
      </w:r>
    </w:p>
    <w:p w14:paraId="54586606"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 xml:space="preserve">The results obtained in this study reveal that the well and spring waters of Ambatoharanana exhibit degraded quality due to microbiological and chemical contamination linked to human activities, such as the use of chemical fertilizers in agricultural fields and wastewater discharges near these water sources. Consequently, these waters pose risks to both human health and aquatic fauna. The observed results indicate significant variations in physicochemical and bacteriological parameters, notably an acidic pH ranging from 4.59 to 6.15—which may be attributed to the presence of decomposing plant organic </w:t>
      </w:r>
      <w:r w:rsidRPr="00E55FFA">
        <w:rPr>
          <w:rFonts w:ascii="Times New Roman" w:hAnsi="Times New Roman" w:cs="Times New Roman"/>
          <w:lang w:eastAsia="fr-FR"/>
        </w:rPr>
        <w:lastRenderedPageBreak/>
        <w:t>matter, soil acidification, or biological and organic compound decomposition in the soil. Furthermore, elevated concentrations of ammonium (0.93 mg/L for well 01 and 0.57 mg/L for spring 01), aluminum (0.68 mg/L for well 02 and 0.34 mg/L for spring 01), nitrite (0.105 mg/L for well 01), and nitrate (69.34 mg/L for well 02), as well as variable levels of fecal coliforms (ranging from 10 CFU/100 ml to 85 CFU/100 ml), exceed both WHO and Malagasy State standards.</w:t>
      </w:r>
    </w:p>
    <w:p w14:paraId="5E4EDECD"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Therefore, measures must be taken to improve water quality, such as household treatment methods (chlorination, filtration, or boiling) and the implementation of community-scale purification systems (filtration stations, disinfection). It is also essential to provide training for residents on good hygiene and water storage practices, conduct information campaigns regarding the risks of water contamination and available treatment methods, and establish protection zones around these wells and springs—prohibiting latrines, landfills, and pesticide-using crops in the vicinity. Additionally, regular monitoring of agricultural activities that may impact water quality should be established, alongside the reinforcement of local solid and liquid waste management policies. Improving the quality of well and spring water thus requires an integrated approach, combining technical, educational, and regulatory actions to guarantee access to safe and sustainable drinking water.</w:t>
      </w:r>
    </w:p>
    <w:p w14:paraId="12C64A86" w14:textId="77777777" w:rsidR="00E55FFA" w:rsidRPr="00E55FFA" w:rsidRDefault="00E55FFA" w:rsidP="00AE2209">
      <w:pPr>
        <w:spacing w:after="0" w:line="360" w:lineRule="auto"/>
        <w:jc w:val="both"/>
        <w:rPr>
          <w:rFonts w:ascii="Times New Roman" w:hAnsi="Times New Roman" w:cs="Times New Roman"/>
          <w:lang w:eastAsia="fr-FR"/>
        </w:rPr>
      </w:pPr>
      <w:r w:rsidRPr="00E55FFA">
        <w:rPr>
          <w:rFonts w:ascii="Times New Roman" w:hAnsi="Times New Roman" w:cs="Times New Roman"/>
          <w:lang w:eastAsia="fr-FR"/>
        </w:rPr>
        <w:t>In terms of perspectives, this study highlights the importance of considering complementary research, such as in-depth water analyses and quality monitoring. This includes establishing a continuous surveillance network to evaluate the evolution of physicochemical and bacteriological parameters and assessing the impact of seasonality, specifically researching variations in water quality across different seasons to develop strategies adapted to each period of the year.</w:t>
      </w:r>
    </w:p>
    <w:p w14:paraId="7270B0EF" w14:textId="77777777" w:rsidR="001A5B7C" w:rsidRPr="00E55FFA" w:rsidRDefault="001A5B7C" w:rsidP="00AE2209">
      <w:pPr>
        <w:spacing w:before="240" w:after="0" w:line="360" w:lineRule="auto"/>
        <w:jc w:val="both"/>
        <w:rPr>
          <w:rFonts w:ascii="Times New Roman" w:hAnsi="Times New Roman" w:cs="Times New Roman"/>
          <w:b/>
          <w:bCs/>
          <w:color w:val="4F81BD" w:themeColor="accent1"/>
          <w:sz w:val="24"/>
          <w:szCs w:val="24"/>
        </w:rPr>
      </w:pPr>
      <w:r w:rsidRPr="00E55FFA">
        <w:rPr>
          <w:rFonts w:ascii="Times New Roman" w:hAnsi="Times New Roman" w:cs="Times New Roman"/>
          <w:b/>
          <w:bCs/>
          <w:color w:val="4F81BD" w:themeColor="accent1"/>
          <w:sz w:val="24"/>
          <w:szCs w:val="24"/>
        </w:rPr>
        <w:t>6. REFERENCES</w:t>
      </w:r>
    </w:p>
    <w:p w14:paraId="6840A899"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Fishman, M. J., &amp; Robinson, B. P. (1969). </w:t>
      </w:r>
      <w:r w:rsidRPr="001A5B7C">
        <w:rPr>
          <w:rFonts w:ascii="Times New Roman" w:hAnsi="Times New Roman" w:cs="Times New Roman"/>
          <w:i/>
          <w:iCs/>
          <w:sz w:val="24"/>
          <w:szCs w:val="24"/>
        </w:rPr>
        <w:t>Water analysis</w:t>
      </w:r>
      <w:r w:rsidRPr="001A5B7C">
        <w:rPr>
          <w:rFonts w:ascii="Times New Roman" w:hAnsi="Times New Roman" w:cs="Times New Roman"/>
          <w:sz w:val="24"/>
          <w:szCs w:val="24"/>
        </w:rPr>
        <w:t xml:space="preserve">. Analytical Chemistry.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10.1021/ac60274a007.</w:t>
      </w:r>
    </w:p>
    <w:p w14:paraId="1390E574"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Foto, E., Allahdin, O., Biteman, O., Akpekabou, B., &amp; Poumaye, N. (2022). </w:t>
      </w:r>
      <w:r w:rsidRPr="001A5B7C">
        <w:rPr>
          <w:rFonts w:ascii="Times New Roman" w:hAnsi="Times New Roman" w:cs="Times New Roman"/>
          <w:i/>
          <w:iCs/>
          <w:sz w:val="24"/>
          <w:szCs w:val="24"/>
        </w:rPr>
        <w:t>Contribution to the Assessment of the Quality of Borehole Water in the Regions of Lobaye and Ombella-Mpoko in the South-West of the Central African Republic</w:t>
      </w:r>
      <w:r w:rsidRPr="001A5B7C">
        <w:rPr>
          <w:rFonts w:ascii="Times New Roman" w:hAnsi="Times New Roman" w:cs="Times New Roman"/>
          <w:sz w:val="24"/>
          <w:szCs w:val="24"/>
        </w:rPr>
        <w:t xml:space="preserve">. Journal of Environment Pollution and Human Health, 10(1), 13–22.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10.12691/jephh-10-1-3.</w:t>
      </w:r>
    </w:p>
    <w:p w14:paraId="38BF4DE3"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Rodier, J., Legube, B., &amp; Merlet, N. (2016). </w:t>
      </w:r>
      <w:r w:rsidRPr="001A5B7C">
        <w:rPr>
          <w:rFonts w:ascii="Times New Roman" w:hAnsi="Times New Roman" w:cs="Times New Roman"/>
          <w:i/>
          <w:iCs/>
          <w:sz w:val="24"/>
          <w:szCs w:val="24"/>
        </w:rPr>
        <w:t>Water Analysis – Control and Interpretation</w:t>
      </w:r>
      <w:r w:rsidRPr="001A5B7C">
        <w:rPr>
          <w:rFonts w:ascii="Times New Roman" w:hAnsi="Times New Roman" w:cs="Times New Roman"/>
          <w:sz w:val="24"/>
          <w:szCs w:val="24"/>
        </w:rPr>
        <w:t xml:space="preserve"> (10th ed.). </w:t>
      </w:r>
      <w:hyperlink r:id="rId14" w:history="1">
        <w:r w:rsidRPr="001A5B7C">
          <w:rPr>
            <w:rStyle w:val="Hyperlink"/>
            <w:rFonts w:ascii="Times New Roman" w:hAnsi="Times New Roman" w:cs="Times New Roman"/>
            <w:sz w:val="24"/>
            <w:szCs w:val="24"/>
          </w:rPr>
          <w:t>Dunod</w:t>
        </w:r>
      </w:hyperlink>
      <w:r w:rsidRPr="001A5B7C">
        <w:rPr>
          <w:rFonts w:ascii="Times New Roman" w:hAnsi="Times New Roman" w:cs="Times New Roman"/>
          <w:sz w:val="24"/>
          <w:szCs w:val="24"/>
        </w:rPr>
        <w:t xml:space="preserve">.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10.3917/dunod.rodie.2016.01.0939.</w:t>
      </w:r>
    </w:p>
    <w:p w14:paraId="1E1BC087"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Ibolobolo Kayiba, C., Nsimanda, C., Disadisa, T., et al. (2024). </w:t>
      </w:r>
      <w:r w:rsidRPr="001A5B7C">
        <w:rPr>
          <w:rFonts w:ascii="Times New Roman" w:hAnsi="Times New Roman" w:cs="Times New Roman"/>
          <w:i/>
          <w:iCs/>
          <w:sz w:val="24"/>
          <w:szCs w:val="24"/>
        </w:rPr>
        <w:t xml:space="preserve">Physicochemical and Microbiological Analysis of Surface and Groundwater Consumed by the Rural Population of </w:t>
      </w:r>
      <w:r w:rsidRPr="001A5B7C">
        <w:rPr>
          <w:rFonts w:ascii="Times New Roman" w:hAnsi="Times New Roman" w:cs="Times New Roman"/>
          <w:i/>
          <w:iCs/>
          <w:sz w:val="24"/>
          <w:szCs w:val="24"/>
        </w:rPr>
        <w:lastRenderedPageBreak/>
        <w:t>Matende, Lukamba Sector, Democratic Republic of the Congo</w:t>
      </w:r>
      <w:r w:rsidRPr="001A5B7C">
        <w:rPr>
          <w:rFonts w:ascii="Times New Roman" w:hAnsi="Times New Roman" w:cs="Times New Roman"/>
          <w:sz w:val="24"/>
          <w:szCs w:val="24"/>
        </w:rPr>
        <w:t xml:space="preserve">. Revue Internationale De La Recherche Scientifique, 2(5), 2720–2734.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10.5281/zenodo.13957159.</w:t>
      </w:r>
    </w:p>
    <w:p w14:paraId="29B5C453"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Roux, G. (1892). </w:t>
      </w:r>
      <w:r w:rsidRPr="001A5B7C">
        <w:rPr>
          <w:rFonts w:ascii="Times New Roman" w:hAnsi="Times New Roman" w:cs="Times New Roman"/>
          <w:i/>
          <w:iCs/>
          <w:sz w:val="24"/>
          <w:szCs w:val="24"/>
        </w:rPr>
        <w:t>Manual of Microbiological Water Analysis</w:t>
      </w:r>
      <w:r w:rsidRPr="001A5B7C">
        <w:rPr>
          <w:rFonts w:ascii="Times New Roman" w:hAnsi="Times New Roman" w:cs="Times New Roman"/>
          <w:sz w:val="24"/>
          <w:szCs w:val="24"/>
        </w:rPr>
        <w:t xml:space="preserve">. Bulletin mensuel - Société botanique de Lyon, 10(2–3), 29–31.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10.3406/linly.1892.15490.</w:t>
      </w:r>
    </w:p>
    <w:p w14:paraId="3D39705B"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Pluym, L. et al. (2024). </w:t>
      </w:r>
      <w:r w:rsidRPr="001A5B7C">
        <w:rPr>
          <w:rFonts w:ascii="Times New Roman" w:hAnsi="Times New Roman" w:cs="Times New Roman"/>
          <w:i/>
          <w:iCs/>
          <w:sz w:val="24"/>
          <w:szCs w:val="24"/>
        </w:rPr>
        <w:t>Microbial Drinking Water Monitoring Now and in the Future</w:t>
      </w:r>
      <w:r w:rsidRPr="001A5B7C">
        <w:rPr>
          <w:rFonts w:ascii="Times New Roman" w:hAnsi="Times New Roman" w:cs="Times New Roman"/>
          <w:sz w:val="24"/>
          <w:szCs w:val="24"/>
        </w:rPr>
        <w:t xml:space="preserve">. Environmental Microbiology Reports.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10.1111/1751-7915.14532.</w:t>
      </w:r>
    </w:p>
    <w:p w14:paraId="5F98227B"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Brumfield, K. D. et al. (2025). </w:t>
      </w:r>
      <w:r w:rsidRPr="001A5B7C">
        <w:rPr>
          <w:rFonts w:ascii="Times New Roman" w:hAnsi="Times New Roman" w:cs="Times New Roman"/>
          <w:i/>
          <w:iCs/>
          <w:sz w:val="24"/>
          <w:szCs w:val="24"/>
        </w:rPr>
        <w:t>Comparative Microbial Metagenomic Analysis of Drinking Water</w:t>
      </w:r>
      <w:r w:rsidRPr="001A5B7C">
        <w:rPr>
          <w:rFonts w:ascii="Times New Roman" w:hAnsi="Times New Roman" w:cs="Times New Roman"/>
          <w:sz w:val="24"/>
          <w:szCs w:val="24"/>
        </w:rPr>
        <w:t xml:space="preserve">. Frontiers in Microbiology.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10.3389/fmicb.2025.1488268.</w:t>
      </w:r>
    </w:p>
    <w:p w14:paraId="6A6FB733"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Czerniejewska, M. et al. (2023). </w:t>
      </w:r>
      <w:r w:rsidRPr="001A5B7C">
        <w:rPr>
          <w:rFonts w:ascii="Times New Roman" w:hAnsi="Times New Roman" w:cs="Times New Roman"/>
          <w:i/>
          <w:iCs/>
          <w:sz w:val="24"/>
          <w:szCs w:val="24"/>
        </w:rPr>
        <w:t>Assessment of Microbiological Quality of Water Using Culture and Molecular Methods</w:t>
      </w:r>
      <w:r w:rsidRPr="001A5B7C">
        <w:rPr>
          <w:rFonts w:ascii="Times New Roman" w:hAnsi="Times New Roman" w:cs="Times New Roman"/>
          <w:sz w:val="24"/>
          <w:szCs w:val="24"/>
        </w:rPr>
        <w:t xml:space="preserve">. Water.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10.3390/w15234077.</w:t>
      </w:r>
    </w:p>
    <w:p w14:paraId="5AD41CA8"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Richardson, S. D., &amp; Ternes, T. A. (2024). </w:t>
      </w:r>
      <w:r w:rsidRPr="001A5B7C">
        <w:rPr>
          <w:rFonts w:ascii="Times New Roman" w:hAnsi="Times New Roman" w:cs="Times New Roman"/>
          <w:i/>
          <w:iCs/>
          <w:sz w:val="24"/>
          <w:szCs w:val="24"/>
        </w:rPr>
        <w:t xml:space="preserve">Water </w:t>
      </w:r>
      <w:proofErr w:type="gramStart"/>
      <w:r w:rsidRPr="001A5B7C">
        <w:rPr>
          <w:rFonts w:ascii="Times New Roman" w:hAnsi="Times New Roman" w:cs="Times New Roman"/>
          <w:i/>
          <w:iCs/>
          <w:sz w:val="24"/>
          <w:szCs w:val="24"/>
        </w:rPr>
        <w:t>Analysis:</w:t>
      </w:r>
      <w:proofErr w:type="gramEnd"/>
      <w:r w:rsidRPr="001A5B7C">
        <w:rPr>
          <w:rFonts w:ascii="Times New Roman" w:hAnsi="Times New Roman" w:cs="Times New Roman"/>
          <w:i/>
          <w:iCs/>
          <w:sz w:val="24"/>
          <w:szCs w:val="24"/>
        </w:rPr>
        <w:t xml:space="preserve"> Emerging Contaminants and Current Issues</w:t>
      </w:r>
      <w:r w:rsidRPr="001A5B7C">
        <w:rPr>
          <w:rFonts w:ascii="Times New Roman" w:hAnsi="Times New Roman" w:cs="Times New Roman"/>
          <w:sz w:val="24"/>
          <w:szCs w:val="24"/>
        </w:rPr>
        <w:t xml:space="preserve">. Analytical Chemistry.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10.1021/acs.analchem.4c01423.</w:t>
      </w:r>
    </w:p>
    <w:p w14:paraId="165C3FE9"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Bletsou, A. A. et al. (2024). </w:t>
      </w:r>
      <w:r w:rsidRPr="001A5B7C">
        <w:rPr>
          <w:rFonts w:ascii="Times New Roman" w:hAnsi="Times New Roman" w:cs="Times New Roman"/>
          <w:i/>
          <w:iCs/>
          <w:sz w:val="24"/>
          <w:szCs w:val="24"/>
        </w:rPr>
        <w:t xml:space="preserve">Non-target Screening in Water </w:t>
      </w:r>
      <w:proofErr w:type="gramStart"/>
      <w:r w:rsidRPr="001A5B7C">
        <w:rPr>
          <w:rFonts w:ascii="Times New Roman" w:hAnsi="Times New Roman" w:cs="Times New Roman"/>
          <w:i/>
          <w:iCs/>
          <w:sz w:val="24"/>
          <w:szCs w:val="24"/>
        </w:rPr>
        <w:t>Analysis:</w:t>
      </w:r>
      <w:proofErr w:type="gramEnd"/>
      <w:r w:rsidRPr="001A5B7C">
        <w:rPr>
          <w:rFonts w:ascii="Times New Roman" w:hAnsi="Times New Roman" w:cs="Times New Roman"/>
          <w:i/>
          <w:iCs/>
          <w:sz w:val="24"/>
          <w:szCs w:val="24"/>
        </w:rPr>
        <w:t xml:space="preserve"> Recent Trends in Data Evaluation</w:t>
      </w:r>
      <w:r w:rsidRPr="001A5B7C">
        <w:rPr>
          <w:rFonts w:ascii="Times New Roman" w:hAnsi="Times New Roman" w:cs="Times New Roman"/>
          <w:sz w:val="24"/>
          <w:szCs w:val="24"/>
        </w:rPr>
        <w:t xml:space="preserve">. Analytical and Bioanalytical Chemistry.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10.1007/s00216-024-05153-8.</w:t>
      </w:r>
    </w:p>
    <w:p w14:paraId="6C0C902E"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Ceperley, N. et al. (2024). </w:t>
      </w:r>
      <w:r w:rsidRPr="001A5B7C">
        <w:rPr>
          <w:rFonts w:ascii="Times New Roman" w:hAnsi="Times New Roman" w:cs="Times New Roman"/>
          <w:i/>
          <w:iCs/>
          <w:sz w:val="24"/>
          <w:szCs w:val="24"/>
        </w:rPr>
        <w:t>Toward a Common Methodological Framework for the Sampling, Extraction, and Isotopic Analysis of Water in the Critical Zone to Study Vegetation Water Use</w:t>
      </w:r>
      <w:r w:rsidRPr="001A5B7C">
        <w:rPr>
          <w:rFonts w:ascii="Times New Roman" w:hAnsi="Times New Roman" w:cs="Times New Roman"/>
          <w:sz w:val="24"/>
          <w:szCs w:val="24"/>
        </w:rPr>
        <w:t xml:space="preserve">. WIREs Water.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10.1002/wat2.1727.</w:t>
      </w:r>
    </w:p>
    <w:p w14:paraId="390419F1"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Zhang, Y. et al. (2024). </w:t>
      </w:r>
      <w:r w:rsidRPr="001A5B7C">
        <w:rPr>
          <w:rFonts w:ascii="Times New Roman" w:hAnsi="Times New Roman" w:cs="Times New Roman"/>
          <w:i/>
          <w:iCs/>
          <w:sz w:val="24"/>
          <w:szCs w:val="24"/>
        </w:rPr>
        <w:t>Utilization and Applications of Stable Isotope Analysis for Wastewater Treatment</w:t>
      </w:r>
      <w:r w:rsidRPr="001A5B7C">
        <w:rPr>
          <w:rFonts w:ascii="Times New Roman" w:hAnsi="Times New Roman" w:cs="Times New Roman"/>
          <w:sz w:val="24"/>
          <w:szCs w:val="24"/>
        </w:rPr>
        <w:t xml:space="preserve">. Environmental Research.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10.1016/j.envres.2024.117540.</w:t>
      </w:r>
    </w:p>
    <w:p w14:paraId="6D63F54F" w14:textId="77777777" w:rsidR="001A5B7C" w:rsidRPr="001A5B7C" w:rsidRDefault="001A5B7C" w:rsidP="00AE2209">
      <w:pPr>
        <w:spacing w:before="240" w:after="0"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Mohamed EL Kory, O. C., &amp; Kacem, E. K. (2011). </w:t>
      </w:r>
      <w:r w:rsidRPr="001A5B7C">
        <w:rPr>
          <w:rFonts w:ascii="Times New Roman" w:hAnsi="Times New Roman" w:cs="Times New Roman"/>
          <w:i/>
          <w:iCs/>
          <w:sz w:val="24"/>
          <w:szCs w:val="24"/>
        </w:rPr>
        <w:t>Physicochemical Characterization of Drinking Water Supplying the City of Tijikja (Mauritania)</w:t>
      </w:r>
      <w:r w:rsidRPr="001A5B7C">
        <w:rPr>
          <w:rFonts w:ascii="Times New Roman" w:hAnsi="Times New Roman" w:cs="Times New Roman"/>
          <w:sz w:val="24"/>
          <w:szCs w:val="24"/>
        </w:rPr>
        <w:t xml:space="preserve">. International Journal of Biological and Chemical Sciences, 5(5), 2133–2139. </w:t>
      </w:r>
      <w:proofErr w:type="gramStart"/>
      <w:r w:rsidRPr="001A5B7C">
        <w:rPr>
          <w:rFonts w:ascii="Times New Roman" w:hAnsi="Times New Roman" w:cs="Times New Roman"/>
          <w:sz w:val="24"/>
          <w:szCs w:val="24"/>
        </w:rPr>
        <w:t>DOI:</w:t>
      </w:r>
      <w:proofErr w:type="gramEnd"/>
      <w:r w:rsidRPr="001A5B7C">
        <w:rPr>
          <w:rFonts w:ascii="Times New Roman" w:hAnsi="Times New Roman" w:cs="Times New Roman"/>
          <w:sz w:val="24"/>
          <w:szCs w:val="24"/>
        </w:rPr>
        <w:t xml:space="preserve"> </w:t>
      </w:r>
      <w:hyperlink r:id="rId15" w:history="1">
        <w:r w:rsidRPr="001A5B7C">
          <w:rPr>
            <w:rStyle w:val="Hyperlink"/>
            <w:rFonts w:ascii="Times New Roman" w:hAnsi="Times New Roman" w:cs="Times New Roman"/>
            <w:sz w:val="24"/>
            <w:szCs w:val="24"/>
          </w:rPr>
          <w:t>https://doi.org/10.4314/ijbcs.v5i5.33</w:t>
        </w:r>
      </w:hyperlink>
      <w:r w:rsidRPr="001A5B7C">
        <w:rPr>
          <w:rFonts w:ascii="Times New Roman" w:hAnsi="Times New Roman" w:cs="Times New Roman"/>
          <w:sz w:val="24"/>
          <w:szCs w:val="24"/>
        </w:rPr>
        <w:t>.</w:t>
      </w:r>
    </w:p>
    <w:p w14:paraId="6001A1BC" w14:textId="77777777" w:rsidR="00F40010" w:rsidRDefault="00F40010" w:rsidP="00AE2209">
      <w:pPr>
        <w:spacing w:before="240" w:after="0" w:line="360" w:lineRule="auto"/>
        <w:jc w:val="both"/>
        <w:rPr>
          <w:rFonts w:ascii="Times New Roman" w:hAnsi="Times New Roman" w:cs="Times New Roman"/>
          <w:sz w:val="24"/>
          <w:szCs w:val="24"/>
        </w:rPr>
      </w:pPr>
    </w:p>
    <w:p w14:paraId="39A69079" w14:textId="77777777" w:rsidR="00F40010" w:rsidRDefault="00F40010" w:rsidP="00AE2209">
      <w:pPr>
        <w:spacing w:before="240" w:after="0" w:line="360" w:lineRule="auto"/>
        <w:ind w:firstLine="708"/>
        <w:jc w:val="both"/>
        <w:rPr>
          <w:rFonts w:ascii="Times New Roman" w:hAnsi="Times New Roman" w:cs="Times New Roman"/>
          <w:sz w:val="24"/>
          <w:szCs w:val="24"/>
        </w:rPr>
      </w:pPr>
    </w:p>
    <w:p w14:paraId="4601505E" w14:textId="77777777" w:rsidR="00F40010" w:rsidRDefault="00F40010" w:rsidP="00AE2209">
      <w:pPr>
        <w:spacing w:after="0" w:line="360" w:lineRule="auto"/>
        <w:jc w:val="both"/>
        <w:rPr>
          <w:rFonts w:ascii="Times New Roman" w:eastAsia="Times New Roman" w:hAnsi="Times New Roman" w:cs="Times New Roman"/>
          <w:color w:val="000000"/>
          <w:sz w:val="24"/>
          <w:szCs w:val="24"/>
          <w:lang w:eastAsia="fr-FR"/>
        </w:rPr>
      </w:pPr>
    </w:p>
    <w:p w14:paraId="3B74FAE5" w14:textId="77777777" w:rsidR="00F40010" w:rsidRDefault="00F40010" w:rsidP="00AE2209">
      <w:pPr>
        <w:spacing w:after="0" w:line="360" w:lineRule="auto"/>
        <w:ind w:left="-3" w:firstLine="708"/>
        <w:jc w:val="both"/>
        <w:rPr>
          <w:rFonts w:ascii="Times New Roman" w:eastAsia="Times New Roman" w:hAnsi="Times New Roman" w:cs="Times New Roman"/>
          <w:color w:val="000000"/>
          <w:sz w:val="24"/>
          <w:szCs w:val="24"/>
          <w:lang w:eastAsia="fr-FR"/>
        </w:rPr>
      </w:pPr>
    </w:p>
    <w:p w14:paraId="11C9E761" w14:textId="77777777" w:rsidR="00F40010" w:rsidRDefault="00F40010" w:rsidP="00AE2209">
      <w:pPr>
        <w:spacing w:after="0" w:line="360" w:lineRule="auto"/>
        <w:ind w:left="-3" w:firstLine="708"/>
        <w:jc w:val="both"/>
        <w:rPr>
          <w:rFonts w:ascii="Times New Roman" w:eastAsia="Times New Roman" w:hAnsi="Times New Roman" w:cs="Times New Roman"/>
          <w:color w:val="000000"/>
          <w:sz w:val="24"/>
          <w:szCs w:val="24"/>
          <w:lang w:eastAsia="fr-FR"/>
        </w:rPr>
      </w:pPr>
    </w:p>
    <w:p w14:paraId="09BE32F5" w14:textId="77777777" w:rsidR="00F40010" w:rsidRDefault="00F40010" w:rsidP="00AE2209">
      <w:pPr>
        <w:spacing w:after="0" w:line="360" w:lineRule="auto"/>
        <w:jc w:val="both"/>
        <w:rPr>
          <w:rFonts w:ascii="Times New Roman" w:hAnsi="Times New Roman" w:cs="Times New Roman"/>
          <w:b/>
        </w:rPr>
      </w:pPr>
    </w:p>
    <w:p w14:paraId="60B595C0" w14:textId="77777777" w:rsidR="00F40010" w:rsidRDefault="00F40010" w:rsidP="00AE2209">
      <w:pPr>
        <w:spacing w:after="0" w:line="360" w:lineRule="auto"/>
        <w:jc w:val="both"/>
        <w:rPr>
          <w:rFonts w:ascii="Times New Roman" w:hAnsi="Times New Roman" w:cs="Times New Roman"/>
          <w:b/>
        </w:rPr>
      </w:pPr>
    </w:p>
    <w:p w14:paraId="313EE228" w14:textId="77777777" w:rsidR="00F40010" w:rsidRDefault="00F40010" w:rsidP="00AE2209">
      <w:pPr>
        <w:spacing w:after="0" w:line="360" w:lineRule="auto"/>
        <w:jc w:val="both"/>
        <w:rPr>
          <w:rFonts w:ascii="Times New Roman" w:hAnsi="Times New Roman" w:cs="Times New Roman"/>
        </w:rPr>
      </w:pPr>
    </w:p>
    <w:p w14:paraId="5476F897" w14:textId="77777777" w:rsidR="00F40010" w:rsidRDefault="00F40010" w:rsidP="00AE2209">
      <w:pPr>
        <w:spacing w:after="0" w:line="360" w:lineRule="auto"/>
        <w:jc w:val="both"/>
        <w:rPr>
          <w:rFonts w:ascii="Times New Roman" w:hAnsi="Times New Roman" w:cs="Times New Roman"/>
        </w:rPr>
      </w:pPr>
    </w:p>
    <w:p w14:paraId="732B8D72" w14:textId="77777777" w:rsidR="00F40010" w:rsidRDefault="00F40010" w:rsidP="00AE2209">
      <w:pPr>
        <w:spacing w:after="0" w:line="360" w:lineRule="auto"/>
        <w:jc w:val="both"/>
        <w:rPr>
          <w:rFonts w:ascii="Times New Roman" w:hAnsi="Times New Roman" w:cs="Times New Roman"/>
        </w:rPr>
      </w:pPr>
    </w:p>
    <w:p w14:paraId="68DE5163" w14:textId="77777777" w:rsidR="00F40010" w:rsidRDefault="00F40010" w:rsidP="00AE2209">
      <w:pPr>
        <w:spacing w:after="0" w:line="360" w:lineRule="auto"/>
        <w:jc w:val="both"/>
        <w:rPr>
          <w:rFonts w:ascii="Times New Roman" w:hAnsi="Times New Roman" w:cs="Times New Roman"/>
          <w:b/>
        </w:rPr>
      </w:pPr>
    </w:p>
    <w:p w14:paraId="33E53049" w14:textId="77777777" w:rsidR="00F40010" w:rsidRDefault="00F40010" w:rsidP="00AE2209">
      <w:pPr>
        <w:spacing w:after="0" w:line="360" w:lineRule="auto"/>
        <w:rPr>
          <w:rFonts w:ascii="Times New Roman" w:hAnsi="Times New Roman" w:cs="Times New Roman"/>
          <w:b/>
        </w:rPr>
      </w:pPr>
    </w:p>
    <w:sectPr w:rsidR="00F40010" w:rsidSect="0084192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FB9AB" w14:textId="77777777" w:rsidR="00813458" w:rsidRDefault="00813458">
      <w:pPr>
        <w:spacing w:after="0" w:line="240" w:lineRule="auto"/>
      </w:pPr>
      <w:r>
        <w:separator/>
      </w:r>
    </w:p>
  </w:endnote>
  <w:endnote w:type="continuationSeparator" w:id="0">
    <w:p w14:paraId="650FBE96" w14:textId="77777777" w:rsidR="00813458" w:rsidRDefault="00813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44DB" w14:textId="77777777" w:rsidR="00372AD9" w:rsidRDefault="00372A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871D" w14:textId="77777777" w:rsidR="00F40010" w:rsidRDefault="002F5E96">
    <w:pPr>
      <w:pStyle w:val="Footer"/>
    </w:pPr>
    <w:r>
      <w:rPr>
        <w:rFonts w:ascii="Calibri Light" w:eastAsia="SimSun" w:hAnsi="Calibri Light"/>
        <w:noProof/>
        <w:lang w:eastAsia="fr-FR"/>
      </w:rPr>
      <mc:AlternateContent>
        <mc:Choice Requires="wpg">
          <w:drawing>
            <wp:anchor distT="0" distB="0" distL="0" distR="0" simplePos="0" relativeHeight="2" behindDoc="0" locked="0" layoutInCell="1" allowOverlap="1" wp14:anchorId="5FC45518" wp14:editId="0A01562F">
              <wp:simplePos x="0" y="0"/>
              <wp:positionH relativeFrom="rightMargin">
                <wp:align>center</wp:align>
              </wp:positionH>
              <wp:positionV relativeFrom="bottomMargin">
                <wp:align>center</wp:align>
              </wp:positionV>
              <wp:extent cx="457200" cy="347980"/>
              <wp:effectExtent l="38100" t="47625" r="38100" b="42545"/>
              <wp:wrapNone/>
              <wp:docPr id="4097"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347980"/>
                        <a:chOff x="10104" y="14464"/>
                        <a:chExt cx="720" cy="548"/>
                      </a:xfrm>
                    </wpg:grpSpPr>
                    <wps:wsp>
                      <wps:cNvPr id="1" name="Rectangle 1"/>
                      <wps:cNvSpPr/>
                      <wps:spPr>
                        <a:xfrm rot="-5786020">
                          <a:off x="10190" y="14378"/>
                          <a:ext cx="548" cy="720"/>
                        </a:xfrm>
                        <a:prstGeom prst="rect">
                          <a:avLst/>
                        </a:prstGeom>
                        <a:solidFill>
                          <a:srgbClr val="FFFFFF"/>
                        </a:solidFill>
                        <a:ln w="9525" cap="flat" cmpd="sng">
                          <a:solidFill>
                            <a:srgbClr val="737373"/>
                          </a:solidFill>
                          <a:prstDash val="solid"/>
                          <a:miter/>
                          <a:headEnd type="none" w="med" len="med"/>
                          <a:tailEnd type="none" w="med" len="med"/>
                        </a:ln>
                      </wps:spPr>
                      <wps:bodyPr>
                        <a:prstTxWarp prst="textNoShape">
                          <a:avLst/>
                        </a:prstTxWarp>
                      </wps:bodyPr>
                    </wps:wsp>
                    <wps:wsp>
                      <wps:cNvPr id="2" name="Rectangle 2"/>
                      <wps:cNvSpPr/>
                      <wps:spPr>
                        <a:xfrm rot="-4936653">
                          <a:off x="10190" y="14378"/>
                          <a:ext cx="548" cy="720"/>
                        </a:xfrm>
                        <a:prstGeom prst="rect">
                          <a:avLst/>
                        </a:prstGeom>
                        <a:solidFill>
                          <a:srgbClr val="FFFFFF"/>
                        </a:solidFill>
                        <a:ln w="9525" cap="flat" cmpd="sng">
                          <a:solidFill>
                            <a:srgbClr val="737373"/>
                          </a:solidFill>
                          <a:prstDash val="solid"/>
                          <a:miter/>
                          <a:headEnd type="none" w="med" len="med"/>
                          <a:tailEnd type="none" w="med" len="med"/>
                        </a:ln>
                      </wps:spPr>
                      <wps:bodyPr>
                        <a:prstTxWarp prst="textNoShape">
                          <a:avLst/>
                        </a:prstTxWarp>
                      </wps:bodyPr>
                    </wps:wsp>
                    <wps:wsp>
                      <wps:cNvPr id="3" name="Rectangle 3"/>
                      <wps:cNvSpPr/>
                      <wps:spPr>
                        <a:xfrm rot="-5400000">
                          <a:off x="10190" y="14378"/>
                          <a:ext cx="548" cy="720"/>
                        </a:xfrm>
                        <a:prstGeom prst="rect">
                          <a:avLst/>
                        </a:prstGeom>
                        <a:solidFill>
                          <a:srgbClr val="FFFFFF"/>
                        </a:solidFill>
                        <a:ln w="9525" cap="flat" cmpd="sng">
                          <a:solidFill>
                            <a:srgbClr val="737373"/>
                          </a:solidFill>
                          <a:prstDash val="solid"/>
                          <a:miter/>
                          <a:headEnd type="none" w="med" len="med"/>
                          <a:tailEnd type="none" w="med" len="med"/>
                        </a:ln>
                      </wps:spPr>
                      <wps:txbx>
                        <w:txbxContent>
                          <w:p w14:paraId="70540218" w14:textId="77777777" w:rsidR="00F40010" w:rsidRDefault="002F5E96">
                            <w:pPr>
                              <w:pStyle w:val="Footer"/>
                              <w:jc w:val="center"/>
                            </w:pPr>
                            <w:r>
                              <w:fldChar w:fldCharType="begin"/>
                            </w:r>
                            <w:r>
                              <w:instrText>PAGE    \* MERGEFORMAT</w:instrText>
                            </w:r>
                            <w:r>
                              <w:fldChar w:fldCharType="separate"/>
                            </w:r>
                            <w:r w:rsidR="00944A7E">
                              <w:rPr>
                                <w:noProof/>
                              </w:rPr>
                              <w:t>1</w:t>
                            </w:r>
                            <w:r>
                              <w:fldChar w:fldCharType="end"/>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C45518" id="Groupe 10" o:spid="_x0000_s1028" style="position:absolute;margin-left:0;margin-top:0;width:36pt;height:27.4pt;z-index:2;mso-wrap-distance-left:0;mso-wrap-distance-right:0;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">
              <v:rect id="Rectangle 1"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" strokecolor="#737373"/>
              <v:rect id="Rectangle 2"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" strokecolor="#737373"/>
              <v:rect id="Rectangle 3"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" strokecolor="#737373">
                <v:textbox>
                  <w:txbxContent>
                    <w:p w14:paraId="70540218" w14:textId="77777777" w:rsidR="00F40010" w:rsidRDefault="002F5E96">
                      <w:pPr>
                        <w:pStyle w:val="Footer"/>
                        <w:jc w:val="center"/>
                      </w:pPr>
                      <w:r>
                        <w:fldChar w:fldCharType="begin"/>
                      </w:r>
                      <w:r>
                        <w:instrText>PAGE    \* MERGEFORMAT</w:instrText>
                      </w:r>
                      <w:r>
                        <w:fldChar w:fldCharType="separate"/>
                      </w:r>
                      <w:r w:rsidR="00944A7E">
                        <w:rPr>
                          <w:noProof/>
                        </w:rPr>
                        <w:t>1</w:t>
                      </w:r>
                      <w:r>
                        <w:fldChar w:fldCharType="end"/>
                      </w:r>
                    </w:p>
                  </w:txbxContent>
                </v:textbox>
              </v:rect>
              <w10:wrap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8A1A9" w14:textId="77777777" w:rsidR="00372AD9" w:rsidRDefault="00372A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00078" w14:textId="77777777" w:rsidR="00813458" w:rsidRDefault="00813458">
      <w:pPr>
        <w:spacing w:after="0" w:line="240" w:lineRule="auto"/>
      </w:pPr>
      <w:r>
        <w:separator/>
      </w:r>
    </w:p>
  </w:footnote>
  <w:footnote w:type="continuationSeparator" w:id="0">
    <w:p w14:paraId="72C72E24" w14:textId="77777777" w:rsidR="00813458" w:rsidRDefault="00813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A07A" w14:textId="4D19EE13" w:rsidR="00372AD9" w:rsidRDefault="00372AD9">
    <w:pPr>
      <w:pStyle w:val="Header"/>
    </w:pPr>
    <w:r>
      <w:rPr>
        <w:noProof/>
      </w:rPr>
      <w:pict w14:anchorId="650A0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15584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4999" w14:textId="04ECE6E7" w:rsidR="00372AD9" w:rsidRDefault="00372AD9">
    <w:pPr>
      <w:pStyle w:val="Header"/>
    </w:pPr>
    <w:r>
      <w:rPr>
        <w:noProof/>
      </w:rPr>
      <w:pict w14:anchorId="2C1D8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15584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5F6C" w14:textId="237EA7EC" w:rsidR="00372AD9" w:rsidRDefault="00372AD9">
    <w:pPr>
      <w:pStyle w:val="Header"/>
    </w:pPr>
    <w:r>
      <w:rPr>
        <w:noProof/>
      </w:rPr>
      <w:pict w14:anchorId="4614B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15584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AC466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599664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000003"/>
    <w:multiLevelType w:val="hybridMultilevel"/>
    <w:tmpl w:val="58FADDE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000004"/>
    <w:multiLevelType w:val="hybridMultilevel"/>
    <w:tmpl w:val="43C07726"/>
    <w:lvl w:ilvl="0" w:tplc="040C0019">
      <w:start w:val="1"/>
      <w:numFmt w:val="lowerLetter"/>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0000005"/>
    <w:multiLevelType w:val="hybridMultilevel"/>
    <w:tmpl w:val="ABC0597C"/>
    <w:lvl w:ilvl="0" w:tplc="57B8852E">
      <w:start w:val="1"/>
      <w:numFmt w:val="decimal"/>
      <w:lvlText w:val="%1."/>
      <w:lvlJc w:val="left"/>
      <w:pPr>
        <w:ind w:left="502" w:hanging="360"/>
      </w:pPr>
      <w:rPr>
        <w:rFonts w:hint="default"/>
        <w:b w:val="0"/>
        <w:color w:val="auto"/>
      </w:rPr>
    </w:lvl>
    <w:lvl w:ilvl="1" w:tplc="040C0019" w:tentative="1">
      <w:start w:val="1"/>
      <w:numFmt w:val="lowerLetter"/>
      <w:lvlText w:val="%2."/>
      <w:lvlJc w:val="left"/>
      <w:pPr>
        <w:ind w:left="1222" w:hanging="360"/>
      </w:pPr>
    </w:lvl>
    <w:lvl w:ilvl="2" w:tplc="040C001B">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00000006"/>
    <w:multiLevelType w:val="hybridMultilevel"/>
    <w:tmpl w:val="78CC88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0000007"/>
    <w:multiLevelType w:val="hybridMultilevel"/>
    <w:tmpl w:val="34668E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97AE63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453E5D"/>
    <w:multiLevelType w:val="multilevel"/>
    <w:tmpl w:val="866691C0"/>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b/>
      </w:rPr>
    </w:lvl>
    <w:lvl w:ilvl="2">
      <w:start w:val="1"/>
      <w:numFmt w:val="decimal"/>
      <w:lvlText w:val="%3."/>
      <w:lvlJc w:val="left"/>
      <w:pPr>
        <w:ind w:left="360" w:hanging="360"/>
      </w:pPr>
      <w:rPr>
        <w:rFonts w:hint="default"/>
        <w:b w:val="0"/>
      </w:rPr>
    </w:lvl>
    <w:lvl w:ilvl="3">
      <w:start w:val="7"/>
      <w:numFmt w:val="decimal"/>
      <w:lvlText w:val="%4"/>
      <w:lvlJc w:val="left"/>
      <w:pPr>
        <w:ind w:left="36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56110C7E"/>
    <w:multiLevelType w:val="multilevel"/>
    <w:tmpl w:val="F89A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2E1BD6"/>
    <w:multiLevelType w:val="multilevel"/>
    <w:tmpl w:val="272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3"/>
  </w:num>
  <w:num w:numId="5">
    <w:abstractNumId w:val="6"/>
  </w:num>
  <w:num w:numId="6">
    <w:abstractNumId w:val="0"/>
  </w:num>
  <w:num w:numId="7">
    <w:abstractNumId w:val="5"/>
  </w:num>
  <w:num w:numId="8">
    <w:abstractNumId w:val="8"/>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10"/>
    <w:rsid w:val="0001794D"/>
    <w:rsid w:val="00071666"/>
    <w:rsid w:val="000C2C7A"/>
    <w:rsid w:val="001957DE"/>
    <w:rsid w:val="001A5B7C"/>
    <w:rsid w:val="002D4D10"/>
    <w:rsid w:val="002F5E96"/>
    <w:rsid w:val="00343F95"/>
    <w:rsid w:val="003507ED"/>
    <w:rsid w:val="00372AD9"/>
    <w:rsid w:val="003C654B"/>
    <w:rsid w:val="003F1389"/>
    <w:rsid w:val="00405EDD"/>
    <w:rsid w:val="00421E18"/>
    <w:rsid w:val="004A2F6D"/>
    <w:rsid w:val="004A6003"/>
    <w:rsid w:val="004D6752"/>
    <w:rsid w:val="004F5524"/>
    <w:rsid w:val="006277B4"/>
    <w:rsid w:val="006F0DE6"/>
    <w:rsid w:val="00813458"/>
    <w:rsid w:val="00841920"/>
    <w:rsid w:val="008747F1"/>
    <w:rsid w:val="00944A7E"/>
    <w:rsid w:val="009854A2"/>
    <w:rsid w:val="00991289"/>
    <w:rsid w:val="00AE2209"/>
    <w:rsid w:val="00B35F5A"/>
    <w:rsid w:val="00B50E28"/>
    <w:rsid w:val="00C1671F"/>
    <w:rsid w:val="00C335FD"/>
    <w:rsid w:val="00C54CDD"/>
    <w:rsid w:val="00CC36F5"/>
    <w:rsid w:val="00D74453"/>
    <w:rsid w:val="00E50003"/>
    <w:rsid w:val="00E55FFA"/>
    <w:rsid w:val="00F40010"/>
    <w:rsid w:val="00F53AA9"/>
    <w:rsid w:val="00F72367"/>
    <w:rsid w:val="00FC12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207A1F"/>
  <w15:docId w15:val="{282A4844-9159-42DE-BCBF-C0BD5ADC7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53A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53A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semiHidden/>
    <w:unhideWhenUsed/>
    <w:rsid w:val="000C2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C7A"/>
    <w:rPr>
      <w:rFonts w:ascii="Tahoma" w:hAnsi="Tahoma" w:cs="Tahoma"/>
      <w:sz w:val="16"/>
      <w:szCs w:val="16"/>
    </w:rPr>
  </w:style>
  <w:style w:type="paragraph" w:styleId="NormalWeb">
    <w:name w:val="Normal (Web)"/>
    <w:basedOn w:val="Normal"/>
    <w:uiPriority w:val="99"/>
    <w:semiHidden/>
    <w:unhideWhenUsed/>
    <w:rsid w:val="00071666"/>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F53A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53AA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A5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4314/ijbcs.v5i5.3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unod.com/?utm_source=chatgp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D5C7C-6DD7-485A-9659-01802FB6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4803</Words>
  <Characters>27379</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Fidson</dc:creator>
  <cp:lastModifiedBy>SDI 1166</cp:lastModifiedBy>
  <cp:revision>24</cp:revision>
  <cp:lastPrinted>2025-03-26T11:07:00Z</cp:lastPrinted>
  <dcterms:created xsi:type="dcterms:W3CDTF">2026-02-09T18:22:00Z</dcterms:created>
  <dcterms:modified xsi:type="dcterms:W3CDTF">2026-05-08T11:21:00Z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6ac5bb76c7284fd78f8086e5655e4eae</vt:lpwstr>
  </property>
</Properties>
</file>